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1.xml" ContentType="application/vnd.openxmlformats-officedocument.drawingml.chart+xml"/>
  <Override PartName="/word/charts/style5.xml" ContentType="application/vnd.ms-office.chartstyle+xml"/>
  <Override PartName="/word/charts/colors5.xml" ContentType="application/vnd.ms-office.chartcolorstyle+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60D85" w14:textId="77777777" w:rsidR="00C11E54" w:rsidRPr="004E5A6E" w:rsidRDefault="7AFCC899" w:rsidP="00565560">
      <w:pPr>
        <w:spacing w:line="276" w:lineRule="auto"/>
        <w:jc w:val="both"/>
        <w:rPr>
          <w:rStyle w:val="Corpsdutexte"/>
          <w:color w:val="auto"/>
          <w:lang w:val="sq-AL" w:eastAsia="nl-NL"/>
        </w:rPr>
      </w:pPr>
      <w:bookmarkStart w:id="0" w:name="_Toc305488913"/>
      <w:bookmarkStart w:id="1" w:name="_Toc475950306"/>
      <w:r w:rsidRPr="004E5A6E">
        <w:rPr>
          <w:rStyle w:val="Corpsdutexte"/>
          <w:color w:val="auto"/>
          <w:lang w:val="sq-AL" w:eastAsia="nl-NL"/>
        </w:rPr>
        <w:t xml:space="preserve"> </w:t>
      </w:r>
    </w:p>
    <w:p w14:paraId="5861650E" w14:textId="77777777" w:rsidR="002F6BAB" w:rsidRPr="004E5A6E" w:rsidRDefault="002F6BAB" w:rsidP="00565560">
      <w:pPr>
        <w:spacing w:line="276" w:lineRule="auto"/>
        <w:jc w:val="both"/>
        <w:rPr>
          <w:rStyle w:val="Corpsdutexte"/>
          <w:color w:val="auto"/>
          <w:lang w:val="sq-AL" w:eastAsia="nl-NL"/>
        </w:rPr>
      </w:pPr>
    </w:p>
    <w:p w14:paraId="2B6EBDB4" w14:textId="77777777" w:rsidR="00561BF2" w:rsidRPr="004E5A6E" w:rsidRDefault="00561BF2" w:rsidP="00565560">
      <w:pPr>
        <w:spacing w:line="276" w:lineRule="auto"/>
        <w:jc w:val="center"/>
        <w:rPr>
          <w:rFonts w:eastAsia="MS Mincho"/>
          <w:color w:val="auto"/>
          <w:lang w:val="sq-AL"/>
        </w:rPr>
      </w:pPr>
      <w:bookmarkStart w:id="2" w:name="_Toc305488914"/>
      <w:bookmarkStart w:id="3" w:name="_Toc440290472"/>
      <w:bookmarkStart w:id="4" w:name="_Toc440290522"/>
      <w:bookmarkStart w:id="5" w:name="_Toc440290575"/>
      <w:bookmarkStart w:id="6" w:name="_Toc440290714"/>
      <w:bookmarkStart w:id="7" w:name="_Toc499840098"/>
      <w:bookmarkStart w:id="8" w:name="_Toc499840860"/>
      <w:bookmarkStart w:id="9" w:name="_Toc503555382"/>
      <w:bookmarkStart w:id="10" w:name="_Toc503556877"/>
      <w:bookmarkStart w:id="11" w:name="_Toc503557441"/>
      <w:bookmarkStart w:id="12" w:name="_Toc504051204"/>
      <w:bookmarkStart w:id="13" w:name="_Toc504051401"/>
      <w:bookmarkStart w:id="14" w:name="_Toc504338906"/>
      <w:bookmarkEnd w:id="0"/>
      <w:bookmarkEnd w:id="1"/>
      <w:r w:rsidRPr="004E5A6E">
        <w:rPr>
          <w:rFonts w:eastAsia="MS Mincho"/>
          <w:noProof/>
          <w:color w:val="auto"/>
          <w:lang w:val="en-US"/>
        </w:rPr>
        <w:drawing>
          <wp:inline distT="0" distB="0" distL="0" distR="0" wp14:anchorId="319034CB" wp14:editId="044622D8">
            <wp:extent cx="885825" cy="933450"/>
            <wp:effectExtent l="0" t="0" r="0" b="0"/>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933450"/>
                    </a:xfrm>
                    <a:prstGeom prst="rect">
                      <a:avLst/>
                    </a:prstGeom>
                    <a:noFill/>
                    <a:ln>
                      <a:noFill/>
                    </a:ln>
                  </pic:spPr>
                </pic:pic>
              </a:graphicData>
            </a:graphic>
          </wp:inline>
        </w:drawing>
      </w:r>
    </w:p>
    <w:p w14:paraId="52706048" w14:textId="77777777" w:rsidR="00561BF2" w:rsidRPr="004E5A6E" w:rsidRDefault="00561BF2" w:rsidP="00565560">
      <w:pPr>
        <w:spacing w:line="276" w:lineRule="auto"/>
        <w:jc w:val="both"/>
        <w:rPr>
          <w:rStyle w:val="Corpsdutexte"/>
          <w:color w:val="auto"/>
          <w:lang w:val="sq-AL" w:eastAsia="nl-NL"/>
        </w:rPr>
      </w:pPr>
    </w:p>
    <w:p w14:paraId="3C2A8558" w14:textId="77777777" w:rsidR="00561BF2" w:rsidRPr="004E5A6E" w:rsidRDefault="00561BF2" w:rsidP="00565560">
      <w:pPr>
        <w:spacing w:line="276" w:lineRule="auto"/>
        <w:jc w:val="center"/>
        <w:rPr>
          <w:rFonts w:eastAsia="Batang"/>
          <w:b/>
          <w:bCs/>
          <w:color w:val="auto"/>
          <w:lang w:val="sq-AL"/>
        </w:rPr>
      </w:pPr>
      <w:r w:rsidRPr="004E5A6E">
        <w:rPr>
          <w:b/>
          <w:bCs/>
          <w:color w:val="auto"/>
          <w:lang w:val="sq-AL"/>
        </w:rPr>
        <w:t>Republika e Kosovës</w:t>
      </w:r>
    </w:p>
    <w:p w14:paraId="464A5CFB" w14:textId="77777777" w:rsidR="00561BF2" w:rsidRPr="004E5A6E" w:rsidRDefault="00561BF2" w:rsidP="00565560">
      <w:pPr>
        <w:spacing w:line="276" w:lineRule="auto"/>
        <w:jc w:val="center"/>
        <w:rPr>
          <w:rFonts w:eastAsia="MS Mincho"/>
          <w:b/>
          <w:bCs/>
          <w:color w:val="auto"/>
          <w:lang w:val="sq-AL"/>
        </w:rPr>
      </w:pPr>
      <w:r w:rsidRPr="004E5A6E">
        <w:rPr>
          <w:b/>
          <w:bCs/>
          <w:color w:val="auto"/>
          <w:lang w:val="sq-AL"/>
        </w:rPr>
        <w:t>Republika Kosova - Republic of Kosovo</w:t>
      </w:r>
    </w:p>
    <w:p w14:paraId="2DDDE51F" w14:textId="77777777" w:rsidR="00561BF2" w:rsidRPr="004E5A6E" w:rsidRDefault="00561BF2" w:rsidP="00565560">
      <w:pPr>
        <w:spacing w:line="276" w:lineRule="auto"/>
        <w:jc w:val="center"/>
        <w:rPr>
          <w:rFonts w:eastAsia="MS Mincho"/>
          <w:b/>
          <w:bCs/>
          <w:i/>
          <w:iCs/>
          <w:color w:val="auto"/>
          <w:sz w:val="28"/>
          <w:szCs w:val="28"/>
          <w:lang w:val="sq-AL"/>
        </w:rPr>
      </w:pPr>
      <w:bookmarkStart w:id="15" w:name="OLE_LINK3"/>
      <w:r w:rsidRPr="004E5A6E">
        <w:rPr>
          <w:b/>
          <w:bCs/>
          <w:i/>
          <w:iCs/>
          <w:color w:val="auto"/>
          <w:sz w:val="28"/>
          <w:szCs w:val="28"/>
          <w:lang w:val="sq-AL"/>
        </w:rPr>
        <w:t>Qeveria –Vlada–Government</w:t>
      </w:r>
      <w:bookmarkEnd w:id="15"/>
    </w:p>
    <w:p w14:paraId="34ABAB3B" w14:textId="77777777" w:rsidR="00561BF2" w:rsidRPr="004E5A6E" w:rsidRDefault="00561BF2" w:rsidP="00565560">
      <w:pPr>
        <w:spacing w:line="276" w:lineRule="auto"/>
        <w:jc w:val="both"/>
        <w:rPr>
          <w:rStyle w:val="Corpsdutexte"/>
          <w:color w:val="auto"/>
          <w:lang w:val="sq-AL" w:eastAsia="nl-NL"/>
        </w:rPr>
      </w:pPr>
    </w:p>
    <w:p w14:paraId="38D4CF86" w14:textId="77777777" w:rsidR="00561BF2" w:rsidRPr="004E5A6E" w:rsidRDefault="00561BF2" w:rsidP="00565560">
      <w:pPr>
        <w:spacing w:line="276" w:lineRule="auto"/>
        <w:jc w:val="both"/>
        <w:rPr>
          <w:rStyle w:val="Corpsdutexte"/>
          <w:color w:val="auto"/>
          <w:lang w:val="sq-AL" w:eastAsia="nl-NL"/>
        </w:rPr>
      </w:pPr>
    </w:p>
    <w:p w14:paraId="572A2065" w14:textId="77777777" w:rsidR="00561BF2" w:rsidRPr="004E5A6E" w:rsidRDefault="00561BF2" w:rsidP="00565560">
      <w:pPr>
        <w:spacing w:line="276" w:lineRule="auto"/>
        <w:jc w:val="both"/>
        <w:rPr>
          <w:rStyle w:val="Corpsdutexte"/>
          <w:color w:val="auto"/>
          <w:lang w:val="sq-AL" w:eastAsia="nl-NL"/>
        </w:rPr>
      </w:pPr>
    </w:p>
    <w:p w14:paraId="06299EEF" w14:textId="77777777" w:rsidR="00561BF2" w:rsidRPr="004E5A6E" w:rsidRDefault="00561BF2" w:rsidP="00565560">
      <w:pPr>
        <w:spacing w:line="276" w:lineRule="auto"/>
        <w:jc w:val="both"/>
        <w:rPr>
          <w:rStyle w:val="Corpsdutexte"/>
          <w:color w:val="auto"/>
          <w:lang w:val="sq-AL" w:eastAsia="nl-NL"/>
        </w:rPr>
      </w:pPr>
    </w:p>
    <w:p w14:paraId="2BA94726" w14:textId="77777777" w:rsidR="00713DEA" w:rsidRDefault="00733346" w:rsidP="00733346">
      <w:pPr>
        <w:spacing w:before="2160" w:after="240" w:line="276" w:lineRule="auto"/>
        <w:jc w:val="center"/>
        <w:rPr>
          <w:b/>
          <w:bCs/>
          <w:smallCaps/>
          <w:color w:val="auto"/>
          <w:sz w:val="40"/>
          <w:szCs w:val="40"/>
          <w:lang w:val="sq-AL"/>
        </w:rPr>
      </w:pPr>
      <w:bookmarkStart w:id="16" w:name="_Toc305488915"/>
      <w:bookmarkStart w:id="17" w:name="_Toc440290473"/>
      <w:bookmarkStart w:id="18" w:name="_Toc440290523"/>
      <w:bookmarkStart w:id="19" w:name="_Toc440290576"/>
      <w:bookmarkStart w:id="20" w:name="_Toc440290715"/>
      <w:bookmarkStart w:id="21" w:name="_Toc499840099"/>
      <w:bookmarkStart w:id="22" w:name="_Toc503555383"/>
      <w:bookmarkStart w:id="23" w:name="_Toc503556878"/>
      <w:bookmarkStart w:id="24" w:name="_Toc503557442"/>
      <w:bookmarkStart w:id="25" w:name="_Toc504051206"/>
      <w:bookmarkStart w:id="26" w:name="_Toc504051403"/>
      <w:bookmarkStart w:id="27" w:name="_Toc504338908"/>
      <w:bookmarkStart w:id="28" w:name="_Toc57198252"/>
      <w:bookmarkEnd w:id="2"/>
      <w:bookmarkEnd w:id="3"/>
      <w:bookmarkEnd w:id="4"/>
      <w:bookmarkEnd w:id="5"/>
      <w:bookmarkEnd w:id="6"/>
      <w:bookmarkEnd w:id="7"/>
      <w:bookmarkEnd w:id="8"/>
      <w:bookmarkEnd w:id="9"/>
      <w:bookmarkEnd w:id="10"/>
      <w:bookmarkEnd w:id="11"/>
      <w:bookmarkEnd w:id="12"/>
      <w:bookmarkEnd w:id="13"/>
      <w:bookmarkEnd w:id="14"/>
      <w:r w:rsidRPr="004E5A6E">
        <w:rPr>
          <w:b/>
          <w:bCs/>
          <w:smallCaps/>
          <w:color w:val="auto"/>
          <w:sz w:val="40"/>
          <w:szCs w:val="40"/>
          <w:lang w:val="sq-AL"/>
        </w:rPr>
        <w:t xml:space="preserve">Programi për Reforma në Ekonomi (PRE) </w:t>
      </w:r>
    </w:p>
    <w:p w14:paraId="05C2DAF2" w14:textId="3490A225" w:rsidR="00733346" w:rsidRPr="004E5A6E" w:rsidRDefault="00733346" w:rsidP="00733346">
      <w:pPr>
        <w:spacing w:before="2160" w:after="240" w:line="276" w:lineRule="auto"/>
        <w:jc w:val="center"/>
        <w:rPr>
          <w:rFonts w:eastAsia="Calibri"/>
          <w:b/>
          <w:bCs/>
          <w:smallCaps/>
          <w:color w:val="auto"/>
          <w:sz w:val="40"/>
          <w:szCs w:val="40"/>
          <w:lang w:val="sq-AL"/>
        </w:rPr>
        <w:sectPr w:rsidR="00733346" w:rsidRPr="004E5A6E" w:rsidSect="00601633">
          <w:headerReference w:type="even" r:id="rId9"/>
          <w:headerReference w:type="default" r:id="rId10"/>
          <w:footerReference w:type="default" r:id="rId11"/>
          <w:headerReference w:type="first" r:id="rId12"/>
          <w:pgSz w:w="11907" w:h="16839" w:code="9"/>
          <w:pgMar w:top="1440" w:right="1440" w:bottom="1440" w:left="1440" w:header="0" w:footer="360" w:gutter="0"/>
          <w:cols w:space="720"/>
          <w:noEndnote/>
          <w:docGrid w:linePitch="360"/>
        </w:sectPr>
      </w:pPr>
      <w:r w:rsidRPr="004E5A6E">
        <w:rPr>
          <w:b/>
          <w:bCs/>
          <w:smallCaps/>
          <w:color w:val="auto"/>
          <w:sz w:val="40"/>
          <w:szCs w:val="40"/>
          <w:lang w:val="sq-AL"/>
        </w:rPr>
        <w:t>2021-2023</w:t>
      </w:r>
    </w:p>
    <w:sdt>
      <w:sdtPr>
        <w:rPr>
          <w:rFonts w:ascii="Times New Roman" w:eastAsia="Times New Roman" w:hAnsi="Times New Roman"/>
          <w:b w:val="0"/>
          <w:bCs w:val="0"/>
          <w:color w:val="auto"/>
          <w:sz w:val="24"/>
          <w:szCs w:val="24"/>
          <w:lang w:val="sq-AL" w:eastAsia="en-US"/>
        </w:rPr>
        <w:id w:val="820081651"/>
        <w:docPartObj>
          <w:docPartGallery w:val="Table of Contents"/>
          <w:docPartUnique/>
        </w:docPartObj>
      </w:sdtPr>
      <w:sdtContent>
        <w:p w14:paraId="1F561829" w14:textId="77777777" w:rsidR="00733346" w:rsidRPr="004E5A6E" w:rsidRDefault="00733346" w:rsidP="00733346">
          <w:pPr>
            <w:pStyle w:val="TOCHeading"/>
            <w:spacing w:before="0"/>
            <w:rPr>
              <w:rFonts w:ascii="Times New Roman" w:hAnsi="Times New Roman"/>
              <w:color w:val="auto"/>
              <w:lang w:val="sq-AL"/>
            </w:rPr>
          </w:pPr>
          <w:r w:rsidRPr="004E5A6E">
            <w:rPr>
              <w:rFonts w:ascii="Times New Roman" w:hAnsi="Times New Roman"/>
              <w:color w:val="auto"/>
              <w:lang w:val="sq-AL"/>
            </w:rPr>
            <w:t>Tabela e Përmbajtjes</w:t>
          </w:r>
        </w:p>
        <w:p w14:paraId="3AD2C725" w14:textId="77777777" w:rsidR="00EF7F7F" w:rsidRPr="004E5A6E" w:rsidRDefault="00733346">
          <w:pPr>
            <w:pStyle w:val="TOC1"/>
            <w:rPr>
              <w:rFonts w:asciiTheme="minorHAnsi" w:eastAsiaTheme="minorEastAsia" w:hAnsiTheme="minorHAnsi" w:cstheme="minorBidi"/>
              <w:bCs w:val="0"/>
              <w:smallCaps w:val="0"/>
              <w:color w:val="auto"/>
              <w:kern w:val="0"/>
              <w:sz w:val="22"/>
              <w:szCs w:val="22"/>
              <w:lang w:val="sq-AL"/>
            </w:rPr>
          </w:pPr>
          <w:r w:rsidRPr="004E5A6E">
            <w:rPr>
              <w:noProof w:val="0"/>
              <w:color w:val="auto"/>
              <w:lang w:val="sq-AL"/>
            </w:rPr>
            <w:fldChar w:fldCharType="begin"/>
          </w:r>
          <w:r w:rsidRPr="004E5A6E">
            <w:rPr>
              <w:noProof w:val="0"/>
              <w:color w:val="auto"/>
              <w:lang w:val="sq-AL"/>
            </w:rPr>
            <w:instrText xml:space="preserve"> TOC \o "1-3" \h \z \u </w:instrText>
          </w:r>
          <w:r w:rsidRPr="004E5A6E">
            <w:rPr>
              <w:noProof w:val="0"/>
              <w:color w:val="auto"/>
              <w:lang w:val="sq-AL"/>
            </w:rPr>
            <w:fldChar w:fldCharType="separate"/>
          </w:r>
          <w:hyperlink w:anchor="_Toc57720351" w:history="1">
            <w:r w:rsidR="00EF7F7F" w:rsidRPr="004E5A6E">
              <w:rPr>
                <w:rStyle w:val="Hyperlink"/>
                <w:lang w:val="sq-AL"/>
              </w:rPr>
              <w:t>1.</w:t>
            </w:r>
            <w:r w:rsidR="00EF7F7F" w:rsidRPr="004E5A6E">
              <w:rPr>
                <w:rFonts w:asciiTheme="minorHAnsi" w:eastAsiaTheme="minorEastAsia" w:hAnsiTheme="minorHAnsi" w:cstheme="minorBidi"/>
                <w:bCs w:val="0"/>
                <w:smallCaps w:val="0"/>
                <w:color w:val="auto"/>
                <w:kern w:val="0"/>
                <w:sz w:val="22"/>
                <w:szCs w:val="22"/>
                <w:lang w:val="sq-AL"/>
              </w:rPr>
              <w:tab/>
            </w:r>
            <w:r w:rsidR="00EF7F7F" w:rsidRPr="004E5A6E">
              <w:rPr>
                <w:rStyle w:val="Hyperlink"/>
                <w:lang w:val="sq-AL"/>
              </w:rPr>
              <w:t>Korniza e Përgjithshme e Politikave dhe Objektivat</w:t>
            </w:r>
            <w:r w:rsidR="00EF7F7F" w:rsidRPr="004E5A6E">
              <w:rPr>
                <w:webHidden/>
                <w:lang w:val="sq-AL"/>
              </w:rPr>
              <w:tab/>
            </w:r>
            <w:r w:rsidR="00EF7F7F" w:rsidRPr="004E5A6E">
              <w:rPr>
                <w:webHidden/>
                <w:lang w:val="sq-AL"/>
              </w:rPr>
              <w:fldChar w:fldCharType="begin"/>
            </w:r>
            <w:r w:rsidR="00EF7F7F" w:rsidRPr="004E5A6E">
              <w:rPr>
                <w:webHidden/>
                <w:lang w:val="sq-AL"/>
              </w:rPr>
              <w:instrText xml:space="preserve"> PAGEREF _Toc57720351 \h </w:instrText>
            </w:r>
            <w:r w:rsidR="00EF7F7F" w:rsidRPr="004E5A6E">
              <w:rPr>
                <w:webHidden/>
                <w:lang w:val="sq-AL"/>
              </w:rPr>
            </w:r>
            <w:r w:rsidR="00EF7F7F" w:rsidRPr="004E5A6E">
              <w:rPr>
                <w:webHidden/>
                <w:lang w:val="sq-AL"/>
              </w:rPr>
              <w:fldChar w:fldCharType="separate"/>
            </w:r>
            <w:r w:rsidR="00EF7F7F" w:rsidRPr="004E5A6E">
              <w:rPr>
                <w:webHidden/>
                <w:lang w:val="sq-AL"/>
              </w:rPr>
              <w:t>6</w:t>
            </w:r>
            <w:r w:rsidR="00EF7F7F" w:rsidRPr="004E5A6E">
              <w:rPr>
                <w:webHidden/>
                <w:lang w:val="sq-AL"/>
              </w:rPr>
              <w:fldChar w:fldCharType="end"/>
            </w:r>
          </w:hyperlink>
        </w:p>
        <w:p w14:paraId="432E9EE6" w14:textId="77777777" w:rsidR="00EF7F7F" w:rsidRPr="004E5A6E" w:rsidRDefault="00713DEA">
          <w:pPr>
            <w:pStyle w:val="TOC1"/>
            <w:rPr>
              <w:rFonts w:asciiTheme="minorHAnsi" w:eastAsiaTheme="minorEastAsia" w:hAnsiTheme="minorHAnsi" w:cstheme="minorBidi"/>
              <w:bCs w:val="0"/>
              <w:smallCaps w:val="0"/>
              <w:color w:val="auto"/>
              <w:kern w:val="0"/>
              <w:sz w:val="22"/>
              <w:szCs w:val="22"/>
              <w:lang w:val="sq-AL"/>
            </w:rPr>
          </w:pPr>
          <w:hyperlink w:anchor="_Toc57720352" w:history="1">
            <w:r w:rsidR="00EF7F7F" w:rsidRPr="004E5A6E">
              <w:rPr>
                <w:rStyle w:val="Hyperlink"/>
                <w:lang w:val="sq-AL"/>
              </w:rPr>
              <w:t>1.1.</w:t>
            </w:r>
            <w:r w:rsidR="00EF7F7F" w:rsidRPr="004E5A6E">
              <w:rPr>
                <w:rFonts w:asciiTheme="minorHAnsi" w:eastAsiaTheme="minorEastAsia" w:hAnsiTheme="minorHAnsi" w:cstheme="minorBidi"/>
                <w:bCs w:val="0"/>
                <w:smallCaps w:val="0"/>
                <w:color w:val="auto"/>
                <w:kern w:val="0"/>
                <w:sz w:val="22"/>
                <w:szCs w:val="22"/>
                <w:lang w:val="sq-AL"/>
              </w:rPr>
              <w:tab/>
            </w:r>
            <w:r w:rsidR="00EF7F7F" w:rsidRPr="004E5A6E">
              <w:rPr>
                <w:rStyle w:val="Hyperlink"/>
                <w:lang w:val="sq-AL"/>
              </w:rPr>
              <w:t>1.1 Zbatimi i Rekomandimeve të Politikave</w:t>
            </w:r>
            <w:r w:rsidR="00EF7F7F" w:rsidRPr="004E5A6E">
              <w:rPr>
                <w:webHidden/>
                <w:lang w:val="sq-AL"/>
              </w:rPr>
              <w:tab/>
            </w:r>
            <w:r w:rsidR="00EF7F7F" w:rsidRPr="004E5A6E">
              <w:rPr>
                <w:webHidden/>
                <w:lang w:val="sq-AL"/>
              </w:rPr>
              <w:fldChar w:fldCharType="begin"/>
            </w:r>
            <w:r w:rsidR="00EF7F7F" w:rsidRPr="004E5A6E">
              <w:rPr>
                <w:webHidden/>
                <w:lang w:val="sq-AL"/>
              </w:rPr>
              <w:instrText xml:space="preserve"> PAGEREF _Toc57720352 \h </w:instrText>
            </w:r>
            <w:r w:rsidR="00EF7F7F" w:rsidRPr="004E5A6E">
              <w:rPr>
                <w:webHidden/>
                <w:lang w:val="sq-AL"/>
              </w:rPr>
            </w:r>
            <w:r w:rsidR="00EF7F7F" w:rsidRPr="004E5A6E">
              <w:rPr>
                <w:webHidden/>
                <w:lang w:val="sq-AL"/>
              </w:rPr>
              <w:fldChar w:fldCharType="separate"/>
            </w:r>
            <w:r w:rsidR="00EF7F7F" w:rsidRPr="004E5A6E">
              <w:rPr>
                <w:webHidden/>
                <w:lang w:val="sq-AL"/>
              </w:rPr>
              <w:t>7</w:t>
            </w:r>
            <w:r w:rsidR="00EF7F7F" w:rsidRPr="004E5A6E">
              <w:rPr>
                <w:webHidden/>
                <w:lang w:val="sq-AL"/>
              </w:rPr>
              <w:fldChar w:fldCharType="end"/>
            </w:r>
          </w:hyperlink>
        </w:p>
        <w:p w14:paraId="70439D7F" w14:textId="77777777" w:rsidR="00EF7F7F" w:rsidRPr="004E5A6E" w:rsidRDefault="00713DEA">
          <w:pPr>
            <w:pStyle w:val="TOC1"/>
            <w:rPr>
              <w:rFonts w:asciiTheme="minorHAnsi" w:eastAsiaTheme="minorEastAsia" w:hAnsiTheme="minorHAnsi" w:cstheme="minorBidi"/>
              <w:bCs w:val="0"/>
              <w:smallCaps w:val="0"/>
              <w:color w:val="auto"/>
              <w:kern w:val="0"/>
              <w:sz w:val="22"/>
              <w:szCs w:val="22"/>
              <w:lang w:val="sq-AL"/>
            </w:rPr>
          </w:pPr>
          <w:hyperlink w:anchor="_Toc57720364" w:history="1">
            <w:r w:rsidR="00EF7F7F" w:rsidRPr="004E5A6E">
              <w:rPr>
                <w:rStyle w:val="Hyperlink"/>
                <w:lang w:val="sq-AL"/>
              </w:rPr>
              <w:t>2.</w:t>
            </w:r>
            <w:r w:rsidR="00EF7F7F" w:rsidRPr="004E5A6E">
              <w:rPr>
                <w:rFonts w:asciiTheme="minorHAnsi" w:eastAsiaTheme="minorEastAsia" w:hAnsiTheme="minorHAnsi" w:cstheme="minorBidi"/>
                <w:bCs w:val="0"/>
                <w:smallCaps w:val="0"/>
                <w:color w:val="auto"/>
                <w:kern w:val="0"/>
                <w:sz w:val="22"/>
                <w:szCs w:val="22"/>
                <w:lang w:val="sq-AL"/>
              </w:rPr>
              <w:tab/>
            </w:r>
            <w:r w:rsidR="00EF7F7F" w:rsidRPr="004E5A6E">
              <w:rPr>
                <w:rStyle w:val="Hyperlink"/>
                <w:lang w:val="sq-AL"/>
              </w:rPr>
              <w:t>Korniza Makroekonomike</w:t>
            </w:r>
            <w:r w:rsidR="00EF7F7F" w:rsidRPr="004E5A6E">
              <w:rPr>
                <w:webHidden/>
                <w:lang w:val="sq-AL"/>
              </w:rPr>
              <w:tab/>
            </w:r>
            <w:r w:rsidR="00EF7F7F" w:rsidRPr="004E5A6E">
              <w:rPr>
                <w:webHidden/>
                <w:lang w:val="sq-AL"/>
              </w:rPr>
              <w:fldChar w:fldCharType="begin"/>
            </w:r>
            <w:r w:rsidR="00EF7F7F" w:rsidRPr="004E5A6E">
              <w:rPr>
                <w:webHidden/>
                <w:lang w:val="sq-AL"/>
              </w:rPr>
              <w:instrText xml:space="preserve"> PAGEREF _Toc57720364 \h </w:instrText>
            </w:r>
            <w:r w:rsidR="00EF7F7F" w:rsidRPr="004E5A6E">
              <w:rPr>
                <w:webHidden/>
                <w:lang w:val="sq-AL"/>
              </w:rPr>
            </w:r>
            <w:r w:rsidR="00EF7F7F" w:rsidRPr="004E5A6E">
              <w:rPr>
                <w:webHidden/>
                <w:lang w:val="sq-AL"/>
              </w:rPr>
              <w:fldChar w:fldCharType="separate"/>
            </w:r>
            <w:r w:rsidR="00EF7F7F" w:rsidRPr="004E5A6E">
              <w:rPr>
                <w:webHidden/>
                <w:lang w:val="sq-AL"/>
              </w:rPr>
              <w:t>14</w:t>
            </w:r>
            <w:r w:rsidR="00EF7F7F" w:rsidRPr="004E5A6E">
              <w:rPr>
                <w:webHidden/>
                <w:lang w:val="sq-AL"/>
              </w:rPr>
              <w:fldChar w:fldCharType="end"/>
            </w:r>
          </w:hyperlink>
        </w:p>
        <w:p w14:paraId="6CFE0E0A" w14:textId="77777777" w:rsidR="00EF7F7F" w:rsidRPr="004E5A6E" w:rsidRDefault="00713DEA">
          <w:pPr>
            <w:pStyle w:val="TOC1"/>
            <w:rPr>
              <w:rFonts w:asciiTheme="minorHAnsi" w:eastAsiaTheme="minorEastAsia" w:hAnsiTheme="minorHAnsi" w:cstheme="minorBidi"/>
              <w:bCs w:val="0"/>
              <w:smallCaps w:val="0"/>
              <w:color w:val="auto"/>
              <w:kern w:val="0"/>
              <w:sz w:val="22"/>
              <w:szCs w:val="22"/>
              <w:lang w:val="sq-AL"/>
            </w:rPr>
          </w:pPr>
          <w:hyperlink w:anchor="_Toc57720365" w:history="1">
            <w:r w:rsidR="00EF7F7F" w:rsidRPr="004E5A6E">
              <w:rPr>
                <w:rStyle w:val="Hyperlink"/>
                <w:lang w:val="sq-AL"/>
              </w:rPr>
              <w:t>1.2.</w:t>
            </w:r>
            <w:r w:rsidR="00EF7F7F" w:rsidRPr="004E5A6E">
              <w:rPr>
                <w:rFonts w:asciiTheme="minorHAnsi" w:eastAsiaTheme="minorEastAsia" w:hAnsiTheme="minorHAnsi" w:cstheme="minorBidi"/>
                <w:bCs w:val="0"/>
                <w:smallCaps w:val="0"/>
                <w:color w:val="auto"/>
                <w:kern w:val="0"/>
                <w:sz w:val="22"/>
                <w:szCs w:val="22"/>
                <w:lang w:val="sq-AL"/>
              </w:rPr>
              <w:tab/>
            </w:r>
            <w:r w:rsidR="00EF7F7F" w:rsidRPr="004E5A6E">
              <w:rPr>
                <w:rStyle w:val="Hyperlink"/>
                <w:lang w:val="sq-AL"/>
              </w:rPr>
              <w:t>2.1 Mjedisi i Jashtëm Ekonomik</w:t>
            </w:r>
            <w:r w:rsidR="00EF7F7F" w:rsidRPr="004E5A6E">
              <w:rPr>
                <w:webHidden/>
                <w:lang w:val="sq-AL"/>
              </w:rPr>
              <w:tab/>
            </w:r>
            <w:r w:rsidR="00EF7F7F" w:rsidRPr="004E5A6E">
              <w:rPr>
                <w:webHidden/>
                <w:lang w:val="sq-AL"/>
              </w:rPr>
              <w:fldChar w:fldCharType="begin"/>
            </w:r>
            <w:r w:rsidR="00EF7F7F" w:rsidRPr="004E5A6E">
              <w:rPr>
                <w:webHidden/>
                <w:lang w:val="sq-AL"/>
              </w:rPr>
              <w:instrText xml:space="preserve"> PAGEREF _Toc57720365 \h </w:instrText>
            </w:r>
            <w:r w:rsidR="00EF7F7F" w:rsidRPr="004E5A6E">
              <w:rPr>
                <w:webHidden/>
                <w:lang w:val="sq-AL"/>
              </w:rPr>
            </w:r>
            <w:r w:rsidR="00EF7F7F" w:rsidRPr="004E5A6E">
              <w:rPr>
                <w:webHidden/>
                <w:lang w:val="sq-AL"/>
              </w:rPr>
              <w:fldChar w:fldCharType="separate"/>
            </w:r>
            <w:r w:rsidR="00EF7F7F" w:rsidRPr="004E5A6E">
              <w:rPr>
                <w:webHidden/>
                <w:lang w:val="sq-AL"/>
              </w:rPr>
              <w:t>14</w:t>
            </w:r>
            <w:r w:rsidR="00EF7F7F" w:rsidRPr="004E5A6E">
              <w:rPr>
                <w:webHidden/>
                <w:lang w:val="sq-AL"/>
              </w:rPr>
              <w:fldChar w:fldCharType="end"/>
            </w:r>
          </w:hyperlink>
        </w:p>
        <w:p w14:paraId="696D8E0A" w14:textId="77777777" w:rsidR="00EF7F7F" w:rsidRPr="004E5A6E" w:rsidRDefault="00713DEA">
          <w:pPr>
            <w:pStyle w:val="TOC1"/>
            <w:rPr>
              <w:rFonts w:asciiTheme="minorHAnsi" w:eastAsiaTheme="minorEastAsia" w:hAnsiTheme="minorHAnsi" w:cstheme="minorBidi"/>
              <w:bCs w:val="0"/>
              <w:smallCaps w:val="0"/>
              <w:color w:val="auto"/>
              <w:kern w:val="0"/>
              <w:sz w:val="22"/>
              <w:szCs w:val="22"/>
              <w:lang w:val="sq-AL"/>
            </w:rPr>
          </w:pPr>
          <w:hyperlink w:anchor="_Toc57720366" w:history="1">
            <w:r w:rsidR="00EF7F7F" w:rsidRPr="004E5A6E">
              <w:rPr>
                <w:rStyle w:val="Hyperlink"/>
                <w:lang w:val="sq-AL"/>
              </w:rPr>
              <w:t>1.1.</w:t>
            </w:r>
            <w:r w:rsidR="00EF7F7F" w:rsidRPr="004E5A6E">
              <w:rPr>
                <w:rFonts w:asciiTheme="minorHAnsi" w:eastAsiaTheme="minorEastAsia" w:hAnsiTheme="minorHAnsi" w:cstheme="minorBidi"/>
                <w:bCs w:val="0"/>
                <w:smallCaps w:val="0"/>
                <w:color w:val="auto"/>
                <w:kern w:val="0"/>
                <w:sz w:val="22"/>
                <w:szCs w:val="22"/>
                <w:lang w:val="sq-AL"/>
              </w:rPr>
              <w:tab/>
            </w:r>
            <w:r w:rsidR="00EF7F7F" w:rsidRPr="004E5A6E">
              <w:rPr>
                <w:rStyle w:val="Hyperlink"/>
                <w:lang w:val="sq-AL"/>
              </w:rPr>
              <w:t>Zhvillimet e fundit ekonomike në Kosovë dhe perspektiva për vitin 2020</w:t>
            </w:r>
            <w:r w:rsidR="00EF7F7F" w:rsidRPr="004E5A6E">
              <w:rPr>
                <w:webHidden/>
                <w:lang w:val="sq-AL"/>
              </w:rPr>
              <w:tab/>
            </w:r>
            <w:r w:rsidR="00EF7F7F" w:rsidRPr="004E5A6E">
              <w:rPr>
                <w:webHidden/>
                <w:lang w:val="sq-AL"/>
              </w:rPr>
              <w:fldChar w:fldCharType="begin"/>
            </w:r>
            <w:r w:rsidR="00EF7F7F" w:rsidRPr="004E5A6E">
              <w:rPr>
                <w:webHidden/>
                <w:lang w:val="sq-AL"/>
              </w:rPr>
              <w:instrText xml:space="preserve"> PAGEREF _Toc57720366 \h </w:instrText>
            </w:r>
            <w:r w:rsidR="00EF7F7F" w:rsidRPr="004E5A6E">
              <w:rPr>
                <w:webHidden/>
                <w:lang w:val="sq-AL"/>
              </w:rPr>
            </w:r>
            <w:r w:rsidR="00EF7F7F" w:rsidRPr="004E5A6E">
              <w:rPr>
                <w:webHidden/>
                <w:lang w:val="sq-AL"/>
              </w:rPr>
              <w:fldChar w:fldCharType="separate"/>
            </w:r>
            <w:r w:rsidR="00EF7F7F" w:rsidRPr="004E5A6E">
              <w:rPr>
                <w:webHidden/>
                <w:lang w:val="sq-AL"/>
              </w:rPr>
              <w:t>16</w:t>
            </w:r>
            <w:r w:rsidR="00EF7F7F" w:rsidRPr="004E5A6E">
              <w:rPr>
                <w:webHidden/>
                <w:lang w:val="sq-AL"/>
              </w:rPr>
              <w:fldChar w:fldCharType="end"/>
            </w:r>
          </w:hyperlink>
        </w:p>
        <w:p w14:paraId="2AEF11F1" w14:textId="77777777" w:rsidR="00EF7F7F" w:rsidRPr="004E5A6E" w:rsidRDefault="00713DEA">
          <w:pPr>
            <w:pStyle w:val="TOC1"/>
            <w:rPr>
              <w:rFonts w:asciiTheme="minorHAnsi" w:eastAsiaTheme="minorEastAsia" w:hAnsiTheme="minorHAnsi" w:cstheme="minorBidi"/>
              <w:bCs w:val="0"/>
              <w:smallCaps w:val="0"/>
              <w:color w:val="auto"/>
              <w:kern w:val="0"/>
              <w:sz w:val="22"/>
              <w:szCs w:val="22"/>
              <w:lang w:val="sq-AL"/>
            </w:rPr>
          </w:pPr>
          <w:hyperlink w:anchor="_Toc57720367" w:history="1">
            <w:r w:rsidR="00EF7F7F" w:rsidRPr="004E5A6E">
              <w:rPr>
                <w:rStyle w:val="Hyperlink"/>
                <w:lang w:val="sq-AL"/>
              </w:rPr>
              <w:t>1.1.1.</w:t>
            </w:r>
            <w:r w:rsidR="00EF7F7F" w:rsidRPr="004E5A6E">
              <w:rPr>
                <w:rFonts w:asciiTheme="minorHAnsi" w:eastAsiaTheme="minorEastAsia" w:hAnsiTheme="minorHAnsi" w:cstheme="minorBidi"/>
                <w:bCs w:val="0"/>
                <w:smallCaps w:val="0"/>
                <w:color w:val="auto"/>
                <w:kern w:val="0"/>
                <w:sz w:val="22"/>
                <w:szCs w:val="22"/>
                <w:lang w:val="sq-AL"/>
              </w:rPr>
              <w:tab/>
            </w:r>
            <w:r w:rsidR="00EF7F7F" w:rsidRPr="004E5A6E">
              <w:rPr>
                <w:rStyle w:val="Hyperlink"/>
                <w:lang w:val="sq-AL"/>
              </w:rPr>
              <w:t>Sektori real</w:t>
            </w:r>
            <w:r w:rsidR="00EF7F7F" w:rsidRPr="004E5A6E">
              <w:rPr>
                <w:webHidden/>
                <w:lang w:val="sq-AL"/>
              </w:rPr>
              <w:tab/>
            </w:r>
            <w:r w:rsidR="00EF7F7F" w:rsidRPr="004E5A6E">
              <w:rPr>
                <w:webHidden/>
                <w:lang w:val="sq-AL"/>
              </w:rPr>
              <w:fldChar w:fldCharType="begin"/>
            </w:r>
            <w:r w:rsidR="00EF7F7F" w:rsidRPr="004E5A6E">
              <w:rPr>
                <w:webHidden/>
                <w:lang w:val="sq-AL"/>
              </w:rPr>
              <w:instrText xml:space="preserve"> PAGEREF _Toc57720367 \h </w:instrText>
            </w:r>
            <w:r w:rsidR="00EF7F7F" w:rsidRPr="004E5A6E">
              <w:rPr>
                <w:webHidden/>
                <w:lang w:val="sq-AL"/>
              </w:rPr>
            </w:r>
            <w:r w:rsidR="00EF7F7F" w:rsidRPr="004E5A6E">
              <w:rPr>
                <w:webHidden/>
                <w:lang w:val="sq-AL"/>
              </w:rPr>
              <w:fldChar w:fldCharType="separate"/>
            </w:r>
            <w:r w:rsidR="00EF7F7F" w:rsidRPr="004E5A6E">
              <w:rPr>
                <w:webHidden/>
                <w:lang w:val="sq-AL"/>
              </w:rPr>
              <w:t>16</w:t>
            </w:r>
            <w:r w:rsidR="00EF7F7F" w:rsidRPr="004E5A6E">
              <w:rPr>
                <w:webHidden/>
                <w:lang w:val="sq-AL"/>
              </w:rPr>
              <w:fldChar w:fldCharType="end"/>
            </w:r>
          </w:hyperlink>
        </w:p>
        <w:p w14:paraId="30900B24" w14:textId="77777777" w:rsidR="00EF7F7F" w:rsidRPr="004E5A6E" w:rsidRDefault="00713DEA">
          <w:pPr>
            <w:pStyle w:val="TOC1"/>
            <w:rPr>
              <w:rFonts w:asciiTheme="minorHAnsi" w:eastAsiaTheme="minorEastAsia" w:hAnsiTheme="minorHAnsi" w:cstheme="minorBidi"/>
              <w:bCs w:val="0"/>
              <w:smallCaps w:val="0"/>
              <w:color w:val="auto"/>
              <w:kern w:val="0"/>
              <w:sz w:val="22"/>
              <w:szCs w:val="22"/>
              <w:lang w:val="sq-AL"/>
            </w:rPr>
          </w:pPr>
          <w:hyperlink w:anchor="_Toc57720368" w:history="1">
            <w:r w:rsidR="00EF7F7F" w:rsidRPr="004E5A6E">
              <w:rPr>
                <w:rStyle w:val="Hyperlink"/>
                <w:lang w:val="sq-AL"/>
              </w:rPr>
              <w:t>1.1.2.</w:t>
            </w:r>
            <w:r w:rsidR="00EF7F7F" w:rsidRPr="004E5A6E">
              <w:rPr>
                <w:rFonts w:asciiTheme="minorHAnsi" w:eastAsiaTheme="minorEastAsia" w:hAnsiTheme="minorHAnsi" w:cstheme="minorBidi"/>
                <w:bCs w:val="0"/>
                <w:smallCaps w:val="0"/>
                <w:color w:val="auto"/>
                <w:kern w:val="0"/>
                <w:sz w:val="22"/>
                <w:szCs w:val="22"/>
                <w:lang w:val="sq-AL"/>
              </w:rPr>
              <w:tab/>
            </w:r>
            <w:r w:rsidR="00EF7F7F" w:rsidRPr="004E5A6E">
              <w:rPr>
                <w:rStyle w:val="Hyperlink"/>
                <w:lang w:val="sq-AL"/>
              </w:rPr>
              <w:t>Treguesit kryesorë të tregut të punës</w:t>
            </w:r>
            <w:r w:rsidR="00EF7F7F" w:rsidRPr="004E5A6E">
              <w:rPr>
                <w:webHidden/>
                <w:lang w:val="sq-AL"/>
              </w:rPr>
              <w:tab/>
            </w:r>
            <w:r w:rsidR="00EF7F7F" w:rsidRPr="004E5A6E">
              <w:rPr>
                <w:webHidden/>
                <w:lang w:val="sq-AL"/>
              </w:rPr>
              <w:fldChar w:fldCharType="begin"/>
            </w:r>
            <w:r w:rsidR="00EF7F7F" w:rsidRPr="004E5A6E">
              <w:rPr>
                <w:webHidden/>
                <w:lang w:val="sq-AL"/>
              </w:rPr>
              <w:instrText xml:space="preserve"> PAGEREF _Toc57720368 \h </w:instrText>
            </w:r>
            <w:r w:rsidR="00EF7F7F" w:rsidRPr="004E5A6E">
              <w:rPr>
                <w:webHidden/>
                <w:lang w:val="sq-AL"/>
              </w:rPr>
            </w:r>
            <w:r w:rsidR="00EF7F7F" w:rsidRPr="004E5A6E">
              <w:rPr>
                <w:webHidden/>
                <w:lang w:val="sq-AL"/>
              </w:rPr>
              <w:fldChar w:fldCharType="separate"/>
            </w:r>
            <w:r w:rsidR="00EF7F7F" w:rsidRPr="004E5A6E">
              <w:rPr>
                <w:webHidden/>
                <w:lang w:val="sq-AL"/>
              </w:rPr>
              <w:t>21</w:t>
            </w:r>
            <w:r w:rsidR="00EF7F7F" w:rsidRPr="004E5A6E">
              <w:rPr>
                <w:webHidden/>
                <w:lang w:val="sq-AL"/>
              </w:rPr>
              <w:fldChar w:fldCharType="end"/>
            </w:r>
          </w:hyperlink>
        </w:p>
        <w:p w14:paraId="21082D96" w14:textId="77777777" w:rsidR="00EF7F7F" w:rsidRPr="004E5A6E" w:rsidRDefault="00713DEA">
          <w:pPr>
            <w:pStyle w:val="TOC1"/>
            <w:rPr>
              <w:rFonts w:asciiTheme="minorHAnsi" w:eastAsiaTheme="minorEastAsia" w:hAnsiTheme="minorHAnsi" w:cstheme="minorBidi"/>
              <w:bCs w:val="0"/>
              <w:smallCaps w:val="0"/>
              <w:color w:val="auto"/>
              <w:kern w:val="0"/>
              <w:sz w:val="22"/>
              <w:szCs w:val="22"/>
              <w:lang w:val="sq-AL"/>
            </w:rPr>
          </w:pPr>
          <w:hyperlink w:anchor="_Toc57720369" w:history="1">
            <w:r w:rsidR="00EF7F7F" w:rsidRPr="004E5A6E">
              <w:rPr>
                <w:rStyle w:val="Hyperlink"/>
                <w:lang w:val="sq-AL"/>
              </w:rPr>
              <w:t>1.2.</w:t>
            </w:r>
            <w:r w:rsidR="00EF7F7F" w:rsidRPr="004E5A6E">
              <w:rPr>
                <w:rFonts w:asciiTheme="minorHAnsi" w:eastAsiaTheme="minorEastAsia" w:hAnsiTheme="minorHAnsi" w:cstheme="minorBidi"/>
                <w:bCs w:val="0"/>
                <w:smallCaps w:val="0"/>
                <w:color w:val="auto"/>
                <w:kern w:val="0"/>
                <w:sz w:val="22"/>
                <w:szCs w:val="22"/>
                <w:lang w:val="sq-AL"/>
              </w:rPr>
              <w:tab/>
            </w:r>
            <w:r w:rsidR="00EF7F7F" w:rsidRPr="004E5A6E">
              <w:rPr>
                <w:rStyle w:val="Hyperlink"/>
                <w:lang w:val="sq-AL"/>
              </w:rPr>
              <w:t>Skenari makroekonomik afatmesëm</w:t>
            </w:r>
            <w:r w:rsidR="00EF7F7F" w:rsidRPr="004E5A6E">
              <w:rPr>
                <w:webHidden/>
                <w:lang w:val="sq-AL"/>
              </w:rPr>
              <w:tab/>
            </w:r>
            <w:r w:rsidR="00EF7F7F" w:rsidRPr="004E5A6E">
              <w:rPr>
                <w:webHidden/>
                <w:lang w:val="sq-AL"/>
              </w:rPr>
              <w:fldChar w:fldCharType="begin"/>
            </w:r>
            <w:r w:rsidR="00EF7F7F" w:rsidRPr="004E5A6E">
              <w:rPr>
                <w:webHidden/>
                <w:lang w:val="sq-AL"/>
              </w:rPr>
              <w:instrText xml:space="preserve"> PAGEREF _Toc57720369 \h </w:instrText>
            </w:r>
            <w:r w:rsidR="00EF7F7F" w:rsidRPr="004E5A6E">
              <w:rPr>
                <w:webHidden/>
                <w:lang w:val="sq-AL"/>
              </w:rPr>
            </w:r>
            <w:r w:rsidR="00EF7F7F" w:rsidRPr="004E5A6E">
              <w:rPr>
                <w:webHidden/>
                <w:lang w:val="sq-AL"/>
              </w:rPr>
              <w:fldChar w:fldCharType="separate"/>
            </w:r>
            <w:r w:rsidR="00EF7F7F" w:rsidRPr="004E5A6E">
              <w:rPr>
                <w:webHidden/>
                <w:lang w:val="sq-AL"/>
              </w:rPr>
              <w:t>23</w:t>
            </w:r>
            <w:r w:rsidR="00EF7F7F" w:rsidRPr="004E5A6E">
              <w:rPr>
                <w:webHidden/>
                <w:lang w:val="sq-AL"/>
              </w:rPr>
              <w:fldChar w:fldCharType="end"/>
            </w:r>
          </w:hyperlink>
        </w:p>
        <w:p w14:paraId="51C98E3C" w14:textId="77777777" w:rsidR="00EF7F7F" w:rsidRPr="004E5A6E" w:rsidRDefault="00713DEA">
          <w:pPr>
            <w:pStyle w:val="TOC1"/>
            <w:rPr>
              <w:rFonts w:asciiTheme="minorHAnsi" w:eastAsiaTheme="minorEastAsia" w:hAnsiTheme="minorHAnsi" w:cstheme="minorBidi"/>
              <w:bCs w:val="0"/>
              <w:smallCaps w:val="0"/>
              <w:color w:val="auto"/>
              <w:kern w:val="0"/>
              <w:sz w:val="22"/>
              <w:szCs w:val="22"/>
              <w:lang w:val="sq-AL"/>
            </w:rPr>
          </w:pPr>
          <w:hyperlink w:anchor="_Toc57720370" w:history="1">
            <w:r w:rsidR="00EF7F7F" w:rsidRPr="004E5A6E">
              <w:rPr>
                <w:rStyle w:val="Hyperlink"/>
                <w:lang w:val="sq-AL"/>
              </w:rPr>
              <w:t>1.2.1.</w:t>
            </w:r>
            <w:r w:rsidR="00EF7F7F" w:rsidRPr="004E5A6E">
              <w:rPr>
                <w:rFonts w:asciiTheme="minorHAnsi" w:eastAsiaTheme="minorEastAsia" w:hAnsiTheme="minorHAnsi" w:cstheme="minorBidi"/>
                <w:bCs w:val="0"/>
                <w:smallCaps w:val="0"/>
                <w:color w:val="auto"/>
                <w:kern w:val="0"/>
                <w:sz w:val="22"/>
                <w:szCs w:val="22"/>
                <w:lang w:val="sq-AL"/>
              </w:rPr>
              <w:tab/>
            </w:r>
            <w:r w:rsidR="00EF7F7F" w:rsidRPr="004E5A6E">
              <w:rPr>
                <w:rStyle w:val="Hyperlink"/>
                <w:lang w:val="sq-AL"/>
              </w:rPr>
              <w:t>Projeksionet e sektorit real</w:t>
            </w:r>
            <w:r w:rsidR="00EF7F7F" w:rsidRPr="004E5A6E">
              <w:rPr>
                <w:webHidden/>
                <w:lang w:val="sq-AL"/>
              </w:rPr>
              <w:tab/>
            </w:r>
            <w:r w:rsidR="00EF7F7F" w:rsidRPr="004E5A6E">
              <w:rPr>
                <w:webHidden/>
                <w:lang w:val="sq-AL"/>
              </w:rPr>
              <w:fldChar w:fldCharType="begin"/>
            </w:r>
            <w:r w:rsidR="00EF7F7F" w:rsidRPr="004E5A6E">
              <w:rPr>
                <w:webHidden/>
                <w:lang w:val="sq-AL"/>
              </w:rPr>
              <w:instrText xml:space="preserve"> PAGEREF _Toc57720370 \h </w:instrText>
            </w:r>
            <w:r w:rsidR="00EF7F7F" w:rsidRPr="004E5A6E">
              <w:rPr>
                <w:webHidden/>
                <w:lang w:val="sq-AL"/>
              </w:rPr>
            </w:r>
            <w:r w:rsidR="00EF7F7F" w:rsidRPr="004E5A6E">
              <w:rPr>
                <w:webHidden/>
                <w:lang w:val="sq-AL"/>
              </w:rPr>
              <w:fldChar w:fldCharType="separate"/>
            </w:r>
            <w:r w:rsidR="00EF7F7F" w:rsidRPr="004E5A6E">
              <w:rPr>
                <w:webHidden/>
                <w:lang w:val="sq-AL"/>
              </w:rPr>
              <w:t>23</w:t>
            </w:r>
            <w:r w:rsidR="00EF7F7F" w:rsidRPr="004E5A6E">
              <w:rPr>
                <w:webHidden/>
                <w:lang w:val="sq-AL"/>
              </w:rPr>
              <w:fldChar w:fldCharType="end"/>
            </w:r>
          </w:hyperlink>
        </w:p>
        <w:p w14:paraId="3C627D39" w14:textId="77777777" w:rsidR="00EF7F7F" w:rsidRPr="004E5A6E" w:rsidRDefault="00713DEA">
          <w:pPr>
            <w:pStyle w:val="TOC1"/>
            <w:rPr>
              <w:rFonts w:asciiTheme="minorHAnsi" w:eastAsiaTheme="minorEastAsia" w:hAnsiTheme="minorHAnsi" w:cstheme="minorBidi"/>
              <w:bCs w:val="0"/>
              <w:smallCaps w:val="0"/>
              <w:color w:val="auto"/>
              <w:kern w:val="0"/>
              <w:sz w:val="22"/>
              <w:szCs w:val="22"/>
              <w:lang w:val="sq-AL"/>
            </w:rPr>
          </w:pPr>
          <w:hyperlink w:anchor="_Toc57720371" w:history="1">
            <w:r w:rsidR="00EF7F7F" w:rsidRPr="004E5A6E">
              <w:rPr>
                <w:rStyle w:val="Hyperlink"/>
                <w:lang w:val="sq-AL"/>
              </w:rPr>
              <w:t>1.2.2.</w:t>
            </w:r>
            <w:r w:rsidR="00EF7F7F" w:rsidRPr="004E5A6E">
              <w:rPr>
                <w:rFonts w:asciiTheme="minorHAnsi" w:eastAsiaTheme="minorEastAsia" w:hAnsiTheme="minorHAnsi" w:cstheme="minorBidi"/>
                <w:bCs w:val="0"/>
                <w:smallCaps w:val="0"/>
                <w:color w:val="auto"/>
                <w:kern w:val="0"/>
                <w:sz w:val="22"/>
                <w:szCs w:val="22"/>
                <w:lang w:val="sq-AL"/>
              </w:rPr>
              <w:tab/>
            </w:r>
            <w:r w:rsidR="00EF7F7F" w:rsidRPr="004E5A6E">
              <w:rPr>
                <w:rStyle w:val="Hyperlink"/>
                <w:lang w:val="sq-AL"/>
              </w:rPr>
              <w:t>Politika monetare dhe e kursit të këmbimit dhe inflacioni</w:t>
            </w:r>
            <w:r w:rsidR="00EF7F7F" w:rsidRPr="004E5A6E">
              <w:rPr>
                <w:webHidden/>
                <w:lang w:val="sq-AL"/>
              </w:rPr>
              <w:tab/>
            </w:r>
            <w:r w:rsidR="00EF7F7F" w:rsidRPr="004E5A6E">
              <w:rPr>
                <w:webHidden/>
                <w:lang w:val="sq-AL"/>
              </w:rPr>
              <w:fldChar w:fldCharType="begin"/>
            </w:r>
            <w:r w:rsidR="00EF7F7F" w:rsidRPr="004E5A6E">
              <w:rPr>
                <w:webHidden/>
                <w:lang w:val="sq-AL"/>
              </w:rPr>
              <w:instrText xml:space="preserve"> PAGEREF _Toc57720371 \h </w:instrText>
            </w:r>
            <w:r w:rsidR="00EF7F7F" w:rsidRPr="004E5A6E">
              <w:rPr>
                <w:webHidden/>
                <w:lang w:val="sq-AL"/>
              </w:rPr>
            </w:r>
            <w:r w:rsidR="00EF7F7F" w:rsidRPr="004E5A6E">
              <w:rPr>
                <w:webHidden/>
                <w:lang w:val="sq-AL"/>
              </w:rPr>
              <w:fldChar w:fldCharType="separate"/>
            </w:r>
            <w:r w:rsidR="00EF7F7F" w:rsidRPr="004E5A6E">
              <w:rPr>
                <w:webHidden/>
                <w:lang w:val="sq-AL"/>
              </w:rPr>
              <w:t>24</w:t>
            </w:r>
            <w:r w:rsidR="00EF7F7F" w:rsidRPr="004E5A6E">
              <w:rPr>
                <w:webHidden/>
                <w:lang w:val="sq-AL"/>
              </w:rPr>
              <w:fldChar w:fldCharType="end"/>
            </w:r>
          </w:hyperlink>
        </w:p>
        <w:p w14:paraId="296ABCFD" w14:textId="77777777" w:rsidR="00EF7F7F" w:rsidRPr="004E5A6E" w:rsidRDefault="00713DEA">
          <w:pPr>
            <w:pStyle w:val="TOC1"/>
            <w:rPr>
              <w:rFonts w:asciiTheme="minorHAnsi" w:eastAsiaTheme="minorEastAsia" w:hAnsiTheme="minorHAnsi" w:cstheme="minorBidi"/>
              <w:bCs w:val="0"/>
              <w:smallCaps w:val="0"/>
              <w:color w:val="auto"/>
              <w:kern w:val="0"/>
              <w:sz w:val="22"/>
              <w:szCs w:val="22"/>
              <w:lang w:val="sq-AL"/>
            </w:rPr>
          </w:pPr>
          <w:hyperlink w:anchor="_Toc57720372" w:history="1">
            <w:r w:rsidR="00EF7F7F" w:rsidRPr="004E5A6E">
              <w:rPr>
                <w:rStyle w:val="Hyperlink"/>
                <w:lang w:val="sq-AL"/>
              </w:rPr>
              <w:t>1.2.3.</w:t>
            </w:r>
            <w:r w:rsidR="00EF7F7F" w:rsidRPr="004E5A6E">
              <w:rPr>
                <w:rFonts w:asciiTheme="minorHAnsi" w:eastAsiaTheme="minorEastAsia" w:hAnsiTheme="minorHAnsi" w:cstheme="minorBidi"/>
                <w:bCs w:val="0"/>
                <w:smallCaps w:val="0"/>
                <w:color w:val="auto"/>
                <w:kern w:val="0"/>
                <w:sz w:val="22"/>
                <w:szCs w:val="22"/>
                <w:lang w:val="sq-AL"/>
              </w:rPr>
              <w:tab/>
            </w:r>
            <w:r w:rsidR="00EF7F7F" w:rsidRPr="004E5A6E">
              <w:rPr>
                <w:rStyle w:val="Hyperlink"/>
                <w:lang w:val="sq-AL"/>
              </w:rPr>
              <w:t>Sektori i jashtëm dhe qëndrueshmëria e tij afatmesme</w:t>
            </w:r>
            <w:r w:rsidR="00EF7F7F" w:rsidRPr="004E5A6E">
              <w:rPr>
                <w:webHidden/>
                <w:lang w:val="sq-AL"/>
              </w:rPr>
              <w:tab/>
            </w:r>
            <w:r w:rsidR="00EF7F7F" w:rsidRPr="004E5A6E">
              <w:rPr>
                <w:webHidden/>
                <w:lang w:val="sq-AL"/>
              </w:rPr>
              <w:fldChar w:fldCharType="begin"/>
            </w:r>
            <w:r w:rsidR="00EF7F7F" w:rsidRPr="004E5A6E">
              <w:rPr>
                <w:webHidden/>
                <w:lang w:val="sq-AL"/>
              </w:rPr>
              <w:instrText xml:space="preserve"> PAGEREF _Toc57720372 \h </w:instrText>
            </w:r>
            <w:r w:rsidR="00EF7F7F" w:rsidRPr="004E5A6E">
              <w:rPr>
                <w:webHidden/>
                <w:lang w:val="sq-AL"/>
              </w:rPr>
            </w:r>
            <w:r w:rsidR="00EF7F7F" w:rsidRPr="004E5A6E">
              <w:rPr>
                <w:webHidden/>
                <w:lang w:val="sq-AL"/>
              </w:rPr>
              <w:fldChar w:fldCharType="separate"/>
            </w:r>
            <w:r w:rsidR="00EF7F7F" w:rsidRPr="004E5A6E">
              <w:rPr>
                <w:webHidden/>
                <w:lang w:val="sq-AL"/>
              </w:rPr>
              <w:t>26</w:t>
            </w:r>
            <w:r w:rsidR="00EF7F7F" w:rsidRPr="004E5A6E">
              <w:rPr>
                <w:webHidden/>
                <w:lang w:val="sq-AL"/>
              </w:rPr>
              <w:fldChar w:fldCharType="end"/>
            </w:r>
          </w:hyperlink>
        </w:p>
        <w:p w14:paraId="7EE1021C" w14:textId="77777777" w:rsidR="00EF7F7F" w:rsidRPr="004E5A6E" w:rsidRDefault="00713DEA">
          <w:pPr>
            <w:pStyle w:val="TOC1"/>
            <w:tabs>
              <w:tab w:val="left" w:pos="960"/>
            </w:tabs>
            <w:rPr>
              <w:rFonts w:asciiTheme="minorHAnsi" w:eastAsiaTheme="minorEastAsia" w:hAnsiTheme="minorHAnsi" w:cstheme="minorBidi"/>
              <w:bCs w:val="0"/>
              <w:smallCaps w:val="0"/>
              <w:color w:val="auto"/>
              <w:kern w:val="0"/>
              <w:sz w:val="22"/>
              <w:szCs w:val="22"/>
              <w:lang w:val="sq-AL"/>
            </w:rPr>
          </w:pPr>
          <w:hyperlink w:anchor="_Toc57720373" w:history="1">
            <w:r w:rsidR="00EF7F7F" w:rsidRPr="004E5A6E">
              <w:rPr>
                <w:rStyle w:val="Hyperlink"/>
                <w:lang w:val="sq-AL"/>
              </w:rPr>
              <w:t>1.2.3.1.</w:t>
            </w:r>
            <w:r w:rsidR="00EF7F7F" w:rsidRPr="004E5A6E">
              <w:rPr>
                <w:rFonts w:asciiTheme="minorHAnsi" w:eastAsiaTheme="minorEastAsia" w:hAnsiTheme="minorHAnsi" w:cstheme="minorBidi"/>
                <w:bCs w:val="0"/>
                <w:smallCaps w:val="0"/>
                <w:color w:val="auto"/>
                <w:kern w:val="0"/>
                <w:sz w:val="22"/>
                <w:szCs w:val="22"/>
                <w:lang w:val="sq-AL"/>
              </w:rPr>
              <w:tab/>
            </w:r>
            <w:r w:rsidR="00EF7F7F" w:rsidRPr="004E5A6E">
              <w:rPr>
                <w:rStyle w:val="Hyperlink"/>
                <w:lang w:val="sq-AL"/>
              </w:rPr>
              <w:t>Llogaria rrjedhëse</w:t>
            </w:r>
            <w:r w:rsidR="00EF7F7F" w:rsidRPr="004E5A6E">
              <w:rPr>
                <w:webHidden/>
                <w:lang w:val="sq-AL"/>
              </w:rPr>
              <w:tab/>
            </w:r>
            <w:r w:rsidR="00EF7F7F" w:rsidRPr="004E5A6E">
              <w:rPr>
                <w:webHidden/>
                <w:lang w:val="sq-AL"/>
              </w:rPr>
              <w:fldChar w:fldCharType="begin"/>
            </w:r>
            <w:r w:rsidR="00EF7F7F" w:rsidRPr="004E5A6E">
              <w:rPr>
                <w:webHidden/>
                <w:lang w:val="sq-AL"/>
              </w:rPr>
              <w:instrText xml:space="preserve"> PAGEREF _Toc57720373 \h </w:instrText>
            </w:r>
            <w:r w:rsidR="00EF7F7F" w:rsidRPr="004E5A6E">
              <w:rPr>
                <w:webHidden/>
                <w:lang w:val="sq-AL"/>
              </w:rPr>
            </w:r>
            <w:r w:rsidR="00EF7F7F" w:rsidRPr="004E5A6E">
              <w:rPr>
                <w:webHidden/>
                <w:lang w:val="sq-AL"/>
              </w:rPr>
              <w:fldChar w:fldCharType="separate"/>
            </w:r>
            <w:r w:rsidR="00EF7F7F" w:rsidRPr="004E5A6E">
              <w:rPr>
                <w:webHidden/>
                <w:lang w:val="sq-AL"/>
              </w:rPr>
              <w:t>26</w:t>
            </w:r>
            <w:r w:rsidR="00EF7F7F" w:rsidRPr="004E5A6E">
              <w:rPr>
                <w:webHidden/>
                <w:lang w:val="sq-AL"/>
              </w:rPr>
              <w:fldChar w:fldCharType="end"/>
            </w:r>
          </w:hyperlink>
        </w:p>
        <w:p w14:paraId="191AE1F6" w14:textId="77777777" w:rsidR="00EF7F7F" w:rsidRPr="004E5A6E" w:rsidRDefault="00713DEA">
          <w:pPr>
            <w:pStyle w:val="TOC1"/>
            <w:tabs>
              <w:tab w:val="left" w:pos="960"/>
            </w:tabs>
            <w:rPr>
              <w:rFonts w:asciiTheme="minorHAnsi" w:eastAsiaTheme="minorEastAsia" w:hAnsiTheme="minorHAnsi" w:cstheme="minorBidi"/>
              <w:bCs w:val="0"/>
              <w:smallCaps w:val="0"/>
              <w:color w:val="auto"/>
              <w:kern w:val="0"/>
              <w:sz w:val="22"/>
              <w:szCs w:val="22"/>
              <w:lang w:val="sq-AL"/>
            </w:rPr>
          </w:pPr>
          <w:hyperlink w:anchor="_Toc57720374" w:history="1">
            <w:r w:rsidR="00EF7F7F" w:rsidRPr="004E5A6E">
              <w:rPr>
                <w:rStyle w:val="Hyperlink"/>
                <w:lang w:val="sq-AL"/>
              </w:rPr>
              <w:t>1.2.3.2.</w:t>
            </w:r>
            <w:r w:rsidR="00EF7F7F" w:rsidRPr="004E5A6E">
              <w:rPr>
                <w:rFonts w:asciiTheme="minorHAnsi" w:eastAsiaTheme="minorEastAsia" w:hAnsiTheme="minorHAnsi" w:cstheme="minorBidi"/>
                <w:bCs w:val="0"/>
                <w:smallCaps w:val="0"/>
                <w:color w:val="auto"/>
                <w:kern w:val="0"/>
                <w:sz w:val="22"/>
                <w:szCs w:val="22"/>
                <w:lang w:val="sq-AL"/>
              </w:rPr>
              <w:tab/>
            </w:r>
            <w:r w:rsidR="00EF7F7F" w:rsidRPr="004E5A6E">
              <w:rPr>
                <w:rStyle w:val="Hyperlink"/>
                <w:lang w:val="sq-AL"/>
              </w:rPr>
              <w:t xml:space="preserve"> Llogaria financiare</w:t>
            </w:r>
            <w:r w:rsidR="00EF7F7F" w:rsidRPr="004E5A6E">
              <w:rPr>
                <w:webHidden/>
                <w:lang w:val="sq-AL"/>
              </w:rPr>
              <w:tab/>
            </w:r>
            <w:r w:rsidR="00EF7F7F" w:rsidRPr="004E5A6E">
              <w:rPr>
                <w:webHidden/>
                <w:lang w:val="sq-AL"/>
              </w:rPr>
              <w:fldChar w:fldCharType="begin"/>
            </w:r>
            <w:r w:rsidR="00EF7F7F" w:rsidRPr="004E5A6E">
              <w:rPr>
                <w:webHidden/>
                <w:lang w:val="sq-AL"/>
              </w:rPr>
              <w:instrText xml:space="preserve"> PAGEREF _Toc57720374 \h </w:instrText>
            </w:r>
            <w:r w:rsidR="00EF7F7F" w:rsidRPr="004E5A6E">
              <w:rPr>
                <w:webHidden/>
                <w:lang w:val="sq-AL"/>
              </w:rPr>
            </w:r>
            <w:r w:rsidR="00EF7F7F" w:rsidRPr="004E5A6E">
              <w:rPr>
                <w:webHidden/>
                <w:lang w:val="sq-AL"/>
              </w:rPr>
              <w:fldChar w:fldCharType="separate"/>
            </w:r>
            <w:r w:rsidR="00EF7F7F" w:rsidRPr="004E5A6E">
              <w:rPr>
                <w:webHidden/>
                <w:lang w:val="sq-AL"/>
              </w:rPr>
              <w:t>29</w:t>
            </w:r>
            <w:r w:rsidR="00EF7F7F" w:rsidRPr="004E5A6E">
              <w:rPr>
                <w:webHidden/>
                <w:lang w:val="sq-AL"/>
              </w:rPr>
              <w:fldChar w:fldCharType="end"/>
            </w:r>
          </w:hyperlink>
        </w:p>
        <w:p w14:paraId="375B6286" w14:textId="77777777" w:rsidR="00EF7F7F" w:rsidRPr="004E5A6E" w:rsidRDefault="00713DEA">
          <w:pPr>
            <w:pStyle w:val="TOC1"/>
            <w:rPr>
              <w:rFonts w:asciiTheme="minorHAnsi" w:eastAsiaTheme="minorEastAsia" w:hAnsiTheme="minorHAnsi" w:cstheme="minorBidi"/>
              <w:bCs w:val="0"/>
              <w:smallCaps w:val="0"/>
              <w:color w:val="auto"/>
              <w:kern w:val="0"/>
              <w:sz w:val="22"/>
              <w:szCs w:val="22"/>
              <w:lang w:val="sq-AL"/>
            </w:rPr>
          </w:pPr>
          <w:hyperlink w:anchor="_Toc57720375" w:history="1">
            <w:r w:rsidR="00EF7F7F" w:rsidRPr="004E5A6E">
              <w:rPr>
                <w:rStyle w:val="Hyperlink"/>
                <w:lang w:val="sq-AL"/>
              </w:rPr>
              <w:t>1.3.</w:t>
            </w:r>
            <w:r w:rsidR="00EF7F7F" w:rsidRPr="004E5A6E">
              <w:rPr>
                <w:rFonts w:asciiTheme="minorHAnsi" w:eastAsiaTheme="minorEastAsia" w:hAnsiTheme="minorHAnsi" w:cstheme="minorBidi"/>
                <w:bCs w:val="0"/>
                <w:smallCaps w:val="0"/>
                <w:color w:val="auto"/>
                <w:kern w:val="0"/>
                <w:sz w:val="22"/>
                <w:szCs w:val="22"/>
                <w:lang w:val="sq-AL"/>
              </w:rPr>
              <w:tab/>
            </w:r>
            <w:r w:rsidR="00EF7F7F" w:rsidRPr="004E5A6E">
              <w:rPr>
                <w:rStyle w:val="Hyperlink"/>
                <w:lang w:val="sq-AL"/>
              </w:rPr>
              <w:t>Sektori financiar</w:t>
            </w:r>
            <w:r w:rsidR="00EF7F7F" w:rsidRPr="004E5A6E">
              <w:rPr>
                <w:webHidden/>
                <w:lang w:val="sq-AL"/>
              </w:rPr>
              <w:tab/>
            </w:r>
            <w:r w:rsidR="00EF7F7F" w:rsidRPr="004E5A6E">
              <w:rPr>
                <w:webHidden/>
                <w:lang w:val="sq-AL"/>
              </w:rPr>
              <w:fldChar w:fldCharType="begin"/>
            </w:r>
            <w:r w:rsidR="00EF7F7F" w:rsidRPr="004E5A6E">
              <w:rPr>
                <w:webHidden/>
                <w:lang w:val="sq-AL"/>
              </w:rPr>
              <w:instrText xml:space="preserve"> PAGEREF _Toc57720375 \h </w:instrText>
            </w:r>
            <w:r w:rsidR="00EF7F7F" w:rsidRPr="004E5A6E">
              <w:rPr>
                <w:webHidden/>
                <w:lang w:val="sq-AL"/>
              </w:rPr>
            </w:r>
            <w:r w:rsidR="00EF7F7F" w:rsidRPr="004E5A6E">
              <w:rPr>
                <w:webHidden/>
                <w:lang w:val="sq-AL"/>
              </w:rPr>
              <w:fldChar w:fldCharType="separate"/>
            </w:r>
            <w:r w:rsidR="00EF7F7F" w:rsidRPr="004E5A6E">
              <w:rPr>
                <w:webHidden/>
                <w:lang w:val="sq-AL"/>
              </w:rPr>
              <w:t>30</w:t>
            </w:r>
            <w:r w:rsidR="00EF7F7F" w:rsidRPr="004E5A6E">
              <w:rPr>
                <w:webHidden/>
                <w:lang w:val="sq-AL"/>
              </w:rPr>
              <w:fldChar w:fldCharType="end"/>
            </w:r>
          </w:hyperlink>
        </w:p>
        <w:p w14:paraId="47DF8572" w14:textId="77777777" w:rsidR="00EF7F7F" w:rsidRPr="004E5A6E" w:rsidRDefault="00713DEA">
          <w:pPr>
            <w:pStyle w:val="TOC1"/>
            <w:rPr>
              <w:rFonts w:asciiTheme="minorHAnsi" w:eastAsiaTheme="minorEastAsia" w:hAnsiTheme="minorHAnsi" w:cstheme="minorBidi"/>
              <w:bCs w:val="0"/>
              <w:smallCaps w:val="0"/>
              <w:color w:val="auto"/>
              <w:kern w:val="0"/>
              <w:sz w:val="22"/>
              <w:szCs w:val="22"/>
              <w:lang w:val="sq-AL"/>
            </w:rPr>
          </w:pPr>
          <w:hyperlink w:anchor="_Toc57720376" w:history="1">
            <w:r w:rsidR="00EF7F7F" w:rsidRPr="004E5A6E">
              <w:rPr>
                <w:rStyle w:val="Hyperlink"/>
                <w:lang w:val="sq-AL"/>
              </w:rPr>
              <w:t>1.4.</w:t>
            </w:r>
            <w:r w:rsidR="00EF7F7F" w:rsidRPr="004E5A6E">
              <w:rPr>
                <w:rFonts w:asciiTheme="minorHAnsi" w:eastAsiaTheme="minorEastAsia" w:hAnsiTheme="minorHAnsi" w:cstheme="minorBidi"/>
                <w:bCs w:val="0"/>
                <w:smallCaps w:val="0"/>
                <w:color w:val="auto"/>
                <w:kern w:val="0"/>
                <w:sz w:val="22"/>
                <w:szCs w:val="22"/>
                <w:lang w:val="sq-AL"/>
              </w:rPr>
              <w:tab/>
            </w:r>
            <w:r w:rsidR="00EF7F7F" w:rsidRPr="004E5A6E">
              <w:rPr>
                <w:rStyle w:val="Hyperlink"/>
                <w:lang w:val="sq-AL"/>
              </w:rPr>
              <w:t>Skenarët dhe rreziqet alternative</w:t>
            </w:r>
            <w:r w:rsidR="00EF7F7F" w:rsidRPr="004E5A6E">
              <w:rPr>
                <w:webHidden/>
                <w:lang w:val="sq-AL"/>
              </w:rPr>
              <w:tab/>
            </w:r>
            <w:r w:rsidR="00EF7F7F" w:rsidRPr="004E5A6E">
              <w:rPr>
                <w:webHidden/>
                <w:lang w:val="sq-AL"/>
              </w:rPr>
              <w:fldChar w:fldCharType="begin"/>
            </w:r>
            <w:r w:rsidR="00EF7F7F" w:rsidRPr="004E5A6E">
              <w:rPr>
                <w:webHidden/>
                <w:lang w:val="sq-AL"/>
              </w:rPr>
              <w:instrText xml:space="preserve"> PAGEREF _Toc57720376 \h </w:instrText>
            </w:r>
            <w:r w:rsidR="00EF7F7F" w:rsidRPr="004E5A6E">
              <w:rPr>
                <w:webHidden/>
                <w:lang w:val="sq-AL"/>
              </w:rPr>
            </w:r>
            <w:r w:rsidR="00EF7F7F" w:rsidRPr="004E5A6E">
              <w:rPr>
                <w:webHidden/>
                <w:lang w:val="sq-AL"/>
              </w:rPr>
              <w:fldChar w:fldCharType="separate"/>
            </w:r>
            <w:r w:rsidR="00EF7F7F" w:rsidRPr="004E5A6E">
              <w:rPr>
                <w:webHidden/>
                <w:lang w:val="sq-AL"/>
              </w:rPr>
              <w:t>34</w:t>
            </w:r>
            <w:r w:rsidR="00EF7F7F" w:rsidRPr="004E5A6E">
              <w:rPr>
                <w:webHidden/>
                <w:lang w:val="sq-AL"/>
              </w:rPr>
              <w:fldChar w:fldCharType="end"/>
            </w:r>
          </w:hyperlink>
        </w:p>
        <w:p w14:paraId="650F4D4A" w14:textId="77777777" w:rsidR="00EF7F7F" w:rsidRPr="004E5A6E" w:rsidRDefault="00713DEA">
          <w:pPr>
            <w:pStyle w:val="TOC1"/>
            <w:rPr>
              <w:rFonts w:asciiTheme="minorHAnsi" w:eastAsiaTheme="minorEastAsia" w:hAnsiTheme="minorHAnsi" w:cstheme="minorBidi"/>
              <w:bCs w:val="0"/>
              <w:smallCaps w:val="0"/>
              <w:color w:val="auto"/>
              <w:kern w:val="0"/>
              <w:sz w:val="22"/>
              <w:szCs w:val="22"/>
              <w:lang w:val="sq-AL"/>
            </w:rPr>
          </w:pPr>
          <w:hyperlink w:anchor="_Toc57720377" w:history="1">
            <w:r w:rsidR="00EF7F7F" w:rsidRPr="004E5A6E">
              <w:rPr>
                <w:rStyle w:val="Hyperlink"/>
                <w:lang w:val="sq-AL"/>
              </w:rPr>
              <w:t>2.</w:t>
            </w:r>
            <w:r w:rsidR="00EF7F7F" w:rsidRPr="004E5A6E">
              <w:rPr>
                <w:rFonts w:asciiTheme="minorHAnsi" w:eastAsiaTheme="minorEastAsia" w:hAnsiTheme="minorHAnsi" w:cstheme="minorBidi"/>
                <w:bCs w:val="0"/>
                <w:smallCaps w:val="0"/>
                <w:color w:val="auto"/>
                <w:kern w:val="0"/>
                <w:sz w:val="22"/>
                <w:szCs w:val="22"/>
                <w:lang w:val="sq-AL"/>
              </w:rPr>
              <w:tab/>
            </w:r>
            <w:r w:rsidR="00EF7F7F" w:rsidRPr="004E5A6E">
              <w:rPr>
                <w:rStyle w:val="Hyperlink"/>
                <w:lang w:val="sq-AL"/>
              </w:rPr>
              <w:t>KORNIZA FISKALE</w:t>
            </w:r>
            <w:r w:rsidR="00EF7F7F" w:rsidRPr="004E5A6E">
              <w:rPr>
                <w:webHidden/>
                <w:lang w:val="sq-AL"/>
              </w:rPr>
              <w:tab/>
            </w:r>
            <w:r w:rsidR="00EF7F7F" w:rsidRPr="004E5A6E">
              <w:rPr>
                <w:webHidden/>
                <w:lang w:val="sq-AL"/>
              </w:rPr>
              <w:fldChar w:fldCharType="begin"/>
            </w:r>
            <w:r w:rsidR="00EF7F7F" w:rsidRPr="004E5A6E">
              <w:rPr>
                <w:webHidden/>
                <w:lang w:val="sq-AL"/>
              </w:rPr>
              <w:instrText xml:space="preserve"> PAGEREF _Toc57720377 \h </w:instrText>
            </w:r>
            <w:r w:rsidR="00EF7F7F" w:rsidRPr="004E5A6E">
              <w:rPr>
                <w:webHidden/>
                <w:lang w:val="sq-AL"/>
              </w:rPr>
            </w:r>
            <w:r w:rsidR="00EF7F7F" w:rsidRPr="004E5A6E">
              <w:rPr>
                <w:webHidden/>
                <w:lang w:val="sq-AL"/>
              </w:rPr>
              <w:fldChar w:fldCharType="separate"/>
            </w:r>
            <w:r w:rsidR="00EF7F7F" w:rsidRPr="004E5A6E">
              <w:rPr>
                <w:webHidden/>
                <w:lang w:val="sq-AL"/>
              </w:rPr>
              <w:t>35</w:t>
            </w:r>
            <w:r w:rsidR="00EF7F7F" w:rsidRPr="004E5A6E">
              <w:rPr>
                <w:webHidden/>
                <w:lang w:val="sq-AL"/>
              </w:rPr>
              <w:fldChar w:fldCharType="end"/>
            </w:r>
          </w:hyperlink>
        </w:p>
        <w:p w14:paraId="1714F8C9" w14:textId="77777777" w:rsidR="00EF7F7F" w:rsidRPr="004E5A6E" w:rsidRDefault="00713DEA">
          <w:pPr>
            <w:pStyle w:val="TOC1"/>
            <w:rPr>
              <w:rFonts w:asciiTheme="minorHAnsi" w:eastAsiaTheme="minorEastAsia" w:hAnsiTheme="minorHAnsi" w:cstheme="minorBidi"/>
              <w:bCs w:val="0"/>
              <w:smallCaps w:val="0"/>
              <w:color w:val="auto"/>
              <w:kern w:val="0"/>
              <w:sz w:val="22"/>
              <w:szCs w:val="22"/>
              <w:lang w:val="sq-AL"/>
            </w:rPr>
          </w:pPr>
          <w:hyperlink w:anchor="_Toc57720378" w:history="1">
            <w:r w:rsidR="00EF7F7F" w:rsidRPr="004E5A6E">
              <w:rPr>
                <w:rStyle w:val="Hyperlink"/>
                <w:lang w:val="sq-AL"/>
              </w:rPr>
              <w:t>2.1.</w:t>
            </w:r>
            <w:r w:rsidR="00EF7F7F" w:rsidRPr="004E5A6E">
              <w:rPr>
                <w:rFonts w:asciiTheme="minorHAnsi" w:eastAsiaTheme="minorEastAsia" w:hAnsiTheme="minorHAnsi" w:cstheme="minorBidi"/>
                <w:bCs w:val="0"/>
                <w:smallCaps w:val="0"/>
                <w:color w:val="auto"/>
                <w:kern w:val="0"/>
                <w:sz w:val="22"/>
                <w:szCs w:val="22"/>
                <w:lang w:val="sq-AL"/>
              </w:rPr>
              <w:tab/>
            </w:r>
            <w:r w:rsidR="00EF7F7F" w:rsidRPr="004E5A6E">
              <w:rPr>
                <w:rStyle w:val="Hyperlink"/>
                <w:lang w:val="sq-AL"/>
              </w:rPr>
              <w:t>Strategjia e politikave dhe objektivi afatmesëm</w:t>
            </w:r>
            <w:r w:rsidR="00EF7F7F" w:rsidRPr="004E5A6E">
              <w:rPr>
                <w:webHidden/>
                <w:lang w:val="sq-AL"/>
              </w:rPr>
              <w:tab/>
            </w:r>
            <w:r w:rsidR="00EF7F7F" w:rsidRPr="004E5A6E">
              <w:rPr>
                <w:webHidden/>
                <w:lang w:val="sq-AL"/>
              </w:rPr>
              <w:fldChar w:fldCharType="begin"/>
            </w:r>
            <w:r w:rsidR="00EF7F7F" w:rsidRPr="004E5A6E">
              <w:rPr>
                <w:webHidden/>
                <w:lang w:val="sq-AL"/>
              </w:rPr>
              <w:instrText xml:space="preserve"> PAGEREF _Toc57720378 \h </w:instrText>
            </w:r>
            <w:r w:rsidR="00EF7F7F" w:rsidRPr="004E5A6E">
              <w:rPr>
                <w:webHidden/>
                <w:lang w:val="sq-AL"/>
              </w:rPr>
            </w:r>
            <w:r w:rsidR="00EF7F7F" w:rsidRPr="004E5A6E">
              <w:rPr>
                <w:webHidden/>
                <w:lang w:val="sq-AL"/>
              </w:rPr>
              <w:fldChar w:fldCharType="separate"/>
            </w:r>
            <w:r w:rsidR="00EF7F7F" w:rsidRPr="004E5A6E">
              <w:rPr>
                <w:webHidden/>
                <w:lang w:val="sq-AL"/>
              </w:rPr>
              <w:t>35</w:t>
            </w:r>
            <w:r w:rsidR="00EF7F7F" w:rsidRPr="004E5A6E">
              <w:rPr>
                <w:webHidden/>
                <w:lang w:val="sq-AL"/>
              </w:rPr>
              <w:fldChar w:fldCharType="end"/>
            </w:r>
          </w:hyperlink>
        </w:p>
        <w:p w14:paraId="1A98F5E3" w14:textId="77777777" w:rsidR="00EF7F7F" w:rsidRPr="004E5A6E" w:rsidRDefault="00713DEA">
          <w:pPr>
            <w:pStyle w:val="TOC1"/>
            <w:rPr>
              <w:rFonts w:asciiTheme="minorHAnsi" w:eastAsiaTheme="minorEastAsia" w:hAnsiTheme="minorHAnsi" w:cstheme="minorBidi"/>
              <w:bCs w:val="0"/>
              <w:smallCaps w:val="0"/>
              <w:color w:val="auto"/>
              <w:kern w:val="0"/>
              <w:sz w:val="22"/>
              <w:szCs w:val="22"/>
              <w:lang w:val="sq-AL"/>
            </w:rPr>
          </w:pPr>
          <w:hyperlink w:anchor="_Toc57720379" w:history="1">
            <w:r w:rsidR="00EF7F7F" w:rsidRPr="004E5A6E">
              <w:rPr>
                <w:rStyle w:val="Hyperlink"/>
                <w:lang w:val="sq-AL"/>
              </w:rPr>
              <w:t>2.2.</w:t>
            </w:r>
            <w:r w:rsidR="00EF7F7F" w:rsidRPr="004E5A6E">
              <w:rPr>
                <w:rFonts w:asciiTheme="minorHAnsi" w:eastAsiaTheme="minorEastAsia" w:hAnsiTheme="minorHAnsi" w:cstheme="minorBidi"/>
                <w:bCs w:val="0"/>
                <w:smallCaps w:val="0"/>
                <w:color w:val="auto"/>
                <w:kern w:val="0"/>
                <w:sz w:val="22"/>
                <w:szCs w:val="22"/>
                <w:lang w:val="sq-AL"/>
              </w:rPr>
              <w:tab/>
            </w:r>
            <w:r w:rsidR="00EF7F7F" w:rsidRPr="004E5A6E">
              <w:rPr>
                <w:rStyle w:val="Hyperlink"/>
                <w:lang w:val="sq-AL"/>
              </w:rPr>
              <w:t>Zbatimi i buxhetit në vitin 2020 (janar-tetor)</w:t>
            </w:r>
            <w:r w:rsidR="00EF7F7F" w:rsidRPr="004E5A6E">
              <w:rPr>
                <w:webHidden/>
                <w:lang w:val="sq-AL"/>
              </w:rPr>
              <w:tab/>
            </w:r>
            <w:r w:rsidR="00EF7F7F" w:rsidRPr="004E5A6E">
              <w:rPr>
                <w:webHidden/>
                <w:lang w:val="sq-AL"/>
              </w:rPr>
              <w:fldChar w:fldCharType="begin"/>
            </w:r>
            <w:r w:rsidR="00EF7F7F" w:rsidRPr="004E5A6E">
              <w:rPr>
                <w:webHidden/>
                <w:lang w:val="sq-AL"/>
              </w:rPr>
              <w:instrText xml:space="preserve"> PAGEREF _Toc57720379 \h </w:instrText>
            </w:r>
            <w:r w:rsidR="00EF7F7F" w:rsidRPr="004E5A6E">
              <w:rPr>
                <w:webHidden/>
                <w:lang w:val="sq-AL"/>
              </w:rPr>
            </w:r>
            <w:r w:rsidR="00EF7F7F" w:rsidRPr="004E5A6E">
              <w:rPr>
                <w:webHidden/>
                <w:lang w:val="sq-AL"/>
              </w:rPr>
              <w:fldChar w:fldCharType="separate"/>
            </w:r>
            <w:r w:rsidR="00EF7F7F" w:rsidRPr="004E5A6E">
              <w:rPr>
                <w:webHidden/>
                <w:lang w:val="sq-AL"/>
              </w:rPr>
              <w:t>35</w:t>
            </w:r>
            <w:r w:rsidR="00EF7F7F" w:rsidRPr="004E5A6E">
              <w:rPr>
                <w:webHidden/>
                <w:lang w:val="sq-AL"/>
              </w:rPr>
              <w:fldChar w:fldCharType="end"/>
            </w:r>
          </w:hyperlink>
        </w:p>
        <w:p w14:paraId="791DC826" w14:textId="77777777" w:rsidR="00EF7F7F" w:rsidRPr="004E5A6E" w:rsidRDefault="00713DEA">
          <w:pPr>
            <w:pStyle w:val="TOC1"/>
            <w:rPr>
              <w:rFonts w:asciiTheme="minorHAnsi" w:eastAsiaTheme="minorEastAsia" w:hAnsiTheme="minorHAnsi" w:cstheme="minorBidi"/>
              <w:bCs w:val="0"/>
              <w:smallCaps w:val="0"/>
              <w:color w:val="auto"/>
              <w:kern w:val="0"/>
              <w:sz w:val="22"/>
              <w:szCs w:val="22"/>
              <w:lang w:val="sq-AL"/>
            </w:rPr>
          </w:pPr>
          <w:hyperlink w:anchor="_Toc57720380" w:history="1">
            <w:r w:rsidR="00EF7F7F" w:rsidRPr="004E5A6E">
              <w:rPr>
                <w:rStyle w:val="Hyperlink"/>
                <w:lang w:val="sq-AL"/>
              </w:rPr>
              <w:t>2.3.</w:t>
            </w:r>
            <w:r w:rsidR="00EF7F7F" w:rsidRPr="004E5A6E">
              <w:rPr>
                <w:rFonts w:asciiTheme="minorHAnsi" w:eastAsiaTheme="minorEastAsia" w:hAnsiTheme="minorHAnsi" w:cstheme="minorBidi"/>
                <w:bCs w:val="0"/>
                <w:smallCaps w:val="0"/>
                <w:color w:val="auto"/>
                <w:kern w:val="0"/>
                <w:sz w:val="22"/>
                <w:szCs w:val="22"/>
                <w:lang w:val="sq-AL"/>
              </w:rPr>
              <w:tab/>
            </w:r>
            <w:r w:rsidR="00EF7F7F" w:rsidRPr="004E5A6E">
              <w:rPr>
                <w:rStyle w:val="Hyperlink"/>
                <w:lang w:val="sq-AL"/>
              </w:rPr>
              <w:t>Planet e Buxhetit për vitin 2021</w:t>
            </w:r>
            <w:r w:rsidR="00EF7F7F" w:rsidRPr="004E5A6E">
              <w:rPr>
                <w:webHidden/>
                <w:lang w:val="sq-AL"/>
              </w:rPr>
              <w:tab/>
            </w:r>
            <w:r w:rsidR="00EF7F7F" w:rsidRPr="004E5A6E">
              <w:rPr>
                <w:webHidden/>
                <w:lang w:val="sq-AL"/>
              </w:rPr>
              <w:fldChar w:fldCharType="begin"/>
            </w:r>
            <w:r w:rsidR="00EF7F7F" w:rsidRPr="004E5A6E">
              <w:rPr>
                <w:webHidden/>
                <w:lang w:val="sq-AL"/>
              </w:rPr>
              <w:instrText xml:space="preserve"> PAGEREF _Toc57720380 \h </w:instrText>
            </w:r>
            <w:r w:rsidR="00EF7F7F" w:rsidRPr="004E5A6E">
              <w:rPr>
                <w:webHidden/>
                <w:lang w:val="sq-AL"/>
              </w:rPr>
            </w:r>
            <w:r w:rsidR="00EF7F7F" w:rsidRPr="004E5A6E">
              <w:rPr>
                <w:webHidden/>
                <w:lang w:val="sq-AL"/>
              </w:rPr>
              <w:fldChar w:fldCharType="separate"/>
            </w:r>
            <w:r w:rsidR="00EF7F7F" w:rsidRPr="004E5A6E">
              <w:rPr>
                <w:webHidden/>
                <w:lang w:val="sq-AL"/>
              </w:rPr>
              <w:t>38</w:t>
            </w:r>
            <w:r w:rsidR="00EF7F7F" w:rsidRPr="004E5A6E">
              <w:rPr>
                <w:webHidden/>
                <w:lang w:val="sq-AL"/>
              </w:rPr>
              <w:fldChar w:fldCharType="end"/>
            </w:r>
          </w:hyperlink>
        </w:p>
        <w:p w14:paraId="06944CF9" w14:textId="77777777" w:rsidR="00EF7F7F" w:rsidRPr="004E5A6E" w:rsidRDefault="00713DEA">
          <w:pPr>
            <w:pStyle w:val="TOC1"/>
            <w:rPr>
              <w:rFonts w:asciiTheme="minorHAnsi" w:eastAsiaTheme="minorEastAsia" w:hAnsiTheme="minorHAnsi" w:cstheme="minorBidi"/>
              <w:bCs w:val="0"/>
              <w:smallCaps w:val="0"/>
              <w:color w:val="auto"/>
              <w:kern w:val="0"/>
              <w:sz w:val="22"/>
              <w:szCs w:val="22"/>
              <w:lang w:val="sq-AL"/>
            </w:rPr>
          </w:pPr>
          <w:hyperlink w:anchor="_Toc57720381" w:history="1">
            <w:r w:rsidR="00EF7F7F" w:rsidRPr="004E5A6E">
              <w:rPr>
                <w:rStyle w:val="Hyperlink"/>
                <w:lang w:val="sq-AL"/>
              </w:rPr>
              <w:t>2.4.</w:t>
            </w:r>
            <w:r w:rsidR="00EF7F7F" w:rsidRPr="004E5A6E">
              <w:rPr>
                <w:rFonts w:asciiTheme="minorHAnsi" w:eastAsiaTheme="minorEastAsia" w:hAnsiTheme="minorHAnsi" w:cstheme="minorBidi"/>
                <w:bCs w:val="0"/>
                <w:smallCaps w:val="0"/>
                <w:color w:val="auto"/>
                <w:kern w:val="0"/>
                <w:sz w:val="22"/>
                <w:szCs w:val="22"/>
                <w:lang w:val="sq-AL"/>
              </w:rPr>
              <w:tab/>
            </w:r>
            <w:r w:rsidR="00EF7F7F" w:rsidRPr="004E5A6E">
              <w:rPr>
                <w:rStyle w:val="Hyperlink"/>
                <w:lang w:val="sq-AL"/>
              </w:rPr>
              <w:t>Perspektiva buxhetore afatmesme</w:t>
            </w:r>
            <w:r w:rsidR="00EF7F7F" w:rsidRPr="004E5A6E">
              <w:rPr>
                <w:webHidden/>
                <w:lang w:val="sq-AL"/>
              </w:rPr>
              <w:tab/>
            </w:r>
            <w:r w:rsidR="00EF7F7F" w:rsidRPr="004E5A6E">
              <w:rPr>
                <w:webHidden/>
                <w:lang w:val="sq-AL"/>
              </w:rPr>
              <w:fldChar w:fldCharType="begin"/>
            </w:r>
            <w:r w:rsidR="00EF7F7F" w:rsidRPr="004E5A6E">
              <w:rPr>
                <w:webHidden/>
                <w:lang w:val="sq-AL"/>
              </w:rPr>
              <w:instrText xml:space="preserve"> PAGEREF _Toc57720381 \h </w:instrText>
            </w:r>
            <w:r w:rsidR="00EF7F7F" w:rsidRPr="004E5A6E">
              <w:rPr>
                <w:webHidden/>
                <w:lang w:val="sq-AL"/>
              </w:rPr>
            </w:r>
            <w:r w:rsidR="00EF7F7F" w:rsidRPr="004E5A6E">
              <w:rPr>
                <w:webHidden/>
                <w:lang w:val="sq-AL"/>
              </w:rPr>
              <w:fldChar w:fldCharType="separate"/>
            </w:r>
            <w:r w:rsidR="00EF7F7F" w:rsidRPr="004E5A6E">
              <w:rPr>
                <w:webHidden/>
                <w:lang w:val="sq-AL"/>
              </w:rPr>
              <w:t>40</w:t>
            </w:r>
            <w:r w:rsidR="00EF7F7F" w:rsidRPr="004E5A6E">
              <w:rPr>
                <w:webHidden/>
                <w:lang w:val="sq-AL"/>
              </w:rPr>
              <w:fldChar w:fldCharType="end"/>
            </w:r>
          </w:hyperlink>
        </w:p>
        <w:p w14:paraId="0259A6FB" w14:textId="77777777" w:rsidR="00EF7F7F" w:rsidRPr="004E5A6E" w:rsidRDefault="00713DEA">
          <w:pPr>
            <w:pStyle w:val="TOC1"/>
            <w:rPr>
              <w:rFonts w:asciiTheme="minorHAnsi" w:eastAsiaTheme="minorEastAsia" w:hAnsiTheme="minorHAnsi" w:cstheme="minorBidi"/>
              <w:bCs w:val="0"/>
              <w:smallCaps w:val="0"/>
              <w:color w:val="auto"/>
              <w:kern w:val="0"/>
              <w:sz w:val="22"/>
              <w:szCs w:val="22"/>
              <w:lang w:val="sq-AL"/>
            </w:rPr>
          </w:pPr>
          <w:hyperlink w:anchor="_Toc57720382" w:history="1">
            <w:r w:rsidR="00EF7F7F" w:rsidRPr="004E5A6E">
              <w:rPr>
                <w:rStyle w:val="Hyperlink"/>
                <w:lang w:val="sq-AL"/>
              </w:rPr>
              <w:t>2.4.1.</w:t>
            </w:r>
            <w:r w:rsidR="00EF7F7F" w:rsidRPr="004E5A6E">
              <w:rPr>
                <w:rFonts w:asciiTheme="minorHAnsi" w:eastAsiaTheme="minorEastAsia" w:hAnsiTheme="minorHAnsi" w:cstheme="minorBidi"/>
                <w:bCs w:val="0"/>
                <w:smallCaps w:val="0"/>
                <w:color w:val="auto"/>
                <w:kern w:val="0"/>
                <w:sz w:val="22"/>
                <w:szCs w:val="22"/>
                <w:lang w:val="sq-AL"/>
              </w:rPr>
              <w:tab/>
            </w:r>
            <w:r w:rsidR="00EF7F7F" w:rsidRPr="004E5A6E">
              <w:rPr>
                <w:rStyle w:val="Hyperlink"/>
                <w:lang w:val="sq-AL"/>
              </w:rPr>
              <w:t>Vlerësimi i ndikimit fiskal të disa reformave kryesore strukturore</w:t>
            </w:r>
            <w:r w:rsidR="00EF7F7F" w:rsidRPr="004E5A6E">
              <w:rPr>
                <w:webHidden/>
                <w:lang w:val="sq-AL"/>
              </w:rPr>
              <w:tab/>
            </w:r>
            <w:r w:rsidR="00EF7F7F" w:rsidRPr="004E5A6E">
              <w:rPr>
                <w:webHidden/>
                <w:lang w:val="sq-AL"/>
              </w:rPr>
              <w:fldChar w:fldCharType="begin"/>
            </w:r>
            <w:r w:rsidR="00EF7F7F" w:rsidRPr="004E5A6E">
              <w:rPr>
                <w:webHidden/>
                <w:lang w:val="sq-AL"/>
              </w:rPr>
              <w:instrText xml:space="preserve"> PAGEREF _Toc57720382 \h </w:instrText>
            </w:r>
            <w:r w:rsidR="00EF7F7F" w:rsidRPr="004E5A6E">
              <w:rPr>
                <w:webHidden/>
                <w:lang w:val="sq-AL"/>
              </w:rPr>
            </w:r>
            <w:r w:rsidR="00EF7F7F" w:rsidRPr="004E5A6E">
              <w:rPr>
                <w:webHidden/>
                <w:lang w:val="sq-AL"/>
              </w:rPr>
              <w:fldChar w:fldCharType="separate"/>
            </w:r>
            <w:r w:rsidR="00EF7F7F" w:rsidRPr="004E5A6E">
              <w:rPr>
                <w:webHidden/>
                <w:lang w:val="sq-AL"/>
              </w:rPr>
              <w:t>42</w:t>
            </w:r>
            <w:r w:rsidR="00EF7F7F" w:rsidRPr="004E5A6E">
              <w:rPr>
                <w:webHidden/>
                <w:lang w:val="sq-AL"/>
              </w:rPr>
              <w:fldChar w:fldCharType="end"/>
            </w:r>
          </w:hyperlink>
        </w:p>
        <w:p w14:paraId="44679957" w14:textId="77777777" w:rsidR="00EF7F7F" w:rsidRPr="004E5A6E" w:rsidRDefault="00713DEA">
          <w:pPr>
            <w:pStyle w:val="TOC1"/>
            <w:rPr>
              <w:rFonts w:asciiTheme="minorHAnsi" w:eastAsiaTheme="minorEastAsia" w:hAnsiTheme="minorHAnsi" w:cstheme="minorBidi"/>
              <w:bCs w:val="0"/>
              <w:smallCaps w:val="0"/>
              <w:color w:val="auto"/>
              <w:kern w:val="0"/>
              <w:sz w:val="22"/>
              <w:szCs w:val="22"/>
              <w:lang w:val="sq-AL"/>
            </w:rPr>
          </w:pPr>
          <w:hyperlink w:anchor="_Toc57720383" w:history="1">
            <w:r w:rsidR="00EF7F7F" w:rsidRPr="004E5A6E">
              <w:rPr>
                <w:rStyle w:val="Hyperlink"/>
                <w:lang w:val="sq-AL"/>
              </w:rPr>
              <w:t>2.5.</w:t>
            </w:r>
            <w:r w:rsidR="00EF7F7F" w:rsidRPr="004E5A6E">
              <w:rPr>
                <w:rFonts w:asciiTheme="minorHAnsi" w:eastAsiaTheme="minorEastAsia" w:hAnsiTheme="minorHAnsi" w:cstheme="minorBidi"/>
                <w:bCs w:val="0"/>
                <w:smallCaps w:val="0"/>
                <w:color w:val="auto"/>
                <w:kern w:val="0"/>
                <w:sz w:val="22"/>
                <w:szCs w:val="22"/>
                <w:lang w:val="sq-AL"/>
              </w:rPr>
              <w:tab/>
            </w:r>
            <w:r w:rsidR="00EF7F7F" w:rsidRPr="004E5A6E">
              <w:rPr>
                <w:rStyle w:val="Hyperlink"/>
                <w:lang w:val="sq-AL"/>
              </w:rPr>
              <w:t>Bilanci strukturor fiskal</w:t>
            </w:r>
            <w:r w:rsidR="00EF7F7F" w:rsidRPr="004E5A6E">
              <w:rPr>
                <w:webHidden/>
                <w:lang w:val="sq-AL"/>
              </w:rPr>
              <w:tab/>
            </w:r>
            <w:r w:rsidR="00EF7F7F" w:rsidRPr="004E5A6E">
              <w:rPr>
                <w:webHidden/>
                <w:lang w:val="sq-AL"/>
              </w:rPr>
              <w:fldChar w:fldCharType="begin"/>
            </w:r>
            <w:r w:rsidR="00EF7F7F" w:rsidRPr="004E5A6E">
              <w:rPr>
                <w:webHidden/>
                <w:lang w:val="sq-AL"/>
              </w:rPr>
              <w:instrText xml:space="preserve"> PAGEREF _Toc57720383 \h </w:instrText>
            </w:r>
            <w:r w:rsidR="00EF7F7F" w:rsidRPr="004E5A6E">
              <w:rPr>
                <w:webHidden/>
                <w:lang w:val="sq-AL"/>
              </w:rPr>
            </w:r>
            <w:r w:rsidR="00EF7F7F" w:rsidRPr="004E5A6E">
              <w:rPr>
                <w:webHidden/>
                <w:lang w:val="sq-AL"/>
              </w:rPr>
              <w:fldChar w:fldCharType="separate"/>
            </w:r>
            <w:r w:rsidR="00EF7F7F" w:rsidRPr="004E5A6E">
              <w:rPr>
                <w:webHidden/>
                <w:lang w:val="sq-AL"/>
              </w:rPr>
              <w:t>42</w:t>
            </w:r>
            <w:r w:rsidR="00EF7F7F" w:rsidRPr="004E5A6E">
              <w:rPr>
                <w:webHidden/>
                <w:lang w:val="sq-AL"/>
              </w:rPr>
              <w:fldChar w:fldCharType="end"/>
            </w:r>
          </w:hyperlink>
        </w:p>
        <w:p w14:paraId="55727440" w14:textId="77777777" w:rsidR="00EF7F7F" w:rsidRPr="004E5A6E" w:rsidRDefault="00713DEA">
          <w:pPr>
            <w:pStyle w:val="TOC1"/>
            <w:rPr>
              <w:rFonts w:asciiTheme="minorHAnsi" w:eastAsiaTheme="minorEastAsia" w:hAnsiTheme="minorHAnsi" w:cstheme="minorBidi"/>
              <w:bCs w:val="0"/>
              <w:smallCaps w:val="0"/>
              <w:color w:val="auto"/>
              <w:kern w:val="0"/>
              <w:sz w:val="22"/>
              <w:szCs w:val="22"/>
              <w:lang w:val="sq-AL"/>
            </w:rPr>
          </w:pPr>
          <w:hyperlink w:anchor="_Toc57720384" w:history="1">
            <w:r w:rsidR="00EF7F7F" w:rsidRPr="004E5A6E">
              <w:rPr>
                <w:rStyle w:val="Hyperlink"/>
                <w:lang w:val="sq-AL"/>
              </w:rPr>
              <w:t>2.6.</w:t>
            </w:r>
            <w:r w:rsidR="00EF7F7F" w:rsidRPr="004E5A6E">
              <w:rPr>
                <w:rFonts w:asciiTheme="minorHAnsi" w:eastAsiaTheme="minorEastAsia" w:hAnsiTheme="minorHAnsi" w:cstheme="minorBidi"/>
                <w:bCs w:val="0"/>
                <w:smallCaps w:val="0"/>
                <w:color w:val="auto"/>
                <w:kern w:val="0"/>
                <w:sz w:val="22"/>
                <w:szCs w:val="22"/>
                <w:lang w:val="sq-AL"/>
              </w:rPr>
              <w:tab/>
            </w:r>
            <w:r w:rsidR="00EF7F7F" w:rsidRPr="004E5A6E">
              <w:rPr>
                <w:rStyle w:val="Hyperlink"/>
                <w:lang w:val="sq-AL"/>
              </w:rPr>
              <w:t>Nivelet dhe zhvillimet e borxhit, analiza e operacioneve të mëposhtme dhe rregullimet e flukseve të stoqeve</w:t>
            </w:r>
            <w:r w:rsidR="00EF7F7F" w:rsidRPr="004E5A6E">
              <w:rPr>
                <w:webHidden/>
                <w:lang w:val="sq-AL"/>
              </w:rPr>
              <w:tab/>
            </w:r>
            <w:r w:rsidR="00EF7F7F" w:rsidRPr="004E5A6E">
              <w:rPr>
                <w:webHidden/>
                <w:lang w:val="sq-AL"/>
              </w:rPr>
              <w:fldChar w:fldCharType="begin"/>
            </w:r>
            <w:r w:rsidR="00EF7F7F" w:rsidRPr="004E5A6E">
              <w:rPr>
                <w:webHidden/>
                <w:lang w:val="sq-AL"/>
              </w:rPr>
              <w:instrText xml:space="preserve"> PAGEREF _Toc57720384 \h </w:instrText>
            </w:r>
            <w:r w:rsidR="00EF7F7F" w:rsidRPr="004E5A6E">
              <w:rPr>
                <w:webHidden/>
                <w:lang w:val="sq-AL"/>
              </w:rPr>
            </w:r>
            <w:r w:rsidR="00EF7F7F" w:rsidRPr="004E5A6E">
              <w:rPr>
                <w:webHidden/>
                <w:lang w:val="sq-AL"/>
              </w:rPr>
              <w:fldChar w:fldCharType="separate"/>
            </w:r>
            <w:r w:rsidR="00EF7F7F" w:rsidRPr="004E5A6E">
              <w:rPr>
                <w:webHidden/>
                <w:lang w:val="sq-AL"/>
              </w:rPr>
              <w:t>44</w:t>
            </w:r>
            <w:r w:rsidR="00EF7F7F" w:rsidRPr="004E5A6E">
              <w:rPr>
                <w:webHidden/>
                <w:lang w:val="sq-AL"/>
              </w:rPr>
              <w:fldChar w:fldCharType="end"/>
            </w:r>
          </w:hyperlink>
        </w:p>
        <w:p w14:paraId="22E29D55" w14:textId="77777777" w:rsidR="00EF7F7F" w:rsidRPr="004E5A6E" w:rsidRDefault="00713DEA">
          <w:pPr>
            <w:pStyle w:val="TOC1"/>
            <w:rPr>
              <w:rFonts w:asciiTheme="minorHAnsi" w:eastAsiaTheme="minorEastAsia" w:hAnsiTheme="minorHAnsi" w:cstheme="minorBidi"/>
              <w:bCs w:val="0"/>
              <w:smallCaps w:val="0"/>
              <w:color w:val="auto"/>
              <w:kern w:val="0"/>
              <w:sz w:val="22"/>
              <w:szCs w:val="22"/>
              <w:lang w:val="sq-AL"/>
            </w:rPr>
          </w:pPr>
          <w:hyperlink w:anchor="_Toc57720385" w:history="1">
            <w:r w:rsidR="00EF7F7F" w:rsidRPr="004E5A6E">
              <w:rPr>
                <w:rStyle w:val="Hyperlink"/>
                <w:lang w:val="sq-AL"/>
              </w:rPr>
              <w:t>2.7.</w:t>
            </w:r>
            <w:r w:rsidR="00EF7F7F" w:rsidRPr="004E5A6E">
              <w:rPr>
                <w:rFonts w:asciiTheme="minorHAnsi" w:eastAsiaTheme="minorEastAsia" w:hAnsiTheme="minorHAnsi" w:cstheme="minorBidi"/>
                <w:bCs w:val="0"/>
                <w:smallCaps w:val="0"/>
                <w:color w:val="auto"/>
                <w:kern w:val="0"/>
                <w:sz w:val="22"/>
                <w:szCs w:val="22"/>
                <w:lang w:val="sq-AL"/>
              </w:rPr>
              <w:tab/>
            </w:r>
            <w:r w:rsidR="00EF7F7F" w:rsidRPr="004E5A6E">
              <w:rPr>
                <w:rStyle w:val="Hyperlink"/>
                <w:lang w:val="sq-AL"/>
              </w:rPr>
              <w:t>Analiza e ndjeshmërisë dhe krahasimi me programin e mëparshëm</w:t>
            </w:r>
            <w:r w:rsidR="00EF7F7F" w:rsidRPr="004E5A6E">
              <w:rPr>
                <w:webHidden/>
                <w:lang w:val="sq-AL"/>
              </w:rPr>
              <w:tab/>
            </w:r>
            <w:r w:rsidR="00EF7F7F" w:rsidRPr="004E5A6E">
              <w:rPr>
                <w:webHidden/>
                <w:lang w:val="sq-AL"/>
              </w:rPr>
              <w:fldChar w:fldCharType="begin"/>
            </w:r>
            <w:r w:rsidR="00EF7F7F" w:rsidRPr="004E5A6E">
              <w:rPr>
                <w:webHidden/>
                <w:lang w:val="sq-AL"/>
              </w:rPr>
              <w:instrText xml:space="preserve"> PAGEREF _Toc57720385 \h </w:instrText>
            </w:r>
            <w:r w:rsidR="00EF7F7F" w:rsidRPr="004E5A6E">
              <w:rPr>
                <w:webHidden/>
                <w:lang w:val="sq-AL"/>
              </w:rPr>
            </w:r>
            <w:r w:rsidR="00EF7F7F" w:rsidRPr="004E5A6E">
              <w:rPr>
                <w:webHidden/>
                <w:lang w:val="sq-AL"/>
              </w:rPr>
              <w:fldChar w:fldCharType="separate"/>
            </w:r>
            <w:r w:rsidR="00EF7F7F" w:rsidRPr="004E5A6E">
              <w:rPr>
                <w:webHidden/>
                <w:lang w:val="sq-AL"/>
              </w:rPr>
              <w:t>46</w:t>
            </w:r>
            <w:r w:rsidR="00EF7F7F" w:rsidRPr="004E5A6E">
              <w:rPr>
                <w:webHidden/>
                <w:lang w:val="sq-AL"/>
              </w:rPr>
              <w:fldChar w:fldCharType="end"/>
            </w:r>
          </w:hyperlink>
        </w:p>
        <w:p w14:paraId="6ABA96CD" w14:textId="77777777" w:rsidR="00EF7F7F" w:rsidRPr="004E5A6E" w:rsidRDefault="00713DEA">
          <w:pPr>
            <w:pStyle w:val="TOC1"/>
            <w:rPr>
              <w:rFonts w:asciiTheme="minorHAnsi" w:eastAsiaTheme="minorEastAsia" w:hAnsiTheme="minorHAnsi" w:cstheme="minorBidi"/>
              <w:bCs w:val="0"/>
              <w:smallCaps w:val="0"/>
              <w:color w:val="auto"/>
              <w:kern w:val="0"/>
              <w:sz w:val="22"/>
              <w:szCs w:val="22"/>
              <w:lang w:val="sq-AL"/>
            </w:rPr>
          </w:pPr>
          <w:hyperlink w:anchor="_Toc57720386" w:history="1">
            <w:r w:rsidR="00EF7F7F" w:rsidRPr="004E5A6E">
              <w:rPr>
                <w:rStyle w:val="Hyperlink"/>
                <w:lang w:val="sq-AL"/>
              </w:rPr>
              <w:t>2.7.1.</w:t>
            </w:r>
            <w:r w:rsidR="00EF7F7F" w:rsidRPr="004E5A6E">
              <w:rPr>
                <w:rFonts w:asciiTheme="minorHAnsi" w:eastAsiaTheme="minorEastAsia" w:hAnsiTheme="minorHAnsi" w:cstheme="minorBidi"/>
                <w:bCs w:val="0"/>
                <w:smallCaps w:val="0"/>
                <w:color w:val="auto"/>
                <w:kern w:val="0"/>
                <w:sz w:val="22"/>
                <w:szCs w:val="22"/>
                <w:lang w:val="sq-AL"/>
              </w:rPr>
              <w:tab/>
            </w:r>
            <w:r w:rsidR="00EF7F7F" w:rsidRPr="004E5A6E">
              <w:rPr>
                <w:rStyle w:val="Hyperlink"/>
                <w:lang w:val="sq-AL"/>
              </w:rPr>
              <w:t>Krahasimi me programin e kaluar</w:t>
            </w:r>
            <w:r w:rsidR="00EF7F7F" w:rsidRPr="004E5A6E">
              <w:rPr>
                <w:webHidden/>
                <w:lang w:val="sq-AL"/>
              </w:rPr>
              <w:tab/>
            </w:r>
            <w:r w:rsidR="00EF7F7F" w:rsidRPr="004E5A6E">
              <w:rPr>
                <w:webHidden/>
                <w:lang w:val="sq-AL"/>
              </w:rPr>
              <w:fldChar w:fldCharType="begin"/>
            </w:r>
            <w:r w:rsidR="00EF7F7F" w:rsidRPr="004E5A6E">
              <w:rPr>
                <w:webHidden/>
                <w:lang w:val="sq-AL"/>
              </w:rPr>
              <w:instrText xml:space="preserve"> PAGEREF _Toc57720386 \h </w:instrText>
            </w:r>
            <w:r w:rsidR="00EF7F7F" w:rsidRPr="004E5A6E">
              <w:rPr>
                <w:webHidden/>
                <w:lang w:val="sq-AL"/>
              </w:rPr>
            </w:r>
            <w:r w:rsidR="00EF7F7F" w:rsidRPr="004E5A6E">
              <w:rPr>
                <w:webHidden/>
                <w:lang w:val="sq-AL"/>
              </w:rPr>
              <w:fldChar w:fldCharType="separate"/>
            </w:r>
            <w:r w:rsidR="00EF7F7F" w:rsidRPr="004E5A6E">
              <w:rPr>
                <w:webHidden/>
                <w:lang w:val="sq-AL"/>
              </w:rPr>
              <w:t>46</w:t>
            </w:r>
            <w:r w:rsidR="00EF7F7F" w:rsidRPr="004E5A6E">
              <w:rPr>
                <w:webHidden/>
                <w:lang w:val="sq-AL"/>
              </w:rPr>
              <w:fldChar w:fldCharType="end"/>
            </w:r>
          </w:hyperlink>
        </w:p>
        <w:p w14:paraId="133816E9" w14:textId="77777777" w:rsidR="00EF7F7F" w:rsidRPr="004E5A6E" w:rsidRDefault="00713DEA">
          <w:pPr>
            <w:pStyle w:val="TOC1"/>
            <w:rPr>
              <w:rFonts w:asciiTheme="minorHAnsi" w:eastAsiaTheme="minorEastAsia" w:hAnsiTheme="minorHAnsi" w:cstheme="minorBidi"/>
              <w:bCs w:val="0"/>
              <w:smallCaps w:val="0"/>
              <w:color w:val="auto"/>
              <w:kern w:val="0"/>
              <w:sz w:val="22"/>
              <w:szCs w:val="22"/>
              <w:lang w:val="sq-AL"/>
            </w:rPr>
          </w:pPr>
          <w:hyperlink w:anchor="_Toc57720387" w:history="1">
            <w:r w:rsidR="00EF7F7F" w:rsidRPr="004E5A6E">
              <w:rPr>
                <w:rStyle w:val="Hyperlink"/>
                <w:lang w:val="sq-AL"/>
              </w:rPr>
              <w:t>2.8.</w:t>
            </w:r>
            <w:r w:rsidR="00EF7F7F" w:rsidRPr="004E5A6E">
              <w:rPr>
                <w:rFonts w:asciiTheme="minorHAnsi" w:eastAsiaTheme="minorEastAsia" w:hAnsiTheme="minorHAnsi" w:cstheme="minorBidi"/>
                <w:bCs w:val="0"/>
                <w:smallCaps w:val="0"/>
                <w:color w:val="auto"/>
                <w:kern w:val="0"/>
                <w:sz w:val="22"/>
                <w:szCs w:val="22"/>
                <w:lang w:val="sq-AL"/>
              </w:rPr>
              <w:tab/>
            </w:r>
            <w:r w:rsidR="00EF7F7F" w:rsidRPr="004E5A6E">
              <w:rPr>
                <w:rStyle w:val="Hyperlink"/>
                <w:lang w:val="sq-AL"/>
              </w:rPr>
              <w:t>Cilësia e Financave Publike</w:t>
            </w:r>
            <w:r w:rsidR="00EF7F7F" w:rsidRPr="004E5A6E">
              <w:rPr>
                <w:webHidden/>
                <w:lang w:val="sq-AL"/>
              </w:rPr>
              <w:tab/>
            </w:r>
            <w:r w:rsidR="00EF7F7F" w:rsidRPr="004E5A6E">
              <w:rPr>
                <w:webHidden/>
                <w:lang w:val="sq-AL"/>
              </w:rPr>
              <w:fldChar w:fldCharType="begin"/>
            </w:r>
            <w:r w:rsidR="00EF7F7F" w:rsidRPr="004E5A6E">
              <w:rPr>
                <w:webHidden/>
                <w:lang w:val="sq-AL"/>
              </w:rPr>
              <w:instrText xml:space="preserve"> PAGEREF _Toc57720387 \h </w:instrText>
            </w:r>
            <w:r w:rsidR="00EF7F7F" w:rsidRPr="004E5A6E">
              <w:rPr>
                <w:webHidden/>
                <w:lang w:val="sq-AL"/>
              </w:rPr>
            </w:r>
            <w:r w:rsidR="00EF7F7F" w:rsidRPr="004E5A6E">
              <w:rPr>
                <w:webHidden/>
                <w:lang w:val="sq-AL"/>
              </w:rPr>
              <w:fldChar w:fldCharType="separate"/>
            </w:r>
            <w:r w:rsidR="00EF7F7F" w:rsidRPr="004E5A6E">
              <w:rPr>
                <w:webHidden/>
                <w:lang w:val="sq-AL"/>
              </w:rPr>
              <w:t>47</w:t>
            </w:r>
            <w:r w:rsidR="00EF7F7F" w:rsidRPr="004E5A6E">
              <w:rPr>
                <w:webHidden/>
                <w:lang w:val="sq-AL"/>
              </w:rPr>
              <w:fldChar w:fldCharType="end"/>
            </w:r>
          </w:hyperlink>
        </w:p>
        <w:p w14:paraId="69D3935A" w14:textId="77777777" w:rsidR="00EF7F7F" w:rsidRPr="004E5A6E" w:rsidRDefault="00713DEA">
          <w:pPr>
            <w:pStyle w:val="TOC1"/>
            <w:rPr>
              <w:rFonts w:asciiTheme="minorHAnsi" w:eastAsiaTheme="minorEastAsia" w:hAnsiTheme="minorHAnsi" w:cstheme="minorBidi"/>
              <w:bCs w:val="0"/>
              <w:smallCaps w:val="0"/>
              <w:color w:val="auto"/>
              <w:kern w:val="0"/>
              <w:sz w:val="22"/>
              <w:szCs w:val="22"/>
              <w:lang w:val="sq-AL"/>
            </w:rPr>
          </w:pPr>
          <w:hyperlink w:anchor="_Toc57720388" w:history="1">
            <w:r w:rsidR="00EF7F7F" w:rsidRPr="004E5A6E">
              <w:rPr>
                <w:rStyle w:val="Hyperlink"/>
                <w:lang w:val="sq-AL"/>
              </w:rPr>
              <w:t>2.9.</w:t>
            </w:r>
            <w:r w:rsidR="00EF7F7F" w:rsidRPr="004E5A6E">
              <w:rPr>
                <w:rFonts w:asciiTheme="minorHAnsi" w:eastAsiaTheme="minorEastAsia" w:hAnsiTheme="minorHAnsi" w:cstheme="minorBidi"/>
                <w:bCs w:val="0"/>
                <w:smallCaps w:val="0"/>
                <w:color w:val="auto"/>
                <w:kern w:val="0"/>
                <w:sz w:val="22"/>
                <w:szCs w:val="22"/>
                <w:lang w:val="sq-AL"/>
              </w:rPr>
              <w:tab/>
            </w:r>
            <w:r w:rsidR="00EF7F7F" w:rsidRPr="004E5A6E">
              <w:rPr>
                <w:rStyle w:val="Hyperlink"/>
                <w:lang w:val="sq-AL"/>
              </w:rPr>
              <w:t>Qeverisja fiskale dhe kornizat buxhetore</w:t>
            </w:r>
            <w:r w:rsidR="00EF7F7F" w:rsidRPr="004E5A6E">
              <w:rPr>
                <w:webHidden/>
                <w:lang w:val="sq-AL"/>
              </w:rPr>
              <w:tab/>
            </w:r>
            <w:r w:rsidR="00EF7F7F" w:rsidRPr="004E5A6E">
              <w:rPr>
                <w:webHidden/>
                <w:lang w:val="sq-AL"/>
              </w:rPr>
              <w:fldChar w:fldCharType="begin"/>
            </w:r>
            <w:r w:rsidR="00EF7F7F" w:rsidRPr="004E5A6E">
              <w:rPr>
                <w:webHidden/>
                <w:lang w:val="sq-AL"/>
              </w:rPr>
              <w:instrText xml:space="preserve"> PAGEREF _Toc57720388 \h </w:instrText>
            </w:r>
            <w:r w:rsidR="00EF7F7F" w:rsidRPr="004E5A6E">
              <w:rPr>
                <w:webHidden/>
                <w:lang w:val="sq-AL"/>
              </w:rPr>
            </w:r>
            <w:r w:rsidR="00EF7F7F" w:rsidRPr="004E5A6E">
              <w:rPr>
                <w:webHidden/>
                <w:lang w:val="sq-AL"/>
              </w:rPr>
              <w:fldChar w:fldCharType="separate"/>
            </w:r>
            <w:r w:rsidR="00EF7F7F" w:rsidRPr="004E5A6E">
              <w:rPr>
                <w:webHidden/>
                <w:lang w:val="sq-AL"/>
              </w:rPr>
              <w:t>47</w:t>
            </w:r>
            <w:r w:rsidR="00EF7F7F" w:rsidRPr="004E5A6E">
              <w:rPr>
                <w:webHidden/>
                <w:lang w:val="sq-AL"/>
              </w:rPr>
              <w:fldChar w:fldCharType="end"/>
            </w:r>
          </w:hyperlink>
        </w:p>
        <w:p w14:paraId="74C8D210" w14:textId="77777777" w:rsidR="00EF7F7F" w:rsidRPr="004E5A6E" w:rsidRDefault="00713DEA">
          <w:pPr>
            <w:pStyle w:val="TOC1"/>
            <w:rPr>
              <w:rFonts w:asciiTheme="minorHAnsi" w:eastAsiaTheme="minorEastAsia" w:hAnsiTheme="minorHAnsi" w:cstheme="minorBidi"/>
              <w:bCs w:val="0"/>
              <w:smallCaps w:val="0"/>
              <w:color w:val="auto"/>
              <w:kern w:val="0"/>
              <w:sz w:val="22"/>
              <w:szCs w:val="22"/>
              <w:lang w:val="sq-AL"/>
            </w:rPr>
          </w:pPr>
          <w:hyperlink w:anchor="_Toc57720389" w:history="1">
            <w:r w:rsidR="00EF7F7F" w:rsidRPr="004E5A6E">
              <w:rPr>
                <w:rStyle w:val="Hyperlink"/>
                <w:lang w:val="sq-AL"/>
              </w:rPr>
              <w:t>2.10.</w:t>
            </w:r>
            <w:r w:rsidR="00EF7F7F" w:rsidRPr="004E5A6E">
              <w:rPr>
                <w:rFonts w:asciiTheme="minorHAnsi" w:eastAsiaTheme="minorEastAsia" w:hAnsiTheme="minorHAnsi" w:cstheme="minorBidi"/>
                <w:bCs w:val="0"/>
                <w:smallCaps w:val="0"/>
                <w:color w:val="auto"/>
                <w:kern w:val="0"/>
                <w:sz w:val="22"/>
                <w:szCs w:val="22"/>
                <w:lang w:val="sq-AL"/>
              </w:rPr>
              <w:tab/>
            </w:r>
            <w:r w:rsidR="00EF7F7F" w:rsidRPr="004E5A6E">
              <w:rPr>
                <w:rStyle w:val="Hyperlink"/>
                <w:lang w:val="sq-AL"/>
              </w:rPr>
              <w:t>Qëndrueshmëria e Financave Publike</w:t>
            </w:r>
            <w:r w:rsidR="00EF7F7F" w:rsidRPr="004E5A6E">
              <w:rPr>
                <w:webHidden/>
                <w:lang w:val="sq-AL"/>
              </w:rPr>
              <w:tab/>
            </w:r>
            <w:r w:rsidR="00EF7F7F" w:rsidRPr="004E5A6E">
              <w:rPr>
                <w:webHidden/>
                <w:lang w:val="sq-AL"/>
              </w:rPr>
              <w:fldChar w:fldCharType="begin"/>
            </w:r>
            <w:r w:rsidR="00EF7F7F" w:rsidRPr="004E5A6E">
              <w:rPr>
                <w:webHidden/>
                <w:lang w:val="sq-AL"/>
              </w:rPr>
              <w:instrText xml:space="preserve"> PAGEREF _Toc57720389 \h </w:instrText>
            </w:r>
            <w:r w:rsidR="00EF7F7F" w:rsidRPr="004E5A6E">
              <w:rPr>
                <w:webHidden/>
                <w:lang w:val="sq-AL"/>
              </w:rPr>
            </w:r>
            <w:r w:rsidR="00EF7F7F" w:rsidRPr="004E5A6E">
              <w:rPr>
                <w:webHidden/>
                <w:lang w:val="sq-AL"/>
              </w:rPr>
              <w:fldChar w:fldCharType="separate"/>
            </w:r>
            <w:r w:rsidR="00EF7F7F" w:rsidRPr="004E5A6E">
              <w:rPr>
                <w:webHidden/>
                <w:lang w:val="sq-AL"/>
              </w:rPr>
              <w:t>47</w:t>
            </w:r>
            <w:r w:rsidR="00EF7F7F" w:rsidRPr="004E5A6E">
              <w:rPr>
                <w:webHidden/>
                <w:lang w:val="sq-AL"/>
              </w:rPr>
              <w:fldChar w:fldCharType="end"/>
            </w:r>
          </w:hyperlink>
        </w:p>
        <w:p w14:paraId="572F9F01" w14:textId="77777777" w:rsidR="00EF7F7F" w:rsidRPr="004E5A6E" w:rsidRDefault="00713DEA">
          <w:pPr>
            <w:pStyle w:val="TOC1"/>
            <w:tabs>
              <w:tab w:val="left" w:pos="960"/>
            </w:tabs>
            <w:rPr>
              <w:rFonts w:asciiTheme="minorHAnsi" w:eastAsiaTheme="minorEastAsia" w:hAnsiTheme="minorHAnsi" w:cstheme="minorBidi"/>
              <w:bCs w:val="0"/>
              <w:smallCaps w:val="0"/>
              <w:color w:val="auto"/>
              <w:kern w:val="0"/>
              <w:sz w:val="22"/>
              <w:szCs w:val="22"/>
              <w:lang w:val="sq-AL"/>
            </w:rPr>
          </w:pPr>
          <w:hyperlink w:anchor="_Toc57720390" w:history="1">
            <w:r w:rsidR="00EF7F7F" w:rsidRPr="004E5A6E">
              <w:rPr>
                <w:rStyle w:val="Hyperlink"/>
                <w:lang w:val="sq-AL"/>
              </w:rPr>
              <w:t>2.10.1.</w:t>
            </w:r>
            <w:r w:rsidR="00EF7F7F" w:rsidRPr="004E5A6E">
              <w:rPr>
                <w:rFonts w:asciiTheme="minorHAnsi" w:eastAsiaTheme="minorEastAsia" w:hAnsiTheme="minorHAnsi" w:cstheme="minorBidi"/>
                <w:bCs w:val="0"/>
                <w:smallCaps w:val="0"/>
                <w:color w:val="auto"/>
                <w:kern w:val="0"/>
                <w:sz w:val="22"/>
                <w:szCs w:val="22"/>
                <w:lang w:val="sq-AL"/>
              </w:rPr>
              <w:tab/>
            </w:r>
            <w:r w:rsidR="00EF7F7F" w:rsidRPr="004E5A6E">
              <w:rPr>
                <w:rStyle w:val="Hyperlink"/>
                <w:lang w:val="sq-AL"/>
              </w:rPr>
              <w:t>Qëndrueshmëria e borxhit</w:t>
            </w:r>
            <w:r w:rsidR="00EF7F7F" w:rsidRPr="004E5A6E">
              <w:rPr>
                <w:webHidden/>
                <w:lang w:val="sq-AL"/>
              </w:rPr>
              <w:tab/>
            </w:r>
            <w:r w:rsidR="00EF7F7F" w:rsidRPr="004E5A6E">
              <w:rPr>
                <w:webHidden/>
                <w:lang w:val="sq-AL"/>
              </w:rPr>
              <w:fldChar w:fldCharType="begin"/>
            </w:r>
            <w:r w:rsidR="00EF7F7F" w:rsidRPr="004E5A6E">
              <w:rPr>
                <w:webHidden/>
                <w:lang w:val="sq-AL"/>
              </w:rPr>
              <w:instrText xml:space="preserve"> PAGEREF _Toc57720390 \h </w:instrText>
            </w:r>
            <w:r w:rsidR="00EF7F7F" w:rsidRPr="004E5A6E">
              <w:rPr>
                <w:webHidden/>
                <w:lang w:val="sq-AL"/>
              </w:rPr>
            </w:r>
            <w:r w:rsidR="00EF7F7F" w:rsidRPr="004E5A6E">
              <w:rPr>
                <w:webHidden/>
                <w:lang w:val="sq-AL"/>
              </w:rPr>
              <w:fldChar w:fldCharType="separate"/>
            </w:r>
            <w:r w:rsidR="00EF7F7F" w:rsidRPr="004E5A6E">
              <w:rPr>
                <w:webHidden/>
                <w:lang w:val="sq-AL"/>
              </w:rPr>
              <w:t>47</w:t>
            </w:r>
            <w:r w:rsidR="00EF7F7F" w:rsidRPr="004E5A6E">
              <w:rPr>
                <w:webHidden/>
                <w:lang w:val="sq-AL"/>
              </w:rPr>
              <w:fldChar w:fldCharType="end"/>
            </w:r>
          </w:hyperlink>
        </w:p>
        <w:p w14:paraId="58F3D87B" w14:textId="77777777" w:rsidR="00EF7F7F" w:rsidRPr="004E5A6E" w:rsidRDefault="00713DEA">
          <w:pPr>
            <w:pStyle w:val="TOC1"/>
            <w:rPr>
              <w:rFonts w:asciiTheme="minorHAnsi" w:eastAsiaTheme="minorEastAsia" w:hAnsiTheme="minorHAnsi" w:cstheme="minorBidi"/>
              <w:bCs w:val="0"/>
              <w:smallCaps w:val="0"/>
              <w:color w:val="auto"/>
              <w:kern w:val="0"/>
              <w:sz w:val="22"/>
              <w:szCs w:val="22"/>
              <w:lang w:val="sq-AL"/>
            </w:rPr>
          </w:pPr>
          <w:hyperlink w:anchor="_Toc57720391" w:history="1">
            <w:r w:rsidR="00EF7F7F" w:rsidRPr="004E5A6E">
              <w:rPr>
                <w:rStyle w:val="Hyperlink"/>
                <w:lang w:val="sq-AL"/>
              </w:rPr>
              <w:t>SHTOJCA 1</w:t>
            </w:r>
            <w:r w:rsidR="00EF7F7F" w:rsidRPr="004E5A6E">
              <w:rPr>
                <w:webHidden/>
                <w:lang w:val="sq-AL"/>
              </w:rPr>
              <w:tab/>
            </w:r>
            <w:r w:rsidR="00EF7F7F" w:rsidRPr="004E5A6E">
              <w:rPr>
                <w:webHidden/>
                <w:lang w:val="sq-AL"/>
              </w:rPr>
              <w:fldChar w:fldCharType="begin"/>
            </w:r>
            <w:r w:rsidR="00EF7F7F" w:rsidRPr="004E5A6E">
              <w:rPr>
                <w:webHidden/>
                <w:lang w:val="sq-AL"/>
              </w:rPr>
              <w:instrText xml:space="preserve"> PAGEREF _Toc57720391 \h </w:instrText>
            </w:r>
            <w:r w:rsidR="00EF7F7F" w:rsidRPr="004E5A6E">
              <w:rPr>
                <w:webHidden/>
                <w:lang w:val="sq-AL"/>
              </w:rPr>
            </w:r>
            <w:r w:rsidR="00EF7F7F" w:rsidRPr="004E5A6E">
              <w:rPr>
                <w:webHidden/>
                <w:lang w:val="sq-AL"/>
              </w:rPr>
              <w:fldChar w:fldCharType="separate"/>
            </w:r>
            <w:r w:rsidR="00EF7F7F" w:rsidRPr="004E5A6E">
              <w:rPr>
                <w:webHidden/>
                <w:lang w:val="sq-AL"/>
              </w:rPr>
              <w:t>49</w:t>
            </w:r>
            <w:r w:rsidR="00EF7F7F" w:rsidRPr="004E5A6E">
              <w:rPr>
                <w:webHidden/>
                <w:lang w:val="sq-AL"/>
              </w:rPr>
              <w:fldChar w:fldCharType="end"/>
            </w:r>
          </w:hyperlink>
        </w:p>
        <w:p w14:paraId="793E9648" w14:textId="76670D8C" w:rsidR="00733346" w:rsidRPr="004E5A6E" w:rsidRDefault="00733346" w:rsidP="00733346">
          <w:pPr>
            <w:spacing w:line="276" w:lineRule="auto"/>
            <w:rPr>
              <w:b/>
              <w:color w:val="auto"/>
              <w:sz w:val="32"/>
              <w:lang w:val="sq-AL"/>
            </w:rPr>
          </w:pPr>
          <w:r w:rsidRPr="004E5A6E">
            <w:rPr>
              <w:bCs/>
              <w:color w:val="auto"/>
              <w:lang w:val="sq-AL"/>
            </w:rPr>
            <w:fldChar w:fldCharType="end"/>
          </w:r>
        </w:p>
      </w:sdtContent>
    </w:sdt>
    <w:p w14:paraId="5AFC2B00" w14:textId="77777777" w:rsidR="00713DEA" w:rsidRDefault="00713DEA" w:rsidP="00733346">
      <w:pPr>
        <w:rPr>
          <w:b/>
          <w:color w:val="auto"/>
          <w:szCs w:val="20"/>
          <w:lang w:val="sq-AL" w:eastAsia="ja-JP"/>
        </w:rPr>
      </w:pPr>
    </w:p>
    <w:p w14:paraId="51A7F486" w14:textId="77777777" w:rsidR="00713DEA" w:rsidRDefault="00713DEA" w:rsidP="00733346">
      <w:pPr>
        <w:rPr>
          <w:b/>
          <w:color w:val="auto"/>
          <w:szCs w:val="20"/>
          <w:lang w:val="sq-AL" w:eastAsia="ja-JP"/>
        </w:rPr>
      </w:pPr>
    </w:p>
    <w:p w14:paraId="39D93B5C" w14:textId="77777777" w:rsidR="00713DEA" w:rsidRDefault="00713DEA" w:rsidP="00733346">
      <w:pPr>
        <w:rPr>
          <w:b/>
          <w:color w:val="auto"/>
          <w:szCs w:val="20"/>
          <w:lang w:val="sq-AL" w:eastAsia="ja-JP"/>
        </w:rPr>
      </w:pPr>
    </w:p>
    <w:p w14:paraId="6A6625C9" w14:textId="77777777" w:rsidR="00713DEA" w:rsidRDefault="00713DEA" w:rsidP="00733346">
      <w:pPr>
        <w:rPr>
          <w:b/>
          <w:color w:val="auto"/>
          <w:szCs w:val="20"/>
          <w:lang w:val="sq-AL" w:eastAsia="ja-JP"/>
        </w:rPr>
      </w:pPr>
    </w:p>
    <w:p w14:paraId="27023DC0" w14:textId="77777777" w:rsidR="00713DEA" w:rsidRDefault="00713DEA" w:rsidP="00733346">
      <w:pPr>
        <w:rPr>
          <w:b/>
          <w:color w:val="auto"/>
          <w:szCs w:val="20"/>
          <w:lang w:val="sq-AL" w:eastAsia="ja-JP"/>
        </w:rPr>
      </w:pPr>
    </w:p>
    <w:p w14:paraId="44684495" w14:textId="77777777" w:rsidR="00713DEA" w:rsidRDefault="00713DEA" w:rsidP="00733346">
      <w:pPr>
        <w:rPr>
          <w:b/>
          <w:color w:val="auto"/>
          <w:szCs w:val="20"/>
          <w:lang w:val="sq-AL" w:eastAsia="ja-JP"/>
        </w:rPr>
      </w:pPr>
    </w:p>
    <w:p w14:paraId="616F70F8" w14:textId="77777777" w:rsidR="00713DEA" w:rsidRDefault="00713DEA" w:rsidP="00733346">
      <w:pPr>
        <w:rPr>
          <w:b/>
          <w:color w:val="auto"/>
          <w:szCs w:val="20"/>
          <w:lang w:val="sq-AL" w:eastAsia="ja-JP"/>
        </w:rPr>
      </w:pPr>
    </w:p>
    <w:p w14:paraId="6D7440C5" w14:textId="77777777" w:rsidR="00713DEA" w:rsidRDefault="00713DEA" w:rsidP="00733346">
      <w:pPr>
        <w:rPr>
          <w:b/>
          <w:color w:val="auto"/>
          <w:szCs w:val="20"/>
          <w:lang w:val="sq-AL" w:eastAsia="ja-JP"/>
        </w:rPr>
      </w:pPr>
    </w:p>
    <w:p w14:paraId="71184DE7" w14:textId="23E39913" w:rsidR="00733346" w:rsidRPr="004E5A6E" w:rsidRDefault="00733346" w:rsidP="00733346">
      <w:pPr>
        <w:rPr>
          <w:b/>
          <w:color w:val="auto"/>
          <w:szCs w:val="20"/>
          <w:lang w:val="sq-AL" w:eastAsia="ja-JP"/>
        </w:rPr>
      </w:pPr>
      <w:r w:rsidRPr="004E5A6E">
        <w:rPr>
          <w:b/>
          <w:color w:val="auto"/>
          <w:szCs w:val="20"/>
          <w:lang w:val="sq-AL" w:eastAsia="ja-JP"/>
        </w:rPr>
        <w:t>Lista e tabelave dhe figurave</w:t>
      </w:r>
    </w:p>
    <w:p w14:paraId="4C717999" w14:textId="77777777" w:rsidR="00733346" w:rsidRPr="004E5A6E" w:rsidRDefault="00733346" w:rsidP="00733346">
      <w:pPr>
        <w:spacing w:line="276" w:lineRule="auto"/>
        <w:ind w:firstLine="720"/>
        <w:jc w:val="both"/>
        <w:rPr>
          <w:color w:val="auto"/>
          <w:sz w:val="20"/>
          <w:szCs w:val="20"/>
          <w:lang w:val="sq-AL" w:eastAsia="ja-JP"/>
        </w:rPr>
      </w:pPr>
    </w:p>
    <w:p w14:paraId="54624630" w14:textId="77777777" w:rsidR="00FA7C77" w:rsidRPr="004E5A6E" w:rsidRDefault="00733346">
      <w:pPr>
        <w:pStyle w:val="TableofFigures"/>
        <w:tabs>
          <w:tab w:val="right" w:leader="dot" w:pos="9017"/>
        </w:tabs>
        <w:rPr>
          <w:rFonts w:eastAsiaTheme="minorEastAsia" w:cstheme="minorBidi"/>
          <w:b w:val="0"/>
          <w:bCs w:val="0"/>
          <w:noProof/>
          <w:color w:val="auto"/>
          <w:sz w:val="22"/>
          <w:szCs w:val="22"/>
          <w:lang w:val="sq-AL"/>
        </w:rPr>
      </w:pPr>
      <w:r w:rsidRPr="004E5A6E">
        <w:rPr>
          <w:rFonts w:ascii="Times New Roman" w:hAnsi="Times New Roman"/>
          <w:b w:val="0"/>
          <w:color w:val="auto"/>
          <w:lang w:val="sq-AL" w:eastAsia="ja-JP"/>
        </w:rPr>
        <w:fldChar w:fldCharType="begin"/>
      </w:r>
      <w:r w:rsidRPr="004E5A6E">
        <w:rPr>
          <w:rFonts w:ascii="Times New Roman" w:hAnsi="Times New Roman"/>
          <w:b w:val="0"/>
          <w:color w:val="auto"/>
          <w:lang w:val="sq-AL" w:eastAsia="ja-JP"/>
        </w:rPr>
        <w:instrText xml:space="preserve"> TOC \h \z \c "Figure" </w:instrText>
      </w:r>
      <w:r w:rsidRPr="004E5A6E">
        <w:rPr>
          <w:rFonts w:ascii="Times New Roman" w:hAnsi="Times New Roman"/>
          <w:b w:val="0"/>
          <w:color w:val="auto"/>
          <w:lang w:val="sq-AL" w:eastAsia="ja-JP"/>
        </w:rPr>
        <w:fldChar w:fldCharType="separate"/>
      </w:r>
      <w:hyperlink w:anchor="_Toc57722676" w:history="1">
        <w:r w:rsidR="00FA7C77" w:rsidRPr="004E5A6E">
          <w:rPr>
            <w:rStyle w:val="Hyperlink"/>
            <w:rFonts w:ascii="Times New Roman" w:hAnsi="Times New Roman"/>
            <w:noProof/>
            <w:lang w:val="sq-AL"/>
          </w:rPr>
          <w:t>Figura 1 Perspektiva e rritjes së BPV-së</w:t>
        </w:r>
        <w:r w:rsidR="00FA7C77" w:rsidRPr="004E5A6E">
          <w:rPr>
            <w:noProof/>
            <w:webHidden/>
            <w:lang w:val="sq-AL"/>
          </w:rPr>
          <w:tab/>
        </w:r>
        <w:r w:rsidR="00FA7C77" w:rsidRPr="004E5A6E">
          <w:rPr>
            <w:noProof/>
            <w:webHidden/>
            <w:lang w:val="sq-AL"/>
          </w:rPr>
          <w:fldChar w:fldCharType="begin"/>
        </w:r>
        <w:r w:rsidR="00FA7C77" w:rsidRPr="004E5A6E">
          <w:rPr>
            <w:noProof/>
            <w:webHidden/>
            <w:lang w:val="sq-AL"/>
          </w:rPr>
          <w:instrText xml:space="preserve"> PAGEREF _Toc57722676 \h </w:instrText>
        </w:r>
        <w:r w:rsidR="00FA7C77" w:rsidRPr="004E5A6E">
          <w:rPr>
            <w:noProof/>
            <w:webHidden/>
            <w:lang w:val="sq-AL"/>
          </w:rPr>
        </w:r>
        <w:r w:rsidR="00FA7C77" w:rsidRPr="004E5A6E">
          <w:rPr>
            <w:noProof/>
            <w:webHidden/>
            <w:lang w:val="sq-AL"/>
          </w:rPr>
          <w:fldChar w:fldCharType="separate"/>
        </w:r>
        <w:r w:rsidR="00FA7C77" w:rsidRPr="004E5A6E">
          <w:rPr>
            <w:noProof/>
            <w:webHidden/>
            <w:lang w:val="sq-AL"/>
          </w:rPr>
          <w:t>13</w:t>
        </w:r>
        <w:r w:rsidR="00FA7C77" w:rsidRPr="004E5A6E">
          <w:rPr>
            <w:noProof/>
            <w:webHidden/>
            <w:lang w:val="sq-AL"/>
          </w:rPr>
          <w:fldChar w:fldCharType="end"/>
        </w:r>
      </w:hyperlink>
    </w:p>
    <w:p w14:paraId="592B90F4" w14:textId="77777777" w:rsidR="00FA7C77" w:rsidRPr="004E5A6E" w:rsidRDefault="00713DEA">
      <w:pPr>
        <w:pStyle w:val="TableofFigures"/>
        <w:tabs>
          <w:tab w:val="right" w:leader="dot" w:pos="9017"/>
        </w:tabs>
        <w:rPr>
          <w:rFonts w:eastAsiaTheme="minorEastAsia" w:cstheme="minorBidi"/>
          <w:b w:val="0"/>
          <w:bCs w:val="0"/>
          <w:noProof/>
          <w:color w:val="auto"/>
          <w:sz w:val="22"/>
          <w:szCs w:val="22"/>
          <w:lang w:val="sq-AL"/>
        </w:rPr>
      </w:pPr>
      <w:hyperlink w:anchor="_Toc57722677" w:history="1">
        <w:r w:rsidR="00FA7C77" w:rsidRPr="004E5A6E">
          <w:rPr>
            <w:rStyle w:val="Hyperlink"/>
            <w:rFonts w:ascii="Times New Roman" w:hAnsi="Times New Roman"/>
            <w:noProof/>
            <w:lang w:val="sq-AL"/>
          </w:rPr>
          <w:t>Figure 2 Kontributi i inflacionit të tregtueshëm dhe të patregtueshëm në inflacionin total</w:t>
        </w:r>
        <w:r w:rsidR="00FA7C77" w:rsidRPr="004E5A6E">
          <w:rPr>
            <w:noProof/>
            <w:webHidden/>
            <w:lang w:val="sq-AL"/>
          </w:rPr>
          <w:tab/>
        </w:r>
        <w:r w:rsidR="00FA7C77" w:rsidRPr="004E5A6E">
          <w:rPr>
            <w:noProof/>
            <w:webHidden/>
            <w:lang w:val="sq-AL"/>
          </w:rPr>
          <w:fldChar w:fldCharType="begin"/>
        </w:r>
        <w:r w:rsidR="00FA7C77" w:rsidRPr="004E5A6E">
          <w:rPr>
            <w:noProof/>
            <w:webHidden/>
            <w:lang w:val="sq-AL"/>
          </w:rPr>
          <w:instrText xml:space="preserve"> PAGEREF _Toc57722677 \h </w:instrText>
        </w:r>
        <w:r w:rsidR="00FA7C77" w:rsidRPr="004E5A6E">
          <w:rPr>
            <w:noProof/>
            <w:webHidden/>
            <w:lang w:val="sq-AL"/>
          </w:rPr>
        </w:r>
        <w:r w:rsidR="00FA7C77" w:rsidRPr="004E5A6E">
          <w:rPr>
            <w:noProof/>
            <w:webHidden/>
            <w:lang w:val="sq-AL"/>
          </w:rPr>
          <w:fldChar w:fldCharType="separate"/>
        </w:r>
        <w:r w:rsidR="00FA7C77" w:rsidRPr="004E5A6E">
          <w:rPr>
            <w:noProof/>
            <w:webHidden/>
            <w:lang w:val="sq-AL"/>
          </w:rPr>
          <w:t>19</w:t>
        </w:r>
        <w:r w:rsidR="00FA7C77" w:rsidRPr="004E5A6E">
          <w:rPr>
            <w:noProof/>
            <w:webHidden/>
            <w:lang w:val="sq-AL"/>
          </w:rPr>
          <w:fldChar w:fldCharType="end"/>
        </w:r>
      </w:hyperlink>
    </w:p>
    <w:p w14:paraId="7764C198" w14:textId="77777777" w:rsidR="00FA7C77" w:rsidRPr="004E5A6E" w:rsidRDefault="00713DEA">
      <w:pPr>
        <w:pStyle w:val="TableofFigures"/>
        <w:tabs>
          <w:tab w:val="right" w:leader="dot" w:pos="9017"/>
        </w:tabs>
        <w:rPr>
          <w:rFonts w:eastAsiaTheme="minorEastAsia" w:cstheme="minorBidi"/>
          <w:b w:val="0"/>
          <w:bCs w:val="0"/>
          <w:noProof/>
          <w:color w:val="auto"/>
          <w:sz w:val="22"/>
          <w:szCs w:val="22"/>
          <w:lang w:val="sq-AL"/>
        </w:rPr>
      </w:pPr>
      <w:hyperlink r:id="rId13" w:anchor="_Toc57722678" w:history="1">
        <w:r w:rsidR="00FA7C77" w:rsidRPr="004E5A6E">
          <w:rPr>
            <w:rStyle w:val="Hyperlink"/>
            <w:rFonts w:ascii="Times New Roman" w:hAnsi="Times New Roman"/>
            <w:noProof/>
            <w:lang w:val="sq-AL"/>
          </w:rPr>
          <w:t>Figura 3 Paga mesatare bruto në ATK, në Euro</w:t>
        </w:r>
        <w:r w:rsidR="00FA7C77" w:rsidRPr="004E5A6E">
          <w:rPr>
            <w:noProof/>
            <w:webHidden/>
            <w:lang w:val="sq-AL"/>
          </w:rPr>
          <w:tab/>
        </w:r>
        <w:r w:rsidR="00FA7C77" w:rsidRPr="004E5A6E">
          <w:rPr>
            <w:noProof/>
            <w:webHidden/>
            <w:lang w:val="sq-AL"/>
          </w:rPr>
          <w:fldChar w:fldCharType="begin"/>
        </w:r>
        <w:r w:rsidR="00FA7C77" w:rsidRPr="004E5A6E">
          <w:rPr>
            <w:noProof/>
            <w:webHidden/>
            <w:lang w:val="sq-AL"/>
          </w:rPr>
          <w:instrText xml:space="preserve"> PAGEREF _Toc57722678 \h </w:instrText>
        </w:r>
        <w:r w:rsidR="00FA7C77" w:rsidRPr="004E5A6E">
          <w:rPr>
            <w:noProof/>
            <w:webHidden/>
            <w:lang w:val="sq-AL"/>
          </w:rPr>
        </w:r>
        <w:r w:rsidR="00FA7C77" w:rsidRPr="004E5A6E">
          <w:rPr>
            <w:noProof/>
            <w:webHidden/>
            <w:lang w:val="sq-AL"/>
          </w:rPr>
          <w:fldChar w:fldCharType="separate"/>
        </w:r>
        <w:r w:rsidR="00FA7C77" w:rsidRPr="004E5A6E">
          <w:rPr>
            <w:noProof/>
            <w:webHidden/>
            <w:lang w:val="sq-AL"/>
          </w:rPr>
          <w:t>21</w:t>
        </w:r>
        <w:r w:rsidR="00FA7C77" w:rsidRPr="004E5A6E">
          <w:rPr>
            <w:noProof/>
            <w:webHidden/>
            <w:lang w:val="sq-AL"/>
          </w:rPr>
          <w:fldChar w:fldCharType="end"/>
        </w:r>
      </w:hyperlink>
    </w:p>
    <w:p w14:paraId="6F63E611" w14:textId="77777777" w:rsidR="00FA7C77" w:rsidRPr="004E5A6E" w:rsidRDefault="00713DEA">
      <w:pPr>
        <w:pStyle w:val="TableofFigures"/>
        <w:tabs>
          <w:tab w:val="right" w:leader="dot" w:pos="9017"/>
        </w:tabs>
        <w:rPr>
          <w:rFonts w:eastAsiaTheme="minorEastAsia" w:cstheme="minorBidi"/>
          <w:b w:val="0"/>
          <w:bCs w:val="0"/>
          <w:noProof/>
          <w:color w:val="auto"/>
          <w:sz w:val="22"/>
          <w:szCs w:val="22"/>
          <w:lang w:val="sq-AL"/>
        </w:rPr>
      </w:pPr>
      <w:hyperlink w:anchor="_Toc57722679" w:history="1">
        <w:r w:rsidR="00FA7C77" w:rsidRPr="004E5A6E">
          <w:rPr>
            <w:rStyle w:val="Hyperlink"/>
            <w:rFonts w:ascii="Times New Roman" w:hAnsi="Times New Roman"/>
            <w:noProof/>
            <w:lang w:val="sq-AL"/>
          </w:rPr>
          <w:t>Figura 4 BPV-ja reale dhe përbërësit e saj</w:t>
        </w:r>
        <w:r w:rsidR="00FA7C77" w:rsidRPr="004E5A6E">
          <w:rPr>
            <w:noProof/>
            <w:webHidden/>
            <w:lang w:val="sq-AL"/>
          </w:rPr>
          <w:tab/>
        </w:r>
        <w:r w:rsidR="00FA7C77" w:rsidRPr="004E5A6E">
          <w:rPr>
            <w:noProof/>
            <w:webHidden/>
            <w:lang w:val="sq-AL"/>
          </w:rPr>
          <w:fldChar w:fldCharType="begin"/>
        </w:r>
        <w:r w:rsidR="00FA7C77" w:rsidRPr="004E5A6E">
          <w:rPr>
            <w:noProof/>
            <w:webHidden/>
            <w:lang w:val="sq-AL"/>
          </w:rPr>
          <w:instrText xml:space="preserve"> PAGEREF _Toc57722679 \h </w:instrText>
        </w:r>
        <w:r w:rsidR="00FA7C77" w:rsidRPr="004E5A6E">
          <w:rPr>
            <w:noProof/>
            <w:webHidden/>
            <w:lang w:val="sq-AL"/>
          </w:rPr>
        </w:r>
        <w:r w:rsidR="00FA7C77" w:rsidRPr="004E5A6E">
          <w:rPr>
            <w:noProof/>
            <w:webHidden/>
            <w:lang w:val="sq-AL"/>
          </w:rPr>
          <w:fldChar w:fldCharType="separate"/>
        </w:r>
        <w:r w:rsidR="00FA7C77" w:rsidRPr="004E5A6E">
          <w:rPr>
            <w:noProof/>
            <w:webHidden/>
            <w:lang w:val="sq-AL"/>
          </w:rPr>
          <w:t>23</w:t>
        </w:r>
        <w:r w:rsidR="00FA7C77" w:rsidRPr="004E5A6E">
          <w:rPr>
            <w:noProof/>
            <w:webHidden/>
            <w:lang w:val="sq-AL"/>
          </w:rPr>
          <w:fldChar w:fldCharType="end"/>
        </w:r>
      </w:hyperlink>
    </w:p>
    <w:p w14:paraId="667E1222" w14:textId="77777777" w:rsidR="00FA7C77" w:rsidRPr="004E5A6E" w:rsidRDefault="00713DEA">
      <w:pPr>
        <w:pStyle w:val="TableofFigures"/>
        <w:tabs>
          <w:tab w:val="right" w:leader="dot" w:pos="9017"/>
        </w:tabs>
        <w:rPr>
          <w:rFonts w:eastAsiaTheme="minorEastAsia" w:cstheme="minorBidi"/>
          <w:b w:val="0"/>
          <w:bCs w:val="0"/>
          <w:noProof/>
          <w:color w:val="auto"/>
          <w:sz w:val="22"/>
          <w:szCs w:val="22"/>
          <w:lang w:val="sq-AL"/>
        </w:rPr>
      </w:pPr>
      <w:hyperlink r:id="rId14" w:anchor="_Toc57722680" w:history="1">
        <w:r w:rsidR="00FA7C77" w:rsidRPr="004E5A6E">
          <w:rPr>
            <w:rStyle w:val="Hyperlink"/>
            <w:rFonts w:ascii="Times New Roman" w:hAnsi="Times New Roman"/>
            <w:noProof/>
            <w:lang w:val="sq-AL"/>
          </w:rPr>
          <w:t>Figura 5 Indeksi Herfindahl Hierchman</w:t>
        </w:r>
        <w:r w:rsidR="00FA7C77" w:rsidRPr="004E5A6E">
          <w:rPr>
            <w:noProof/>
            <w:webHidden/>
            <w:lang w:val="sq-AL"/>
          </w:rPr>
          <w:tab/>
        </w:r>
        <w:r w:rsidR="00FA7C77" w:rsidRPr="004E5A6E">
          <w:rPr>
            <w:noProof/>
            <w:webHidden/>
            <w:lang w:val="sq-AL"/>
          </w:rPr>
          <w:fldChar w:fldCharType="begin"/>
        </w:r>
        <w:r w:rsidR="00FA7C77" w:rsidRPr="004E5A6E">
          <w:rPr>
            <w:noProof/>
            <w:webHidden/>
            <w:lang w:val="sq-AL"/>
          </w:rPr>
          <w:instrText xml:space="preserve"> PAGEREF _Toc57722680 \h </w:instrText>
        </w:r>
        <w:r w:rsidR="00FA7C77" w:rsidRPr="004E5A6E">
          <w:rPr>
            <w:noProof/>
            <w:webHidden/>
            <w:lang w:val="sq-AL"/>
          </w:rPr>
        </w:r>
        <w:r w:rsidR="00FA7C77" w:rsidRPr="004E5A6E">
          <w:rPr>
            <w:noProof/>
            <w:webHidden/>
            <w:lang w:val="sq-AL"/>
          </w:rPr>
          <w:fldChar w:fldCharType="separate"/>
        </w:r>
        <w:r w:rsidR="00FA7C77" w:rsidRPr="004E5A6E">
          <w:rPr>
            <w:noProof/>
            <w:webHidden/>
            <w:lang w:val="sq-AL"/>
          </w:rPr>
          <w:t>25</w:t>
        </w:r>
        <w:r w:rsidR="00FA7C77" w:rsidRPr="004E5A6E">
          <w:rPr>
            <w:noProof/>
            <w:webHidden/>
            <w:lang w:val="sq-AL"/>
          </w:rPr>
          <w:fldChar w:fldCharType="end"/>
        </w:r>
      </w:hyperlink>
    </w:p>
    <w:p w14:paraId="0D8A9B37" w14:textId="22565AC9" w:rsidR="00FA7C77" w:rsidRPr="004E5A6E" w:rsidRDefault="00713DEA">
      <w:pPr>
        <w:pStyle w:val="TableofFigures"/>
        <w:tabs>
          <w:tab w:val="right" w:leader="dot" w:pos="9017"/>
        </w:tabs>
        <w:rPr>
          <w:rFonts w:eastAsiaTheme="minorEastAsia" w:cstheme="minorBidi"/>
          <w:b w:val="0"/>
          <w:bCs w:val="0"/>
          <w:noProof/>
          <w:color w:val="auto"/>
          <w:sz w:val="22"/>
          <w:szCs w:val="22"/>
          <w:lang w:val="sq-AL"/>
        </w:rPr>
      </w:pPr>
      <w:hyperlink w:anchor="_Toc57722681" w:history="1">
        <w:r w:rsidR="00FA7C77" w:rsidRPr="004E5A6E">
          <w:rPr>
            <w:rStyle w:val="Hyperlink"/>
            <w:rFonts w:ascii="Times New Roman" w:hAnsi="Times New Roman"/>
            <w:noProof/>
            <w:lang w:val="sq-AL"/>
          </w:rPr>
          <w:t>Figura 6 Indeksi i hapjes së tregtisë</w:t>
        </w:r>
        <w:r w:rsidR="00FA7C77" w:rsidRPr="004E5A6E">
          <w:rPr>
            <w:noProof/>
            <w:webHidden/>
            <w:lang w:val="sq-AL"/>
          </w:rPr>
          <w:tab/>
        </w:r>
        <w:r w:rsidR="00FA7C77" w:rsidRPr="004E5A6E">
          <w:rPr>
            <w:noProof/>
            <w:webHidden/>
            <w:lang w:val="sq-AL"/>
          </w:rPr>
          <w:fldChar w:fldCharType="begin"/>
        </w:r>
        <w:r w:rsidR="00FA7C77" w:rsidRPr="004E5A6E">
          <w:rPr>
            <w:noProof/>
            <w:webHidden/>
            <w:lang w:val="sq-AL"/>
          </w:rPr>
          <w:instrText xml:space="preserve"> PAGEREF _Toc57722681 \h </w:instrText>
        </w:r>
        <w:r w:rsidR="00FA7C77" w:rsidRPr="004E5A6E">
          <w:rPr>
            <w:noProof/>
            <w:webHidden/>
            <w:lang w:val="sq-AL"/>
          </w:rPr>
        </w:r>
        <w:r w:rsidR="00FA7C77" w:rsidRPr="004E5A6E">
          <w:rPr>
            <w:noProof/>
            <w:webHidden/>
            <w:lang w:val="sq-AL"/>
          </w:rPr>
          <w:fldChar w:fldCharType="separate"/>
        </w:r>
        <w:r w:rsidR="00FA7C77" w:rsidRPr="004E5A6E">
          <w:rPr>
            <w:noProof/>
            <w:webHidden/>
            <w:lang w:val="sq-AL"/>
          </w:rPr>
          <w:t>27</w:t>
        </w:r>
        <w:r w:rsidR="00FA7C77" w:rsidRPr="004E5A6E">
          <w:rPr>
            <w:noProof/>
            <w:webHidden/>
            <w:lang w:val="sq-AL"/>
          </w:rPr>
          <w:fldChar w:fldCharType="end"/>
        </w:r>
      </w:hyperlink>
    </w:p>
    <w:p w14:paraId="19713FEF" w14:textId="77777777" w:rsidR="00FA7C77" w:rsidRPr="004E5A6E" w:rsidRDefault="00713DEA">
      <w:pPr>
        <w:pStyle w:val="TableofFigures"/>
        <w:tabs>
          <w:tab w:val="right" w:leader="dot" w:pos="9017"/>
        </w:tabs>
        <w:rPr>
          <w:rFonts w:eastAsiaTheme="minorEastAsia" w:cstheme="minorBidi"/>
          <w:b w:val="0"/>
          <w:bCs w:val="0"/>
          <w:noProof/>
          <w:color w:val="auto"/>
          <w:sz w:val="22"/>
          <w:szCs w:val="22"/>
          <w:lang w:val="sq-AL"/>
        </w:rPr>
      </w:pPr>
      <w:hyperlink r:id="rId15" w:anchor="_Toc57722682" w:history="1">
        <w:r w:rsidR="00FA7C77" w:rsidRPr="004E5A6E">
          <w:rPr>
            <w:rStyle w:val="Hyperlink"/>
            <w:rFonts w:ascii="Times New Roman" w:hAnsi="Times New Roman"/>
            <w:noProof/>
            <w:lang w:val="sq-AL"/>
          </w:rPr>
          <w:t>Figura 7 Përbërësit e llogarisë financiare</w:t>
        </w:r>
        <w:r w:rsidR="00FA7C77" w:rsidRPr="004E5A6E">
          <w:rPr>
            <w:noProof/>
            <w:webHidden/>
            <w:lang w:val="sq-AL"/>
          </w:rPr>
          <w:tab/>
        </w:r>
        <w:r w:rsidR="00FA7C77" w:rsidRPr="004E5A6E">
          <w:rPr>
            <w:noProof/>
            <w:webHidden/>
            <w:lang w:val="sq-AL"/>
          </w:rPr>
          <w:fldChar w:fldCharType="begin"/>
        </w:r>
        <w:r w:rsidR="00FA7C77" w:rsidRPr="004E5A6E">
          <w:rPr>
            <w:noProof/>
            <w:webHidden/>
            <w:lang w:val="sq-AL"/>
          </w:rPr>
          <w:instrText xml:space="preserve"> PAGEREF _Toc57722682 \h </w:instrText>
        </w:r>
        <w:r w:rsidR="00FA7C77" w:rsidRPr="004E5A6E">
          <w:rPr>
            <w:noProof/>
            <w:webHidden/>
            <w:lang w:val="sq-AL"/>
          </w:rPr>
        </w:r>
        <w:r w:rsidR="00FA7C77" w:rsidRPr="004E5A6E">
          <w:rPr>
            <w:noProof/>
            <w:webHidden/>
            <w:lang w:val="sq-AL"/>
          </w:rPr>
          <w:fldChar w:fldCharType="separate"/>
        </w:r>
        <w:r w:rsidR="00FA7C77" w:rsidRPr="004E5A6E">
          <w:rPr>
            <w:noProof/>
            <w:webHidden/>
            <w:lang w:val="sq-AL"/>
          </w:rPr>
          <w:t>28</w:t>
        </w:r>
        <w:r w:rsidR="00FA7C77" w:rsidRPr="004E5A6E">
          <w:rPr>
            <w:noProof/>
            <w:webHidden/>
            <w:lang w:val="sq-AL"/>
          </w:rPr>
          <w:fldChar w:fldCharType="end"/>
        </w:r>
      </w:hyperlink>
    </w:p>
    <w:p w14:paraId="28AE7B15" w14:textId="77777777" w:rsidR="00FA7C77" w:rsidRPr="004E5A6E" w:rsidRDefault="00713DEA">
      <w:pPr>
        <w:pStyle w:val="TableofFigures"/>
        <w:tabs>
          <w:tab w:val="right" w:leader="dot" w:pos="9017"/>
        </w:tabs>
        <w:rPr>
          <w:rFonts w:eastAsiaTheme="minorEastAsia" w:cstheme="minorBidi"/>
          <w:b w:val="0"/>
          <w:bCs w:val="0"/>
          <w:noProof/>
          <w:color w:val="auto"/>
          <w:sz w:val="22"/>
          <w:szCs w:val="22"/>
          <w:lang w:val="sq-AL"/>
        </w:rPr>
      </w:pPr>
      <w:hyperlink r:id="rId16" w:anchor="_Toc57722683" w:history="1">
        <w:r w:rsidR="00FA7C77" w:rsidRPr="004E5A6E">
          <w:rPr>
            <w:rStyle w:val="Hyperlink"/>
            <w:rFonts w:ascii="Times New Roman" w:hAnsi="Times New Roman"/>
            <w:noProof/>
            <w:lang w:val="sq-AL"/>
          </w:rPr>
          <w:t>Figura 8 Pozicioni neto i investimeve ndërkombëtare</w:t>
        </w:r>
        <w:r w:rsidR="00FA7C77" w:rsidRPr="004E5A6E">
          <w:rPr>
            <w:noProof/>
            <w:webHidden/>
            <w:lang w:val="sq-AL"/>
          </w:rPr>
          <w:tab/>
        </w:r>
        <w:r w:rsidR="00FA7C77" w:rsidRPr="004E5A6E">
          <w:rPr>
            <w:noProof/>
            <w:webHidden/>
            <w:lang w:val="sq-AL"/>
          </w:rPr>
          <w:fldChar w:fldCharType="begin"/>
        </w:r>
        <w:r w:rsidR="00FA7C77" w:rsidRPr="004E5A6E">
          <w:rPr>
            <w:noProof/>
            <w:webHidden/>
            <w:lang w:val="sq-AL"/>
          </w:rPr>
          <w:instrText xml:space="preserve"> PAGEREF _Toc57722683 \h </w:instrText>
        </w:r>
        <w:r w:rsidR="00FA7C77" w:rsidRPr="004E5A6E">
          <w:rPr>
            <w:noProof/>
            <w:webHidden/>
            <w:lang w:val="sq-AL"/>
          </w:rPr>
        </w:r>
        <w:r w:rsidR="00FA7C77" w:rsidRPr="004E5A6E">
          <w:rPr>
            <w:noProof/>
            <w:webHidden/>
            <w:lang w:val="sq-AL"/>
          </w:rPr>
          <w:fldChar w:fldCharType="separate"/>
        </w:r>
        <w:r w:rsidR="00FA7C77" w:rsidRPr="004E5A6E">
          <w:rPr>
            <w:noProof/>
            <w:webHidden/>
            <w:lang w:val="sq-AL"/>
          </w:rPr>
          <w:t>29</w:t>
        </w:r>
        <w:r w:rsidR="00FA7C77" w:rsidRPr="004E5A6E">
          <w:rPr>
            <w:noProof/>
            <w:webHidden/>
            <w:lang w:val="sq-AL"/>
          </w:rPr>
          <w:fldChar w:fldCharType="end"/>
        </w:r>
      </w:hyperlink>
    </w:p>
    <w:p w14:paraId="48B4A481" w14:textId="77777777" w:rsidR="00FA7C77" w:rsidRPr="004E5A6E" w:rsidRDefault="00713DEA">
      <w:pPr>
        <w:pStyle w:val="TableofFigures"/>
        <w:tabs>
          <w:tab w:val="right" w:leader="dot" w:pos="9017"/>
        </w:tabs>
        <w:rPr>
          <w:rFonts w:eastAsiaTheme="minorEastAsia" w:cstheme="minorBidi"/>
          <w:b w:val="0"/>
          <w:bCs w:val="0"/>
          <w:noProof/>
          <w:color w:val="auto"/>
          <w:sz w:val="22"/>
          <w:szCs w:val="22"/>
          <w:lang w:val="sq-AL"/>
        </w:rPr>
      </w:pPr>
      <w:hyperlink w:anchor="_Toc57722684" w:history="1">
        <w:r w:rsidR="00FA7C77" w:rsidRPr="004E5A6E">
          <w:rPr>
            <w:rStyle w:val="Hyperlink"/>
            <w:rFonts w:ascii="Times New Roman" w:hAnsi="Times New Roman"/>
            <w:noProof/>
            <w:lang w:val="sq-AL"/>
          </w:rPr>
          <w:t>Figura 9. Rritja e huasë së sektorit privat</w:t>
        </w:r>
        <w:r w:rsidR="00FA7C77" w:rsidRPr="004E5A6E">
          <w:rPr>
            <w:noProof/>
            <w:webHidden/>
            <w:lang w:val="sq-AL"/>
          </w:rPr>
          <w:tab/>
        </w:r>
        <w:r w:rsidR="00FA7C77" w:rsidRPr="004E5A6E">
          <w:rPr>
            <w:noProof/>
            <w:webHidden/>
            <w:lang w:val="sq-AL"/>
          </w:rPr>
          <w:fldChar w:fldCharType="begin"/>
        </w:r>
        <w:r w:rsidR="00FA7C77" w:rsidRPr="004E5A6E">
          <w:rPr>
            <w:noProof/>
            <w:webHidden/>
            <w:lang w:val="sq-AL"/>
          </w:rPr>
          <w:instrText xml:space="preserve"> PAGEREF _Toc57722684 \h </w:instrText>
        </w:r>
        <w:r w:rsidR="00FA7C77" w:rsidRPr="004E5A6E">
          <w:rPr>
            <w:noProof/>
            <w:webHidden/>
            <w:lang w:val="sq-AL"/>
          </w:rPr>
        </w:r>
        <w:r w:rsidR="00FA7C77" w:rsidRPr="004E5A6E">
          <w:rPr>
            <w:noProof/>
            <w:webHidden/>
            <w:lang w:val="sq-AL"/>
          </w:rPr>
          <w:fldChar w:fldCharType="separate"/>
        </w:r>
        <w:r w:rsidR="00FA7C77" w:rsidRPr="004E5A6E">
          <w:rPr>
            <w:noProof/>
            <w:webHidden/>
            <w:lang w:val="sq-AL"/>
          </w:rPr>
          <w:t>31</w:t>
        </w:r>
        <w:r w:rsidR="00FA7C77" w:rsidRPr="004E5A6E">
          <w:rPr>
            <w:noProof/>
            <w:webHidden/>
            <w:lang w:val="sq-AL"/>
          </w:rPr>
          <w:fldChar w:fldCharType="end"/>
        </w:r>
      </w:hyperlink>
    </w:p>
    <w:p w14:paraId="5517B477" w14:textId="77777777" w:rsidR="00FA7C77" w:rsidRPr="004E5A6E" w:rsidRDefault="00713DEA">
      <w:pPr>
        <w:pStyle w:val="TableofFigures"/>
        <w:tabs>
          <w:tab w:val="right" w:leader="dot" w:pos="9017"/>
        </w:tabs>
        <w:rPr>
          <w:rFonts w:eastAsiaTheme="minorEastAsia" w:cstheme="minorBidi"/>
          <w:b w:val="0"/>
          <w:bCs w:val="0"/>
          <w:noProof/>
          <w:color w:val="auto"/>
          <w:sz w:val="22"/>
          <w:szCs w:val="22"/>
          <w:lang w:val="sq-AL"/>
        </w:rPr>
      </w:pPr>
      <w:hyperlink w:anchor="_Toc57722685" w:history="1">
        <w:r w:rsidR="00FA7C77" w:rsidRPr="004E5A6E">
          <w:rPr>
            <w:rStyle w:val="Hyperlink"/>
            <w:noProof/>
            <w:lang w:val="sq-AL"/>
          </w:rPr>
          <w:t>Figura 10 Struktura e të hyrave</w:t>
        </w:r>
        <w:r w:rsidR="00FA7C77" w:rsidRPr="004E5A6E">
          <w:rPr>
            <w:noProof/>
            <w:webHidden/>
            <w:lang w:val="sq-AL"/>
          </w:rPr>
          <w:tab/>
        </w:r>
        <w:r w:rsidR="00FA7C77" w:rsidRPr="004E5A6E">
          <w:rPr>
            <w:noProof/>
            <w:webHidden/>
            <w:lang w:val="sq-AL"/>
          </w:rPr>
          <w:fldChar w:fldCharType="begin"/>
        </w:r>
        <w:r w:rsidR="00FA7C77" w:rsidRPr="004E5A6E">
          <w:rPr>
            <w:noProof/>
            <w:webHidden/>
            <w:lang w:val="sq-AL"/>
          </w:rPr>
          <w:instrText xml:space="preserve"> PAGEREF _Toc57722685 \h </w:instrText>
        </w:r>
        <w:r w:rsidR="00FA7C77" w:rsidRPr="004E5A6E">
          <w:rPr>
            <w:noProof/>
            <w:webHidden/>
            <w:lang w:val="sq-AL"/>
          </w:rPr>
        </w:r>
        <w:r w:rsidR="00FA7C77" w:rsidRPr="004E5A6E">
          <w:rPr>
            <w:noProof/>
            <w:webHidden/>
            <w:lang w:val="sq-AL"/>
          </w:rPr>
          <w:fldChar w:fldCharType="separate"/>
        </w:r>
        <w:r w:rsidR="00FA7C77" w:rsidRPr="004E5A6E">
          <w:rPr>
            <w:noProof/>
            <w:webHidden/>
            <w:lang w:val="sq-AL"/>
          </w:rPr>
          <w:t>40</w:t>
        </w:r>
        <w:r w:rsidR="00FA7C77" w:rsidRPr="004E5A6E">
          <w:rPr>
            <w:noProof/>
            <w:webHidden/>
            <w:lang w:val="sq-AL"/>
          </w:rPr>
          <w:fldChar w:fldCharType="end"/>
        </w:r>
      </w:hyperlink>
    </w:p>
    <w:p w14:paraId="09731DA3" w14:textId="77777777" w:rsidR="00FA7C77" w:rsidRPr="004E5A6E" w:rsidRDefault="00713DEA">
      <w:pPr>
        <w:pStyle w:val="TableofFigures"/>
        <w:tabs>
          <w:tab w:val="right" w:leader="dot" w:pos="9017"/>
        </w:tabs>
        <w:rPr>
          <w:rFonts w:eastAsiaTheme="minorEastAsia" w:cstheme="minorBidi"/>
          <w:b w:val="0"/>
          <w:bCs w:val="0"/>
          <w:noProof/>
          <w:color w:val="auto"/>
          <w:sz w:val="22"/>
          <w:szCs w:val="22"/>
          <w:lang w:val="sq-AL"/>
        </w:rPr>
      </w:pPr>
      <w:hyperlink r:id="rId17" w:anchor="_Toc57722686" w:history="1">
        <w:r w:rsidR="00FA7C77" w:rsidRPr="004E5A6E">
          <w:rPr>
            <w:rStyle w:val="Hyperlink"/>
            <w:rFonts w:ascii="Times New Roman" w:hAnsi="Times New Roman"/>
            <w:noProof/>
            <w:lang w:val="sq-AL"/>
          </w:rPr>
          <w:t>Figure 11 Struktura e shpenzimeve buxhetore</w:t>
        </w:r>
        <w:r w:rsidR="00FA7C77" w:rsidRPr="004E5A6E">
          <w:rPr>
            <w:noProof/>
            <w:webHidden/>
            <w:lang w:val="sq-AL"/>
          </w:rPr>
          <w:tab/>
        </w:r>
        <w:r w:rsidR="00FA7C77" w:rsidRPr="004E5A6E">
          <w:rPr>
            <w:noProof/>
            <w:webHidden/>
            <w:lang w:val="sq-AL"/>
          </w:rPr>
          <w:fldChar w:fldCharType="begin"/>
        </w:r>
        <w:r w:rsidR="00FA7C77" w:rsidRPr="004E5A6E">
          <w:rPr>
            <w:noProof/>
            <w:webHidden/>
            <w:lang w:val="sq-AL"/>
          </w:rPr>
          <w:instrText xml:space="preserve"> PAGEREF _Toc57722686 \h </w:instrText>
        </w:r>
        <w:r w:rsidR="00FA7C77" w:rsidRPr="004E5A6E">
          <w:rPr>
            <w:noProof/>
            <w:webHidden/>
            <w:lang w:val="sq-AL"/>
          </w:rPr>
        </w:r>
        <w:r w:rsidR="00FA7C77" w:rsidRPr="004E5A6E">
          <w:rPr>
            <w:noProof/>
            <w:webHidden/>
            <w:lang w:val="sq-AL"/>
          </w:rPr>
          <w:fldChar w:fldCharType="separate"/>
        </w:r>
        <w:r w:rsidR="00FA7C77" w:rsidRPr="004E5A6E">
          <w:rPr>
            <w:noProof/>
            <w:webHidden/>
            <w:lang w:val="sq-AL"/>
          </w:rPr>
          <w:t>41</w:t>
        </w:r>
        <w:r w:rsidR="00FA7C77" w:rsidRPr="004E5A6E">
          <w:rPr>
            <w:noProof/>
            <w:webHidden/>
            <w:lang w:val="sq-AL"/>
          </w:rPr>
          <w:fldChar w:fldCharType="end"/>
        </w:r>
      </w:hyperlink>
    </w:p>
    <w:p w14:paraId="2044B8FA" w14:textId="77777777" w:rsidR="00FA7C77" w:rsidRPr="004E5A6E" w:rsidRDefault="00713DEA">
      <w:pPr>
        <w:pStyle w:val="TableofFigures"/>
        <w:tabs>
          <w:tab w:val="right" w:leader="dot" w:pos="9017"/>
        </w:tabs>
        <w:rPr>
          <w:rFonts w:eastAsiaTheme="minorEastAsia" w:cstheme="minorBidi"/>
          <w:b w:val="0"/>
          <w:bCs w:val="0"/>
          <w:noProof/>
          <w:color w:val="auto"/>
          <w:sz w:val="22"/>
          <w:szCs w:val="22"/>
          <w:lang w:val="sq-AL"/>
        </w:rPr>
      </w:pPr>
      <w:hyperlink w:anchor="_Toc57722687" w:history="1">
        <w:r w:rsidR="00FA7C77" w:rsidRPr="004E5A6E">
          <w:rPr>
            <w:rStyle w:val="Hyperlink"/>
            <w:rFonts w:ascii="Times New Roman" w:hAnsi="Times New Roman"/>
            <w:noProof/>
            <w:lang w:val="sq-AL"/>
          </w:rPr>
          <w:t>Figura 12 Bilanci Primar i Pa-axhustuar; Bilanci primar strukturor dhe hendeku i prodhimit (2007- 2023)</w:t>
        </w:r>
        <w:r w:rsidR="00FA7C77" w:rsidRPr="004E5A6E">
          <w:rPr>
            <w:noProof/>
            <w:webHidden/>
            <w:lang w:val="sq-AL"/>
          </w:rPr>
          <w:tab/>
        </w:r>
        <w:r w:rsidR="00FA7C77" w:rsidRPr="004E5A6E">
          <w:rPr>
            <w:noProof/>
            <w:webHidden/>
            <w:lang w:val="sq-AL"/>
          </w:rPr>
          <w:fldChar w:fldCharType="begin"/>
        </w:r>
        <w:r w:rsidR="00FA7C77" w:rsidRPr="004E5A6E">
          <w:rPr>
            <w:noProof/>
            <w:webHidden/>
            <w:lang w:val="sq-AL"/>
          </w:rPr>
          <w:instrText xml:space="preserve"> PAGEREF _Toc57722687 \h </w:instrText>
        </w:r>
        <w:r w:rsidR="00FA7C77" w:rsidRPr="004E5A6E">
          <w:rPr>
            <w:noProof/>
            <w:webHidden/>
            <w:lang w:val="sq-AL"/>
          </w:rPr>
        </w:r>
        <w:r w:rsidR="00FA7C77" w:rsidRPr="004E5A6E">
          <w:rPr>
            <w:noProof/>
            <w:webHidden/>
            <w:lang w:val="sq-AL"/>
          </w:rPr>
          <w:fldChar w:fldCharType="separate"/>
        </w:r>
        <w:r w:rsidR="00FA7C77" w:rsidRPr="004E5A6E">
          <w:rPr>
            <w:noProof/>
            <w:webHidden/>
            <w:lang w:val="sq-AL"/>
          </w:rPr>
          <w:t>43</w:t>
        </w:r>
        <w:r w:rsidR="00FA7C77" w:rsidRPr="004E5A6E">
          <w:rPr>
            <w:noProof/>
            <w:webHidden/>
            <w:lang w:val="sq-AL"/>
          </w:rPr>
          <w:fldChar w:fldCharType="end"/>
        </w:r>
      </w:hyperlink>
    </w:p>
    <w:p w14:paraId="07792298" w14:textId="77777777" w:rsidR="00FA7C77" w:rsidRPr="004E5A6E" w:rsidRDefault="00713DEA">
      <w:pPr>
        <w:pStyle w:val="TableofFigures"/>
        <w:tabs>
          <w:tab w:val="right" w:leader="dot" w:pos="9017"/>
        </w:tabs>
        <w:rPr>
          <w:rFonts w:eastAsiaTheme="minorEastAsia" w:cstheme="minorBidi"/>
          <w:b w:val="0"/>
          <w:bCs w:val="0"/>
          <w:noProof/>
          <w:color w:val="auto"/>
          <w:sz w:val="22"/>
          <w:szCs w:val="22"/>
          <w:lang w:val="sq-AL"/>
        </w:rPr>
      </w:pPr>
      <w:hyperlink w:anchor="_Toc57722688" w:history="1">
        <w:r w:rsidR="00FA7C77" w:rsidRPr="004E5A6E">
          <w:rPr>
            <w:rStyle w:val="Hyperlink"/>
            <w:rFonts w:ascii="Times New Roman" w:hAnsi="Times New Roman"/>
            <w:noProof/>
            <w:lang w:val="sq-AL"/>
          </w:rPr>
          <w:t>Figura 13 Bilanci Primar Strukturor, Pozicioni Fiskal dhe Impulsi Fiskal</w:t>
        </w:r>
        <w:r w:rsidR="00FA7C77" w:rsidRPr="004E5A6E">
          <w:rPr>
            <w:noProof/>
            <w:webHidden/>
            <w:lang w:val="sq-AL"/>
          </w:rPr>
          <w:tab/>
        </w:r>
        <w:r w:rsidR="00FA7C77" w:rsidRPr="004E5A6E">
          <w:rPr>
            <w:noProof/>
            <w:webHidden/>
            <w:lang w:val="sq-AL"/>
          </w:rPr>
          <w:fldChar w:fldCharType="begin"/>
        </w:r>
        <w:r w:rsidR="00FA7C77" w:rsidRPr="004E5A6E">
          <w:rPr>
            <w:noProof/>
            <w:webHidden/>
            <w:lang w:val="sq-AL"/>
          </w:rPr>
          <w:instrText xml:space="preserve"> PAGEREF _Toc57722688 \h </w:instrText>
        </w:r>
        <w:r w:rsidR="00FA7C77" w:rsidRPr="004E5A6E">
          <w:rPr>
            <w:noProof/>
            <w:webHidden/>
            <w:lang w:val="sq-AL"/>
          </w:rPr>
        </w:r>
        <w:r w:rsidR="00FA7C77" w:rsidRPr="004E5A6E">
          <w:rPr>
            <w:noProof/>
            <w:webHidden/>
            <w:lang w:val="sq-AL"/>
          </w:rPr>
          <w:fldChar w:fldCharType="separate"/>
        </w:r>
        <w:r w:rsidR="00FA7C77" w:rsidRPr="004E5A6E">
          <w:rPr>
            <w:noProof/>
            <w:webHidden/>
            <w:lang w:val="sq-AL"/>
          </w:rPr>
          <w:t>44</w:t>
        </w:r>
        <w:r w:rsidR="00FA7C77" w:rsidRPr="004E5A6E">
          <w:rPr>
            <w:noProof/>
            <w:webHidden/>
            <w:lang w:val="sq-AL"/>
          </w:rPr>
          <w:fldChar w:fldCharType="end"/>
        </w:r>
      </w:hyperlink>
    </w:p>
    <w:p w14:paraId="77841B31" w14:textId="77777777" w:rsidR="00733346" w:rsidRPr="004E5A6E" w:rsidRDefault="00733346" w:rsidP="00733346">
      <w:pPr>
        <w:spacing w:line="276" w:lineRule="auto"/>
        <w:jc w:val="both"/>
        <w:rPr>
          <w:color w:val="auto"/>
          <w:sz w:val="20"/>
          <w:szCs w:val="20"/>
          <w:lang w:val="sq-AL" w:eastAsia="ja-JP"/>
        </w:rPr>
      </w:pPr>
      <w:r w:rsidRPr="004E5A6E">
        <w:rPr>
          <w:color w:val="auto"/>
          <w:sz w:val="20"/>
          <w:szCs w:val="20"/>
          <w:lang w:val="sq-AL" w:eastAsia="ja-JP"/>
        </w:rPr>
        <w:fldChar w:fldCharType="end"/>
      </w:r>
    </w:p>
    <w:p w14:paraId="22140E47" w14:textId="77777777" w:rsidR="00733346" w:rsidRPr="004E5A6E" w:rsidRDefault="00733346" w:rsidP="00733346">
      <w:pPr>
        <w:spacing w:line="276" w:lineRule="auto"/>
        <w:rPr>
          <w:color w:val="auto"/>
          <w:sz w:val="20"/>
          <w:szCs w:val="20"/>
          <w:lang w:val="sq-AL" w:eastAsia="ja-JP"/>
        </w:rPr>
      </w:pPr>
    </w:p>
    <w:p w14:paraId="4AD4D0B8" w14:textId="4622AD63" w:rsidR="00733346" w:rsidRPr="004E5A6E" w:rsidRDefault="00733346" w:rsidP="00733346">
      <w:pPr>
        <w:spacing w:line="276" w:lineRule="auto"/>
        <w:rPr>
          <w:color w:val="auto"/>
          <w:sz w:val="20"/>
          <w:szCs w:val="20"/>
          <w:lang w:val="sq-AL" w:eastAsia="ja-JP"/>
        </w:rPr>
      </w:pPr>
    </w:p>
    <w:p w14:paraId="6157FE41" w14:textId="77777777" w:rsidR="00733346" w:rsidRPr="004E5A6E" w:rsidRDefault="00733346" w:rsidP="00733346">
      <w:pPr>
        <w:spacing w:line="276" w:lineRule="auto"/>
        <w:rPr>
          <w:color w:val="auto"/>
          <w:sz w:val="20"/>
          <w:szCs w:val="20"/>
          <w:lang w:val="sq-AL" w:eastAsia="ja-JP"/>
        </w:rPr>
      </w:pPr>
      <w:r w:rsidRPr="004E5A6E">
        <w:rPr>
          <w:color w:val="auto"/>
          <w:sz w:val="20"/>
          <w:szCs w:val="20"/>
          <w:lang w:val="sq-AL" w:eastAsia="ja-JP"/>
        </w:rPr>
        <w:br w:type="page"/>
      </w:r>
    </w:p>
    <w:p w14:paraId="07C1F489" w14:textId="77777777" w:rsidR="00733346" w:rsidRPr="004E5A6E" w:rsidRDefault="00733346" w:rsidP="00733346">
      <w:pPr>
        <w:spacing w:line="276" w:lineRule="auto"/>
        <w:rPr>
          <w:b/>
          <w:bCs/>
          <w:caps/>
          <w:color w:val="auto"/>
          <w:szCs w:val="28"/>
          <w:lang w:val="sq-AL"/>
        </w:rPr>
      </w:pPr>
      <w:r w:rsidRPr="004E5A6E">
        <w:rPr>
          <w:b/>
          <w:bCs/>
          <w:caps/>
          <w:color w:val="auto"/>
          <w:szCs w:val="28"/>
          <w:lang w:val="sq-AL"/>
        </w:rPr>
        <w:t xml:space="preserve">ListA E SHKURTESAVE </w:t>
      </w:r>
    </w:p>
    <w:tbl>
      <w:tblPr>
        <w:tblW w:w="5000" w:type="pct"/>
        <w:tblLook w:val="04A0" w:firstRow="1" w:lastRow="0" w:firstColumn="1" w:lastColumn="0" w:noHBand="0" w:noVBand="1"/>
      </w:tblPr>
      <w:tblGrid>
        <w:gridCol w:w="859"/>
        <w:gridCol w:w="2929"/>
        <w:gridCol w:w="2142"/>
        <w:gridCol w:w="3077"/>
      </w:tblGrid>
      <w:tr w:rsidR="00733346" w:rsidRPr="004E5A6E" w14:paraId="7E57A893" w14:textId="77777777" w:rsidTr="00D6295F">
        <w:trPr>
          <w:trHeight w:val="20"/>
        </w:trPr>
        <w:tc>
          <w:tcPr>
            <w:tcW w:w="47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6CED4FB" w14:textId="77777777" w:rsidR="00733346" w:rsidRPr="004E5A6E" w:rsidRDefault="00733346" w:rsidP="00D6295F">
            <w:pPr>
              <w:rPr>
                <w:b/>
                <w:bCs/>
                <w:color w:val="auto"/>
                <w:sz w:val="17"/>
                <w:szCs w:val="17"/>
                <w:lang w:val="sq-AL"/>
              </w:rPr>
            </w:pPr>
            <w:r w:rsidRPr="004E5A6E">
              <w:rPr>
                <w:b/>
                <w:bCs/>
                <w:color w:val="auto"/>
                <w:sz w:val="17"/>
                <w:szCs w:val="17"/>
                <w:lang w:val="sq-AL"/>
              </w:rPr>
              <w:t>ZAK</w:t>
            </w:r>
          </w:p>
        </w:tc>
        <w:tc>
          <w:tcPr>
            <w:tcW w:w="1626" w:type="pct"/>
            <w:tcBorders>
              <w:top w:val="single" w:sz="8" w:space="0" w:color="auto"/>
              <w:left w:val="nil"/>
              <w:bottom w:val="single" w:sz="8" w:space="0" w:color="auto"/>
              <w:right w:val="single" w:sz="8" w:space="0" w:color="auto"/>
            </w:tcBorders>
            <w:shd w:val="clear" w:color="auto" w:fill="auto"/>
            <w:hideMark/>
          </w:tcPr>
          <w:p w14:paraId="37CD7747" w14:textId="77777777" w:rsidR="00733346" w:rsidRPr="004E5A6E" w:rsidRDefault="00733346" w:rsidP="00D6295F">
            <w:pPr>
              <w:rPr>
                <w:color w:val="auto"/>
                <w:sz w:val="17"/>
                <w:szCs w:val="17"/>
                <w:lang w:val="sq-AL"/>
              </w:rPr>
            </w:pPr>
            <w:r w:rsidRPr="004E5A6E">
              <w:rPr>
                <w:color w:val="auto"/>
                <w:sz w:val="17"/>
                <w:szCs w:val="17"/>
                <w:lang w:val="sq-AL"/>
              </w:rPr>
              <w:t>Zgjidhja alternative e kontesteve</w:t>
            </w:r>
          </w:p>
        </w:tc>
        <w:tc>
          <w:tcPr>
            <w:tcW w:w="1189" w:type="pct"/>
            <w:tcBorders>
              <w:top w:val="single" w:sz="8" w:space="0" w:color="auto"/>
              <w:left w:val="nil"/>
              <w:bottom w:val="single" w:sz="8" w:space="0" w:color="auto"/>
              <w:right w:val="single" w:sz="8" w:space="0" w:color="auto"/>
            </w:tcBorders>
            <w:shd w:val="clear" w:color="auto" w:fill="auto"/>
            <w:vAlign w:val="center"/>
            <w:hideMark/>
          </w:tcPr>
          <w:p w14:paraId="6065AD51" w14:textId="77777777" w:rsidR="00733346" w:rsidRPr="004E5A6E" w:rsidRDefault="00733346" w:rsidP="00D6295F">
            <w:pPr>
              <w:rPr>
                <w:b/>
                <w:bCs/>
                <w:color w:val="auto"/>
                <w:sz w:val="17"/>
                <w:szCs w:val="17"/>
                <w:lang w:val="sq-AL"/>
              </w:rPr>
            </w:pPr>
            <w:r w:rsidRPr="004E5A6E">
              <w:rPr>
                <w:b/>
                <w:bCs/>
                <w:color w:val="auto"/>
                <w:sz w:val="17"/>
                <w:szCs w:val="17"/>
                <w:lang w:val="sq-AL"/>
              </w:rPr>
              <w:t>MBPZhR</w:t>
            </w:r>
          </w:p>
        </w:tc>
        <w:tc>
          <w:tcPr>
            <w:tcW w:w="1708" w:type="pct"/>
            <w:tcBorders>
              <w:top w:val="single" w:sz="8" w:space="0" w:color="auto"/>
              <w:left w:val="nil"/>
              <w:bottom w:val="single" w:sz="8" w:space="0" w:color="auto"/>
              <w:right w:val="single" w:sz="8" w:space="0" w:color="auto"/>
            </w:tcBorders>
            <w:shd w:val="clear" w:color="auto" w:fill="auto"/>
            <w:hideMark/>
          </w:tcPr>
          <w:p w14:paraId="37B6E40D" w14:textId="77777777" w:rsidR="00733346" w:rsidRPr="004E5A6E" w:rsidRDefault="00733346" w:rsidP="00D6295F">
            <w:pPr>
              <w:rPr>
                <w:color w:val="auto"/>
                <w:sz w:val="17"/>
                <w:szCs w:val="17"/>
                <w:lang w:val="sq-AL"/>
              </w:rPr>
            </w:pPr>
            <w:r w:rsidRPr="004E5A6E">
              <w:rPr>
                <w:color w:val="auto"/>
                <w:sz w:val="17"/>
                <w:szCs w:val="17"/>
                <w:lang w:val="sq-AL"/>
              </w:rPr>
              <w:t>Ministria e Bujqësisë, Pylltarisë dhe Zhvillimit Rural</w:t>
            </w:r>
          </w:p>
        </w:tc>
      </w:tr>
      <w:tr w:rsidR="00733346" w:rsidRPr="004E5A6E" w14:paraId="264FA183" w14:textId="77777777" w:rsidTr="00D6295F">
        <w:trPr>
          <w:trHeight w:val="20"/>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03EB1827" w14:textId="77777777" w:rsidR="00733346" w:rsidRPr="004E5A6E" w:rsidRDefault="00733346" w:rsidP="00D6295F">
            <w:pPr>
              <w:rPr>
                <w:b/>
                <w:bCs/>
                <w:color w:val="auto"/>
                <w:sz w:val="17"/>
                <w:szCs w:val="17"/>
                <w:lang w:val="sq-AL"/>
              </w:rPr>
            </w:pPr>
            <w:r w:rsidRPr="004E5A6E">
              <w:rPr>
                <w:b/>
                <w:bCs/>
                <w:color w:val="auto"/>
                <w:sz w:val="17"/>
                <w:szCs w:val="17"/>
                <w:lang w:val="sq-AL"/>
              </w:rPr>
              <w:t>TAP</w:t>
            </w:r>
          </w:p>
        </w:tc>
        <w:tc>
          <w:tcPr>
            <w:tcW w:w="1626" w:type="pct"/>
            <w:tcBorders>
              <w:top w:val="nil"/>
              <w:left w:val="nil"/>
              <w:bottom w:val="single" w:sz="8" w:space="0" w:color="auto"/>
              <w:right w:val="single" w:sz="8" w:space="0" w:color="auto"/>
            </w:tcBorders>
            <w:shd w:val="clear" w:color="auto" w:fill="auto"/>
            <w:hideMark/>
          </w:tcPr>
          <w:p w14:paraId="6D0A304F" w14:textId="77777777" w:rsidR="00733346" w:rsidRPr="004E5A6E" w:rsidRDefault="00733346" w:rsidP="00D6295F">
            <w:pPr>
              <w:rPr>
                <w:color w:val="auto"/>
                <w:sz w:val="17"/>
                <w:szCs w:val="17"/>
                <w:lang w:val="sq-AL"/>
              </w:rPr>
            </w:pPr>
            <w:r w:rsidRPr="004E5A6E">
              <w:rPr>
                <w:color w:val="auto"/>
                <w:sz w:val="17"/>
                <w:szCs w:val="17"/>
                <w:lang w:val="sq-AL"/>
              </w:rPr>
              <w:t>Tregu aktiv i punës</w:t>
            </w:r>
          </w:p>
        </w:tc>
        <w:tc>
          <w:tcPr>
            <w:tcW w:w="1189" w:type="pct"/>
            <w:tcBorders>
              <w:top w:val="nil"/>
              <w:left w:val="nil"/>
              <w:bottom w:val="single" w:sz="8" w:space="0" w:color="auto"/>
              <w:right w:val="single" w:sz="8" w:space="0" w:color="auto"/>
            </w:tcBorders>
            <w:shd w:val="clear" w:color="auto" w:fill="auto"/>
            <w:vAlign w:val="center"/>
            <w:hideMark/>
          </w:tcPr>
          <w:p w14:paraId="3AEC43FB" w14:textId="77777777" w:rsidR="00733346" w:rsidRPr="004E5A6E" w:rsidRDefault="00733346" w:rsidP="00D6295F">
            <w:pPr>
              <w:rPr>
                <w:b/>
                <w:bCs/>
                <w:color w:val="auto"/>
                <w:sz w:val="17"/>
                <w:szCs w:val="17"/>
                <w:lang w:val="sq-AL"/>
              </w:rPr>
            </w:pPr>
            <w:r w:rsidRPr="004E5A6E">
              <w:rPr>
                <w:b/>
                <w:bCs/>
                <w:color w:val="auto"/>
                <w:sz w:val="17"/>
                <w:szCs w:val="17"/>
                <w:lang w:val="sq-AL"/>
              </w:rPr>
              <w:t>MCC</w:t>
            </w:r>
          </w:p>
        </w:tc>
        <w:tc>
          <w:tcPr>
            <w:tcW w:w="1708" w:type="pct"/>
            <w:tcBorders>
              <w:top w:val="nil"/>
              <w:left w:val="nil"/>
              <w:bottom w:val="single" w:sz="8" w:space="0" w:color="auto"/>
              <w:right w:val="single" w:sz="8" w:space="0" w:color="auto"/>
            </w:tcBorders>
            <w:shd w:val="clear" w:color="auto" w:fill="auto"/>
            <w:hideMark/>
          </w:tcPr>
          <w:p w14:paraId="14F8C2A3" w14:textId="77777777" w:rsidR="00733346" w:rsidRPr="004E5A6E" w:rsidRDefault="00733346" w:rsidP="00D6295F">
            <w:pPr>
              <w:rPr>
                <w:color w:val="auto"/>
                <w:sz w:val="17"/>
                <w:szCs w:val="17"/>
                <w:lang w:val="sq-AL"/>
              </w:rPr>
            </w:pPr>
            <w:r w:rsidRPr="004E5A6E">
              <w:rPr>
                <w:color w:val="auto"/>
                <w:sz w:val="17"/>
                <w:szCs w:val="17"/>
                <w:lang w:val="sq-AL"/>
              </w:rPr>
              <w:t>Korporata e Sfidave të Mijëvjeçarit</w:t>
            </w:r>
          </w:p>
        </w:tc>
      </w:tr>
      <w:tr w:rsidR="00733346" w:rsidRPr="004E5A6E" w14:paraId="1C4FEF5B" w14:textId="77777777" w:rsidTr="00D6295F">
        <w:trPr>
          <w:trHeight w:val="20"/>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57F3DE34" w14:textId="77777777" w:rsidR="00733346" w:rsidRPr="004E5A6E" w:rsidRDefault="00733346" w:rsidP="00D6295F">
            <w:pPr>
              <w:rPr>
                <w:b/>
                <w:bCs/>
                <w:color w:val="auto"/>
                <w:sz w:val="17"/>
                <w:szCs w:val="17"/>
                <w:lang w:val="sq-AL"/>
              </w:rPr>
            </w:pPr>
            <w:r w:rsidRPr="004E5A6E">
              <w:rPr>
                <w:b/>
                <w:bCs/>
                <w:color w:val="auto"/>
                <w:sz w:val="17"/>
                <w:szCs w:val="17"/>
                <w:lang w:val="sq-AL"/>
              </w:rPr>
              <w:t xml:space="preserve">PBZHR </w:t>
            </w:r>
          </w:p>
        </w:tc>
        <w:tc>
          <w:tcPr>
            <w:tcW w:w="1626" w:type="pct"/>
            <w:tcBorders>
              <w:top w:val="nil"/>
              <w:left w:val="nil"/>
              <w:bottom w:val="single" w:sz="8" w:space="0" w:color="auto"/>
              <w:right w:val="single" w:sz="8" w:space="0" w:color="auto"/>
            </w:tcBorders>
            <w:shd w:val="clear" w:color="auto" w:fill="auto"/>
            <w:hideMark/>
          </w:tcPr>
          <w:p w14:paraId="41A052E6" w14:textId="77777777" w:rsidR="00733346" w:rsidRPr="004E5A6E" w:rsidRDefault="00733346" w:rsidP="00D6295F">
            <w:pPr>
              <w:rPr>
                <w:color w:val="auto"/>
                <w:sz w:val="17"/>
                <w:szCs w:val="17"/>
                <w:lang w:val="sq-AL"/>
              </w:rPr>
            </w:pPr>
            <w:r w:rsidRPr="004E5A6E">
              <w:rPr>
                <w:color w:val="auto"/>
                <w:sz w:val="17"/>
                <w:szCs w:val="17"/>
                <w:lang w:val="sq-AL"/>
              </w:rPr>
              <w:t>Programi i bujqësisë dhe zhvillimit rural</w:t>
            </w:r>
          </w:p>
        </w:tc>
        <w:tc>
          <w:tcPr>
            <w:tcW w:w="1189" w:type="pct"/>
            <w:tcBorders>
              <w:top w:val="nil"/>
              <w:left w:val="nil"/>
              <w:bottom w:val="single" w:sz="8" w:space="0" w:color="auto"/>
              <w:right w:val="single" w:sz="8" w:space="0" w:color="auto"/>
            </w:tcBorders>
            <w:shd w:val="clear" w:color="auto" w:fill="auto"/>
            <w:vAlign w:val="center"/>
            <w:hideMark/>
          </w:tcPr>
          <w:p w14:paraId="3E990B82" w14:textId="77777777" w:rsidR="00733346" w:rsidRPr="004E5A6E" w:rsidRDefault="00733346" w:rsidP="00D6295F">
            <w:pPr>
              <w:rPr>
                <w:b/>
                <w:bCs/>
                <w:color w:val="auto"/>
                <w:sz w:val="17"/>
                <w:szCs w:val="17"/>
                <w:lang w:val="sq-AL"/>
              </w:rPr>
            </w:pPr>
            <w:r w:rsidRPr="004E5A6E">
              <w:rPr>
                <w:b/>
                <w:bCs/>
                <w:color w:val="auto"/>
                <w:sz w:val="17"/>
                <w:szCs w:val="17"/>
                <w:lang w:val="sq-AL"/>
              </w:rPr>
              <w:t>MKRS</w:t>
            </w:r>
          </w:p>
        </w:tc>
        <w:tc>
          <w:tcPr>
            <w:tcW w:w="1708" w:type="pct"/>
            <w:tcBorders>
              <w:top w:val="nil"/>
              <w:left w:val="nil"/>
              <w:bottom w:val="single" w:sz="8" w:space="0" w:color="auto"/>
              <w:right w:val="single" w:sz="8" w:space="0" w:color="auto"/>
            </w:tcBorders>
            <w:shd w:val="clear" w:color="auto" w:fill="auto"/>
            <w:hideMark/>
          </w:tcPr>
          <w:p w14:paraId="105B5EC9" w14:textId="77777777" w:rsidR="00733346" w:rsidRPr="004E5A6E" w:rsidRDefault="00733346" w:rsidP="00D6295F">
            <w:pPr>
              <w:rPr>
                <w:color w:val="auto"/>
                <w:sz w:val="17"/>
                <w:szCs w:val="17"/>
                <w:lang w:val="sq-AL"/>
              </w:rPr>
            </w:pPr>
            <w:r w:rsidRPr="004E5A6E">
              <w:rPr>
                <w:color w:val="auto"/>
                <w:sz w:val="17"/>
                <w:szCs w:val="17"/>
                <w:lang w:val="sq-AL"/>
              </w:rPr>
              <w:t>Ministria e Kulturës, Rinisë dhe Sportit</w:t>
            </w:r>
          </w:p>
        </w:tc>
      </w:tr>
      <w:tr w:rsidR="00733346" w:rsidRPr="004E5A6E" w14:paraId="727E23BB" w14:textId="77777777" w:rsidTr="00D6295F">
        <w:trPr>
          <w:trHeight w:val="20"/>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419E4196" w14:textId="77777777" w:rsidR="00733346" w:rsidRPr="004E5A6E" w:rsidRDefault="00733346" w:rsidP="00D6295F">
            <w:pPr>
              <w:rPr>
                <w:b/>
                <w:bCs/>
                <w:color w:val="auto"/>
                <w:sz w:val="17"/>
                <w:szCs w:val="17"/>
                <w:lang w:val="sq-AL"/>
              </w:rPr>
            </w:pPr>
            <w:r w:rsidRPr="004E5A6E">
              <w:rPr>
                <w:b/>
                <w:bCs/>
                <w:color w:val="auto"/>
                <w:sz w:val="17"/>
                <w:szCs w:val="17"/>
                <w:lang w:val="sq-AL"/>
              </w:rPr>
              <w:t>TKB</w:t>
            </w:r>
          </w:p>
        </w:tc>
        <w:tc>
          <w:tcPr>
            <w:tcW w:w="1626" w:type="pct"/>
            <w:tcBorders>
              <w:top w:val="nil"/>
              <w:left w:val="nil"/>
              <w:bottom w:val="single" w:sz="8" w:space="0" w:color="auto"/>
              <w:right w:val="single" w:sz="8" w:space="0" w:color="auto"/>
            </w:tcBorders>
            <w:shd w:val="clear" w:color="auto" w:fill="auto"/>
            <w:hideMark/>
          </w:tcPr>
          <w:p w14:paraId="6F46F4ED" w14:textId="77777777" w:rsidR="00733346" w:rsidRPr="004E5A6E" w:rsidRDefault="00733346" w:rsidP="00D6295F">
            <w:pPr>
              <w:rPr>
                <w:color w:val="auto"/>
                <w:sz w:val="17"/>
                <w:szCs w:val="17"/>
                <w:lang w:val="sq-AL"/>
              </w:rPr>
            </w:pPr>
            <w:r w:rsidRPr="004E5A6E">
              <w:rPr>
                <w:color w:val="auto"/>
                <w:sz w:val="17"/>
                <w:szCs w:val="17"/>
                <w:lang w:val="sq-AL"/>
              </w:rPr>
              <w:t>Treguesi i klimës së biznesit</w:t>
            </w:r>
          </w:p>
        </w:tc>
        <w:tc>
          <w:tcPr>
            <w:tcW w:w="1189" w:type="pct"/>
            <w:tcBorders>
              <w:top w:val="nil"/>
              <w:left w:val="nil"/>
              <w:bottom w:val="single" w:sz="8" w:space="0" w:color="auto"/>
              <w:right w:val="single" w:sz="8" w:space="0" w:color="auto"/>
            </w:tcBorders>
            <w:shd w:val="clear" w:color="auto" w:fill="auto"/>
            <w:vAlign w:val="center"/>
            <w:hideMark/>
          </w:tcPr>
          <w:p w14:paraId="102F1559" w14:textId="77777777" w:rsidR="00733346" w:rsidRPr="004E5A6E" w:rsidRDefault="00733346" w:rsidP="00D6295F">
            <w:pPr>
              <w:rPr>
                <w:b/>
                <w:bCs/>
                <w:color w:val="auto"/>
                <w:sz w:val="17"/>
                <w:szCs w:val="17"/>
                <w:lang w:val="sq-AL"/>
              </w:rPr>
            </w:pPr>
            <w:r w:rsidRPr="004E5A6E">
              <w:rPr>
                <w:b/>
                <w:bCs/>
                <w:color w:val="auto"/>
                <w:sz w:val="17"/>
                <w:szCs w:val="17"/>
                <w:lang w:val="sq-AL"/>
              </w:rPr>
              <w:t>MZhD</w:t>
            </w:r>
          </w:p>
        </w:tc>
        <w:tc>
          <w:tcPr>
            <w:tcW w:w="1708" w:type="pct"/>
            <w:tcBorders>
              <w:top w:val="nil"/>
              <w:left w:val="nil"/>
              <w:bottom w:val="single" w:sz="8" w:space="0" w:color="auto"/>
              <w:right w:val="single" w:sz="8" w:space="0" w:color="auto"/>
            </w:tcBorders>
            <w:shd w:val="clear" w:color="auto" w:fill="auto"/>
            <w:hideMark/>
          </w:tcPr>
          <w:p w14:paraId="7952A483" w14:textId="77777777" w:rsidR="00733346" w:rsidRPr="004E5A6E" w:rsidRDefault="00733346" w:rsidP="00D6295F">
            <w:pPr>
              <w:rPr>
                <w:color w:val="auto"/>
                <w:sz w:val="17"/>
                <w:szCs w:val="17"/>
                <w:lang w:val="sq-AL"/>
              </w:rPr>
            </w:pPr>
            <w:r w:rsidRPr="004E5A6E">
              <w:rPr>
                <w:color w:val="auto"/>
                <w:sz w:val="17"/>
                <w:szCs w:val="17"/>
                <w:lang w:val="sq-AL"/>
              </w:rPr>
              <w:t>Ministria e Zhvillimit Ekonomik</w:t>
            </w:r>
          </w:p>
        </w:tc>
      </w:tr>
      <w:tr w:rsidR="00733346" w:rsidRPr="004E5A6E" w14:paraId="7D3E4250" w14:textId="77777777" w:rsidTr="00D6295F">
        <w:trPr>
          <w:trHeight w:val="20"/>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6C2DBDBC" w14:textId="77777777" w:rsidR="00733346" w:rsidRPr="004E5A6E" w:rsidRDefault="00733346" w:rsidP="00D6295F">
            <w:pPr>
              <w:rPr>
                <w:b/>
                <w:bCs/>
                <w:color w:val="auto"/>
                <w:sz w:val="17"/>
                <w:szCs w:val="17"/>
                <w:lang w:val="sq-AL"/>
              </w:rPr>
            </w:pPr>
            <w:r w:rsidRPr="004E5A6E">
              <w:rPr>
                <w:b/>
                <w:bCs/>
                <w:color w:val="auto"/>
                <w:sz w:val="17"/>
                <w:szCs w:val="17"/>
                <w:lang w:val="sq-AL"/>
              </w:rPr>
              <w:t xml:space="preserve">BEEPS </w:t>
            </w:r>
          </w:p>
        </w:tc>
        <w:tc>
          <w:tcPr>
            <w:tcW w:w="1626" w:type="pct"/>
            <w:tcBorders>
              <w:top w:val="nil"/>
              <w:left w:val="nil"/>
              <w:bottom w:val="single" w:sz="8" w:space="0" w:color="auto"/>
              <w:right w:val="single" w:sz="8" w:space="0" w:color="auto"/>
            </w:tcBorders>
            <w:shd w:val="clear" w:color="auto" w:fill="auto"/>
            <w:hideMark/>
          </w:tcPr>
          <w:p w14:paraId="31D4B86E" w14:textId="77777777" w:rsidR="00733346" w:rsidRPr="004E5A6E" w:rsidRDefault="00733346" w:rsidP="00D6295F">
            <w:pPr>
              <w:rPr>
                <w:color w:val="auto"/>
                <w:sz w:val="17"/>
                <w:szCs w:val="17"/>
                <w:lang w:val="sq-AL"/>
              </w:rPr>
            </w:pPr>
            <w:r w:rsidRPr="004E5A6E">
              <w:rPr>
                <w:color w:val="auto"/>
                <w:sz w:val="17"/>
                <w:szCs w:val="17"/>
                <w:lang w:val="sq-AL"/>
              </w:rPr>
              <w:t>Anketa e mjedisit biznesor dhe performancës së ndërmarrjeve</w:t>
            </w:r>
          </w:p>
        </w:tc>
        <w:tc>
          <w:tcPr>
            <w:tcW w:w="1189" w:type="pct"/>
            <w:tcBorders>
              <w:top w:val="nil"/>
              <w:left w:val="nil"/>
              <w:bottom w:val="single" w:sz="8" w:space="0" w:color="auto"/>
              <w:right w:val="single" w:sz="8" w:space="0" w:color="auto"/>
            </w:tcBorders>
            <w:shd w:val="clear" w:color="auto" w:fill="auto"/>
            <w:vAlign w:val="center"/>
            <w:hideMark/>
          </w:tcPr>
          <w:p w14:paraId="48B4136D" w14:textId="77777777" w:rsidR="00733346" w:rsidRPr="004E5A6E" w:rsidRDefault="00733346" w:rsidP="00D6295F">
            <w:pPr>
              <w:rPr>
                <w:b/>
                <w:bCs/>
                <w:color w:val="auto"/>
                <w:sz w:val="17"/>
                <w:szCs w:val="17"/>
                <w:lang w:val="sq-AL"/>
              </w:rPr>
            </w:pPr>
            <w:r w:rsidRPr="004E5A6E">
              <w:rPr>
                <w:b/>
                <w:bCs/>
                <w:color w:val="auto"/>
                <w:sz w:val="17"/>
                <w:szCs w:val="17"/>
                <w:lang w:val="sq-AL"/>
              </w:rPr>
              <w:t>MMPH</w:t>
            </w:r>
          </w:p>
        </w:tc>
        <w:tc>
          <w:tcPr>
            <w:tcW w:w="1708" w:type="pct"/>
            <w:tcBorders>
              <w:top w:val="nil"/>
              <w:left w:val="nil"/>
              <w:bottom w:val="single" w:sz="8" w:space="0" w:color="auto"/>
              <w:right w:val="single" w:sz="8" w:space="0" w:color="auto"/>
            </w:tcBorders>
            <w:shd w:val="clear" w:color="auto" w:fill="auto"/>
            <w:hideMark/>
          </w:tcPr>
          <w:p w14:paraId="3F5A10AB" w14:textId="77777777" w:rsidR="00733346" w:rsidRPr="004E5A6E" w:rsidRDefault="00733346" w:rsidP="00D6295F">
            <w:pPr>
              <w:rPr>
                <w:color w:val="auto"/>
                <w:sz w:val="17"/>
                <w:szCs w:val="17"/>
                <w:lang w:val="sq-AL"/>
              </w:rPr>
            </w:pPr>
            <w:r w:rsidRPr="004E5A6E">
              <w:rPr>
                <w:color w:val="auto"/>
                <w:sz w:val="17"/>
                <w:szCs w:val="17"/>
                <w:lang w:val="sq-AL"/>
              </w:rPr>
              <w:t>Ministria e Mjedisit dhe Planifikimit Hapësinor</w:t>
            </w:r>
          </w:p>
        </w:tc>
      </w:tr>
      <w:tr w:rsidR="00733346" w:rsidRPr="004E5A6E" w14:paraId="70CC6D4A" w14:textId="77777777" w:rsidTr="00D6295F">
        <w:trPr>
          <w:trHeight w:val="20"/>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5883013B" w14:textId="77777777" w:rsidR="00733346" w:rsidRPr="004E5A6E" w:rsidRDefault="00733346" w:rsidP="00D6295F">
            <w:pPr>
              <w:rPr>
                <w:b/>
                <w:bCs/>
                <w:color w:val="auto"/>
                <w:sz w:val="17"/>
                <w:szCs w:val="17"/>
                <w:lang w:val="sq-AL"/>
              </w:rPr>
            </w:pPr>
            <w:r w:rsidRPr="004E5A6E">
              <w:rPr>
                <w:b/>
                <w:bCs/>
                <w:color w:val="auto"/>
                <w:sz w:val="17"/>
                <w:szCs w:val="17"/>
                <w:lang w:val="sq-AL"/>
              </w:rPr>
              <w:t>BQK</w:t>
            </w:r>
          </w:p>
        </w:tc>
        <w:tc>
          <w:tcPr>
            <w:tcW w:w="1626" w:type="pct"/>
            <w:tcBorders>
              <w:top w:val="nil"/>
              <w:left w:val="nil"/>
              <w:bottom w:val="single" w:sz="8" w:space="0" w:color="auto"/>
              <w:right w:val="single" w:sz="8" w:space="0" w:color="auto"/>
            </w:tcBorders>
            <w:shd w:val="clear" w:color="auto" w:fill="auto"/>
            <w:hideMark/>
          </w:tcPr>
          <w:p w14:paraId="34D30C2D" w14:textId="77777777" w:rsidR="00733346" w:rsidRPr="004E5A6E" w:rsidRDefault="00733346" w:rsidP="00D6295F">
            <w:pPr>
              <w:rPr>
                <w:color w:val="auto"/>
                <w:sz w:val="17"/>
                <w:szCs w:val="17"/>
                <w:lang w:val="sq-AL"/>
              </w:rPr>
            </w:pPr>
            <w:r w:rsidRPr="004E5A6E">
              <w:rPr>
                <w:color w:val="auto"/>
                <w:sz w:val="17"/>
                <w:szCs w:val="17"/>
                <w:lang w:val="sq-AL"/>
              </w:rPr>
              <w:t>Banka Qendrore e Kosovës</w:t>
            </w:r>
          </w:p>
        </w:tc>
        <w:tc>
          <w:tcPr>
            <w:tcW w:w="1189" w:type="pct"/>
            <w:tcBorders>
              <w:top w:val="nil"/>
              <w:left w:val="nil"/>
              <w:bottom w:val="single" w:sz="8" w:space="0" w:color="auto"/>
              <w:right w:val="single" w:sz="8" w:space="0" w:color="auto"/>
            </w:tcBorders>
            <w:shd w:val="clear" w:color="auto" w:fill="auto"/>
            <w:vAlign w:val="center"/>
            <w:hideMark/>
          </w:tcPr>
          <w:p w14:paraId="1F86E8BA" w14:textId="77777777" w:rsidR="00733346" w:rsidRPr="004E5A6E" w:rsidRDefault="00733346" w:rsidP="00D6295F">
            <w:pPr>
              <w:rPr>
                <w:b/>
                <w:bCs/>
                <w:color w:val="auto"/>
                <w:sz w:val="17"/>
                <w:szCs w:val="17"/>
                <w:lang w:val="sq-AL"/>
              </w:rPr>
            </w:pPr>
            <w:r w:rsidRPr="004E5A6E">
              <w:rPr>
                <w:b/>
                <w:bCs/>
                <w:color w:val="auto"/>
                <w:sz w:val="17"/>
                <w:szCs w:val="17"/>
                <w:lang w:val="sq-AL"/>
              </w:rPr>
              <w:t>MAShT</w:t>
            </w:r>
          </w:p>
        </w:tc>
        <w:tc>
          <w:tcPr>
            <w:tcW w:w="1708" w:type="pct"/>
            <w:tcBorders>
              <w:top w:val="nil"/>
              <w:left w:val="nil"/>
              <w:bottom w:val="single" w:sz="8" w:space="0" w:color="auto"/>
              <w:right w:val="single" w:sz="8" w:space="0" w:color="auto"/>
            </w:tcBorders>
            <w:shd w:val="clear" w:color="auto" w:fill="auto"/>
            <w:hideMark/>
          </w:tcPr>
          <w:p w14:paraId="159ADAE6" w14:textId="77777777" w:rsidR="00733346" w:rsidRPr="004E5A6E" w:rsidRDefault="00733346" w:rsidP="00D6295F">
            <w:pPr>
              <w:rPr>
                <w:color w:val="auto"/>
                <w:sz w:val="17"/>
                <w:szCs w:val="17"/>
                <w:lang w:val="sq-AL"/>
              </w:rPr>
            </w:pPr>
            <w:r w:rsidRPr="004E5A6E">
              <w:rPr>
                <w:color w:val="auto"/>
                <w:sz w:val="17"/>
                <w:szCs w:val="17"/>
                <w:lang w:val="sq-AL"/>
              </w:rPr>
              <w:t>Ministria e Arsimit, Shkencës dhe Teknologjisë</w:t>
            </w:r>
          </w:p>
        </w:tc>
      </w:tr>
      <w:tr w:rsidR="00733346" w:rsidRPr="004E5A6E" w14:paraId="72916633" w14:textId="77777777" w:rsidTr="00D6295F">
        <w:trPr>
          <w:trHeight w:val="20"/>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6D899183" w14:textId="77777777" w:rsidR="00733346" w:rsidRPr="004E5A6E" w:rsidRDefault="00733346" w:rsidP="00D6295F">
            <w:pPr>
              <w:rPr>
                <w:b/>
                <w:bCs/>
                <w:color w:val="auto"/>
                <w:sz w:val="17"/>
                <w:szCs w:val="17"/>
                <w:lang w:val="sq-AL"/>
              </w:rPr>
            </w:pPr>
            <w:r w:rsidRPr="004E5A6E">
              <w:rPr>
                <w:b/>
                <w:bCs/>
                <w:color w:val="auto"/>
                <w:sz w:val="17"/>
                <w:szCs w:val="17"/>
                <w:lang w:val="sq-AL"/>
              </w:rPr>
              <w:t>CEFTA</w:t>
            </w:r>
          </w:p>
        </w:tc>
        <w:tc>
          <w:tcPr>
            <w:tcW w:w="1626" w:type="pct"/>
            <w:tcBorders>
              <w:top w:val="nil"/>
              <w:left w:val="nil"/>
              <w:bottom w:val="single" w:sz="8" w:space="0" w:color="auto"/>
              <w:right w:val="single" w:sz="8" w:space="0" w:color="auto"/>
            </w:tcBorders>
            <w:shd w:val="clear" w:color="auto" w:fill="auto"/>
            <w:hideMark/>
          </w:tcPr>
          <w:p w14:paraId="51A04281" w14:textId="77777777" w:rsidR="00733346" w:rsidRPr="004E5A6E" w:rsidRDefault="00733346" w:rsidP="00D6295F">
            <w:pPr>
              <w:rPr>
                <w:color w:val="auto"/>
                <w:sz w:val="17"/>
                <w:szCs w:val="17"/>
                <w:lang w:val="sq-AL"/>
              </w:rPr>
            </w:pPr>
            <w:r w:rsidRPr="004E5A6E">
              <w:rPr>
                <w:color w:val="auto"/>
                <w:sz w:val="17"/>
                <w:szCs w:val="17"/>
                <w:lang w:val="sq-AL"/>
              </w:rPr>
              <w:t>Marrëveshja e Tregtisë së Lirë të Evropës Qendrore</w:t>
            </w:r>
          </w:p>
        </w:tc>
        <w:tc>
          <w:tcPr>
            <w:tcW w:w="1189" w:type="pct"/>
            <w:tcBorders>
              <w:top w:val="nil"/>
              <w:left w:val="nil"/>
              <w:bottom w:val="single" w:sz="8" w:space="0" w:color="auto"/>
              <w:right w:val="single" w:sz="8" w:space="0" w:color="auto"/>
            </w:tcBorders>
            <w:shd w:val="clear" w:color="auto" w:fill="auto"/>
            <w:vAlign w:val="center"/>
            <w:hideMark/>
          </w:tcPr>
          <w:p w14:paraId="0C2428B5" w14:textId="77777777" w:rsidR="00733346" w:rsidRPr="004E5A6E" w:rsidRDefault="00733346" w:rsidP="00D6295F">
            <w:pPr>
              <w:rPr>
                <w:b/>
                <w:bCs/>
                <w:color w:val="auto"/>
                <w:sz w:val="17"/>
                <w:szCs w:val="17"/>
                <w:lang w:val="sq-AL"/>
              </w:rPr>
            </w:pPr>
            <w:r w:rsidRPr="004E5A6E">
              <w:rPr>
                <w:b/>
                <w:bCs/>
                <w:color w:val="auto"/>
                <w:sz w:val="17"/>
                <w:szCs w:val="17"/>
                <w:lang w:val="sq-AL"/>
              </w:rPr>
              <w:t>MPMS</w:t>
            </w:r>
          </w:p>
        </w:tc>
        <w:tc>
          <w:tcPr>
            <w:tcW w:w="1708" w:type="pct"/>
            <w:tcBorders>
              <w:top w:val="nil"/>
              <w:left w:val="nil"/>
              <w:bottom w:val="single" w:sz="8" w:space="0" w:color="auto"/>
              <w:right w:val="single" w:sz="8" w:space="0" w:color="auto"/>
            </w:tcBorders>
            <w:shd w:val="clear" w:color="auto" w:fill="auto"/>
            <w:hideMark/>
          </w:tcPr>
          <w:p w14:paraId="623A5310" w14:textId="77777777" w:rsidR="00733346" w:rsidRPr="004E5A6E" w:rsidRDefault="00733346" w:rsidP="00D6295F">
            <w:pPr>
              <w:rPr>
                <w:color w:val="auto"/>
                <w:sz w:val="17"/>
                <w:szCs w:val="17"/>
                <w:lang w:val="sq-AL"/>
              </w:rPr>
            </w:pPr>
            <w:r w:rsidRPr="004E5A6E">
              <w:rPr>
                <w:color w:val="auto"/>
                <w:sz w:val="17"/>
                <w:szCs w:val="17"/>
                <w:lang w:val="sq-AL"/>
              </w:rPr>
              <w:t>Ministria e Punës dhe Mirëqenies Sociale</w:t>
            </w:r>
          </w:p>
        </w:tc>
      </w:tr>
      <w:tr w:rsidR="00733346" w:rsidRPr="004E5A6E" w14:paraId="2F77102C" w14:textId="77777777" w:rsidTr="00D6295F">
        <w:trPr>
          <w:trHeight w:val="20"/>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4F0AA71D" w14:textId="77777777" w:rsidR="00733346" w:rsidRPr="004E5A6E" w:rsidRDefault="00733346" w:rsidP="00D6295F">
            <w:pPr>
              <w:rPr>
                <w:b/>
                <w:bCs/>
                <w:color w:val="auto"/>
                <w:sz w:val="17"/>
                <w:szCs w:val="17"/>
                <w:lang w:val="sq-AL"/>
              </w:rPr>
            </w:pPr>
            <w:r w:rsidRPr="004E5A6E">
              <w:rPr>
                <w:b/>
                <w:bCs/>
                <w:color w:val="auto"/>
                <w:sz w:val="17"/>
                <w:szCs w:val="17"/>
                <w:lang w:val="sq-AL"/>
              </w:rPr>
              <w:t>CMIS</w:t>
            </w:r>
          </w:p>
        </w:tc>
        <w:tc>
          <w:tcPr>
            <w:tcW w:w="1626" w:type="pct"/>
            <w:tcBorders>
              <w:top w:val="nil"/>
              <w:left w:val="nil"/>
              <w:bottom w:val="single" w:sz="8" w:space="0" w:color="auto"/>
              <w:right w:val="single" w:sz="8" w:space="0" w:color="auto"/>
            </w:tcBorders>
            <w:shd w:val="clear" w:color="auto" w:fill="auto"/>
            <w:hideMark/>
          </w:tcPr>
          <w:p w14:paraId="66B9F5A6" w14:textId="77777777" w:rsidR="00733346" w:rsidRPr="004E5A6E" w:rsidRDefault="00733346" w:rsidP="00D6295F">
            <w:pPr>
              <w:rPr>
                <w:color w:val="auto"/>
                <w:sz w:val="17"/>
                <w:szCs w:val="17"/>
                <w:lang w:val="sq-AL"/>
              </w:rPr>
            </w:pPr>
            <w:r w:rsidRPr="004E5A6E">
              <w:rPr>
                <w:color w:val="auto"/>
                <w:sz w:val="17"/>
                <w:szCs w:val="17"/>
                <w:lang w:val="sq-AL"/>
              </w:rPr>
              <w:t>Sistemi informativ për menaxhimin e lëndëve</w:t>
            </w:r>
          </w:p>
        </w:tc>
        <w:tc>
          <w:tcPr>
            <w:tcW w:w="1189" w:type="pct"/>
            <w:tcBorders>
              <w:top w:val="nil"/>
              <w:left w:val="nil"/>
              <w:bottom w:val="single" w:sz="8" w:space="0" w:color="auto"/>
              <w:right w:val="single" w:sz="8" w:space="0" w:color="auto"/>
            </w:tcBorders>
            <w:shd w:val="clear" w:color="auto" w:fill="auto"/>
            <w:vAlign w:val="center"/>
            <w:hideMark/>
          </w:tcPr>
          <w:p w14:paraId="0711D3A6" w14:textId="77777777" w:rsidR="00733346" w:rsidRPr="004E5A6E" w:rsidRDefault="00733346" w:rsidP="00D6295F">
            <w:pPr>
              <w:rPr>
                <w:b/>
                <w:bCs/>
                <w:color w:val="auto"/>
                <w:sz w:val="17"/>
                <w:szCs w:val="17"/>
                <w:lang w:val="sq-AL"/>
              </w:rPr>
            </w:pPr>
            <w:r w:rsidRPr="004E5A6E">
              <w:rPr>
                <w:b/>
                <w:bCs/>
                <w:color w:val="auto"/>
                <w:sz w:val="17"/>
                <w:szCs w:val="17"/>
                <w:lang w:val="sq-AL"/>
              </w:rPr>
              <w:t>MF</w:t>
            </w:r>
          </w:p>
        </w:tc>
        <w:tc>
          <w:tcPr>
            <w:tcW w:w="1708" w:type="pct"/>
            <w:tcBorders>
              <w:top w:val="nil"/>
              <w:left w:val="nil"/>
              <w:bottom w:val="single" w:sz="8" w:space="0" w:color="auto"/>
              <w:right w:val="single" w:sz="8" w:space="0" w:color="auto"/>
            </w:tcBorders>
            <w:shd w:val="clear" w:color="auto" w:fill="auto"/>
            <w:hideMark/>
          </w:tcPr>
          <w:p w14:paraId="51F141D3" w14:textId="77777777" w:rsidR="00733346" w:rsidRPr="004E5A6E" w:rsidRDefault="00733346" w:rsidP="00D6295F">
            <w:pPr>
              <w:rPr>
                <w:color w:val="auto"/>
                <w:sz w:val="17"/>
                <w:szCs w:val="17"/>
                <w:lang w:val="sq-AL"/>
              </w:rPr>
            </w:pPr>
            <w:r w:rsidRPr="004E5A6E">
              <w:rPr>
                <w:color w:val="auto"/>
                <w:sz w:val="17"/>
                <w:szCs w:val="17"/>
                <w:lang w:val="sq-AL"/>
              </w:rPr>
              <w:t>Ministria e Financave</w:t>
            </w:r>
          </w:p>
        </w:tc>
      </w:tr>
      <w:tr w:rsidR="00733346" w:rsidRPr="004E5A6E" w14:paraId="47ADB42B" w14:textId="77777777" w:rsidTr="00D6295F">
        <w:trPr>
          <w:trHeight w:val="20"/>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05B43DA2" w14:textId="77777777" w:rsidR="00733346" w:rsidRPr="004E5A6E" w:rsidRDefault="00733346" w:rsidP="00D6295F">
            <w:pPr>
              <w:rPr>
                <w:b/>
                <w:bCs/>
                <w:color w:val="auto"/>
                <w:sz w:val="17"/>
                <w:szCs w:val="17"/>
                <w:lang w:val="sq-AL"/>
              </w:rPr>
            </w:pPr>
            <w:r w:rsidRPr="004E5A6E">
              <w:rPr>
                <w:b/>
                <w:bCs/>
                <w:color w:val="auto"/>
                <w:sz w:val="17"/>
                <w:szCs w:val="17"/>
                <w:lang w:val="sq-AL"/>
              </w:rPr>
              <w:t>IÇK</w:t>
            </w:r>
          </w:p>
        </w:tc>
        <w:tc>
          <w:tcPr>
            <w:tcW w:w="1626" w:type="pct"/>
            <w:tcBorders>
              <w:top w:val="nil"/>
              <w:left w:val="nil"/>
              <w:bottom w:val="single" w:sz="8" w:space="0" w:color="auto"/>
              <w:right w:val="single" w:sz="8" w:space="0" w:color="auto"/>
            </w:tcBorders>
            <w:shd w:val="clear" w:color="auto" w:fill="auto"/>
            <w:hideMark/>
          </w:tcPr>
          <w:p w14:paraId="6EAD1490" w14:textId="77777777" w:rsidR="00733346" w:rsidRPr="004E5A6E" w:rsidRDefault="00733346" w:rsidP="00D6295F">
            <w:pPr>
              <w:rPr>
                <w:color w:val="auto"/>
                <w:sz w:val="17"/>
                <w:szCs w:val="17"/>
                <w:lang w:val="sq-AL"/>
              </w:rPr>
            </w:pPr>
            <w:r w:rsidRPr="004E5A6E">
              <w:rPr>
                <w:color w:val="auto"/>
                <w:sz w:val="17"/>
                <w:szCs w:val="17"/>
                <w:lang w:val="sq-AL"/>
              </w:rPr>
              <w:t>Indeksi i çmimeve të konsumit</w:t>
            </w:r>
          </w:p>
        </w:tc>
        <w:tc>
          <w:tcPr>
            <w:tcW w:w="1189" w:type="pct"/>
            <w:tcBorders>
              <w:top w:val="nil"/>
              <w:left w:val="nil"/>
              <w:bottom w:val="single" w:sz="8" w:space="0" w:color="auto"/>
              <w:right w:val="single" w:sz="8" w:space="0" w:color="auto"/>
            </w:tcBorders>
            <w:shd w:val="clear" w:color="auto" w:fill="auto"/>
            <w:vAlign w:val="center"/>
            <w:hideMark/>
          </w:tcPr>
          <w:p w14:paraId="00FAD8AB" w14:textId="77777777" w:rsidR="00733346" w:rsidRPr="004E5A6E" w:rsidRDefault="00733346" w:rsidP="00D6295F">
            <w:pPr>
              <w:rPr>
                <w:b/>
                <w:bCs/>
                <w:color w:val="auto"/>
                <w:sz w:val="17"/>
                <w:szCs w:val="17"/>
                <w:lang w:val="sq-AL"/>
              </w:rPr>
            </w:pPr>
            <w:r w:rsidRPr="004E5A6E">
              <w:rPr>
                <w:b/>
                <w:bCs/>
                <w:color w:val="auto"/>
                <w:sz w:val="17"/>
                <w:szCs w:val="17"/>
                <w:lang w:val="sq-AL"/>
              </w:rPr>
              <w:t>MD</w:t>
            </w:r>
          </w:p>
        </w:tc>
        <w:tc>
          <w:tcPr>
            <w:tcW w:w="1708" w:type="pct"/>
            <w:tcBorders>
              <w:top w:val="nil"/>
              <w:left w:val="nil"/>
              <w:bottom w:val="single" w:sz="8" w:space="0" w:color="auto"/>
              <w:right w:val="single" w:sz="8" w:space="0" w:color="auto"/>
            </w:tcBorders>
            <w:shd w:val="clear" w:color="auto" w:fill="auto"/>
            <w:hideMark/>
          </w:tcPr>
          <w:p w14:paraId="3256D171" w14:textId="77777777" w:rsidR="00733346" w:rsidRPr="004E5A6E" w:rsidRDefault="00733346" w:rsidP="00D6295F">
            <w:pPr>
              <w:rPr>
                <w:color w:val="auto"/>
                <w:sz w:val="17"/>
                <w:szCs w:val="17"/>
                <w:lang w:val="sq-AL"/>
              </w:rPr>
            </w:pPr>
            <w:r w:rsidRPr="004E5A6E">
              <w:rPr>
                <w:color w:val="auto"/>
                <w:sz w:val="17"/>
                <w:szCs w:val="17"/>
                <w:lang w:val="sq-AL"/>
              </w:rPr>
              <w:t>Ministria e Drejtësisë</w:t>
            </w:r>
          </w:p>
        </w:tc>
      </w:tr>
      <w:tr w:rsidR="00733346" w:rsidRPr="004E5A6E" w14:paraId="662CE542" w14:textId="77777777" w:rsidTr="00D6295F">
        <w:trPr>
          <w:trHeight w:val="20"/>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6DE5ABF9" w14:textId="77777777" w:rsidR="00733346" w:rsidRPr="004E5A6E" w:rsidRDefault="00733346" w:rsidP="00D6295F">
            <w:pPr>
              <w:rPr>
                <w:b/>
                <w:bCs/>
                <w:color w:val="auto"/>
                <w:sz w:val="17"/>
                <w:szCs w:val="17"/>
                <w:lang w:val="sq-AL"/>
              </w:rPr>
            </w:pPr>
            <w:r w:rsidRPr="004E5A6E">
              <w:rPr>
                <w:b/>
                <w:bCs/>
                <w:color w:val="auto"/>
                <w:sz w:val="17"/>
                <w:szCs w:val="17"/>
                <w:lang w:val="sq-AL"/>
              </w:rPr>
              <w:t>APRK</w:t>
            </w:r>
          </w:p>
        </w:tc>
        <w:tc>
          <w:tcPr>
            <w:tcW w:w="1626" w:type="pct"/>
            <w:tcBorders>
              <w:top w:val="nil"/>
              <w:left w:val="nil"/>
              <w:bottom w:val="single" w:sz="8" w:space="0" w:color="auto"/>
              <w:right w:val="single" w:sz="8" w:space="0" w:color="auto"/>
            </w:tcBorders>
            <w:shd w:val="clear" w:color="auto" w:fill="auto"/>
            <w:hideMark/>
          </w:tcPr>
          <w:p w14:paraId="1F036998" w14:textId="77777777" w:rsidR="00733346" w:rsidRPr="004E5A6E" w:rsidRDefault="00733346" w:rsidP="00D6295F">
            <w:pPr>
              <w:rPr>
                <w:color w:val="auto"/>
                <w:sz w:val="17"/>
                <w:szCs w:val="17"/>
                <w:lang w:val="sq-AL"/>
              </w:rPr>
            </w:pPr>
            <w:r w:rsidRPr="004E5A6E">
              <w:rPr>
                <w:color w:val="auto"/>
                <w:sz w:val="17"/>
                <w:szCs w:val="17"/>
                <w:lang w:val="sq-AL"/>
              </w:rPr>
              <w:t>Agjencia e Punësimit e Republikës së Kosovës</w:t>
            </w:r>
          </w:p>
        </w:tc>
        <w:tc>
          <w:tcPr>
            <w:tcW w:w="1189" w:type="pct"/>
            <w:tcBorders>
              <w:top w:val="nil"/>
              <w:left w:val="nil"/>
              <w:bottom w:val="single" w:sz="8" w:space="0" w:color="auto"/>
              <w:right w:val="single" w:sz="8" w:space="0" w:color="auto"/>
            </w:tcBorders>
            <w:shd w:val="clear" w:color="auto" w:fill="auto"/>
            <w:vAlign w:val="center"/>
            <w:hideMark/>
          </w:tcPr>
          <w:p w14:paraId="60F6A2B1" w14:textId="77777777" w:rsidR="00733346" w:rsidRPr="004E5A6E" w:rsidRDefault="00733346" w:rsidP="00D6295F">
            <w:pPr>
              <w:rPr>
                <w:b/>
                <w:bCs/>
                <w:color w:val="auto"/>
                <w:sz w:val="17"/>
                <w:szCs w:val="17"/>
                <w:lang w:val="sq-AL"/>
              </w:rPr>
            </w:pPr>
            <w:r w:rsidRPr="004E5A6E">
              <w:rPr>
                <w:b/>
                <w:bCs/>
                <w:color w:val="auto"/>
                <w:sz w:val="17"/>
                <w:szCs w:val="17"/>
                <w:lang w:val="sq-AL"/>
              </w:rPr>
              <w:t>NMVM</w:t>
            </w:r>
          </w:p>
        </w:tc>
        <w:tc>
          <w:tcPr>
            <w:tcW w:w="1708" w:type="pct"/>
            <w:tcBorders>
              <w:top w:val="nil"/>
              <w:left w:val="nil"/>
              <w:bottom w:val="single" w:sz="8" w:space="0" w:color="auto"/>
              <w:right w:val="single" w:sz="8" w:space="0" w:color="auto"/>
            </w:tcBorders>
            <w:shd w:val="clear" w:color="auto" w:fill="auto"/>
            <w:hideMark/>
          </w:tcPr>
          <w:p w14:paraId="70CC3C29" w14:textId="77777777" w:rsidR="00733346" w:rsidRPr="004E5A6E" w:rsidRDefault="00733346" w:rsidP="00D6295F">
            <w:pPr>
              <w:rPr>
                <w:color w:val="auto"/>
                <w:sz w:val="17"/>
                <w:szCs w:val="17"/>
                <w:lang w:val="sq-AL"/>
              </w:rPr>
            </w:pPr>
            <w:r w:rsidRPr="004E5A6E">
              <w:rPr>
                <w:color w:val="auto"/>
                <w:sz w:val="17"/>
                <w:szCs w:val="17"/>
                <w:lang w:val="sq-AL"/>
              </w:rPr>
              <w:t>Ndërmarrjet Mikro, të Vogla dhe të Mesme</w:t>
            </w:r>
          </w:p>
        </w:tc>
      </w:tr>
      <w:tr w:rsidR="00733346" w:rsidRPr="004E5A6E" w14:paraId="0587114E" w14:textId="77777777" w:rsidTr="00D6295F">
        <w:trPr>
          <w:trHeight w:val="20"/>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6363F243" w14:textId="77777777" w:rsidR="00733346" w:rsidRPr="004E5A6E" w:rsidRDefault="00733346" w:rsidP="00D6295F">
            <w:pPr>
              <w:rPr>
                <w:b/>
                <w:bCs/>
                <w:color w:val="auto"/>
                <w:sz w:val="17"/>
                <w:szCs w:val="17"/>
                <w:lang w:val="sq-AL"/>
              </w:rPr>
            </w:pPr>
            <w:r w:rsidRPr="004E5A6E">
              <w:rPr>
                <w:b/>
                <w:bCs/>
                <w:color w:val="auto"/>
                <w:sz w:val="17"/>
                <w:szCs w:val="17"/>
                <w:lang w:val="sq-AL"/>
              </w:rPr>
              <w:t>KE</w:t>
            </w:r>
          </w:p>
        </w:tc>
        <w:tc>
          <w:tcPr>
            <w:tcW w:w="1626" w:type="pct"/>
            <w:tcBorders>
              <w:top w:val="nil"/>
              <w:left w:val="nil"/>
              <w:bottom w:val="single" w:sz="8" w:space="0" w:color="auto"/>
              <w:right w:val="single" w:sz="8" w:space="0" w:color="auto"/>
            </w:tcBorders>
            <w:shd w:val="clear" w:color="auto" w:fill="auto"/>
            <w:hideMark/>
          </w:tcPr>
          <w:p w14:paraId="0C51D3A7" w14:textId="77777777" w:rsidR="00733346" w:rsidRPr="004E5A6E" w:rsidRDefault="00733346" w:rsidP="00D6295F">
            <w:pPr>
              <w:rPr>
                <w:color w:val="auto"/>
                <w:sz w:val="17"/>
                <w:szCs w:val="17"/>
                <w:lang w:val="sq-AL"/>
              </w:rPr>
            </w:pPr>
            <w:r w:rsidRPr="004E5A6E">
              <w:rPr>
                <w:color w:val="auto"/>
                <w:sz w:val="17"/>
                <w:szCs w:val="17"/>
                <w:lang w:val="sq-AL"/>
              </w:rPr>
              <w:t>Komisioni Europian</w:t>
            </w:r>
          </w:p>
        </w:tc>
        <w:tc>
          <w:tcPr>
            <w:tcW w:w="1189" w:type="pct"/>
            <w:tcBorders>
              <w:top w:val="nil"/>
              <w:left w:val="nil"/>
              <w:bottom w:val="single" w:sz="8" w:space="0" w:color="auto"/>
              <w:right w:val="single" w:sz="8" w:space="0" w:color="auto"/>
            </w:tcBorders>
            <w:shd w:val="clear" w:color="auto" w:fill="auto"/>
            <w:vAlign w:val="center"/>
            <w:hideMark/>
          </w:tcPr>
          <w:p w14:paraId="3A3162F1" w14:textId="77777777" w:rsidR="00733346" w:rsidRPr="004E5A6E" w:rsidRDefault="00733346" w:rsidP="00D6295F">
            <w:pPr>
              <w:rPr>
                <w:b/>
                <w:bCs/>
                <w:color w:val="auto"/>
                <w:sz w:val="17"/>
                <w:szCs w:val="17"/>
                <w:lang w:val="sq-AL"/>
              </w:rPr>
            </w:pPr>
            <w:r w:rsidRPr="004E5A6E">
              <w:rPr>
                <w:b/>
                <w:bCs/>
                <w:color w:val="auto"/>
                <w:sz w:val="17"/>
                <w:szCs w:val="17"/>
                <w:lang w:val="sq-AL"/>
              </w:rPr>
              <w:t>KASH</w:t>
            </w:r>
          </w:p>
        </w:tc>
        <w:tc>
          <w:tcPr>
            <w:tcW w:w="1708" w:type="pct"/>
            <w:tcBorders>
              <w:top w:val="nil"/>
              <w:left w:val="nil"/>
              <w:bottom w:val="single" w:sz="8" w:space="0" w:color="auto"/>
              <w:right w:val="single" w:sz="8" w:space="0" w:color="auto"/>
            </w:tcBorders>
            <w:shd w:val="clear" w:color="auto" w:fill="auto"/>
            <w:hideMark/>
          </w:tcPr>
          <w:p w14:paraId="13AD9703" w14:textId="77777777" w:rsidR="00733346" w:rsidRPr="004E5A6E" w:rsidRDefault="00733346" w:rsidP="00D6295F">
            <w:pPr>
              <w:rPr>
                <w:color w:val="auto"/>
                <w:sz w:val="17"/>
                <w:szCs w:val="17"/>
                <w:lang w:val="sq-AL"/>
              </w:rPr>
            </w:pPr>
            <w:r w:rsidRPr="004E5A6E">
              <w:rPr>
                <w:color w:val="auto"/>
                <w:sz w:val="17"/>
                <w:szCs w:val="17"/>
                <w:lang w:val="sq-AL"/>
              </w:rPr>
              <w:t>Korniza Afatmesme e Shpenzimeve</w:t>
            </w:r>
          </w:p>
        </w:tc>
      </w:tr>
      <w:tr w:rsidR="00733346" w:rsidRPr="004E5A6E" w14:paraId="65EFC698" w14:textId="77777777" w:rsidTr="00D6295F">
        <w:trPr>
          <w:trHeight w:val="20"/>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29AF8E31" w14:textId="77777777" w:rsidR="00733346" w:rsidRPr="004E5A6E" w:rsidRDefault="00733346" w:rsidP="00D6295F">
            <w:pPr>
              <w:rPr>
                <w:b/>
                <w:bCs/>
                <w:color w:val="auto"/>
                <w:sz w:val="17"/>
                <w:szCs w:val="17"/>
                <w:lang w:val="sq-AL"/>
              </w:rPr>
            </w:pPr>
            <w:r w:rsidRPr="004E5A6E">
              <w:rPr>
                <w:b/>
                <w:bCs/>
                <w:color w:val="auto"/>
                <w:sz w:val="17"/>
                <w:szCs w:val="17"/>
                <w:lang w:val="sq-AL"/>
              </w:rPr>
              <w:t>EE</w:t>
            </w:r>
          </w:p>
        </w:tc>
        <w:tc>
          <w:tcPr>
            <w:tcW w:w="1626" w:type="pct"/>
            <w:tcBorders>
              <w:top w:val="nil"/>
              <w:left w:val="nil"/>
              <w:bottom w:val="single" w:sz="8" w:space="0" w:color="auto"/>
              <w:right w:val="single" w:sz="8" w:space="0" w:color="auto"/>
            </w:tcBorders>
            <w:shd w:val="clear" w:color="auto" w:fill="auto"/>
            <w:hideMark/>
          </w:tcPr>
          <w:p w14:paraId="4EEEB1C3" w14:textId="77777777" w:rsidR="00733346" w:rsidRPr="004E5A6E" w:rsidRDefault="00733346" w:rsidP="00D6295F">
            <w:pPr>
              <w:rPr>
                <w:color w:val="auto"/>
                <w:sz w:val="17"/>
                <w:szCs w:val="17"/>
                <w:lang w:val="sq-AL"/>
              </w:rPr>
            </w:pPr>
            <w:r w:rsidRPr="004E5A6E">
              <w:rPr>
                <w:color w:val="auto"/>
                <w:sz w:val="17"/>
                <w:szCs w:val="17"/>
                <w:lang w:val="sq-AL"/>
              </w:rPr>
              <w:t>Efiçienca e energjisë</w:t>
            </w:r>
          </w:p>
        </w:tc>
        <w:tc>
          <w:tcPr>
            <w:tcW w:w="1189" w:type="pct"/>
            <w:tcBorders>
              <w:top w:val="nil"/>
              <w:left w:val="nil"/>
              <w:bottom w:val="single" w:sz="8" w:space="0" w:color="auto"/>
              <w:right w:val="single" w:sz="8" w:space="0" w:color="auto"/>
            </w:tcBorders>
            <w:shd w:val="clear" w:color="auto" w:fill="auto"/>
            <w:vAlign w:val="center"/>
            <w:hideMark/>
          </w:tcPr>
          <w:p w14:paraId="36265604" w14:textId="77777777" w:rsidR="00733346" w:rsidRPr="004E5A6E" w:rsidRDefault="00733346" w:rsidP="00D6295F">
            <w:pPr>
              <w:rPr>
                <w:b/>
                <w:bCs/>
                <w:color w:val="auto"/>
                <w:sz w:val="17"/>
                <w:szCs w:val="17"/>
                <w:lang w:val="sq-AL"/>
              </w:rPr>
            </w:pPr>
            <w:r w:rsidRPr="004E5A6E">
              <w:rPr>
                <w:b/>
                <w:bCs/>
                <w:color w:val="auto"/>
                <w:sz w:val="17"/>
                <w:szCs w:val="17"/>
                <w:lang w:val="sq-AL"/>
              </w:rPr>
              <w:t>MTI</w:t>
            </w:r>
          </w:p>
        </w:tc>
        <w:tc>
          <w:tcPr>
            <w:tcW w:w="1708" w:type="pct"/>
            <w:tcBorders>
              <w:top w:val="nil"/>
              <w:left w:val="nil"/>
              <w:bottom w:val="single" w:sz="8" w:space="0" w:color="auto"/>
              <w:right w:val="single" w:sz="8" w:space="0" w:color="auto"/>
            </w:tcBorders>
            <w:shd w:val="clear" w:color="auto" w:fill="auto"/>
            <w:hideMark/>
          </w:tcPr>
          <w:p w14:paraId="77BE9890" w14:textId="77777777" w:rsidR="00733346" w:rsidRPr="004E5A6E" w:rsidRDefault="00733346" w:rsidP="00D6295F">
            <w:pPr>
              <w:rPr>
                <w:color w:val="auto"/>
                <w:sz w:val="17"/>
                <w:szCs w:val="17"/>
                <w:lang w:val="sq-AL"/>
              </w:rPr>
            </w:pPr>
            <w:r w:rsidRPr="004E5A6E">
              <w:rPr>
                <w:color w:val="auto"/>
                <w:sz w:val="17"/>
                <w:szCs w:val="17"/>
                <w:lang w:val="sq-AL"/>
              </w:rPr>
              <w:t>Ministria e Tregtisë dhe Industrisë</w:t>
            </w:r>
          </w:p>
        </w:tc>
      </w:tr>
      <w:tr w:rsidR="00733346" w:rsidRPr="004E5A6E" w14:paraId="04B6959A" w14:textId="77777777" w:rsidTr="00D6295F">
        <w:trPr>
          <w:trHeight w:val="20"/>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3AA29FD8" w14:textId="77777777" w:rsidR="00733346" w:rsidRPr="004E5A6E" w:rsidRDefault="00733346" w:rsidP="00D6295F">
            <w:pPr>
              <w:rPr>
                <w:b/>
                <w:bCs/>
                <w:color w:val="auto"/>
                <w:sz w:val="17"/>
                <w:szCs w:val="17"/>
                <w:lang w:val="sq-AL"/>
              </w:rPr>
            </w:pPr>
            <w:r w:rsidRPr="004E5A6E">
              <w:rPr>
                <w:b/>
                <w:bCs/>
                <w:color w:val="auto"/>
                <w:sz w:val="17"/>
                <w:szCs w:val="17"/>
                <w:lang w:val="sq-AL"/>
              </w:rPr>
              <w:t>DEE</w:t>
            </w:r>
          </w:p>
        </w:tc>
        <w:tc>
          <w:tcPr>
            <w:tcW w:w="1626" w:type="pct"/>
            <w:tcBorders>
              <w:top w:val="nil"/>
              <w:left w:val="nil"/>
              <w:bottom w:val="single" w:sz="8" w:space="0" w:color="auto"/>
              <w:right w:val="single" w:sz="8" w:space="0" w:color="auto"/>
            </w:tcBorders>
            <w:shd w:val="clear" w:color="auto" w:fill="auto"/>
            <w:hideMark/>
          </w:tcPr>
          <w:p w14:paraId="0BDAE728" w14:textId="77777777" w:rsidR="00733346" w:rsidRPr="004E5A6E" w:rsidRDefault="00733346" w:rsidP="00D6295F">
            <w:pPr>
              <w:rPr>
                <w:color w:val="auto"/>
                <w:sz w:val="17"/>
                <w:szCs w:val="17"/>
                <w:lang w:val="sq-AL"/>
              </w:rPr>
            </w:pPr>
            <w:r w:rsidRPr="004E5A6E">
              <w:rPr>
                <w:color w:val="auto"/>
                <w:sz w:val="17"/>
                <w:szCs w:val="17"/>
                <w:lang w:val="sq-AL"/>
              </w:rPr>
              <w:t>Direktiva e efiçiencës së energjisë</w:t>
            </w:r>
          </w:p>
        </w:tc>
        <w:tc>
          <w:tcPr>
            <w:tcW w:w="1189" w:type="pct"/>
            <w:tcBorders>
              <w:top w:val="nil"/>
              <w:left w:val="nil"/>
              <w:bottom w:val="single" w:sz="8" w:space="0" w:color="auto"/>
              <w:right w:val="single" w:sz="8" w:space="0" w:color="auto"/>
            </w:tcBorders>
            <w:shd w:val="clear" w:color="auto" w:fill="auto"/>
            <w:vAlign w:val="center"/>
            <w:hideMark/>
          </w:tcPr>
          <w:p w14:paraId="67E29A28" w14:textId="77777777" w:rsidR="00733346" w:rsidRPr="004E5A6E" w:rsidRDefault="00733346" w:rsidP="00D6295F">
            <w:pPr>
              <w:rPr>
                <w:b/>
                <w:bCs/>
                <w:color w:val="auto"/>
                <w:sz w:val="17"/>
                <w:szCs w:val="17"/>
                <w:lang w:val="sq-AL"/>
              </w:rPr>
            </w:pPr>
            <w:r w:rsidRPr="004E5A6E">
              <w:rPr>
                <w:b/>
                <w:bCs/>
                <w:color w:val="auto"/>
                <w:sz w:val="17"/>
                <w:szCs w:val="17"/>
                <w:lang w:val="sq-AL"/>
              </w:rPr>
              <w:t>SKZH</w:t>
            </w:r>
          </w:p>
        </w:tc>
        <w:tc>
          <w:tcPr>
            <w:tcW w:w="1708" w:type="pct"/>
            <w:tcBorders>
              <w:top w:val="nil"/>
              <w:left w:val="nil"/>
              <w:bottom w:val="single" w:sz="8" w:space="0" w:color="auto"/>
              <w:right w:val="single" w:sz="8" w:space="0" w:color="auto"/>
            </w:tcBorders>
            <w:shd w:val="clear" w:color="auto" w:fill="auto"/>
            <w:hideMark/>
          </w:tcPr>
          <w:p w14:paraId="7B40EC4F" w14:textId="77777777" w:rsidR="00733346" w:rsidRPr="004E5A6E" w:rsidRDefault="00733346" w:rsidP="00D6295F">
            <w:pPr>
              <w:rPr>
                <w:color w:val="auto"/>
                <w:sz w:val="17"/>
                <w:szCs w:val="17"/>
                <w:lang w:val="sq-AL"/>
              </w:rPr>
            </w:pPr>
            <w:r w:rsidRPr="004E5A6E">
              <w:rPr>
                <w:color w:val="auto"/>
                <w:sz w:val="17"/>
                <w:szCs w:val="17"/>
                <w:lang w:val="sq-AL"/>
              </w:rPr>
              <w:t>Strategjia Kombëtare e Zhvillimit</w:t>
            </w:r>
          </w:p>
        </w:tc>
      </w:tr>
      <w:tr w:rsidR="00733346" w:rsidRPr="004E5A6E" w14:paraId="5FD78C83" w14:textId="77777777" w:rsidTr="00D6295F">
        <w:trPr>
          <w:trHeight w:val="20"/>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6B95F502" w14:textId="77777777" w:rsidR="00733346" w:rsidRPr="004E5A6E" w:rsidRDefault="00733346" w:rsidP="00D6295F">
            <w:pPr>
              <w:rPr>
                <w:b/>
                <w:bCs/>
                <w:color w:val="auto"/>
                <w:sz w:val="17"/>
                <w:szCs w:val="17"/>
                <w:lang w:val="sq-AL"/>
              </w:rPr>
            </w:pPr>
            <w:r w:rsidRPr="004E5A6E">
              <w:rPr>
                <w:b/>
                <w:bCs/>
                <w:color w:val="auto"/>
                <w:sz w:val="17"/>
                <w:szCs w:val="17"/>
                <w:lang w:val="sq-AL"/>
              </w:rPr>
              <w:t xml:space="preserve">EFTA </w:t>
            </w:r>
          </w:p>
        </w:tc>
        <w:tc>
          <w:tcPr>
            <w:tcW w:w="1626" w:type="pct"/>
            <w:tcBorders>
              <w:top w:val="nil"/>
              <w:left w:val="nil"/>
              <w:bottom w:val="single" w:sz="8" w:space="0" w:color="auto"/>
              <w:right w:val="single" w:sz="8" w:space="0" w:color="auto"/>
            </w:tcBorders>
            <w:shd w:val="clear" w:color="auto" w:fill="auto"/>
            <w:hideMark/>
          </w:tcPr>
          <w:p w14:paraId="72E5332D" w14:textId="77777777" w:rsidR="00733346" w:rsidRPr="004E5A6E" w:rsidRDefault="00733346" w:rsidP="00D6295F">
            <w:pPr>
              <w:rPr>
                <w:color w:val="auto"/>
                <w:sz w:val="17"/>
                <w:szCs w:val="17"/>
                <w:lang w:val="sq-AL"/>
              </w:rPr>
            </w:pPr>
            <w:r w:rsidRPr="004E5A6E">
              <w:rPr>
                <w:color w:val="auto"/>
                <w:sz w:val="17"/>
                <w:szCs w:val="17"/>
                <w:lang w:val="sq-AL"/>
              </w:rPr>
              <w:t>Shoqata Evropiane e Tregtisë së Lirë</w:t>
            </w:r>
          </w:p>
        </w:tc>
        <w:tc>
          <w:tcPr>
            <w:tcW w:w="1189" w:type="pct"/>
            <w:tcBorders>
              <w:top w:val="nil"/>
              <w:left w:val="nil"/>
              <w:bottom w:val="single" w:sz="8" w:space="0" w:color="auto"/>
              <w:right w:val="single" w:sz="8" w:space="0" w:color="auto"/>
            </w:tcBorders>
            <w:shd w:val="clear" w:color="auto" w:fill="auto"/>
            <w:vAlign w:val="center"/>
            <w:hideMark/>
          </w:tcPr>
          <w:p w14:paraId="5DE94373" w14:textId="77777777" w:rsidR="00733346" w:rsidRPr="004E5A6E" w:rsidRDefault="00733346" w:rsidP="00D6295F">
            <w:pPr>
              <w:rPr>
                <w:b/>
                <w:bCs/>
                <w:color w:val="auto"/>
                <w:sz w:val="17"/>
                <w:szCs w:val="17"/>
                <w:lang w:val="sq-AL"/>
              </w:rPr>
            </w:pPr>
            <w:r w:rsidRPr="004E5A6E">
              <w:rPr>
                <w:b/>
                <w:bCs/>
                <w:color w:val="auto"/>
                <w:sz w:val="17"/>
                <w:szCs w:val="17"/>
                <w:lang w:val="sq-AL"/>
              </w:rPr>
              <w:t>NEET</w:t>
            </w:r>
          </w:p>
        </w:tc>
        <w:tc>
          <w:tcPr>
            <w:tcW w:w="1708" w:type="pct"/>
            <w:tcBorders>
              <w:top w:val="nil"/>
              <w:left w:val="nil"/>
              <w:bottom w:val="single" w:sz="8" w:space="0" w:color="auto"/>
              <w:right w:val="single" w:sz="8" w:space="0" w:color="auto"/>
            </w:tcBorders>
            <w:shd w:val="clear" w:color="auto" w:fill="auto"/>
            <w:hideMark/>
          </w:tcPr>
          <w:p w14:paraId="58CD8797" w14:textId="77777777" w:rsidR="00733346" w:rsidRPr="004E5A6E" w:rsidRDefault="00733346" w:rsidP="00D6295F">
            <w:pPr>
              <w:rPr>
                <w:color w:val="auto"/>
                <w:sz w:val="17"/>
                <w:szCs w:val="17"/>
                <w:lang w:val="sq-AL"/>
              </w:rPr>
            </w:pPr>
            <w:r w:rsidRPr="004E5A6E">
              <w:rPr>
                <w:color w:val="auto"/>
                <w:sz w:val="17"/>
                <w:szCs w:val="17"/>
                <w:lang w:val="sq-AL"/>
              </w:rPr>
              <w:t>Jo në arsim, punësim ose trajnim</w:t>
            </w:r>
          </w:p>
        </w:tc>
      </w:tr>
      <w:tr w:rsidR="00733346" w:rsidRPr="004E5A6E" w14:paraId="2B673B48" w14:textId="77777777" w:rsidTr="00D6295F">
        <w:trPr>
          <w:trHeight w:val="20"/>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6B366391" w14:textId="77777777" w:rsidR="00733346" w:rsidRPr="004E5A6E" w:rsidRDefault="00733346" w:rsidP="00D6295F">
            <w:pPr>
              <w:rPr>
                <w:b/>
                <w:bCs/>
                <w:color w:val="auto"/>
                <w:sz w:val="17"/>
                <w:szCs w:val="17"/>
                <w:lang w:val="sq-AL"/>
              </w:rPr>
            </w:pPr>
            <w:r w:rsidRPr="004E5A6E">
              <w:rPr>
                <w:b/>
                <w:bCs/>
                <w:color w:val="auto"/>
                <w:sz w:val="17"/>
                <w:szCs w:val="17"/>
                <w:lang w:val="sq-AL"/>
              </w:rPr>
              <w:t xml:space="preserve">SIMAS </w:t>
            </w:r>
          </w:p>
        </w:tc>
        <w:tc>
          <w:tcPr>
            <w:tcW w:w="1626" w:type="pct"/>
            <w:tcBorders>
              <w:top w:val="nil"/>
              <w:left w:val="nil"/>
              <w:bottom w:val="single" w:sz="8" w:space="0" w:color="auto"/>
              <w:right w:val="single" w:sz="8" w:space="0" w:color="auto"/>
            </w:tcBorders>
            <w:shd w:val="clear" w:color="auto" w:fill="auto"/>
            <w:hideMark/>
          </w:tcPr>
          <w:p w14:paraId="209693AF" w14:textId="77777777" w:rsidR="00733346" w:rsidRPr="004E5A6E" w:rsidRDefault="00733346" w:rsidP="00D6295F">
            <w:pPr>
              <w:rPr>
                <w:color w:val="auto"/>
                <w:sz w:val="17"/>
                <w:szCs w:val="17"/>
                <w:lang w:val="sq-AL"/>
              </w:rPr>
            </w:pPr>
            <w:r w:rsidRPr="004E5A6E">
              <w:rPr>
                <w:color w:val="auto"/>
                <w:sz w:val="17"/>
                <w:szCs w:val="17"/>
                <w:lang w:val="sq-AL"/>
              </w:rPr>
              <w:t>Sistemi informativ për menaxhimin e arsimit</w:t>
            </w:r>
          </w:p>
        </w:tc>
        <w:tc>
          <w:tcPr>
            <w:tcW w:w="1189" w:type="pct"/>
            <w:tcBorders>
              <w:top w:val="nil"/>
              <w:left w:val="nil"/>
              <w:bottom w:val="single" w:sz="8" w:space="0" w:color="auto"/>
              <w:right w:val="single" w:sz="8" w:space="0" w:color="auto"/>
            </w:tcBorders>
            <w:shd w:val="clear" w:color="auto" w:fill="auto"/>
            <w:vAlign w:val="center"/>
            <w:hideMark/>
          </w:tcPr>
          <w:p w14:paraId="4BAC6A87" w14:textId="77777777" w:rsidR="00733346" w:rsidRPr="004E5A6E" w:rsidRDefault="00733346" w:rsidP="00D6295F">
            <w:pPr>
              <w:rPr>
                <w:b/>
                <w:bCs/>
                <w:color w:val="auto"/>
                <w:sz w:val="17"/>
                <w:szCs w:val="17"/>
                <w:lang w:val="sq-AL"/>
              </w:rPr>
            </w:pPr>
            <w:r w:rsidRPr="004E5A6E">
              <w:rPr>
                <w:b/>
                <w:bCs/>
                <w:color w:val="auto"/>
                <w:sz w:val="17"/>
                <w:szCs w:val="17"/>
                <w:lang w:val="sq-AL"/>
              </w:rPr>
              <w:t>OJQ</w:t>
            </w:r>
          </w:p>
        </w:tc>
        <w:tc>
          <w:tcPr>
            <w:tcW w:w="1708" w:type="pct"/>
            <w:tcBorders>
              <w:top w:val="nil"/>
              <w:left w:val="nil"/>
              <w:bottom w:val="single" w:sz="8" w:space="0" w:color="auto"/>
              <w:right w:val="single" w:sz="8" w:space="0" w:color="auto"/>
            </w:tcBorders>
            <w:shd w:val="clear" w:color="auto" w:fill="auto"/>
            <w:hideMark/>
          </w:tcPr>
          <w:p w14:paraId="307FA199" w14:textId="77777777" w:rsidR="00733346" w:rsidRPr="004E5A6E" w:rsidRDefault="00733346" w:rsidP="00D6295F">
            <w:pPr>
              <w:rPr>
                <w:color w:val="auto"/>
                <w:sz w:val="17"/>
                <w:szCs w:val="17"/>
                <w:lang w:val="sq-AL"/>
              </w:rPr>
            </w:pPr>
            <w:r w:rsidRPr="004E5A6E">
              <w:rPr>
                <w:color w:val="auto"/>
                <w:sz w:val="17"/>
                <w:szCs w:val="17"/>
                <w:lang w:val="sq-AL"/>
              </w:rPr>
              <w:t>Organizatat joqeveritare</w:t>
            </w:r>
          </w:p>
        </w:tc>
      </w:tr>
      <w:tr w:rsidR="00733346" w:rsidRPr="004E5A6E" w14:paraId="4EE1BA67" w14:textId="77777777" w:rsidTr="00D6295F">
        <w:trPr>
          <w:trHeight w:val="20"/>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325A04AF" w14:textId="77777777" w:rsidR="00733346" w:rsidRPr="004E5A6E" w:rsidRDefault="00733346" w:rsidP="00D6295F">
            <w:pPr>
              <w:rPr>
                <w:b/>
                <w:bCs/>
                <w:color w:val="auto"/>
                <w:sz w:val="17"/>
                <w:szCs w:val="17"/>
                <w:lang w:val="sq-AL"/>
              </w:rPr>
            </w:pPr>
            <w:r w:rsidRPr="004E5A6E">
              <w:rPr>
                <w:b/>
                <w:bCs/>
                <w:color w:val="auto"/>
                <w:sz w:val="17"/>
                <w:szCs w:val="17"/>
                <w:lang w:val="sq-AL"/>
              </w:rPr>
              <w:t>IPN</w:t>
            </w:r>
          </w:p>
        </w:tc>
        <w:tc>
          <w:tcPr>
            <w:tcW w:w="1626" w:type="pct"/>
            <w:tcBorders>
              <w:top w:val="nil"/>
              <w:left w:val="nil"/>
              <w:bottom w:val="single" w:sz="8" w:space="0" w:color="auto"/>
              <w:right w:val="single" w:sz="8" w:space="0" w:color="auto"/>
            </w:tcBorders>
            <w:shd w:val="clear" w:color="auto" w:fill="auto"/>
            <w:hideMark/>
          </w:tcPr>
          <w:p w14:paraId="42728B03" w14:textId="77777777" w:rsidR="00733346" w:rsidRPr="004E5A6E" w:rsidRDefault="00733346" w:rsidP="00D6295F">
            <w:pPr>
              <w:rPr>
                <w:color w:val="auto"/>
                <w:sz w:val="17"/>
                <w:szCs w:val="17"/>
                <w:lang w:val="sq-AL"/>
              </w:rPr>
            </w:pPr>
            <w:r w:rsidRPr="004E5A6E">
              <w:rPr>
                <w:color w:val="auto"/>
                <w:sz w:val="17"/>
                <w:szCs w:val="17"/>
                <w:lang w:val="sq-AL"/>
              </w:rPr>
              <w:t>Inxhinieria, Prokurimi dhe Ndërtimi</w:t>
            </w:r>
          </w:p>
        </w:tc>
        <w:tc>
          <w:tcPr>
            <w:tcW w:w="1189" w:type="pct"/>
            <w:tcBorders>
              <w:top w:val="nil"/>
              <w:left w:val="nil"/>
              <w:bottom w:val="single" w:sz="8" w:space="0" w:color="auto"/>
              <w:right w:val="single" w:sz="8" w:space="0" w:color="auto"/>
            </w:tcBorders>
            <w:shd w:val="clear" w:color="auto" w:fill="auto"/>
            <w:vAlign w:val="center"/>
            <w:hideMark/>
          </w:tcPr>
          <w:p w14:paraId="3F4BB8F9" w14:textId="77777777" w:rsidR="00733346" w:rsidRPr="004E5A6E" w:rsidRDefault="00733346" w:rsidP="00D6295F">
            <w:pPr>
              <w:rPr>
                <w:b/>
                <w:bCs/>
                <w:color w:val="auto"/>
                <w:sz w:val="17"/>
                <w:szCs w:val="17"/>
                <w:lang w:val="sq-AL"/>
              </w:rPr>
            </w:pPr>
            <w:r w:rsidRPr="004E5A6E">
              <w:rPr>
                <w:b/>
                <w:bCs/>
                <w:color w:val="auto"/>
                <w:sz w:val="17"/>
                <w:szCs w:val="17"/>
                <w:lang w:val="sq-AL"/>
              </w:rPr>
              <w:t>PKZMSA</w:t>
            </w:r>
          </w:p>
        </w:tc>
        <w:tc>
          <w:tcPr>
            <w:tcW w:w="1708" w:type="pct"/>
            <w:tcBorders>
              <w:top w:val="nil"/>
              <w:left w:val="nil"/>
              <w:bottom w:val="single" w:sz="8" w:space="0" w:color="auto"/>
              <w:right w:val="single" w:sz="8" w:space="0" w:color="auto"/>
            </w:tcBorders>
            <w:shd w:val="clear" w:color="auto" w:fill="auto"/>
            <w:hideMark/>
          </w:tcPr>
          <w:p w14:paraId="5703FBDA" w14:textId="77777777" w:rsidR="00733346" w:rsidRPr="004E5A6E" w:rsidRDefault="00733346" w:rsidP="00D6295F">
            <w:pPr>
              <w:rPr>
                <w:color w:val="auto"/>
                <w:sz w:val="17"/>
                <w:szCs w:val="17"/>
                <w:lang w:val="sq-AL"/>
              </w:rPr>
            </w:pPr>
            <w:r w:rsidRPr="004E5A6E">
              <w:rPr>
                <w:color w:val="auto"/>
                <w:sz w:val="17"/>
                <w:szCs w:val="17"/>
                <w:lang w:val="sq-AL"/>
              </w:rPr>
              <w:t>Programi Kombëtar për Zbatimin e MSA-së</w:t>
            </w:r>
          </w:p>
        </w:tc>
      </w:tr>
      <w:tr w:rsidR="00733346" w:rsidRPr="004E5A6E" w14:paraId="55987462" w14:textId="77777777" w:rsidTr="00D6295F">
        <w:trPr>
          <w:trHeight w:val="20"/>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44B8E3F3" w14:textId="77777777" w:rsidR="00733346" w:rsidRPr="004E5A6E" w:rsidRDefault="00733346" w:rsidP="00D6295F">
            <w:pPr>
              <w:rPr>
                <w:b/>
                <w:bCs/>
                <w:color w:val="auto"/>
                <w:sz w:val="17"/>
                <w:szCs w:val="17"/>
                <w:lang w:val="sq-AL"/>
              </w:rPr>
            </w:pPr>
            <w:r w:rsidRPr="004E5A6E">
              <w:rPr>
                <w:b/>
                <w:bCs/>
                <w:color w:val="auto"/>
                <w:sz w:val="17"/>
                <w:szCs w:val="17"/>
                <w:lang w:val="sq-AL"/>
              </w:rPr>
              <w:t>ARE</w:t>
            </w:r>
          </w:p>
        </w:tc>
        <w:tc>
          <w:tcPr>
            <w:tcW w:w="1626" w:type="pct"/>
            <w:tcBorders>
              <w:top w:val="nil"/>
              <w:left w:val="nil"/>
              <w:bottom w:val="single" w:sz="8" w:space="0" w:color="auto"/>
              <w:right w:val="single" w:sz="8" w:space="0" w:color="auto"/>
            </w:tcBorders>
            <w:shd w:val="clear" w:color="auto" w:fill="auto"/>
            <w:hideMark/>
          </w:tcPr>
          <w:p w14:paraId="040DB5A7" w14:textId="77777777" w:rsidR="00733346" w:rsidRPr="004E5A6E" w:rsidRDefault="00733346" w:rsidP="00D6295F">
            <w:pPr>
              <w:rPr>
                <w:color w:val="auto"/>
                <w:sz w:val="17"/>
                <w:szCs w:val="17"/>
                <w:lang w:val="sq-AL"/>
              </w:rPr>
            </w:pPr>
            <w:r w:rsidRPr="004E5A6E">
              <w:rPr>
                <w:color w:val="auto"/>
                <w:sz w:val="17"/>
                <w:szCs w:val="17"/>
                <w:lang w:val="sq-AL"/>
              </w:rPr>
              <w:t>Agjenda e Reformave Evropiane</w:t>
            </w:r>
          </w:p>
        </w:tc>
        <w:tc>
          <w:tcPr>
            <w:tcW w:w="1189" w:type="pct"/>
            <w:tcBorders>
              <w:top w:val="nil"/>
              <w:left w:val="nil"/>
              <w:bottom w:val="single" w:sz="8" w:space="0" w:color="auto"/>
              <w:right w:val="single" w:sz="8" w:space="0" w:color="auto"/>
            </w:tcBorders>
            <w:shd w:val="clear" w:color="auto" w:fill="auto"/>
            <w:vAlign w:val="center"/>
            <w:hideMark/>
          </w:tcPr>
          <w:p w14:paraId="1CFE6903" w14:textId="77777777" w:rsidR="00733346" w:rsidRPr="004E5A6E" w:rsidRDefault="00733346" w:rsidP="00D6295F">
            <w:pPr>
              <w:rPr>
                <w:b/>
                <w:bCs/>
                <w:color w:val="auto"/>
                <w:sz w:val="17"/>
                <w:szCs w:val="17"/>
                <w:lang w:val="sq-AL"/>
              </w:rPr>
            </w:pPr>
            <w:r w:rsidRPr="004E5A6E">
              <w:rPr>
                <w:b/>
                <w:bCs/>
                <w:color w:val="auto"/>
                <w:sz w:val="17"/>
                <w:szCs w:val="17"/>
                <w:lang w:val="sq-AL"/>
              </w:rPr>
              <w:t>OBEZH</w:t>
            </w:r>
          </w:p>
        </w:tc>
        <w:tc>
          <w:tcPr>
            <w:tcW w:w="1708" w:type="pct"/>
            <w:tcBorders>
              <w:top w:val="nil"/>
              <w:left w:val="nil"/>
              <w:bottom w:val="single" w:sz="8" w:space="0" w:color="auto"/>
              <w:right w:val="single" w:sz="8" w:space="0" w:color="auto"/>
            </w:tcBorders>
            <w:shd w:val="clear" w:color="auto" w:fill="auto"/>
            <w:hideMark/>
          </w:tcPr>
          <w:p w14:paraId="670F6B68" w14:textId="77777777" w:rsidR="00733346" w:rsidRPr="004E5A6E" w:rsidRDefault="00733346" w:rsidP="00D6295F">
            <w:pPr>
              <w:rPr>
                <w:color w:val="auto"/>
                <w:sz w:val="17"/>
                <w:szCs w:val="17"/>
                <w:lang w:val="sq-AL"/>
              </w:rPr>
            </w:pPr>
            <w:r w:rsidRPr="004E5A6E">
              <w:rPr>
                <w:color w:val="auto"/>
                <w:sz w:val="17"/>
                <w:szCs w:val="17"/>
                <w:lang w:val="sq-AL"/>
              </w:rPr>
              <w:t>Organizata për Bashkëpunim Ekonomik dhe Zhvillim</w:t>
            </w:r>
          </w:p>
        </w:tc>
      </w:tr>
      <w:tr w:rsidR="00733346" w:rsidRPr="004E5A6E" w14:paraId="4D7F3B0D" w14:textId="77777777" w:rsidTr="00D6295F">
        <w:trPr>
          <w:trHeight w:val="20"/>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54B5BA41" w14:textId="77777777" w:rsidR="00733346" w:rsidRPr="004E5A6E" w:rsidRDefault="00733346" w:rsidP="00D6295F">
            <w:pPr>
              <w:rPr>
                <w:b/>
                <w:bCs/>
                <w:color w:val="auto"/>
                <w:sz w:val="17"/>
                <w:szCs w:val="17"/>
                <w:lang w:val="sq-AL"/>
              </w:rPr>
            </w:pPr>
            <w:r w:rsidRPr="004E5A6E">
              <w:rPr>
                <w:b/>
                <w:bCs/>
                <w:color w:val="auto"/>
                <w:sz w:val="17"/>
                <w:szCs w:val="17"/>
                <w:lang w:val="sq-AL"/>
              </w:rPr>
              <w:t>PRE</w:t>
            </w:r>
          </w:p>
        </w:tc>
        <w:tc>
          <w:tcPr>
            <w:tcW w:w="1626" w:type="pct"/>
            <w:tcBorders>
              <w:top w:val="nil"/>
              <w:left w:val="nil"/>
              <w:bottom w:val="single" w:sz="8" w:space="0" w:color="auto"/>
              <w:right w:val="single" w:sz="8" w:space="0" w:color="auto"/>
            </w:tcBorders>
            <w:shd w:val="clear" w:color="auto" w:fill="auto"/>
            <w:hideMark/>
          </w:tcPr>
          <w:p w14:paraId="5AB7239B" w14:textId="77777777" w:rsidR="00733346" w:rsidRPr="004E5A6E" w:rsidRDefault="00733346" w:rsidP="00D6295F">
            <w:pPr>
              <w:rPr>
                <w:color w:val="auto"/>
                <w:sz w:val="17"/>
                <w:szCs w:val="17"/>
                <w:lang w:val="sq-AL"/>
              </w:rPr>
            </w:pPr>
            <w:r w:rsidRPr="004E5A6E">
              <w:rPr>
                <w:color w:val="auto"/>
                <w:sz w:val="17"/>
                <w:szCs w:val="17"/>
                <w:lang w:val="sq-AL"/>
              </w:rPr>
              <w:t>Programi i Reformave Ekonomike</w:t>
            </w:r>
          </w:p>
        </w:tc>
        <w:tc>
          <w:tcPr>
            <w:tcW w:w="1189" w:type="pct"/>
            <w:tcBorders>
              <w:top w:val="nil"/>
              <w:left w:val="nil"/>
              <w:bottom w:val="single" w:sz="8" w:space="0" w:color="auto"/>
              <w:right w:val="single" w:sz="8" w:space="0" w:color="auto"/>
            </w:tcBorders>
            <w:shd w:val="clear" w:color="auto" w:fill="auto"/>
            <w:vAlign w:val="center"/>
            <w:hideMark/>
          </w:tcPr>
          <w:p w14:paraId="3EDDE2E6" w14:textId="77777777" w:rsidR="00733346" w:rsidRPr="004E5A6E" w:rsidRDefault="00733346" w:rsidP="00D6295F">
            <w:pPr>
              <w:rPr>
                <w:b/>
                <w:bCs/>
                <w:color w:val="auto"/>
                <w:sz w:val="17"/>
                <w:szCs w:val="17"/>
                <w:lang w:val="sq-AL"/>
              </w:rPr>
            </w:pPr>
            <w:r w:rsidRPr="004E5A6E">
              <w:rPr>
                <w:b/>
                <w:bCs/>
                <w:color w:val="auto"/>
                <w:sz w:val="17"/>
                <w:szCs w:val="17"/>
                <w:lang w:val="sq-AL"/>
              </w:rPr>
              <w:t>OPEC</w:t>
            </w:r>
          </w:p>
        </w:tc>
        <w:tc>
          <w:tcPr>
            <w:tcW w:w="1708" w:type="pct"/>
            <w:tcBorders>
              <w:top w:val="nil"/>
              <w:left w:val="nil"/>
              <w:bottom w:val="single" w:sz="8" w:space="0" w:color="auto"/>
              <w:right w:val="single" w:sz="8" w:space="0" w:color="auto"/>
            </w:tcBorders>
            <w:shd w:val="clear" w:color="auto" w:fill="auto"/>
            <w:hideMark/>
          </w:tcPr>
          <w:p w14:paraId="6156797B" w14:textId="77777777" w:rsidR="00733346" w:rsidRPr="004E5A6E" w:rsidRDefault="00733346" w:rsidP="00D6295F">
            <w:pPr>
              <w:rPr>
                <w:color w:val="auto"/>
                <w:sz w:val="17"/>
                <w:szCs w:val="17"/>
                <w:lang w:val="sq-AL"/>
              </w:rPr>
            </w:pPr>
            <w:r w:rsidRPr="004E5A6E">
              <w:rPr>
                <w:color w:val="auto"/>
                <w:sz w:val="17"/>
                <w:szCs w:val="17"/>
                <w:lang w:val="sq-AL"/>
              </w:rPr>
              <w:t>Organizata e Vendeve Eksportuese të Naftës</w:t>
            </w:r>
          </w:p>
        </w:tc>
      </w:tr>
      <w:tr w:rsidR="00733346" w:rsidRPr="004E5A6E" w14:paraId="0F3E9205" w14:textId="77777777" w:rsidTr="00D6295F">
        <w:trPr>
          <w:trHeight w:val="20"/>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2509339F" w14:textId="77777777" w:rsidR="00733346" w:rsidRPr="004E5A6E" w:rsidRDefault="00733346" w:rsidP="00D6295F">
            <w:pPr>
              <w:rPr>
                <w:b/>
                <w:bCs/>
                <w:color w:val="auto"/>
                <w:sz w:val="17"/>
                <w:szCs w:val="17"/>
                <w:lang w:val="sq-AL"/>
              </w:rPr>
            </w:pPr>
            <w:r w:rsidRPr="004E5A6E">
              <w:rPr>
                <w:b/>
                <w:bCs/>
                <w:color w:val="auto"/>
                <w:sz w:val="17"/>
                <w:szCs w:val="17"/>
                <w:lang w:val="sq-AL"/>
              </w:rPr>
              <w:t>BE</w:t>
            </w:r>
          </w:p>
        </w:tc>
        <w:tc>
          <w:tcPr>
            <w:tcW w:w="1626" w:type="pct"/>
            <w:tcBorders>
              <w:top w:val="nil"/>
              <w:left w:val="nil"/>
              <w:bottom w:val="single" w:sz="8" w:space="0" w:color="auto"/>
              <w:right w:val="single" w:sz="8" w:space="0" w:color="auto"/>
            </w:tcBorders>
            <w:shd w:val="clear" w:color="auto" w:fill="auto"/>
            <w:hideMark/>
          </w:tcPr>
          <w:p w14:paraId="6D0E22B1" w14:textId="77777777" w:rsidR="00733346" w:rsidRPr="004E5A6E" w:rsidRDefault="00733346" w:rsidP="00D6295F">
            <w:pPr>
              <w:rPr>
                <w:color w:val="auto"/>
                <w:sz w:val="17"/>
                <w:szCs w:val="17"/>
                <w:lang w:val="sq-AL"/>
              </w:rPr>
            </w:pPr>
            <w:r w:rsidRPr="004E5A6E">
              <w:rPr>
                <w:color w:val="auto"/>
                <w:sz w:val="17"/>
                <w:szCs w:val="17"/>
                <w:lang w:val="sq-AL"/>
              </w:rPr>
              <w:t>Bashkimi Europian</w:t>
            </w:r>
          </w:p>
        </w:tc>
        <w:tc>
          <w:tcPr>
            <w:tcW w:w="1189" w:type="pct"/>
            <w:tcBorders>
              <w:top w:val="nil"/>
              <w:left w:val="nil"/>
              <w:bottom w:val="single" w:sz="8" w:space="0" w:color="auto"/>
              <w:right w:val="single" w:sz="8" w:space="0" w:color="auto"/>
            </w:tcBorders>
            <w:shd w:val="clear" w:color="auto" w:fill="auto"/>
            <w:vAlign w:val="center"/>
            <w:hideMark/>
          </w:tcPr>
          <w:p w14:paraId="5255C886" w14:textId="77777777" w:rsidR="00733346" w:rsidRPr="004E5A6E" w:rsidRDefault="00733346" w:rsidP="00D6295F">
            <w:pPr>
              <w:rPr>
                <w:b/>
                <w:bCs/>
                <w:color w:val="auto"/>
                <w:sz w:val="17"/>
                <w:szCs w:val="17"/>
                <w:lang w:val="sq-AL"/>
              </w:rPr>
            </w:pPr>
            <w:r w:rsidRPr="004E5A6E">
              <w:rPr>
                <w:b/>
                <w:bCs/>
                <w:color w:val="auto"/>
                <w:sz w:val="17"/>
                <w:szCs w:val="17"/>
                <w:lang w:val="sq-AL"/>
              </w:rPr>
              <w:t>ZKM</w:t>
            </w:r>
          </w:p>
        </w:tc>
        <w:tc>
          <w:tcPr>
            <w:tcW w:w="1708" w:type="pct"/>
            <w:tcBorders>
              <w:top w:val="nil"/>
              <w:left w:val="nil"/>
              <w:bottom w:val="single" w:sz="8" w:space="0" w:color="auto"/>
              <w:right w:val="single" w:sz="8" w:space="0" w:color="auto"/>
            </w:tcBorders>
            <w:shd w:val="clear" w:color="auto" w:fill="auto"/>
            <w:hideMark/>
          </w:tcPr>
          <w:p w14:paraId="3FFAAFFF" w14:textId="77777777" w:rsidR="00733346" w:rsidRPr="004E5A6E" w:rsidRDefault="00733346" w:rsidP="00D6295F">
            <w:pPr>
              <w:rPr>
                <w:color w:val="auto"/>
                <w:sz w:val="17"/>
                <w:szCs w:val="17"/>
                <w:lang w:val="sq-AL"/>
              </w:rPr>
            </w:pPr>
            <w:r w:rsidRPr="004E5A6E">
              <w:rPr>
                <w:color w:val="auto"/>
                <w:sz w:val="17"/>
                <w:szCs w:val="17"/>
                <w:lang w:val="sq-AL"/>
              </w:rPr>
              <w:t>Zyra e Kryeministrit</w:t>
            </w:r>
          </w:p>
        </w:tc>
      </w:tr>
      <w:tr w:rsidR="00733346" w:rsidRPr="004E5A6E" w14:paraId="2C3FFFC0" w14:textId="77777777" w:rsidTr="00D6295F">
        <w:trPr>
          <w:trHeight w:val="20"/>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6E748F1F" w14:textId="77777777" w:rsidR="00733346" w:rsidRPr="004E5A6E" w:rsidRDefault="00733346" w:rsidP="00D6295F">
            <w:pPr>
              <w:rPr>
                <w:b/>
                <w:bCs/>
                <w:color w:val="auto"/>
                <w:sz w:val="17"/>
                <w:szCs w:val="17"/>
                <w:lang w:val="sq-AL"/>
              </w:rPr>
            </w:pPr>
            <w:r w:rsidRPr="004E5A6E">
              <w:rPr>
                <w:b/>
                <w:bCs/>
                <w:color w:val="auto"/>
                <w:sz w:val="17"/>
                <w:szCs w:val="17"/>
                <w:lang w:val="sq-AL"/>
              </w:rPr>
              <w:t>IHD</w:t>
            </w:r>
          </w:p>
        </w:tc>
        <w:tc>
          <w:tcPr>
            <w:tcW w:w="1626" w:type="pct"/>
            <w:tcBorders>
              <w:top w:val="nil"/>
              <w:left w:val="nil"/>
              <w:bottom w:val="single" w:sz="8" w:space="0" w:color="auto"/>
              <w:right w:val="single" w:sz="8" w:space="0" w:color="auto"/>
            </w:tcBorders>
            <w:shd w:val="clear" w:color="auto" w:fill="auto"/>
            <w:hideMark/>
          </w:tcPr>
          <w:p w14:paraId="08A39924" w14:textId="77777777" w:rsidR="00733346" w:rsidRPr="004E5A6E" w:rsidRDefault="00733346" w:rsidP="00D6295F">
            <w:pPr>
              <w:rPr>
                <w:color w:val="auto"/>
                <w:sz w:val="17"/>
                <w:szCs w:val="17"/>
                <w:lang w:val="sq-AL"/>
              </w:rPr>
            </w:pPr>
            <w:r w:rsidRPr="004E5A6E">
              <w:rPr>
                <w:color w:val="auto"/>
                <w:sz w:val="17"/>
                <w:szCs w:val="17"/>
                <w:lang w:val="sq-AL"/>
              </w:rPr>
              <w:t>Investime të huaja direkte</w:t>
            </w:r>
          </w:p>
        </w:tc>
        <w:tc>
          <w:tcPr>
            <w:tcW w:w="1189" w:type="pct"/>
            <w:tcBorders>
              <w:top w:val="nil"/>
              <w:left w:val="nil"/>
              <w:bottom w:val="single" w:sz="8" w:space="0" w:color="auto"/>
              <w:right w:val="single" w:sz="8" w:space="0" w:color="auto"/>
            </w:tcBorders>
            <w:shd w:val="clear" w:color="auto" w:fill="auto"/>
            <w:vAlign w:val="center"/>
            <w:hideMark/>
          </w:tcPr>
          <w:p w14:paraId="0736BDBE" w14:textId="77777777" w:rsidR="00733346" w:rsidRPr="004E5A6E" w:rsidRDefault="00733346" w:rsidP="00D6295F">
            <w:pPr>
              <w:rPr>
                <w:b/>
                <w:bCs/>
                <w:color w:val="auto"/>
                <w:sz w:val="17"/>
                <w:szCs w:val="17"/>
                <w:lang w:val="sq-AL"/>
              </w:rPr>
            </w:pPr>
            <w:r w:rsidRPr="004E5A6E">
              <w:rPr>
                <w:b/>
                <w:bCs/>
                <w:color w:val="auto"/>
                <w:sz w:val="17"/>
                <w:szCs w:val="17"/>
                <w:lang w:val="sq-AL"/>
              </w:rPr>
              <w:t>MFP</w:t>
            </w:r>
          </w:p>
        </w:tc>
        <w:tc>
          <w:tcPr>
            <w:tcW w:w="1708" w:type="pct"/>
            <w:tcBorders>
              <w:top w:val="nil"/>
              <w:left w:val="nil"/>
              <w:bottom w:val="single" w:sz="8" w:space="0" w:color="auto"/>
              <w:right w:val="single" w:sz="8" w:space="0" w:color="auto"/>
            </w:tcBorders>
            <w:shd w:val="clear" w:color="auto" w:fill="auto"/>
            <w:hideMark/>
          </w:tcPr>
          <w:p w14:paraId="5A19D652" w14:textId="77777777" w:rsidR="00733346" w:rsidRPr="004E5A6E" w:rsidRDefault="00733346" w:rsidP="00D6295F">
            <w:pPr>
              <w:rPr>
                <w:color w:val="auto"/>
                <w:sz w:val="17"/>
                <w:szCs w:val="17"/>
                <w:lang w:val="sq-AL"/>
              </w:rPr>
            </w:pPr>
            <w:r w:rsidRPr="004E5A6E">
              <w:rPr>
                <w:color w:val="auto"/>
                <w:sz w:val="17"/>
                <w:szCs w:val="17"/>
                <w:lang w:val="sq-AL"/>
              </w:rPr>
              <w:t>Menaxhimi i Financave Publike</w:t>
            </w:r>
          </w:p>
        </w:tc>
      </w:tr>
      <w:tr w:rsidR="00733346" w:rsidRPr="004E5A6E" w14:paraId="2B352372" w14:textId="77777777" w:rsidTr="00D6295F">
        <w:trPr>
          <w:trHeight w:val="20"/>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2E433B2C" w14:textId="77777777" w:rsidR="00733346" w:rsidRPr="004E5A6E" w:rsidRDefault="00733346" w:rsidP="00D6295F">
            <w:pPr>
              <w:rPr>
                <w:b/>
                <w:bCs/>
                <w:color w:val="auto"/>
                <w:sz w:val="17"/>
                <w:szCs w:val="17"/>
                <w:lang w:val="sq-AL"/>
              </w:rPr>
            </w:pPr>
            <w:r w:rsidRPr="004E5A6E">
              <w:rPr>
                <w:b/>
                <w:bCs/>
                <w:color w:val="auto"/>
                <w:sz w:val="17"/>
                <w:szCs w:val="17"/>
                <w:lang w:val="sq-AL"/>
              </w:rPr>
              <w:t>BPV</w:t>
            </w:r>
          </w:p>
        </w:tc>
        <w:tc>
          <w:tcPr>
            <w:tcW w:w="1626" w:type="pct"/>
            <w:tcBorders>
              <w:top w:val="nil"/>
              <w:left w:val="nil"/>
              <w:bottom w:val="single" w:sz="8" w:space="0" w:color="auto"/>
              <w:right w:val="single" w:sz="8" w:space="0" w:color="auto"/>
            </w:tcBorders>
            <w:shd w:val="clear" w:color="auto" w:fill="auto"/>
            <w:hideMark/>
          </w:tcPr>
          <w:p w14:paraId="6441D954" w14:textId="77777777" w:rsidR="00733346" w:rsidRPr="004E5A6E" w:rsidRDefault="00733346" w:rsidP="00D6295F">
            <w:pPr>
              <w:rPr>
                <w:color w:val="auto"/>
                <w:sz w:val="17"/>
                <w:szCs w:val="17"/>
                <w:lang w:val="sq-AL"/>
              </w:rPr>
            </w:pPr>
            <w:r w:rsidRPr="004E5A6E">
              <w:rPr>
                <w:color w:val="auto"/>
                <w:sz w:val="17"/>
                <w:szCs w:val="17"/>
                <w:lang w:val="sq-AL"/>
              </w:rPr>
              <w:t>Bruto prodhimi vendor</w:t>
            </w:r>
          </w:p>
        </w:tc>
        <w:tc>
          <w:tcPr>
            <w:tcW w:w="1189" w:type="pct"/>
            <w:tcBorders>
              <w:top w:val="nil"/>
              <w:left w:val="nil"/>
              <w:bottom w:val="single" w:sz="8" w:space="0" w:color="auto"/>
              <w:right w:val="single" w:sz="8" w:space="0" w:color="auto"/>
            </w:tcBorders>
            <w:shd w:val="clear" w:color="auto" w:fill="auto"/>
            <w:vAlign w:val="center"/>
            <w:hideMark/>
          </w:tcPr>
          <w:p w14:paraId="4D3B5D42" w14:textId="77777777" w:rsidR="00733346" w:rsidRPr="004E5A6E" w:rsidRDefault="00733346" w:rsidP="00D6295F">
            <w:pPr>
              <w:rPr>
                <w:b/>
                <w:bCs/>
                <w:color w:val="auto"/>
                <w:sz w:val="17"/>
                <w:szCs w:val="17"/>
                <w:lang w:val="sq-AL"/>
              </w:rPr>
            </w:pPr>
            <w:r w:rsidRPr="004E5A6E">
              <w:rPr>
                <w:b/>
                <w:bCs/>
                <w:color w:val="auto"/>
                <w:sz w:val="17"/>
                <w:szCs w:val="17"/>
                <w:lang w:val="sq-AL"/>
              </w:rPr>
              <w:t>PISA</w:t>
            </w:r>
          </w:p>
        </w:tc>
        <w:tc>
          <w:tcPr>
            <w:tcW w:w="1708" w:type="pct"/>
            <w:tcBorders>
              <w:top w:val="nil"/>
              <w:left w:val="nil"/>
              <w:bottom w:val="single" w:sz="8" w:space="0" w:color="auto"/>
              <w:right w:val="single" w:sz="8" w:space="0" w:color="auto"/>
            </w:tcBorders>
            <w:shd w:val="clear" w:color="auto" w:fill="auto"/>
            <w:hideMark/>
          </w:tcPr>
          <w:p w14:paraId="79757C79" w14:textId="77777777" w:rsidR="00733346" w:rsidRPr="004E5A6E" w:rsidRDefault="00733346" w:rsidP="00D6295F">
            <w:pPr>
              <w:rPr>
                <w:color w:val="auto"/>
                <w:sz w:val="17"/>
                <w:szCs w:val="17"/>
                <w:lang w:val="sq-AL"/>
              </w:rPr>
            </w:pPr>
            <w:r w:rsidRPr="004E5A6E">
              <w:rPr>
                <w:color w:val="auto"/>
                <w:sz w:val="17"/>
                <w:szCs w:val="17"/>
                <w:lang w:val="sq-AL"/>
              </w:rPr>
              <w:t>Programi për Vlerësimin Ndërkombëtar të Nxënësve</w:t>
            </w:r>
          </w:p>
        </w:tc>
      </w:tr>
      <w:tr w:rsidR="00733346" w:rsidRPr="004E5A6E" w14:paraId="433C6D57" w14:textId="77777777" w:rsidTr="00D6295F">
        <w:trPr>
          <w:trHeight w:val="20"/>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309D9F10" w14:textId="77777777" w:rsidR="00733346" w:rsidRPr="004E5A6E" w:rsidRDefault="00733346" w:rsidP="00D6295F">
            <w:pPr>
              <w:rPr>
                <w:b/>
                <w:bCs/>
                <w:color w:val="auto"/>
                <w:sz w:val="17"/>
                <w:szCs w:val="17"/>
                <w:lang w:val="sq-AL"/>
              </w:rPr>
            </w:pPr>
            <w:r w:rsidRPr="004E5A6E">
              <w:rPr>
                <w:b/>
                <w:bCs/>
                <w:color w:val="auto"/>
                <w:sz w:val="17"/>
                <w:szCs w:val="17"/>
                <w:lang w:val="sq-AL"/>
              </w:rPr>
              <w:t>QK</w:t>
            </w:r>
          </w:p>
        </w:tc>
        <w:tc>
          <w:tcPr>
            <w:tcW w:w="1626" w:type="pct"/>
            <w:tcBorders>
              <w:top w:val="nil"/>
              <w:left w:val="nil"/>
              <w:bottom w:val="single" w:sz="8" w:space="0" w:color="auto"/>
              <w:right w:val="single" w:sz="8" w:space="0" w:color="auto"/>
            </w:tcBorders>
            <w:shd w:val="clear" w:color="auto" w:fill="auto"/>
            <w:hideMark/>
          </w:tcPr>
          <w:p w14:paraId="29EBE9B4" w14:textId="77777777" w:rsidR="00733346" w:rsidRPr="004E5A6E" w:rsidRDefault="00733346" w:rsidP="00D6295F">
            <w:pPr>
              <w:rPr>
                <w:color w:val="auto"/>
                <w:sz w:val="17"/>
                <w:szCs w:val="17"/>
                <w:lang w:val="sq-AL"/>
              </w:rPr>
            </w:pPr>
            <w:r w:rsidRPr="004E5A6E">
              <w:rPr>
                <w:color w:val="auto"/>
                <w:sz w:val="17"/>
                <w:szCs w:val="17"/>
                <w:lang w:val="sq-AL"/>
              </w:rPr>
              <w:t>Qeveria e Kosovës</w:t>
            </w:r>
          </w:p>
        </w:tc>
        <w:tc>
          <w:tcPr>
            <w:tcW w:w="1189" w:type="pct"/>
            <w:tcBorders>
              <w:top w:val="nil"/>
              <w:left w:val="nil"/>
              <w:bottom w:val="single" w:sz="8" w:space="0" w:color="auto"/>
              <w:right w:val="single" w:sz="8" w:space="0" w:color="auto"/>
            </w:tcBorders>
            <w:shd w:val="clear" w:color="auto" w:fill="auto"/>
            <w:vAlign w:val="center"/>
            <w:hideMark/>
          </w:tcPr>
          <w:p w14:paraId="5A715D67" w14:textId="77777777" w:rsidR="00733346" w:rsidRPr="004E5A6E" w:rsidRDefault="00733346" w:rsidP="00D6295F">
            <w:pPr>
              <w:rPr>
                <w:b/>
                <w:bCs/>
                <w:color w:val="auto"/>
                <w:sz w:val="17"/>
                <w:szCs w:val="17"/>
                <w:lang w:val="sq-AL"/>
              </w:rPr>
            </w:pPr>
            <w:r w:rsidRPr="004E5A6E">
              <w:rPr>
                <w:b/>
                <w:bCs/>
                <w:color w:val="auto"/>
                <w:sz w:val="17"/>
                <w:szCs w:val="17"/>
                <w:lang w:val="sq-AL"/>
              </w:rPr>
              <w:t>KRPP</w:t>
            </w:r>
          </w:p>
        </w:tc>
        <w:tc>
          <w:tcPr>
            <w:tcW w:w="1708" w:type="pct"/>
            <w:tcBorders>
              <w:top w:val="nil"/>
              <w:left w:val="nil"/>
              <w:bottom w:val="single" w:sz="8" w:space="0" w:color="auto"/>
              <w:right w:val="single" w:sz="8" w:space="0" w:color="auto"/>
            </w:tcBorders>
            <w:shd w:val="clear" w:color="auto" w:fill="auto"/>
            <w:hideMark/>
          </w:tcPr>
          <w:p w14:paraId="4A192F67" w14:textId="77777777" w:rsidR="00733346" w:rsidRPr="004E5A6E" w:rsidRDefault="00733346" w:rsidP="00D6295F">
            <w:pPr>
              <w:rPr>
                <w:color w:val="auto"/>
                <w:sz w:val="17"/>
                <w:szCs w:val="17"/>
                <w:lang w:val="sq-AL"/>
              </w:rPr>
            </w:pPr>
            <w:r w:rsidRPr="004E5A6E">
              <w:rPr>
                <w:color w:val="auto"/>
                <w:sz w:val="17"/>
                <w:szCs w:val="17"/>
                <w:lang w:val="sq-AL"/>
              </w:rPr>
              <w:t>Komisioni Rregullativ i Prokurimit Publik</w:t>
            </w:r>
          </w:p>
        </w:tc>
      </w:tr>
      <w:tr w:rsidR="00733346" w:rsidRPr="004E5A6E" w14:paraId="6414CA00" w14:textId="77777777" w:rsidTr="00D6295F">
        <w:trPr>
          <w:trHeight w:val="20"/>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003B842B" w14:textId="77777777" w:rsidR="00733346" w:rsidRPr="004E5A6E" w:rsidRDefault="00733346" w:rsidP="00D6295F">
            <w:pPr>
              <w:rPr>
                <w:b/>
                <w:bCs/>
                <w:color w:val="auto"/>
                <w:sz w:val="17"/>
                <w:szCs w:val="17"/>
                <w:lang w:val="sq-AL"/>
              </w:rPr>
            </w:pPr>
            <w:r w:rsidRPr="004E5A6E">
              <w:rPr>
                <w:b/>
                <w:bCs/>
                <w:color w:val="auto"/>
                <w:sz w:val="17"/>
                <w:szCs w:val="17"/>
                <w:lang w:val="sq-AL"/>
              </w:rPr>
              <w:t>HBS</w:t>
            </w:r>
          </w:p>
        </w:tc>
        <w:tc>
          <w:tcPr>
            <w:tcW w:w="1626" w:type="pct"/>
            <w:tcBorders>
              <w:top w:val="nil"/>
              <w:left w:val="nil"/>
              <w:bottom w:val="single" w:sz="8" w:space="0" w:color="auto"/>
              <w:right w:val="single" w:sz="8" w:space="0" w:color="auto"/>
            </w:tcBorders>
            <w:shd w:val="clear" w:color="auto" w:fill="auto"/>
            <w:hideMark/>
          </w:tcPr>
          <w:p w14:paraId="064A05C5" w14:textId="77777777" w:rsidR="00733346" w:rsidRPr="004E5A6E" w:rsidRDefault="00733346" w:rsidP="00D6295F">
            <w:pPr>
              <w:rPr>
                <w:color w:val="auto"/>
                <w:sz w:val="17"/>
                <w:szCs w:val="17"/>
                <w:lang w:val="sq-AL"/>
              </w:rPr>
            </w:pPr>
            <w:r w:rsidRPr="004E5A6E">
              <w:rPr>
                <w:color w:val="auto"/>
                <w:sz w:val="17"/>
                <w:szCs w:val="17"/>
                <w:lang w:val="sq-AL"/>
              </w:rPr>
              <w:t>Anketa e buxhetit të ekonomive familjare</w:t>
            </w:r>
          </w:p>
        </w:tc>
        <w:tc>
          <w:tcPr>
            <w:tcW w:w="1189" w:type="pct"/>
            <w:tcBorders>
              <w:top w:val="nil"/>
              <w:left w:val="nil"/>
              <w:bottom w:val="single" w:sz="8" w:space="0" w:color="auto"/>
              <w:right w:val="single" w:sz="8" w:space="0" w:color="auto"/>
            </w:tcBorders>
            <w:shd w:val="clear" w:color="auto" w:fill="auto"/>
            <w:vAlign w:val="center"/>
            <w:hideMark/>
          </w:tcPr>
          <w:p w14:paraId="60CC071F" w14:textId="77777777" w:rsidR="00733346" w:rsidRPr="004E5A6E" w:rsidRDefault="00733346" w:rsidP="00D6295F">
            <w:pPr>
              <w:rPr>
                <w:b/>
                <w:bCs/>
                <w:color w:val="auto"/>
                <w:sz w:val="17"/>
                <w:szCs w:val="17"/>
                <w:lang w:val="sq-AL"/>
              </w:rPr>
            </w:pPr>
            <w:r w:rsidRPr="004E5A6E">
              <w:rPr>
                <w:b/>
                <w:bCs/>
                <w:color w:val="auto"/>
                <w:sz w:val="17"/>
                <w:szCs w:val="17"/>
                <w:lang w:val="sq-AL"/>
              </w:rPr>
              <w:t>KREK</w:t>
            </w:r>
          </w:p>
        </w:tc>
        <w:tc>
          <w:tcPr>
            <w:tcW w:w="1708" w:type="pct"/>
            <w:tcBorders>
              <w:top w:val="nil"/>
              <w:left w:val="nil"/>
              <w:bottom w:val="single" w:sz="8" w:space="0" w:color="auto"/>
              <w:right w:val="single" w:sz="8" w:space="0" w:color="auto"/>
            </w:tcBorders>
            <w:shd w:val="clear" w:color="auto" w:fill="auto"/>
            <w:hideMark/>
          </w:tcPr>
          <w:p w14:paraId="0E3A0D16" w14:textId="77777777" w:rsidR="00733346" w:rsidRPr="004E5A6E" w:rsidRDefault="00733346" w:rsidP="00D6295F">
            <w:pPr>
              <w:rPr>
                <w:color w:val="auto"/>
                <w:sz w:val="17"/>
                <w:szCs w:val="17"/>
                <w:lang w:val="sq-AL"/>
              </w:rPr>
            </w:pPr>
            <w:r w:rsidRPr="004E5A6E">
              <w:rPr>
                <w:color w:val="auto"/>
                <w:sz w:val="17"/>
                <w:szCs w:val="17"/>
                <w:lang w:val="sq-AL"/>
              </w:rPr>
              <w:t>Kursi real efektiv i këmbimit</w:t>
            </w:r>
          </w:p>
        </w:tc>
      </w:tr>
      <w:tr w:rsidR="00733346" w:rsidRPr="004E5A6E" w14:paraId="4311C3F2" w14:textId="77777777" w:rsidTr="00D6295F">
        <w:trPr>
          <w:trHeight w:val="20"/>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0C964702" w14:textId="77777777" w:rsidR="00733346" w:rsidRPr="004E5A6E" w:rsidRDefault="00733346" w:rsidP="00D6295F">
            <w:pPr>
              <w:rPr>
                <w:b/>
                <w:bCs/>
                <w:color w:val="auto"/>
                <w:sz w:val="17"/>
                <w:szCs w:val="17"/>
                <w:lang w:val="sq-AL"/>
              </w:rPr>
            </w:pPr>
            <w:r w:rsidRPr="004E5A6E">
              <w:rPr>
                <w:b/>
                <w:bCs/>
                <w:color w:val="auto"/>
                <w:sz w:val="17"/>
                <w:szCs w:val="17"/>
                <w:lang w:val="sq-AL"/>
              </w:rPr>
              <w:t>AL</w:t>
            </w:r>
          </w:p>
        </w:tc>
        <w:tc>
          <w:tcPr>
            <w:tcW w:w="1626" w:type="pct"/>
            <w:tcBorders>
              <w:top w:val="nil"/>
              <w:left w:val="nil"/>
              <w:bottom w:val="single" w:sz="8" w:space="0" w:color="auto"/>
              <w:right w:val="single" w:sz="8" w:space="0" w:color="auto"/>
            </w:tcBorders>
            <w:shd w:val="clear" w:color="auto" w:fill="auto"/>
            <w:hideMark/>
          </w:tcPr>
          <w:p w14:paraId="7C2EC581" w14:textId="77777777" w:rsidR="00733346" w:rsidRPr="004E5A6E" w:rsidRDefault="00733346" w:rsidP="00D6295F">
            <w:pPr>
              <w:rPr>
                <w:color w:val="auto"/>
                <w:sz w:val="17"/>
                <w:szCs w:val="17"/>
                <w:lang w:val="sq-AL"/>
              </w:rPr>
            </w:pPr>
            <w:r w:rsidRPr="004E5A6E">
              <w:rPr>
                <w:color w:val="auto"/>
                <w:sz w:val="17"/>
                <w:szCs w:val="17"/>
                <w:lang w:val="sq-AL"/>
              </w:rPr>
              <w:t>Arsimi i lartë</w:t>
            </w:r>
          </w:p>
        </w:tc>
        <w:tc>
          <w:tcPr>
            <w:tcW w:w="1189" w:type="pct"/>
            <w:tcBorders>
              <w:top w:val="nil"/>
              <w:left w:val="nil"/>
              <w:bottom w:val="single" w:sz="8" w:space="0" w:color="auto"/>
              <w:right w:val="single" w:sz="8" w:space="0" w:color="auto"/>
            </w:tcBorders>
            <w:shd w:val="clear" w:color="auto" w:fill="auto"/>
            <w:vAlign w:val="center"/>
            <w:hideMark/>
          </w:tcPr>
          <w:p w14:paraId="295BE565" w14:textId="77777777" w:rsidR="00733346" w:rsidRPr="004E5A6E" w:rsidRDefault="00733346" w:rsidP="00D6295F">
            <w:pPr>
              <w:rPr>
                <w:b/>
                <w:bCs/>
                <w:color w:val="auto"/>
                <w:sz w:val="17"/>
                <w:szCs w:val="17"/>
                <w:lang w:val="sq-AL"/>
              </w:rPr>
            </w:pPr>
            <w:r w:rsidRPr="004E5A6E">
              <w:rPr>
                <w:b/>
                <w:bCs/>
                <w:color w:val="auto"/>
                <w:sz w:val="17"/>
                <w:szCs w:val="17"/>
                <w:lang w:val="sq-AL"/>
              </w:rPr>
              <w:t>BRE</w:t>
            </w:r>
          </w:p>
        </w:tc>
        <w:tc>
          <w:tcPr>
            <w:tcW w:w="1708" w:type="pct"/>
            <w:tcBorders>
              <w:top w:val="nil"/>
              <w:left w:val="nil"/>
              <w:bottom w:val="single" w:sz="8" w:space="0" w:color="auto"/>
              <w:right w:val="single" w:sz="8" w:space="0" w:color="auto"/>
            </w:tcBorders>
            <w:shd w:val="clear" w:color="auto" w:fill="auto"/>
            <w:hideMark/>
          </w:tcPr>
          <w:p w14:paraId="457C0D29" w14:textId="77777777" w:rsidR="00733346" w:rsidRPr="004E5A6E" w:rsidRDefault="00733346" w:rsidP="00D6295F">
            <w:pPr>
              <w:rPr>
                <w:color w:val="auto"/>
                <w:sz w:val="17"/>
                <w:szCs w:val="17"/>
                <w:lang w:val="sq-AL"/>
              </w:rPr>
            </w:pPr>
            <w:r w:rsidRPr="004E5A6E">
              <w:rPr>
                <w:color w:val="auto"/>
                <w:sz w:val="17"/>
                <w:szCs w:val="17"/>
                <w:lang w:val="sq-AL"/>
              </w:rPr>
              <w:t>Burimet e Ripërtëritshme të Energjisë</w:t>
            </w:r>
          </w:p>
        </w:tc>
      </w:tr>
      <w:tr w:rsidR="00733346" w:rsidRPr="004E5A6E" w14:paraId="2E95B7CE" w14:textId="77777777" w:rsidTr="00D6295F">
        <w:trPr>
          <w:trHeight w:val="20"/>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1B9703E4" w14:textId="77777777" w:rsidR="00733346" w:rsidRPr="004E5A6E" w:rsidRDefault="00733346" w:rsidP="00D6295F">
            <w:pPr>
              <w:rPr>
                <w:b/>
                <w:bCs/>
                <w:color w:val="auto"/>
                <w:sz w:val="17"/>
                <w:szCs w:val="17"/>
                <w:lang w:val="sq-AL"/>
              </w:rPr>
            </w:pPr>
            <w:r w:rsidRPr="004E5A6E">
              <w:rPr>
                <w:b/>
                <w:bCs/>
                <w:color w:val="auto"/>
                <w:sz w:val="17"/>
                <w:szCs w:val="17"/>
                <w:lang w:val="sq-AL"/>
              </w:rPr>
              <w:t>IAL</w:t>
            </w:r>
          </w:p>
        </w:tc>
        <w:tc>
          <w:tcPr>
            <w:tcW w:w="1626" w:type="pct"/>
            <w:tcBorders>
              <w:top w:val="nil"/>
              <w:left w:val="nil"/>
              <w:bottom w:val="single" w:sz="8" w:space="0" w:color="auto"/>
              <w:right w:val="single" w:sz="8" w:space="0" w:color="auto"/>
            </w:tcBorders>
            <w:shd w:val="clear" w:color="auto" w:fill="auto"/>
            <w:hideMark/>
          </w:tcPr>
          <w:p w14:paraId="0B7D07AA" w14:textId="77777777" w:rsidR="00733346" w:rsidRPr="004E5A6E" w:rsidRDefault="00733346" w:rsidP="00D6295F">
            <w:pPr>
              <w:rPr>
                <w:color w:val="auto"/>
                <w:sz w:val="17"/>
                <w:szCs w:val="17"/>
                <w:lang w:val="sq-AL"/>
              </w:rPr>
            </w:pPr>
            <w:r w:rsidRPr="004E5A6E">
              <w:rPr>
                <w:color w:val="auto"/>
                <w:sz w:val="17"/>
                <w:szCs w:val="17"/>
                <w:lang w:val="sq-AL"/>
              </w:rPr>
              <w:t>Institucionet e arsimit të lartë</w:t>
            </w:r>
          </w:p>
        </w:tc>
        <w:tc>
          <w:tcPr>
            <w:tcW w:w="1189" w:type="pct"/>
            <w:tcBorders>
              <w:top w:val="nil"/>
              <w:left w:val="nil"/>
              <w:bottom w:val="single" w:sz="8" w:space="0" w:color="auto"/>
              <w:right w:val="single" w:sz="8" w:space="0" w:color="auto"/>
            </w:tcBorders>
            <w:shd w:val="clear" w:color="auto" w:fill="auto"/>
            <w:vAlign w:val="center"/>
            <w:hideMark/>
          </w:tcPr>
          <w:p w14:paraId="569BC352" w14:textId="77777777" w:rsidR="00733346" w:rsidRPr="004E5A6E" w:rsidRDefault="00733346" w:rsidP="00D6295F">
            <w:pPr>
              <w:rPr>
                <w:b/>
                <w:bCs/>
                <w:color w:val="auto"/>
                <w:sz w:val="17"/>
                <w:szCs w:val="17"/>
                <w:lang w:val="sq-AL"/>
              </w:rPr>
            </w:pPr>
            <w:r w:rsidRPr="004E5A6E">
              <w:rPr>
                <w:b/>
                <w:bCs/>
                <w:color w:val="auto"/>
                <w:sz w:val="17"/>
                <w:szCs w:val="17"/>
                <w:lang w:val="sq-AL"/>
              </w:rPr>
              <w:t>KZHI</w:t>
            </w:r>
          </w:p>
        </w:tc>
        <w:tc>
          <w:tcPr>
            <w:tcW w:w="1708" w:type="pct"/>
            <w:tcBorders>
              <w:top w:val="nil"/>
              <w:left w:val="nil"/>
              <w:bottom w:val="single" w:sz="8" w:space="0" w:color="auto"/>
              <w:right w:val="single" w:sz="8" w:space="0" w:color="auto"/>
            </w:tcBorders>
            <w:shd w:val="clear" w:color="auto" w:fill="auto"/>
            <w:hideMark/>
          </w:tcPr>
          <w:p w14:paraId="30A11454" w14:textId="77777777" w:rsidR="00733346" w:rsidRPr="004E5A6E" w:rsidRDefault="00733346" w:rsidP="00D6295F">
            <w:pPr>
              <w:rPr>
                <w:color w:val="auto"/>
                <w:sz w:val="17"/>
                <w:szCs w:val="17"/>
                <w:lang w:val="sq-AL"/>
              </w:rPr>
            </w:pPr>
            <w:r w:rsidRPr="004E5A6E">
              <w:rPr>
                <w:color w:val="auto"/>
                <w:sz w:val="17"/>
                <w:szCs w:val="17"/>
                <w:lang w:val="sq-AL"/>
              </w:rPr>
              <w:t>Kërkimi, Zhvillimi dhe Inovacioni</w:t>
            </w:r>
          </w:p>
        </w:tc>
      </w:tr>
      <w:tr w:rsidR="00733346" w:rsidRPr="004E5A6E" w14:paraId="21A0C6F3" w14:textId="77777777" w:rsidTr="00D6295F">
        <w:trPr>
          <w:trHeight w:val="20"/>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40B912C8" w14:textId="77777777" w:rsidR="00733346" w:rsidRPr="004E5A6E" w:rsidRDefault="00733346" w:rsidP="00D6295F">
            <w:pPr>
              <w:rPr>
                <w:b/>
                <w:bCs/>
                <w:color w:val="auto"/>
                <w:sz w:val="17"/>
                <w:szCs w:val="17"/>
                <w:lang w:val="sq-AL"/>
              </w:rPr>
            </w:pPr>
            <w:r w:rsidRPr="004E5A6E">
              <w:rPr>
                <w:b/>
                <w:bCs/>
                <w:color w:val="auto"/>
                <w:sz w:val="17"/>
                <w:szCs w:val="17"/>
                <w:lang w:val="sq-AL"/>
              </w:rPr>
              <w:t>SIMAL</w:t>
            </w:r>
          </w:p>
        </w:tc>
        <w:tc>
          <w:tcPr>
            <w:tcW w:w="1626" w:type="pct"/>
            <w:tcBorders>
              <w:top w:val="nil"/>
              <w:left w:val="nil"/>
              <w:bottom w:val="single" w:sz="8" w:space="0" w:color="auto"/>
              <w:right w:val="single" w:sz="8" w:space="0" w:color="auto"/>
            </w:tcBorders>
            <w:shd w:val="clear" w:color="auto" w:fill="auto"/>
            <w:hideMark/>
          </w:tcPr>
          <w:p w14:paraId="17125E4C" w14:textId="77777777" w:rsidR="00733346" w:rsidRPr="004E5A6E" w:rsidRDefault="00733346" w:rsidP="00D6295F">
            <w:pPr>
              <w:rPr>
                <w:color w:val="auto"/>
                <w:sz w:val="17"/>
                <w:szCs w:val="17"/>
                <w:lang w:val="sq-AL"/>
              </w:rPr>
            </w:pPr>
            <w:r w:rsidRPr="004E5A6E">
              <w:rPr>
                <w:color w:val="auto"/>
                <w:sz w:val="17"/>
                <w:szCs w:val="17"/>
                <w:lang w:val="sq-AL"/>
              </w:rPr>
              <w:t>Sistemi informativ për menaxhimin e arsimit të lartë</w:t>
            </w:r>
          </w:p>
        </w:tc>
        <w:tc>
          <w:tcPr>
            <w:tcW w:w="1189" w:type="pct"/>
            <w:tcBorders>
              <w:top w:val="nil"/>
              <w:left w:val="nil"/>
              <w:bottom w:val="single" w:sz="8" w:space="0" w:color="auto"/>
              <w:right w:val="single" w:sz="8" w:space="0" w:color="auto"/>
            </w:tcBorders>
            <w:shd w:val="clear" w:color="auto" w:fill="auto"/>
            <w:vAlign w:val="center"/>
            <w:hideMark/>
          </w:tcPr>
          <w:p w14:paraId="36B842B5" w14:textId="77777777" w:rsidR="00733346" w:rsidRPr="004E5A6E" w:rsidRDefault="00733346" w:rsidP="00D6295F">
            <w:pPr>
              <w:rPr>
                <w:b/>
                <w:bCs/>
                <w:color w:val="auto"/>
                <w:sz w:val="17"/>
                <w:szCs w:val="17"/>
                <w:lang w:val="sq-AL"/>
              </w:rPr>
            </w:pPr>
            <w:r w:rsidRPr="004E5A6E">
              <w:rPr>
                <w:b/>
                <w:bCs/>
                <w:color w:val="auto"/>
                <w:sz w:val="17"/>
                <w:szCs w:val="17"/>
                <w:lang w:val="sq-AL"/>
              </w:rPr>
              <w:t>SEED</w:t>
            </w:r>
          </w:p>
        </w:tc>
        <w:tc>
          <w:tcPr>
            <w:tcW w:w="1708" w:type="pct"/>
            <w:tcBorders>
              <w:top w:val="nil"/>
              <w:left w:val="nil"/>
              <w:bottom w:val="single" w:sz="8" w:space="0" w:color="auto"/>
              <w:right w:val="single" w:sz="8" w:space="0" w:color="auto"/>
            </w:tcBorders>
            <w:shd w:val="clear" w:color="auto" w:fill="auto"/>
            <w:hideMark/>
          </w:tcPr>
          <w:p w14:paraId="55E3DCF7" w14:textId="77777777" w:rsidR="00733346" w:rsidRPr="004E5A6E" w:rsidRDefault="00733346" w:rsidP="00D6295F">
            <w:pPr>
              <w:rPr>
                <w:color w:val="auto"/>
                <w:sz w:val="17"/>
                <w:szCs w:val="17"/>
                <w:lang w:val="sq-AL"/>
              </w:rPr>
            </w:pPr>
            <w:r w:rsidRPr="004E5A6E">
              <w:rPr>
                <w:color w:val="auto"/>
                <w:sz w:val="17"/>
                <w:szCs w:val="17"/>
                <w:lang w:val="sq-AL"/>
              </w:rPr>
              <w:t>Kualifikimet e harmonizuara të shoferëve profesionistë të Evropës Juglindore</w:t>
            </w:r>
          </w:p>
        </w:tc>
      </w:tr>
      <w:tr w:rsidR="00733346" w:rsidRPr="004E5A6E" w14:paraId="407EA372" w14:textId="77777777" w:rsidTr="00D6295F">
        <w:trPr>
          <w:trHeight w:val="20"/>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2FFD1C3D" w14:textId="77777777" w:rsidR="00733346" w:rsidRPr="004E5A6E" w:rsidRDefault="00733346" w:rsidP="00D6295F">
            <w:pPr>
              <w:rPr>
                <w:b/>
                <w:bCs/>
                <w:color w:val="auto"/>
                <w:sz w:val="17"/>
                <w:szCs w:val="17"/>
                <w:lang w:val="sq-AL"/>
              </w:rPr>
            </w:pPr>
            <w:r w:rsidRPr="004E5A6E">
              <w:rPr>
                <w:b/>
                <w:bCs/>
                <w:color w:val="auto"/>
                <w:sz w:val="17"/>
                <w:szCs w:val="17"/>
                <w:lang w:val="sq-AL"/>
              </w:rPr>
              <w:t>HHI</w:t>
            </w:r>
          </w:p>
        </w:tc>
        <w:tc>
          <w:tcPr>
            <w:tcW w:w="1626" w:type="pct"/>
            <w:tcBorders>
              <w:top w:val="nil"/>
              <w:left w:val="nil"/>
              <w:bottom w:val="single" w:sz="8" w:space="0" w:color="auto"/>
              <w:right w:val="single" w:sz="8" w:space="0" w:color="auto"/>
            </w:tcBorders>
            <w:shd w:val="clear" w:color="auto" w:fill="auto"/>
            <w:vAlign w:val="center"/>
            <w:hideMark/>
          </w:tcPr>
          <w:p w14:paraId="1C312056" w14:textId="77777777" w:rsidR="00733346" w:rsidRPr="004E5A6E" w:rsidRDefault="00733346" w:rsidP="00D6295F">
            <w:pPr>
              <w:rPr>
                <w:color w:val="auto"/>
                <w:sz w:val="17"/>
                <w:szCs w:val="17"/>
                <w:lang w:val="sq-AL"/>
              </w:rPr>
            </w:pPr>
            <w:r w:rsidRPr="004E5A6E">
              <w:rPr>
                <w:color w:val="auto"/>
                <w:sz w:val="17"/>
                <w:szCs w:val="17"/>
                <w:lang w:val="sq-AL"/>
              </w:rPr>
              <w:t xml:space="preserve">Indeksi Herfindahl- Hirschman </w:t>
            </w:r>
          </w:p>
        </w:tc>
        <w:tc>
          <w:tcPr>
            <w:tcW w:w="1189" w:type="pct"/>
            <w:tcBorders>
              <w:top w:val="nil"/>
              <w:left w:val="nil"/>
              <w:bottom w:val="single" w:sz="8" w:space="0" w:color="auto"/>
              <w:right w:val="single" w:sz="8" w:space="0" w:color="auto"/>
            </w:tcBorders>
            <w:shd w:val="clear" w:color="auto" w:fill="auto"/>
            <w:vAlign w:val="center"/>
            <w:hideMark/>
          </w:tcPr>
          <w:p w14:paraId="23B2445B" w14:textId="77777777" w:rsidR="00733346" w:rsidRPr="004E5A6E" w:rsidRDefault="00733346" w:rsidP="00D6295F">
            <w:pPr>
              <w:rPr>
                <w:b/>
                <w:bCs/>
                <w:color w:val="auto"/>
                <w:sz w:val="17"/>
                <w:szCs w:val="17"/>
                <w:lang w:val="sq-AL"/>
              </w:rPr>
            </w:pPr>
            <w:r w:rsidRPr="004E5A6E">
              <w:rPr>
                <w:b/>
                <w:bCs/>
                <w:color w:val="auto"/>
                <w:sz w:val="17"/>
                <w:szCs w:val="17"/>
                <w:lang w:val="sq-AL"/>
              </w:rPr>
              <w:t>SEETO</w:t>
            </w:r>
          </w:p>
        </w:tc>
        <w:tc>
          <w:tcPr>
            <w:tcW w:w="1708" w:type="pct"/>
            <w:tcBorders>
              <w:top w:val="nil"/>
              <w:left w:val="nil"/>
              <w:bottom w:val="single" w:sz="8" w:space="0" w:color="auto"/>
              <w:right w:val="single" w:sz="8" w:space="0" w:color="auto"/>
            </w:tcBorders>
            <w:shd w:val="clear" w:color="auto" w:fill="auto"/>
            <w:hideMark/>
          </w:tcPr>
          <w:p w14:paraId="08F52AFB" w14:textId="77777777" w:rsidR="00733346" w:rsidRPr="004E5A6E" w:rsidRDefault="00733346" w:rsidP="00D6295F">
            <w:pPr>
              <w:rPr>
                <w:color w:val="auto"/>
                <w:sz w:val="17"/>
                <w:szCs w:val="17"/>
                <w:lang w:val="sq-AL"/>
              </w:rPr>
            </w:pPr>
            <w:r w:rsidRPr="004E5A6E">
              <w:rPr>
                <w:color w:val="auto"/>
                <w:sz w:val="17"/>
                <w:szCs w:val="17"/>
                <w:lang w:val="sq-AL"/>
              </w:rPr>
              <w:t>Observatori i Transportit të Evropës Juglindore</w:t>
            </w:r>
          </w:p>
        </w:tc>
      </w:tr>
      <w:tr w:rsidR="00733346" w:rsidRPr="004E5A6E" w14:paraId="77966280" w14:textId="77777777" w:rsidTr="00D6295F">
        <w:trPr>
          <w:trHeight w:val="20"/>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55511219" w14:textId="77777777" w:rsidR="00733346" w:rsidRPr="004E5A6E" w:rsidRDefault="00733346" w:rsidP="00D6295F">
            <w:pPr>
              <w:rPr>
                <w:b/>
                <w:bCs/>
                <w:color w:val="auto"/>
                <w:sz w:val="17"/>
                <w:szCs w:val="17"/>
                <w:lang w:val="sq-AL"/>
              </w:rPr>
            </w:pPr>
            <w:r w:rsidRPr="004E5A6E">
              <w:rPr>
                <w:b/>
                <w:bCs/>
                <w:color w:val="auto"/>
                <w:sz w:val="17"/>
                <w:szCs w:val="17"/>
                <w:lang w:val="sq-AL"/>
              </w:rPr>
              <w:t>IFN</w:t>
            </w:r>
          </w:p>
        </w:tc>
        <w:tc>
          <w:tcPr>
            <w:tcW w:w="1626" w:type="pct"/>
            <w:tcBorders>
              <w:top w:val="nil"/>
              <w:left w:val="nil"/>
              <w:bottom w:val="single" w:sz="8" w:space="0" w:color="auto"/>
              <w:right w:val="single" w:sz="8" w:space="0" w:color="auto"/>
            </w:tcBorders>
            <w:shd w:val="clear" w:color="auto" w:fill="auto"/>
            <w:vAlign w:val="center"/>
            <w:hideMark/>
          </w:tcPr>
          <w:p w14:paraId="22302013" w14:textId="77777777" w:rsidR="00733346" w:rsidRPr="004E5A6E" w:rsidRDefault="00733346" w:rsidP="00D6295F">
            <w:pPr>
              <w:rPr>
                <w:color w:val="auto"/>
                <w:sz w:val="17"/>
                <w:szCs w:val="17"/>
                <w:lang w:val="sq-AL"/>
              </w:rPr>
            </w:pPr>
            <w:r w:rsidRPr="004E5A6E">
              <w:rPr>
                <w:color w:val="auto"/>
                <w:sz w:val="17"/>
                <w:szCs w:val="17"/>
                <w:lang w:val="sq-AL"/>
              </w:rPr>
              <w:t>Institucionet financiare ndërkombëtare</w:t>
            </w:r>
          </w:p>
        </w:tc>
        <w:tc>
          <w:tcPr>
            <w:tcW w:w="1189" w:type="pct"/>
            <w:tcBorders>
              <w:top w:val="nil"/>
              <w:left w:val="nil"/>
              <w:bottom w:val="single" w:sz="8" w:space="0" w:color="auto"/>
              <w:right w:val="single" w:sz="8" w:space="0" w:color="auto"/>
            </w:tcBorders>
            <w:shd w:val="clear" w:color="auto" w:fill="auto"/>
            <w:vAlign w:val="center"/>
            <w:hideMark/>
          </w:tcPr>
          <w:p w14:paraId="2B4B4E52" w14:textId="77777777" w:rsidR="00733346" w:rsidRPr="004E5A6E" w:rsidRDefault="00733346" w:rsidP="00D6295F">
            <w:pPr>
              <w:rPr>
                <w:b/>
                <w:bCs/>
                <w:color w:val="auto"/>
                <w:sz w:val="17"/>
                <w:szCs w:val="17"/>
                <w:lang w:val="sq-AL"/>
              </w:rPr>
            </w:pPr>
            <w:r w:rsidRPr="004E5A6E">
              <w:rPr>
                <w:b/>
                <w:bCs/>
                <w:color w:val="auto"/>
                <w:sz w:val="17"/>
                <w:szCs w:val="17"/>
                <w:lang w:val="sq-AL"/>
              </w:rPr>
              <w:t xml:space="preserve">SIDA </w:t>
            </w:r>
          </w:p>
        </w:tc>
        <w:tc>
          <w:tcPr>
            <w:tcW w:w="1708" w:type="pct"/>
            <w:tcBorders>
              <w:top w:val="nil"/>
              <w:left w:val="nil"/>
              <w:bottom w:val="single" w:sz="8" w:space="0" w:color="auto"/>
              <w:right w:val="single" w:sz="8" w:space="0" w:color="auto"/>
            </w:tcBorders>
            <w:shd w:val="clear" w:color="auto" w:fill="auto"/>
            <w:hideMark/>
          </w:tcPr>
          <w:p w14:paraId="03087C54" w14:textId="77777777" w:rsidR="00733346" w:rsidRPr="004E5A6E" w:rsidRDefault="00733346" w:rsidP="00D6295F">
            <w:pPr>
              <w:rPr>
                <w:color w:val="auto"/>
                <w:sz w:val="17"/>
                <w:szCs w:val="17"/>
                <w:lang w:val="sq-AL"/>
              </w:rPr>
            </w:pPr>
            <w:r w:rsidRPr="004E5A6E">
              <w:rPr>
                <w:color w:val="auto"/>
                <w:sz w:val="17"/>
                <w:szCs w:val="17"/>
                <w:lang w:val="sq-AL"/>
              </w:rPr>
              <w:t>Agjencia Suedeze për Zhvillim Ndërkombëtar</w:t>
            </w:r>
          </w:p>
        </w:tc>
      </w:tr>
      <w:tr w:rsidR="00733346" w:rsidRPr="004E5A6E" w14:paraId="1A8DECC8" w14:textId="77777777" w:rsidTr="00D6295F">
        <w:trPr>
          <w:trHeight w:val="20"/>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5F4DCD59" w14:textId="77777777" w:rsidR="00733346" w:rsidRPr="004E5A6E" w:rsidRDefault="00733346" w:rsidP="00D6295F">
            <w:pPr>
              <w:rPr>
                <w:b/>
                <w:bCs/>
                <w:color w:val="auto"/>
                <w:sz w:val="17"/>
                <w:szCs w:val="17"/>
                <w:lang w:val="sq-AL"/>
              </w:rPr>
            </w:pPr>
            <w:r w:rsidRPr="004E5A6E">
              <w:rPr>
                <w:b/>
                <w:bCs/>
                <w:color w:val="auto"/>
                <w:sz w:val="17"/>
                <w:szCs w:val="17"/>
                <w:lang w:val="sq-AL"/>
              </w:rPr>
              <w:t xml:space="preserve">IMF </w:t>
            </w:r>
          </w:p>
        </w:tc>
        <w:tc>
          <w:tcPr>
            <w:tcW w:w="1626" w:type="pct"/>
            <w:tcBorders>
              <w:top w:val="nil"/>
              <w:left w:val="nil"/>
              <w:bottom w:val="single" w:sz="8" w:space="0" w:color="auto"/>
              <w:right w:val="single" w:sz="8" w:space="0" w:color="auto"/>
            </w:tcBorders>
            <w:shd w:val="clear" w:color="auto" w:fill="auto"/>
            <w:hideMark/>
          </w:tcPr>
          <w:p w14:paraId="46CBC20C" w14:textId="77777777" w:rsidR="00733346" w:rsidRPr="004E5A6E" w:rsidRDefault="00733346" w:rsidP="00D6295F">
            <w:pPr>
              <w:rPr>
                <w:color w:val="auto"/>
                <w:sz w:val="17"/>
                <w:szCs w:val="17"/>
                <w:lang w:val="sq-AL"/>
              </w:rPr>
            </w:pPr>
            <w:r w:rsidRPr="004E5A6E">
              <w:rPr>
                <w:color w:val="auto"/>
                <w:sz w:val="17"/>
                <w:szCs w:val="17"/>
                <w:lang w:val="sq-AL"/>
              </w:rPr>
              <w:t>Fondi Monetar Ndërkombëtar</w:t>
            </w:r>
          </w:p>
        </w:tc>
        <w:tc>
          <w:tcPr>
            <w:tcW w:w="1189" w:type="pct"/>
            <w:tcBorders>
              <w:top w:val="nil"/>
              <w:left w:val="nil"/>
              <w:bottom w:val="single" w:sz="8" w:space="0" w:color="auto"/>
              <w:right w:val="single" w:sz="8" w:space="0" w:color="auto"/>
            </w:tcBorders>
            <w:shd w:val="clear" w:color="auto" w:fill="auto"/>
            <w:vAlign w:val="center"/>
            <w:hideMark/>
          </w:tcPr>
          <w:p w14:paraId="11E023B9" w14:textId="77777777" w:rsidR="00733346" w:rsidRPr="004E5A6E" w:rsidRDefault="00733346" w:rsidP="00D6295F">
            <w:pPr>
              <w:rPr>
                <w:b/>
                <w:bCs/>
                <w:color w:val="auto"/>
                <w:sz w:val="17"/>
                <w:szCs w:val="17"/>
                <w:lang w:val="sq-AL"/>
              </w:rPr>
            </w:pPr>
            <w:r w:rsidRPr="004E5A6E">
              <w:rPr>
                <w:b/>
                <w:bCs/>
                <w:color w:val="auto"/>
                <w:sz w:val="17"/>
                <w:szCs w:val="17"/>
                <w:lang w:val="sq-AL"/>
              </w:rPr>
              <w:t>BVM</w:t>
            </w:r>
          </w:p>
        </w:tc>
        <w:tc>
          <w:tcPr>
            <w:tcW w:w="1708" w:type="pct"/>
            <w:tcBorders>
              <w:top w:val="nil"/>
              <w:left w:val="nil"/>
              <w:bottom w:val="single" w:sz="8" w:space="0" w:color="auto"/>
              <w:right w:val="single" w:sz="8" w:space="0" w:color="auto"/>
            </w:tcBorders>
            <w:shd w:val="clear" w:color="auto" w:fill="auto"/>
            <w:hideMark/>
          </w:tcPr>
          <w:p w14:paraId="5EC7301F" w14:textId="77777777" w:rsidR="00733346" w:rsidRPr="004E5A6E" w:rsidRDefault="00733346" w:rsidP="00D6295F">
            <w:pPr>
              <w:rPr>
                <w:color w:val="auto"/>
                <w:sz w:val="17"/>
                <w:szCs w:val="17"/>
                <w:lang w:val="sq-AL"/>
              </w:rPr>
            </w:pPr>
            <w:r w:rsidRPr="004E5A6E">
              <w:rPr>
                <w:color w:val="auto"/>
                <w:sz w:val="17"/>
                <w:szCs w:val="17"/>
                <w:lang w:val="sq-AL"/>
              </w:rPr>
              <w:t>Bizneset e Vogla dhe të Mesme</w:t>
            </w:r>
          </w:p>
        </w:tc>
      </w:tr>
      <w:tr w:rsidR="00733346" w:rsidRPr="004E5A6E" w14:paraId="07A34DFB" w14:textId="77777777" w:rsidTr="00D6295F">
        <w:trPr>
          <w:trHeight w:val="20"/>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51C16E20" w14:textId="77777777" w:rsidR="00733346" w:rsidRPr="004E5A6E" w:rsidRDefault="00733346" w:rsidP="00D6295F">
            <w:pPr>
              <w:rPr>
                <w:b/>
                <w:bCs/>
                <w:color w:val="auto"/>
                <w:sz w:val="17"/>
                <w:szCs w:val="17"/>
                <w:lang w:val="sq-AL"/>
              </w:rPr>
            </w:pPr>
            <w:r w:rsidRPr="004E5A6E">
              <w:rPr>
                <w:b/>
                <w:bCs/>
                <w:color w:val="auto"/>
                <w:sz w:val="17"/>
                <w:szCs w:val="17"/>
                <w:lang w:val="sq-AL"/>
              </w:rPr>
              <w:t>IPA</w:t>
            </w:r>
          </w:p>
        </w:tc>
        <w:tc>
          <w:tcPr>
            <w:tcW w:w="1626" w:type="pct"/>
            <w:tcBorders>
              <w:top w:val="nil"/>
              <w:left w:val="nil"/>
              <w:bottom w:val="single" w:sz="8" w:space="0" w:color="auto"/>
              <w:right w:val="single" w:sz="8" w:space="0" w:color="auto"/>
            </w:tcBorders>
            <w:shd w:val="clear" w:color="auto" w:fill="auto"/>
            <w:hideMark/>
          </w:tcPr>
          <w:p w14:paraId="04AAA7AE" w14:textId="77777777" w:rsidR="00733346" w:rsidRPr="004E5A6E" w:rsidRDefault="00733346" w:rsidP="00D6295F">
            <w:pPr>
              <w:rPr>
                <w:color w:val="auto"/>
                <w:sz w:val="17"/>
                <w:szCs w:val="17"/>
                <w:lang w:val="sq-AL"/>
              </w:rPr>
            </w:pPr>
            <w:r w:rsidRPr="004E5A6E">
              <w:rPr>
                <w:color w:val="auto"/>
                <w:sz w:val="17"/>
                <w:szCs w:val="17"/>
                <w:lang w:val="sq-AL"/>
              </w:rPr>
              <w:t>Instrumenti për Ndihmën e Paraanëtarësimit</w:t>
            </w:r>
          </w:p>
        </w:tc>
        <w:tc>
          <w:tcPr>
            <w:tcW w:w="1189" w:type="pct"/>
            <w:tcBorders>
              <w:top w:val="nil"/>
              <w:left w:val="nil"/>
              <w:bottom w:val="single" w:sz="8" w:space="0" w:color="auto"/>
              <w:right w:val="single" w:sz="8" w:space="0" w:color="auto"/>
            </w:tcBorders>
            <w:shd w:val="clear" w:color="auto" w:fill="auto"/>
            <w:vAlign w:val="center"/>
            <w:hideMark/>
          </w:tcPr>
          <w:p w14:paraId="21EF80D3" w14:textId="77777777" w:rsidR="00733346" w:rsidRPr="004E5A6E" w:rsidRDefault="00733346" w:rsidP="00D6295F">
            <w:pPr>
              <w:rPr>
                <w:b/>
                <w:bCs/>
                <w:color w:val="auto"/>
                <w:sz w:val="17"/>
                <w:szCs w:val="17"/>
                <w:lang w:val="sq-AL"/>
              </w:rPr>
            </w:pPr>
            <w:r w:rsidRPr="004E5A6E">
              <w:rPr>
                <w:b/>
                <w:bCs/>
                <w:color w:val="auto"/>
                <w:sz w:val="17"/>
                <w:szCs w:val="17"/>
                <w:lang w:val="sq-AL"/>
              </w:rPr>
              <w:t>ZPS</w:t>
            </w:r>
          </w:p>
        </w:tc>
        <w:tc>
          <w:tcPr>
            <w:tcW w:w="1708" w:type="pct"/>
            <w:tcBorders>
              <w:top w:val="nil"/>
              <w:left w:val="nil"/>
              <w:bottom w:val="single" w:sz="8" w:space="0" w:color="auto"/>
              <w:right w:val="single" w:sz="8" w:space="0" w:color="auto"/>
            </w:tcBorders>
            <w:shd w:val="clear" w:color="auto" w:fill="auto"/>
            <w:hideMark/>
          </w:tcPr>
          <w:p w14:paraId="7C2DE47B" w14:textId="77777777" w:rsidR="00733346" w:rsidRPr="004E5A6E" w:rsidRDefault="00733346" w:rsidP="00D6295F">
            <w:pPr>
              <w:rPr>
                <w:color w:val="auto"/>
                <w:sz w:val="17"/>
                <w:szCs w:val="17"/>
                <w:lang w:val="sq-AL"/>
              </w:rPr>
            </w:pPr>
            <w:r w:rsidRPr="004E5A6E">
              <w:rPr>
                <w:color w:val="auto"/>
                <w:sz w:val="17"/>
                <w:szCs w:val="17"/>
                <w:lang w:val="sq-AL"/>
              </w:rPr>
              <w:t>Zyra e Planifikimit Strategjik</w:t>
            </w:r>
          </w:p>
        </w:tc>
      </w:tr>
      <w:tr w:rsidR="00733346" w:rsidRPr="004E5A6E" w14:paraId="4FABFA8D" w14:textId="77777777" w:rsidTr="00D6295F">
        <w:trPr>
          <w:trHeight w:val="20"/>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1EF33D13" w14:textId="77777777" w:rsidR="00733346" w:rsidRPr="004E5A6E" w:rsidRDefault="00733346" w:rsidP="00D6295F">
            <w:pPr>
              <w:rPr>
                <w:b/>
                <w:bCs/>
                <w:color w:val="auto"/>
                <w:sz w:val="17"/>
                <w:szCs w:val="17"/>
                <w:lang w:val="sq-AL"/>
              </w:rPr>
            </w:pPr>
            <w:r w:rsidRPr="004E5A6E">
              <w:rPr>
                <w:b/>
                <w:bCs/>
                <w:color w:val="auto"/>
                <w:sz w:val="17"/>
                <w:szCs w:val="17"/>
                <w:lang w:val="sq-AL"/>
              </w:rPr>
              <w:t>AKA</w:t>
            </w:r>
          </w:p>
        </w:tc>
        <w:tc>
          <w:tcPr>
            <w:tcW w:w="1626" w:type="pct"/>
            <w:tcBorders>
              <w:top w:val="nil"/>
              <w:left w:val="nil"/>
              <w:bottom w:val="single" w:sz="8" w:space="0" w:color="auto"/>
              <w:right w:val="single" w:sz="8" w:space="0" w:color="auto"/>
            </w:tcBorders>
            <w:shd w:val="clear" w:color="auto" w:fill="auto"/>
            <w:hideMark/>
          </w:tcPr>
          <w:p w14:paraId="747ABFCA" w14:textId="77777777" w:rsidR="00733346" w:rsidRPr="004E5A6E" w:rsidRDefault="00733346" w:rsidP="00D6295F">
            <w:pPr>
              <w:rPr>
                <w:color w:val="auto"/>
                <w:sz w:val="17"/>
                <w:szCs w:val="17"/>
                <w:lang w:val="sq-AL"/>
              </w:rPr>
            </w:pPr>
            <w:r w:rsidRPr="004E5A6E">
              <w:rPr>
                <w:color w:val="auto"/>
                <w:sz w:val="17"/>
                <w:szCs w:val="17"/>
                <w:lang w:val="sq-AL"/>
              </w:rPr>
              <w:t>Agjencia e Kosovës për Akreditim</w:t>
            </w:r>
          </w:p>
        </w:tc>
        <w:tc>
          <w:tcPr>
            <w:tcW w:w="1189" w:type="pct"/>
            <w:tcBorders>
              <w:top w:val="nil"/>
              <w:left w:val="nil"/>
              <w:bottom w:val="single" w:sz="8" w:space="0" w:color="auto"/>
              <w:right w:val="single" w:sz="8" w:space="0" w:color="auto"/>
            </w:tcBorders>
            <w:shd w:val="clear" w:color="auto" w:fill="auto"/>
            <w:vAlign w:val="center"/>
            <w:hideMark/>
          </w:tcPr>
          <w:p w14:paraId="241CA9F0" w14:textId="77777777" w:rsidR="00733346" w:rsidRPr="004E5A6E" w:rsidRDefault="00733346" w:rsidP="00D6295F">
            <w:pPr>
              <w:rPr>
                <w:b/>
                <w:bCs/>
                <w:color w:val="auto"/>
                <w:sz w:val="17"/>
                <w:szCs w:val="17"/>
                <w:lang w:val="sq-AL"/>
              </w:rPr>
            </w:pPr>
            <w:r w:rsidRPr="004E5A6E">
              <w:rPr>
                <w:b/>
                <w:bCs/>
                <w:color w:val="auto"/>
                <w:sz w:val="17"/>
                <w:szCs w:val="17"/>
                <w:lang w:val="sq-AL"/>
              </w:rPr>
              <w:t>STIKK</w:t>
            </w:r>
          </w:p>
        </w:tc>
        <w:tc>
          <w:tcPr>
            <w:tcW w:w="1708" w:type="pct"/>
            <w:tcBorders>
              <w:top w:val="nil"/>
              <w:left w:val="nil"/>
              <w:bottom w:val="single" w:sz="8" w:space="0" w:color="auto"/>
              <w:right w:val="single" w:sz="8" w:space="0" w:color="auto"/>
            </w:tcBorders>
            <w:shd w:val="clear" w:color="auto" w:fill="auto"/>
            <w:hideMark/>
          </w:tcPr>
          <w:p w14:paraId="7AB011E8" w14:textId="77777777" w:rsidR="00733346" w:rsidRPr="004E5A6E" w:rsidRDefault="00733346" w:rsidP="00D6295F">
            <w:pPr>
              <w:rPr>
                <w:color w:val="auto"/>
                <w:sz w:val="17"/>
                <w:szCs w:val="17"/>
                <w:lang w:val="sq-AL"/>
              </w:rPr>
            </w:pPr>
            <w:r w:rsidRPr="004E5A6E">
              <w:rPr>
                <w:color w:val="auto"/>
                <w:sz w:val="17"/>
                <w:szCs w:val="17"/>
                <w:lang w:val="sq-AL"/>
              </w:rPr>
              <w:t>Shoqata e Teknologjisë së Informacionit dhe Komunikimit e Kosovës</w:t>
            </w:r>
          </w:p>
        </w:tc>
      </w:tr>
      <w:tr w:rsidR="00733346" w:rsidRPr="004E5A6E" w14:paraId="3B7F347B" w14:textId="77777777" w:rsidTr="00D6295F">
        <w:trPr>
          <w:trHeight w:val="20"/>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13B7C413" w14:textId="77777777" w:rsidR="00733346" w:rsidRPr="004E5A6E" w:rsidRDefault="00733346" w:rsidP="00D6295F">
            <w:pPr>
              <w:rPr>
                <w:b/>
                <w:bCs/>
                <w:color w:val="auto"/>
                <w:sz w:val="17"/>
                <w:szCs w:val="17"/>
                <w:lang w:val="sq-AL"/>
              </w:rPr>
            </w:pPr>
            <w:r w:rsidRPr="004E5A6E">
              <w:rPr>
                <w:b/>
                <w:bCs/>
                <w:color w:val="auto"/>
                <w:sz w:val="17"/>
                <w:szCs w:val="17"/>
                <w:lang w:val="sq-AL"/>
              </w:rPr>
              <w:t>BK</w:t>
            </w:r>
          </w:p>
        </w:tc>
        <w:tc>
          <w:tcPr>
            <w:tcW w:w="1626" w:type="pct"/>
            <w:tcBorders>
              <w:top w:val="nil"/>
              <w:left w:val="nil"/>
              <w:bottom w:val="single" w:sz="8" w:space="0" w:color="auto"/>
              <w:right w:val="single" w:sz="8" w:space="0" w:color="auto"/>
            </w:tcBorders>
            <w:shd w:val="clear" w:color="auto" w:fill="auto"/>
            <w:hideMark/>
          </w:tcPr>
          <w:p w14:paraId="0BE9C002" w14:textId="77777777" w:rsidR="00733346" w:rsidRPr="004E5A6E" w:rsidRDefault="00733346" w:rsidP="00D6295F">
            <w:pPr>
              <w:rPr>
                <w:color w:val="auto"/>
                <w:sz w:val="17"/>
                <w:szCs w:val="17"/>
                <w:lang w:val="sq-AL"/>
              </w:rPr>
            </w:pPr>
            <w:r w:rsidRPr="004E5A6E">
              <w:rPr>
                <w:color w:val="auto"/>
                <w:sz w:val="17"/>
                <w:szCs w:val="17"/>
                <w:lang w:val="sq-AL"/>
              </w:rPr>
              <w:t>Buxheti i Kosovës</w:t>
            </w:r>
          </w:p>
        </w:tc>
        <w:tc>
          <w:tcPr>
            <w:tcW w:w="1189" w:type="pct"/>
            <w:tcBorders>
              <w:top w:val="nil"/>
              <w:left w:val="nil"/>
              <w:bottom w:val="single" w:sz="8" w:space="0" w:color="auto"/>
              <w:right w:val="single" w:sz="8" w:space="0" w:color="auto"/>
            </w:tcBorders>
            <w:shd w:val="clear" w:color="auto" w:fill="auto"/>
            <w:vAlign w:val="center"/>
            <w:hideMark/>
          </w:tcPr>
          <w:p w14:paraId="2177BB8F" w14:textId="77777777" w:rsidR="00733346" w:rsidRPr="004E5A6E" w:rsidRDefault="00733346" w:rsidP="00D6295F">
            <w:pPr>
              <w:rPr>
                <w:b/>
                <w:bCs/>
                <w:color w:val="auto"/>
                <w:sz w:val="17"/>
                <w:szCs w:val="17"/>
                <w:lang w:val="sq-AL"/>
              </w:rPr>
            </w:pPr>
            <w:r w:rsidRPr="004E5A6E">
              <w:rPr>
                <w:b/>
                <w:bCs/>
                <w:color w:val="auto"/>
                <w:sz w:val="17"/>
                <w:szCs w:val="17"/>
                <w:lang w:val="sq-AL"/>
              </w:rPr>
              <w:t>ZhPT</w:t>
            </w:r>
          </w:p>
        </w:tc>
        <w:tc>
          <w:tcPr>
            <w:tcW w:w="1708" w:type="pct"/>
            <w:tcBorders>
              <w:top w:val="nil"/>
              <w:left w:val="nil"/>
              <w:bottom w:val="single" w:sz="8" w:space="0" w:color="auto"/>
              <w:right w:val="single" w:sz="8" w:space="0" w:color="auto"/>
            </w:tcBorders>
            <w:shd w:val="clear" w:color="auto" w:fill="auto"/>
            <w:hideMark/>
          </w:tcPr>
          <w:p w14:paraId="09632496" w14:textId="77777777" w:rsidR="00733346" w:rsidRPr="004E5A6E" w:rsidRDefault="00733346" w:rsidP="00D6295F">
            <w:pPr>
              <w:rPr>
                <w:color w:val="auto"/>
                <w:sz w:val="17"/>
                <w:szCs w:val="17"/>
                <w:lang w:val="sq-AL"/>
              </w:rPr>
            </w:pPr>
            <w:r w:rsidRPr="004E5A6E">
              <w:rPr>
                <w:color w:val="auto"/>
                <w:sz w:val="17"/>
                <w:szCs w:val="17"/>
                <w:lang w:val="sq-AL"/>
              </w:rPr>
              <w:t>Zhvillimi i Produkteve Turistike</w:t>
            </w:r>
          </w:p>
        </w:tc>
      </w:tr>
      <w:tr w:rsidR="00733346" w:rsidRPr="004E5A6E" w14:paraId="4D471C70" w14:textId="77777777" w:rsidTr="00D6295F">
        <w:trPr>
          <w:trHeight w:val="20"/>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1A0D300C" w14:textId="77777777" w:rsidR="00733346" w:rsidRPr="004E5A6E" w:rsidRDefault="00733346" w:rsidP="00D6295F">
            <w:pPr>
              <w:rPr>
                <w:b/>
                <w:bCs/>
                <w:color w:val="auto"/>
                <w:sz w:val="17"/>
                <w:szCs w:val="17"/>
                <w:lang w:val="sq-AL"/>
              </w:rPr>
            </w:pPr>
            <w:r w:rsidRPr="004E5A6E">
              <w:rPr>
                <w:b/>
                <w:bCs/>
                <w:color w:val="auto"/>
                <w:sz w:val="17"/>
                <w:szCs w:val="17"/>
                <w:lang w:val="sq-AL"/>
              </w:rPr>
              <w:t>AKK</w:t>
            </w:r>
          </w:p>
        </w:tc>
        <w:tc>
          <w:tcPr>
            <w:tcW w:w="1626" w:type="pct"/>
            <w:tcBorders>
              <w:top w:val="nil"/>
              <w:left w:val="nil"/>
              <w:bottom w:val="single" w:sz="8" w:space="0" w:color="auto"/>
              <w:right w:val="single" w:sz="8" w:space="0" w:color="auto"/>
            </w:tcBorders>
            <w:shd w:val="clear" w:color="auto" w:fill="auto"/>
            <w:hideMark/>
          </w:tcPr>
          <w:p w14:paraId="06F8FC47" w14:textId="77777777" w:rsidR="00733346" w:rsidRPr="004E5A6E" w:rsidRDefault="00733346" w:rsidP="00D6295F">
            <w:pPr>
              <w:rPr>
                <w:color w:val="auto"/>
                <w:sz w:val="17"/>
                <w:szCs w:val="17"/>
                <w:lang w:val="sq-AL"/>
              </w:rPr>
            </w:pPr>
            <w:r w:rsidRPr="004E5A6E">
              <w:rPr>
                <w:color w:val="auto"/>
                <w:sz w:val="17"/>
                <w:szCs w:val="17"/>
                <w:lang w:val="sq-AL"/>
              </w:rPr>
              <w:t>Agjencia Kadastrale e Kosovës</w:t>
            </w:r>
          </w:p>
        </w:tc>
        <w:tc>
          <w:tcPr>
            <w:tcW w:w="1189" w:type="pct"/>
            <w:tcBorders>
              <w:top w:val="nil"/>
              <w:left w:val="nil"/>
              <w:bottom w:val="single" w:sz="8" w:space="0" w:color="auto"/>
              <w:right w:val="single" w:sz="8" w:space="0" w:color="auto"/>
            </w:tcBorders>
            <w:shd w:val="clear" w:color="auto" w:fill="auto"/>
            <w:vAlign w:val="center"/>
            <w:hideMark/>
          </w:tcPr>
          <w:p w14:paraId="18F2E0F3" w14:textId="77777777" w:rsidR="00733346" w:rsidRPr="004E5A6E" w:rsidRDefault="00733346" w:rsidP="00D6295F">
            <w:pPr>
              <w:rPr>
                <w:b/>
                <w:bCs/>
                <w:color w:val="auto"/>
                <w:sz w:val="17"/>
                <w:szCs w:val="17"/>
                <w:lang w:val="sq-AL"/>
              </w:rPr>
            </w:pPr>
            <w:r w:rsidRPr="004E5A6E">
              <w:rPr>
                <w:b/>
                <w:bCs/>
                <w:color w:val="auto"/>
                <w:sz w:val="17"/>
                <w:szCs w:val="17"/>
                <w:lang w:val="sq-AL"/>
              </w:rPr>
              <w:t>TC</w:t>
            </w:r>
          </w:p>
        </w:tc>
        <w:tc>
          <w:tcPr>
            <w:tcW w:w="1708" w:type="pct"/>
            <w:tcBorders>
              <w:top w:val="nil"/>
              <w:left w:val="nil"/>
              <w:bottom w:val="single" w:sz="8" w:space="0" w:color="auto"/>
              <w:right w:val="single" w:sz="8" w:space="0" w:color="auto"/>
            </w:tcBorders>
            <w:shd w:val="clear" w:color="auto" w:fill="auto"/>
            <w:hideMark/>
          </w:tcPr>
          <w:p w14:paraId="38AC83C0" w14:textId="77777777" w:rsidR="00733346" w:rsidRPr="004E5A6E" w:rsidRDefault="00733346" w:rsidP="00D6295F">
            <w:pPr>
              <w:rPr>
                <w:color w:val="auto"/>
                <w:sz w:val="17"/>
                <w:szCs w:val="17"/>
                <w:lang w:val="sq-AL"/>
              </w:rPr>
            </w:pPr>
            <w:r w:rsidRPr="004E5A6E">
              <w:rPr>
                <w:color w:val="auto"/>
                <w:sz w:val="17"/>
                <w:szCs w:val="17"/>
                <w:lang w:val="sq-AL"/>
              </w:rPr>
              <w:t>Termocentrali</w:t>
            </w:r>
          </w:p>
        </w:tc>
      </w:tr>
      <w:tr w:rsidR="00733346" w:rsidRPr="004E5A6E" w14:paraId="729C0C51" w14:textId="77777777" w:rsidTr="00D6295F">
        <w:trPr>
          <w:trHeight w:val="20"/>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3C1ADDAA" w14:textId="77777777" w:rsidR="00733346" w:rsidRPr="004E5A6E" w:rsidRDefault="00733346" w:rsidP="00D6295F">
            <w:pPr>
              <w:rPr>
                <w:b/>
                <w:bCs/>
                <w:color w:val="auto"/>
                <w:sz w:val="17"/>
                <w:szCs w:val="17"/>
                <w:lang w:val="sq-AL"/>
              </w:rPr>
            </w:pPr>
            <w:r w:rsidRPr="004E5A6E">
              <w:rPr>
                <w:b/>
                <w:bCs/>
                <w:color w:val="auto"/>
                <w:sz w:val="17"/>
                <w:szCs w:val="17"/>
                <w:lang w:val="sq-AL"/>
              </w:rPr>
              <w:t>KEDS</w:t>
            </w:r>
          </w:p>
        </w:tc>
        <w:tc>
          <w:tcPr>
            <w:tcW w:w="1626" w:type="pct"/>
            <w:tcBorders>
              <w:top w:val="nil"/>
              <w:left w:val="nil"/>
              <w:bottom w:val="single" w:sz="8" w:space="0" w:color="auto"/>
              <w:right w:val="single" w:sz="8" w:space="0" w:color="auto"/>
            </w:tcBorders>
            <w:shd w:val="clear" w:color="auto" w:fill="auto"/>
            <w:hideMark/>
          </w:tcPr>
          <w:p w14:paraId="6DB68897" w14:textId="77777777" w:rsidR="00733346" w:rsidRPr="004E5A6E" w:rsidRDefault="00733346" w:rsidP="00D6295F">
            <w:pPr>
              <w:rPr>
                <w:color w:val="auto"/>
                <w:sz w:val="17"/>
                <w:szCs w:val="17"/>
                <w:lang w:val="sq-AL"/>
              </w:rPr>
            </w:pPr>
            <w:r w:rsidRPr="004E5A6E">
              <w:rPr>
                <w:color w:val="auto"/>
                <w:sz w:val="17"/>
                <w:szCs w:val="17"/>
                <w:lang w:val="sq-AL"/>
              </w:rPr>
              <w:t>Shpërndarja dhe furnizimi me energji elektrike në Kosovë</w:t>
            </w:r>
          </w:p>
        </w:tc>
        <w:tc>
          <w:tcPr>
            <w:tcW w:w="1189" w:type="pct"/>
            <w:tcBorders>
              <w:top w:val="nil"/>
              <w:left w:val="nil"/>
              <w:bottom w:val="single" w:sz="8" w:space="0" w:color="auto"/>
              <w:right w:val="single" w:sz="8" w:space="0" w:color="auto"/>
            </w:tcBorders>
            <w:shd w:val="clear" w:color="auto" w:fill="auto"/>
            <w:vAlign w:val="center"/>
            <w:hideMark/>
          </w:tcPr>
          <w:p w14:paraId="0EA2EDCA" w14:textId="77777777" w:rsidR="00733346" w:rsidRPr="004E5A6E" w:rsidRDefault="00733346" w:rsidP="00D6295F">
            <w:pPr>
              <w:rPr>
                <w:b/>
                <w:bCs/>
                <w:color w:val="auto"/>
                <w:sz w:val="17"/>
                <w:szCs w:val="17"/>
                <w:lang w:val="sq-AL"/>
              </w:rPr>
            </w:pPr>
            <w:r w:rsidRPr="004E5A6E">
              <w:rPr>
                <w:b/>
                <w:bCs/>
                <w:color w:val="auto"/>
                <w:sz w:val="17"/>
                <w:szCs w:val="17"/>
                <w:lang w:val="sq-AL"/>
              </w:rPr>
              <w:t>KPNj</w:t>
            </w:r>
          </w:p>
        </w:tc>
        <w:tc>
          <w:tcPr>
            <w:tcW w:w="1708" w:type="pct"/>
            <w:tcBorders>
              <w:top w:val="nil"/>
              <w:left w:val="nil"/>
              <w:bottom w:val="single" w:sz="8" w:space="0" w:color="auto"/>
              <w:right w:val="single" w:sz="8" w:space="0" w:color="auto"/>
            </w:tcBorders>
            <w:shd w:val="clear" w:color="auto" w:fill="auto"/>
            <w:hideMark/>
          </w:tcPr>
          <w:p w14:paraId="1B890546" w14:textId="77777777" w:rsidR="00733346" w:rsidRPr="004E5A6E" w:rsidRDefault="00733346" w:rsidP="00D6295F">
            <w:pPr>
              <w:rPr>
                <w:color w:val="auto"/>
                <w:sz w:val="17"/>
                <w:szCs w:val="17"/>
                <w:lang w:val="sq-AL"/>
              </w:rPr>
            </w:pPr>
            <w:r w:rsidRPr="004E5A6E">
              <w:rPr>
                <w:color w:val="auto"/>
                <w:sz w:val="17"/>
                <w:szCs w:val="17"/>
                <w:lang w:val="sq-AL"/>
              </w:rPr>
              <w:t>Kosto e punës për njësi</w:t>
            </w:r>
          </w:p>
        </w:tc>
      </w:tr>
      <w:tr w:rsidR="00733346" w:rsidRPr="004E5A6E" w14:paraId="0FB2BCFD" w14:textId="77777777" w:rsidTr="00D6295F">
        <w:trPr>
          <w:trHeight w:val="20"/>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679180FA" w14:textId="77777777" w:rsidR="00733346" w:rsidRPr="004E5A6E" w:rsidRDefault="00733346" w:rsidP="00D6295F">
            <w:pPr>
              <w:rPr>
                <w:b/>
                <w:bCs/>
                <w:color w:val="auto"/>
                <w:sz w:val="17"/>
                <w:szCs w:val="17"/>
                <w:lang w:val="sq-AL"/>
              </w:rPr>
            </w:pPr>
            <w:r w:rsidRPr="004E5A6E">
              <w:rPr>
                <w:b/>
                <w:bCs/>
                <w:color w:val="auto"/>
                <w:sz w:val="17"/>
                <w:szCs w:val="17"/>
                <w:lang w:val="sq-AL"/>
              </w:rPr>
              <w:t xml:space="preserve">KESP </w:t>
            </w:r>
          </w:p>
        </w:tc>
        <w:tc>
          <w:tcPr>
            <w:tcW w:w="1626" w:type="pct"/>
            <w:tcBorders>
              <w:top w:val="nil"/>
              <w:left w:val="nil"/>
              <w:bottom w:val="single" w:sz="8" w:space="0" w:color="auto"/>
              <w:right w:val="single" w:sz="8" w:space="0" w:color="auto"/>
            </w:tcBorders>
            <w:shd w:val="clear" w:color="auto" w:fill="auto"/>
            <w:hideMark/>
          </w:tcPr>
          <w:p w14:paraId="540DD2E8" w14:textId="77777777" w:rsidR="00733346" w:rsidRPr="004E5A6E" w:rsidRDefault="00733346" w:rsidP="00D6295F">
            <w:pPr>
              <w:rPr>
                <w:color w:val="auto"/>
                <w:sz w:val="17"/>
                <w:szCs w:val="17"/>
                <w:lang w:val="sq-AL"/>
              </w:rPr>
            </w:pPr>
            <w:r w:rsidRPr="004E5A6E">
              <w:rPr>
                <w:color w:val="auto"/>
                <w:sz w:val="17"/>
                <w:szCs w:val="17"/>
                <w:lang w:val="sq-AL"/>
              </w:rPr>
              <w:t>Plani Strategjik i Arsimit të Kosovës</w:t>
            </w:r>
          </w:p>
        </w:tc>
        <w:tc>
          <w:tcPr>
            <w:tcW w:w="1189" w:type="pct"/>
            <w:tcBorders>
              <w:top w:val="nil"/>
              <w:left w:val="nil"/>
              <w:bottom w:val="single" w:sz="8" w:space="0" w:color="auto"/>
              <w:right w:val="single" w:sz="8" w:space="0" w:color="auto"/>
            </w:tcBorders>
            <w:shd w:val="clear" w:color="auto" w:fill="auto"/>
            <w:vAlign w:val="center"/>
            <w:hideMark/>
          </w:tcPr>
          <w:p w14:paraId="3160F130" w14:textId="77777777" w:rsidR="00733346" w:rsidRPr="004E5A6E" w:rsidRDefault="00733346" w:rsidP="00D6295F">
            <w:pPr>
              <w:rPr>
                <w:b/>
                <w:bCs/>
                <w:color w:val="auto"/>
                <w:sz w:val="17"/>
                <w:szCs w:val="17"/>
                <w:lang w:val="sq-AL"/>
              </w:rPr>
            </w:pPr>
            <w:r w:rsidRPr="004E5A6E">
              <w:rPr>
                <w:b/>
                <w:bCs/>
                <w:color w:val="auto"/>
                <w:sz w:val="17"/>
                <w:szCs w:val="17"/>
                <w:lang w:val="sq-AL"/>
              </w:rPr>
              <w:t>UNDP</w:t>
            </w:r>
          </w:p>
        </w:tc>
        <w:tc>
          <w:tcPr>
            <w:tcW w:w="1708" w:type="pct"/>
            <w:tcBorders>
              <w:top w:val="nil"/>
              <w:left w:val="nil"/>
              <w:bottom w:val="single" w:sz="8" w:space="0" w:color="auto"/>
              <w:right w:val="single" w:sz="8" w:space="0" w:color="auto"/>
            </w:tcBorders>
            <w:shd w:val="clear" w:color="auto" w:fill="auto"/>
            <w:hideMark/>
          </w:tcPr>
          <w:p w14:paraId="6F118F48" w14:textId="77777777" w:rsidR="00733346" w:rsidRPr="004E5A6E" w:rsidRDefault="00733346" w:rsidP="00D6295F">
            <w:pPr>
              <w:rPr>
                <w:color w:val="auto"/>
                <w:sz w:val="17"/>
                <w:szCs w:val="17"/>
                <w:lang w:val="sq-AL"/>
              </w:rPr>
            </w:pPr>
            <w:r w:rsidRPr="004E5A6E">
              <w:rPr>
                <w:color w:val="auto"/>
                <w:sz w:val="17"/>
                <w:szCs w:val="17"/>
                <w:lang w:val="sq-AL"/>
              </w:rPr>
              <w:t>Programi i Kombeve të Bashkuara për Zhvillim</w:t>
            </w:r>
          </w:p>
        </w:tc>
      </w:tr>
      <w:tr w:rsidR="00733346" w:rsidRPr="004E5A6E" w14:paraId="5CAF3362" w14:textId="77777777" w:rsidTr="00D6295F">
        <w:trPr>
          <w:trHeight w:val="20"/>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5708E4E4" w14:textId="77777777" w:rsidR="00733346" w:rsidRPr="004E5A6E" w:rsidRDefault="00733346" w:rsidP="00D6295F">
            <w:pPr>
              <w:rPr>
                <w:b/>
                <w:bCs/>
                <w:color w:val="auto"/>
                <w:sz w:val="17"/>
                <w:szCs w:val="17"/>
                <w:lang w:val="sq-AL"/>
              </w:rPr>
            </w:pPr>
            <w:r w:rsidRPr="004E5A6E">
              <w:rPr>
                <w:b/>
                <w:bCs/>
                <w:color w:val="auto"/>
                <w:sz w:val="17"/>
                <w:szCs w:val="17"/>
                <w:lang w:val="sq-AL"/>
              </w:rPr>
              <w:t xml:space="preserve">FKGK </w:t>
            </w:r>
          </w:p>
        </w:tc>
        <w:tc>
          <w:tcPr>
            <w:tcW w:w="1626" w:type="pct"/>
            <w:tcBorders>
              <w:top w:val="nil"/>
              <w:left w:val="nil"/>
              <w:bottom w:val="single" w:sz="8" w:space="0" w:color="auto"/>
              <w:right w:val="single" w:sz="8" w:space="0" w:color="auto"/>
            </w:tcBorders>
            <w:shd w:val="clear" w:color="auto" w:fill="auto"/>
            <w:hideMark/>
          </w:tcPr>
          <w:p w14:paraId="0B41D466" w14:textId="77777777" w:rsidR="00733346" w:rsidRPr="004E5A6E" w:rsidRDefault="00733346" w:rsidP="00D6295F">
            <w:pPr>
              <w:rPr>
                <w:color w:val="auto"/>
                <w:sz w:val="17"/>
                <w:szCs w:val="17"/>
                <w:lang w:val="sq-AL"/>
              </w:rPr>
            </w:pPr>
            <w:r w:rsidRPr="004E5A6E">
              <w:rPr>
                <w:color w:val="auto"/>
                <w:sz w:val="17"/>
                <w:szCs w:val="17"/>
                <w:lang w:val="sq-AL"/>
              </w:rPr>
              <w:t>Fondi Kosovar për Garanci Kreditore</w:t>
            </w:r>
          </w:p>
        </w:tc>
        <w:tc>
          <w:tcPr>
            <w:tcW w:w="1189" w:type="pct"/>
            <w:tcBorders>
              <w:top w:val="nil"/>
              <w:left w:val="nil"/>
              <w:bottom w:val="single" w:sz="8" w:space="0" w:color="auto"/>
              <w:right w:val="single" w:sz="8" w:space="0" w:color="auto"/>
            </w:tcBorders>
            <w:shd w:val="clear" w:color="auto" w:fill="auto"/>
            <w:vAlign w:val="center"/>
            <w:hideMark/>
          </w:tcPr>
          <w:p w14:paraId="777E1129" w14:textId="77777777" w:rsidR="00733346" w:rsidRPr="004E5A6E" w:rsidRDefault="00733346" w:rsidP="00D6295F">
            <w:pPr>
              <w:rPr>
                <w:b/>
                <w:bCs/>
                <w:color w:val="auto"/>
                <w:sz w:val="17"/>
                <w:szCs w:val="17"/>
                <w:lang w:val="sq-AL"/>
              </w:rPr>
            </w:pPr>
            <w:r w:rsidRPr="004E5A6E">
              <w:rPr>
                <w:b/>
                <w:bCs/>
                <w:color w:val="auto"/>
                <w:sz w:val="17"/>
                <w:szCs w:val="17"/>
                <w:lang w:val="sq-AL"/>
              </w:rPr>
              <w:t>USAID</w:t>
            </w:r>
          </w:p>
        </w:tc>
        <w:tc>
          <w:tcPr>
            <w:tcW w:w="1708" w:type="pct"/>
            <w:tcBorders>
              <w:top w:val="nil"/>
              <w:left w:val="nil"/>
              <w:bottom w:val="single" w:sz="8" w:space="0" w:color="auto"/>
              <w:right w:val="single" w:sz="8" w:space="0" w:color="auto"/>
            </w:tcBorders>
            <w:shd w:val="clear" w:color="auto" w:fill="auto"/>
            <w:hideMark/>
          </w:tcPr>
          <w:p w14:paraId="3A65565E" w14:textId="77777777" w:rsidR="00733346" w:rsidRPr="004E5A6E" w:rsidRDefault="00733346" w:rsidP="00D6295F">
            <w:pPr>
              <w:rPr>
                <w:color w:val="auto"/>
                <w:sz w:val="17"/>
                <w:szCs w:val="17"/>
                <w:lang w:val="sq-AL"/>
              </w:rPr>
            </w:pPr>
            <w:r w:rsidRPr="004E5A6E">
              <w:rPr>
                <w:color w:val="auto"/>
                <w:sz w:val="17"/>
                <w:szCs w:val="17"/>
                <w:lang w:val="sq-AL"/>
              </w:rPr>
              <w:t>Agjencia e Shteteve të Bashkuara për Zhvillim Ndërkombëtar</w:t>
            </w:r>
          </w:p>
        </w:tc>
      </w:tr>
      <w:tr w:rsidR="00733346" w:rsidRPr="004E5A6E" w14:paraId="2D08257E" w14:textId="77777777" w:rsidTr="00D6295F">
        <w:trPr>
          <w:trHeight w:val="20"/>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48530B45" w14:textId="77777777" w:rsidR="00733346" w:rsidRPr="004E5A6E" w:rsidRDefault="00733346" w:rsidP="00D6295F">
            <w:pPr>
              <w:rPr>
                <w:b/>
                <w:bCs/>
                <w:color w:val="auto"/>
                <w:sz w:val="17"/>
                <w:szCs w:val="17"/>
                <w:lang w:val="sq-AL"/>
              </w:rPr>
            </w:pPr>
            <w:r w:rsidRPr="004E5A6E">
              <w:rPr>
                <w:b/>
                <w:bCs/>
                <w:color w:val="auto"/>
                <w:sz w:val="17"/>
                <w:szCs w:val="17"/>
                <w:lang w:val="sq-AL"/>
              </w:rPr>
              <w:t xml:space="preserve">KIESA </w:t>
            </w:r>
          </w:p>
        </w:tc>
        <w:tc>
          <w:tcPr>
            <w:tcW w:w="1626" w:type="pct"/>
            <w:tcBorders>
              <w:top w:val="nil"/>
              <w:left w:val="nil"/>
              <w:bottom w:val="single" w:sz="8" w:space="0" w:color="auto"/>
              <w:right w:val="single" w:sz="8" w:space="0" w:color="auto"/>
            </w:tcBorders>
            <w:shd w:val="clear" w:color="auto" w:fill="auto"/>
            <w:hideMark/>
          </w:tcPr>
          <w:p w14:paraId="34E439A6" w14:textId="77777777" w:rsidR="00733346" w:rsidRPr="004E5A6E" w:rsidRDefault="00733346" w:rsidP="00D6295F">
            <w:pPr>
              <w:rPr>
                <w:color w:val="auto"/>
                <w:sz w:val="17"/>
                <w:szCs w:val="17"/>
                <w:lang w:val="sq-AL"/>
              </w:rPr>
            </w:pPr>
            <w:r w:rsidRPr="004E5A6E">
              <w:rPr>
                <w:color w:val="auto"/>
                <w:sz w:val="17"/>
                <w:szCs w:val="17"/>
                <w:lang w:val="sq-AL"/>
              </w:rPr>
              <w:t>Agjencia për Investime dhe Përkrahjen e Ndërmarrjeve në Kosovë</w:t>
            </w:r>
          </w:p>
        </w:tc>
        <w:tc>
          <w:tcPr>
            <w:tcW w:w="1189" w:type="pct"/>
            <w:tcBorders>
              <w:top w:val="nil"/>
              <w:left w:val="nil"/>
              <w:bottom w:val="single" w:sz="8" w:space="0" w:color="auto"/>
              <w:right w:val="single" w:sz="8" w:space="0" w:color="auto"/>
            </w:tcBorders>
            <w:shd w:val="clear" w:color="auto" w:fill="auto"/>
            <w:vAlign w:val="center"/>
            <w:hideMark/>
          </w:tcPr>
          <w:p w14:paraId="32845824" w14:textId="77777777" w:rsidR="00733346" w:rsidRPr="004E5A6E" w:rsidRDefault="00733346" w:rsidP="00D6295F">
            <w:pPr>
              <w:rPr>
                <w:b/>
                <w:bCs/>
                <w:color w:val="auto"/>
                <w:sz w:val="17"/>
                <w:szCs w:val="17"/>
                <w:lang w:val="sq-AL"/>
              </w:rPr>
            </w:pPr>
            <w:r w:rsidRPr="004E5A6E">
              <w:rPr>
                <w:b/>
                <w:bCs/>
                <w:color w:val="auto"/>
                <w:sz w:val="17"/>
                <w:szCs w:val="17"/>
                <w:lang w:val="sq-AL"/>
              </w:rPr>
              <w:t>AAP</w:t>
            </w:r>
          </w:p>
        </w:tc>
        <w:tc>
          <w:tcPr>
            <w:tcW w:w="1708" w:type="pct"/>
            <w:tcBorders>
              <w:top w:val="nil"/>
              <w:left w:val="nil"/>
              <w:bottom w:val="single" w:sz="8" w:space="0" w:color="auto"/>
              <w:right w:val="single" w:sz="8" w:space="0" w:color="auto"/>
            </w:tcBorders>
            <w:shd w:val="clear" w:color="auto" w:fill="auto"/>
            <w:hideMark/>
          </w:tcPr>
          <w:p w14:paraId="1A3637D2" w14:textId="77777777" w:rsidR="00733346" w:rsidRPr="004E5A6E" w:rsidRDefault="00733346" w:rsidP="00D6295F">
            <w:pPr>
              <w:rPr>
                <w:color w:val="auto"/>
                <w:sz w:val="17"/>
                <w:szCs w:val="17"/>
                <w:lang w:val="sq-AL"/>
              </w:rPr>
            </w:pPr>
            <w:r w:rsidRPr="004E5A6E">
              <w:rPr>
                <w:color w:val="auto"/>
                <w:sz w:val="17"/>
                <w:szCs w:val="17"/>
                <w:lang w:val="sq-AL"/>
              </w:rPr>
              <w:t>Aftësimi dhe arsimi profesional</w:t>
            </w:r>
          </w:p>
        </w:tc>
      </w:tr>
      <w:tr w:rsidR="00733346" w:rsidRPr="004E5A6E" w14:paraId="58CD570C" w14:textId="77777777" w:rsidTr="00D6295F">
        <w:trPr>
          <w:trHeight w:val="20"/>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2C932113" w14:textId="77777777" w:rsidR="00733346" w:rsidRPr="004E5A6E" w:rsidRDefault="00733346" w:rsidP="00D6295F">
            <w:pPr>
              <w:rPr>
                <w:b/>
                <w:bCs/>
                <w:color w:val="auto"/>
                <w:sz w:val="17"/>
                <w:szCs w:val="17"/>
                <w:lang w:val="sq-AL"/>
              </w:rPr>
            </w:pPr>
            <w:r w:rsidRPr="004E5A6E">
              <w:rPr>
                <w:b/>
                <w:bCs/>
                <w:color w:val="auto"/>
                <w:sz w:val="17"/>
                <w:szCs w:val="17"/>
                <w:lang w:val="sq-AL"/>
              </w:rPr>
              <w:t>ShPFP</w:t>
            </w:r>
          </w:p>
        </w:tc>
        <w:tc>
          <w:tcPr>
            <w:tcW w:w="1626" w:type="pct"/>
            <w:tcBorders>
              <w:top w:val="nil"/>
              <w:left w:val="nil"/>
              <w:bottom w:val="single" w:sz="8" w:space="0" w:color="auto"/>
              <w:right w:val="single" w:sz="8" w:space="0" w:color="auto"/>
            </w:tcBorders>
            <w:shd w:val="clear" w:color="auto" w:fill="auto"/>
            <w:hideMark/>
          </w:tcPr>
          <w:p w14:paraId="2368A8A0" w14:textId="77777777" w:rsidR="00733346" w:rsidRPr="004E5A6E" w:rsidRDefault="00733346" w:rsidP="00D6295F">
            <w:pPr>
              <w:rPr>
                <w:color w:val="auto"/>
                <w:sz w:val="17"/>
                <w:szCs w:val="17"/>
                <w:lang w:val="sq-AL"/>
              </w:rPr>
            </w:pPr>
            <w:r w:rsidRPr="004E5A6E">
              <w:rPr>
                <w:color w:val="auto"/>
                <w:sz w:val="17"/>
                <w:szCs w:val="17"/>
                <w:lang w:val="sq-AL"/>
              </w:rPr>
              <w:t>Shkalla e Pjesëmarrjes në Fuqinë Punëtore</w:t>
            </w:r>
          </w:p>
        </w:tc>
        <w:tc>
          <w:tcPr>
            <w:tcW w:w="1189" w:type="pct"/>
            <w:tcBorders>
              <w:top w:val="nil"/>
              <w:left w:val="nil"/>
              <w:bottom w:val="single" w:sz="8" w:space="0" w:color="auto"/>
              <w:right w:val="single" w:sz="8" w:space="0" w:color="auto"/>
            </w:tcBorders>
            <w:shd w:val="clear" w:color="auto" w:fill="auto"/>
            <w:vAlign w:val="center"/>
            <w:hideMark/>
          </w:tcPr>
          <w:p w14:paraId="0119C9FC" w14:textId="77777777" w:rsidR="00733346" w:rsidRPr="004E5A6E" w:rsidRDefault="00733346" w:rsidP="00D6295F">
            <w:pPr>
              <w:rPr>
                <w:b/>
                <w:bCs/>
                <w:color w:val="auto"/>
                <w:sz w:val="17"/>
                <w:szCs w:val="17"/>
                <w:lang w:val="sq-AL"/>
              </w:rPr>
            </w:pPr>
            <w:r w:rsidRPr="004E5A6E">
              <w:rPr>
                <w:b/>
                <w:bCs/>
                <w:color w:val="auto"/>
                <w:sz w:val="17"/>
                <w:szCs w:val="17"/>
                <w:lang w:val="sq-AL"/>
              </w:rPr>
              <w:t>BB</w:t>
            </w:r>
          </w:p>
        </w:tc>
        <w:tc>
          <w:tcPr>
            <w:tcW w:w="1708" w:type="pct"/>
            <w:tcBorders>
              <w:top w:val="nil"/>
              <w:left w:val="nil"/>
              <w:bottom w:val="single" w:sz="8" w:space="0" w:color="auto"/>
              <w:right w:val="single" w:sz="8" w:space="0" w:color="auto"/>
            </w:tcBorders>
            <w:shd w:val="clear" w:color="auto" w:fill="auto"/>
            <w:hideMark/>
          </w:tcPr>
          <w:p w14:paraId="55668371" w14:textId="77777777" w:rsidR="00733346" w:rsidRPr="004E5A6E" w:rsidRDefault="00733346" w:rsidP="00D6295F">
            <w:pPr>
              <w:rPr>
                <w:color w:val="auto"/>
                <w:sz w:val="17"/>
                <w:szCs w:val="17"/>
                <w:lang w:val="sq-AL"/>
              </w:rPr>
            </w:pPr>
            <w:r w:rsidRPr="004E5A6E">
              <w:rPr>
                <w:color w:val="auto"/>
                <w:sz w:val="17"/>
                <w:szCs w:val="17"/>
                <w:lang w:val="sq-AL"/>
              </w:rPr>
              <w:t>Banka Boterore</w:t>
            </w:r>
          </w:p>
        </w:tc>
      </w:tr>
      <w:tr w:rsidR="00733346" w:rsidRPr="004E5A6E" w14:paraId="0DDF0B95" w14:textId="77777777" w:rsidTr="00D6295F">
        <w:trPr>
          <w:trHeight w:val="20"/>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58915A39" w14:textId="77777777" w:rsidR="00733346" w:rsidRPr="004E5A6E" w:rsidRDefault="00733346" w:rsidP="00D6295F">
            <w:pPr>
              <w:rPr>
                <w:b/>
                <w:bCs/>
                <w:color w:val="auto"/>
                <w:sz w:val="17"/>
                <w:szCs w:val="17"/>
                <w:lang w:val="sq-AL"/>
              </w:rPr>
            </w:pPr>
            <w:r w:rsidRPr="004E5A6E">
              <w:rPr>
                <w:b/>
                <w:bCs/>
                <w:color w:val="auto"/>
                <w:sz w:val="17"/>
                <w:szCs w:val="17"/>
                <w:lang w:val="sq-AL"/>
              </w:rPr>
              <w:t xml:space="preserve">AFP </w:t>
            </w:r>
          </w:p>
        </w:tc>
        <w:tc>
          <w:tcPr>
            <w:tcW w:w="1626" w:type="pct"/>
            <w:tcBorders>
              <w:top w:val="nil"/>
              <w:left w:val="nil"/>
              <w:bottom w:val="single" w:sz="8" w:space="0" w:color="auto"/>
              <w:right w:val="single" w:sz="8" w:space="0" w:color="auto"/>
            </w:tcBorders>
            <w:shd w:val="clear" w:color="auto" w:fill="auto"/>
            <w:hideMark/>
          </w:tcPr>
          <w:p w14:paraId="5B3F2801" w14:textId="77777777" w:rsidR="00733346" w:rsidRPr="004E5A6E" w:rsidRDefault="00733346" w:rsidP="00D6295F">
            <w:pPr>
              <w:rPr>
                <w:color w:val="auto"/>
                <w:sz w:val="17"/>
                <w:szCs w:val="17"/>
                <w:lang w:val="sq-AL"/>
              </w:rPr>
            </w:pPr>
            <w:r w:rsidRPr="004E5A6E">
              <w:rPr>
                <w:color w:val="auto"/>
                <w:sz w:val="17"/>
                <w:szCs w:val="17"/>
                <w:lang w:val="sq-AL"/>
              </w:rPr>
              <w:t>Anketa e Fuqisë Punëtore</w:t>
            </w:r>
          </w:p>
        </w:tc>
        <w:tc>
          <w:tcPr>
            <w:tcW w:w="1189" w:type="pct"/>
            <w:tcBorders>
              <w:top w:val="nil"/>
              <w:left w:val="nil"/>
              <w:bottom w:val="single" w:sz="8" w:space="0" w:color="auto"/>
              <w:right w:val="single" w:sz="8" w:space="0" w:color="auto"/>
            </w:tcBorders>
            <w:shd w:val="clear" w:color="auto" w:fill="auto"/>
            <w:vAlign w:val="center"/>
            <w:hideMark/>
          </w:tcPr>
          <w:p w14:paraId="20EE8C67" w14:textId="77777777" w:rsidR="00733346" w:rsidRPr="004E5A6E" w:rsidRDefault="00733346" w:rsidP="00D6295F">
            <w:pPr>
              <w:rPr>
                <w:b/>
                <w:bCs/>
                <w:color w:val="auto"/>
                <w:sz w:val="17"/>
                <w:szCs w:val="17"/>
                <w:lang w:val="sq-AL"/>
              </w:rPr>
            </w:pPr>
            <w:r w:rsidRPr="004E5A6E">
              <w:rPr>
                <w:b/>
                <w:bCs/>
                <w:color w:val="auto"/>
                <w:sz w:val="17"/>
                <w:szCs w:val="17"/>
                <w:lang w:val="sq-AL"/>
              </w:rPr>
              <w:t>OBT</w:t>
            </w:r>
          </w:p>
        </w:tc>
        <w:tc>
          <w:tcPr>
            <w:tcW w:w="1708" w:type="pct"/>
            <w:tcBorders>
              <w:top w:val="nil"/>
              <w:left w:val="nil"/>
              <w:bottom w:val="single" w:sz="8" w:space="0" w:color="auto"/>
              <w:right w:val="single" w:sz="8" w:space="0" w:color="auto"/>
            </w:tcBorders>
            <w:shd w:val="clear" w:color="auto" w:fill="auto"/>
            <w:hideMark/>
          </w:tcPr>
          <w:p w14:paraId="7A8CFD51" w14:textId="77777777" w:rsidR="00733346" w:rsidRPr="004E5A6E" w:rsidRDefault="00733346" w:rsidP="00D6295F">
            <w:pPr>
              <w:rPr>
                <w:color w:val="auto"/>
                <w:sz w:val="17"/>
                <w:szCs w:val="17"/>
                <w:lang w:val="sq-AL"/>
              </w:rPr>
            </w:pPr>
            <w:r w:rsidRPr="004E5A6E">
              <w:rPr>
                <w:color w:val="auto"/>
                <w:sz w:val="17"/>
                <w:szCs w:val="17"/>
                <w:lang w:val="sq-AL"/>
              </w:rPr>
              <w:t>Organizata Botërore e Tregtisë</w:t>
            </w:r>
          </w:p>
        </w:tc>
      </w:tr>
      <w:tr w:rsidR="00733346" w:rsidRPr="004E5A6E" w14:paraId="099AF09C" w14:textId="77777777" w:rsidTr="00D6295F">
        <w:trPr>
          <w:trHeight w:val="20"/>
        </w:trPr>
        <w:tc>
          <w:tcPr>
            <w:tcW w:w="477" w:type="pct"/>
            <w:tcBorders>
              <w:top w:val="nil"/>
              <w:left w:val="single" w:sz="8" w:space="0" w:color="auto"/>
              <w:bottom w:val="single" w:sz="8" w:space="0" w:color="auto"/>
              <w:right w:val="single" w:sz="8" w:space="0" w:color="auto"/>
            </w:tcBorders>
            <w:shd w:val="clear" w:color="auto" w:fill="auto"/>
            <w:vAlign w:val="center"/>
            <w:hideMark/>
          </w:tcPr>
          <w:p w14:paraId="40CC100C" w14:textId="77777777" w:rsidR="00733346" w:rsidRPr="004E5A6E" w:rsidRDefault="00733346" w:rsidP="00D6295F">
            <w:pPr>
              <w:rPr>
                <w:b/>
                <w:bCs/>
                <w:color w:val="auto"/>
                <w:sz w:val="17"/>
                <w:szCs w:val="17"/>
                <w:lang w:val="sq-AL"/>
              </w:rPr>
            </w:pPr>
            <w:r w:rsidRPr="004E5A6E">
              <w:rPr>
                <w:b/>
                <w:bCs/>
                <w:color w:val="auto"/>
                <w:sz w:val="17"/>
                <w:szCs w:val="17"/>
                <w:lang w:val="sq-AL"/>
              </w:rPr>
              <w:t xml:space="preserve">LMIS </w:t>
            </w:r>
          </w:p>
        </w:tc>
        <w:tc>
          <w:tcPr>
            <w:tcW w:w="1626" w:type="pct"/>
            <w:tcBorders>
              <w:top w:val="nil"/>
              <w:left w:val="nil"/>
              <w:bottom w:val="single" w:sz="8" w:space="0" w:color="auto"/>
              <w:right w:val="single" w:sz="8" w:space="0" w:color="auto"/>
            </w:tcBorders>
            <w:shd w:val="clear" w:color="auto" w:fill="auto"/>
            <w:hideMark/>
          </w:tcPr>
          <w:p w14:paraId="6F9069AF" w14:textId="77777777" w:rsidR="00733346" w:rsidRPr="004E5A6E" w:rsidRDefault="00733346" w:rsidP="00D6295F">
            <w:pPr>
              <w:rPr>
                <w:color w:val="auto"/>
                <w:sz w:val="17"/>
                <w:szCs w:val="17"/>
                <w:lang w:val="sq-AL"/>
              </w:rPr>
            </w:pPr>
            <w:r w:rsidRPr="004E5A6E">
              <w:rPr>
                <w:color w:val="auto"/>
                <w:sz w:val="17"/>
                <w:szCs w:val="17"/>
                <w:lang w:val="sq-AL"/>
              </w:rPr>
              <w:t>Sistemi informativ për menaxhimin e tregut të punës</w:t>
            </w:r>
          </w:p>
        </w:tc>
        <w:tc>
          <w:tcPr>
            <w:tcW w:w="1189" w:type="pct"/>
            <w:tcBorders>
              <w:top w:val="nil"/>
              <w:left w:val="nil"/>
              <w:bottom w:val="single" w:sz="8" w:space="0" w:color="auto"/>
              <w:right w:val="single" w:sz="8" w:space="0" w:color="auto"/>
            </w:tcBorders>
            <w:shd w:val="clear" w:color="auto" w:fill="auto"/>
            <w:vAlign w:val="center"/>
            <w:hideMark/>
          </w:tcPr>
          <w:p w14:paraId="123349CD" w14:textId="77777777" w:rsidR="00733346" w:rsidRPr="004E5A6E" w:rsidRDefault="00733346" w:rsidP="00D6295F">
            <w:pPr>
              <w:rPr>
                <w:color w:val="auto"/>
                <w:sz w:val="17"/>
                <w:szCs w:val="17"/>
                <w:lang w:val="sq-AL"/>
              </w:rPr>
            </w:pPr>
            <w:r w:rsidRPr="004E5A6E">
              <w:rPr>
                <w:color w:val="auto"/>
                <w:sz w:val="17"/>
                <w:szCs w:val="17"/>
                <w:lang w:val="sq-AL"/>
              </w:rPr>
              <w:t> </w:t>
            </w:r>
          </w:p>
        </w:tc>
        <w:tc>
          <w:tcPr>
            <w:tcW w:w="1708" w:type="pct"/>
            <w:tcBorders>
              <w:top w:val="nil"/>
              <w:left w:val="nil"/>
              <w:bottom w:val="single" w:sz="8" w:space="0" w:color="auto"/>
              <w:right w:val="single" w:sz="8" w:space="0" w:color="auto"/>
            </w:tcBorders>
            <w:shd w:val="clear" w:color="auto" w:fill="auto"/>
            <w:vAlign w:val="center"/>
            <w:hideMark/>
          </w:tcPr>
          <w:p w14:paraId="54A2EE40" w14:textId="77777777" w:rsidR="00733346" w:rsidRPr="004E5A6E" w:rsidRDefault="00733346" w:rsidP="00D6295F">
            <w:pPr>
              <w:rPr>
                <w:color w:val="auto"/>
                <w:sz w:val="17"/>
                <w:szCs w:val="17"/>
                <w:lang w:val="sq-AL"/>
              </w:rPr>
            </w:pPr>
            <w:r w:rsidRPr="004E5A6E">
              <w:rPr>
                <w:color w:val="auto"/>
                <w:sz w:val="17"/>
                <w:szCs w:val="17"/>
                <w:lang w:val="sq-AL"/>
              </w:rPr>
              <w:t> </w:t>
            </w:r>
          </w:p>
        </w:tc>
      </w:tr>
    </w:tbl>
    <w:p w14:paraId="180D3E9B" w14:textId="77777777" w:rsidR="00733346" w:rsidRPr="004E5A6E" w:rsidRDefault="00733346" w:rsidP="00733346">
      <w:pPr>
        <w:spacing w:line="276" w:lineRule="auto"/>
        <w:rPr>
          <w:color w:val="auto"/>
          <w:sz w:val="20"/>
          <w:szCs w:val="20"/>
          <w:lang w:val="sq-AL" w:eastAsia="ja-JP"/>
        </w:rPr>
        <w:sectPr w:rsidR="00733346" w:rsidRPr="004E5A6E" w:rsidSect="00601633">
          <w:headerReference w:type="even" r:id="rId18"/>
          <w:headerReference w:type="default" r:id="rId19"/>
          <w:headerReference w:type="first" r:id="rId20"/>
          <w:pgSz w:w="11907" w:h="16839" w:code="9"/>
          <w:pgMar w:top="1440" w:right="1440" w:bottom="1440" w:left="1440" w:header="0" w:footer="360" w:gutter="0"/>
          <w:cols w:space="720"/>
          <w:noEndnote/>
          <w:docGrid w:linePitch="360"/>
        </w:sectPr>
      </w:pPr>
    </w:p>
    <w:p w14:paraId="4F27810C" w14:textId="77777777" w:rsidR="00733346" w:rsidRPr="004E5A6E" w:rsidRDefault="00733346" w:rsidP="0068706C">
      <w:pPr>
        <w:pStyle w:val="ERPL1"/>
        <w:numPr>
          <w:ilvl w:val="0"/>
          <w:numId w:val="9"/>
        </w:numPr>
        <w:spacing w:line="276" w:lineRule="auto"/>
        <w:ind w:left="360"/>
        <w:jc w:val="left"/>
        <w:rPr>
          <w:rFonts w:ascii="Times New Roman" w:hAnsi="Times New Roman"/>
          <w:lang w:val="sq-AL"/>
        </w:rPr>
      </w:pPr>
      <w:bookmarkStart w:id="29" w:name="_Toc504051203"/>
      <w:bookmarkStart w:id="30" w:name="_Toc504051400"/>
      <w:bookmarkStart w:id="31" w:name="_Toc504338905"/>
      <w:bookmarkStart w:id="32" w:name="_Toc57720351"/>
      <w:bookmarkStart w:id="33" w:name="_Toc499840097"/>
      <w:bookmarkStart w:id="34" w:name="_Toc499840859"/>
      <w:bookmarkStart w:id="35" w:name="_Toc503555381"/>
      <w:bookmarkStart w:id="36" w:name="_Toc503556876"/>
      <w:bookmarkStart w:id="37" w:name="_Toc503557440"/>
      <w:r w:rsidRPr="004E5A6E">
        <w:rPr>
          <w:rFonts w:ascii="Times New Roman" w:hAnsi="Times New Roman"/>
          <w:lang w:val="sq-AL"/>
        </w:rPr>
        <w:t>Korniza e Përgjithshme e Politikave dhe Objektivat</w:t>
      </w:r>
      <w:bookmarkEnd w:id="29"/>
      <w:bookmarkEnd w:id="30"/>
      <w:bookmarkEnd w:id="31"/>
      <w:bookmarkEnd w:id="32"/>
      <w:r w:rsidRPr="004E5A6E">
        <w:rPr>
          <w:rFonts w:ascii="Times New Roman" w:hAnsi="Times New Roman"/>
          <w:lang w:val="sq-AL"/>
        </w:rPr>
        <w:t xml:space="preserve"> </w:t>
      </w:r>
      <w:bookmarkEnd w:id="33"/>
      <w:bookmarkEnd w:id="34"/>
      <w:bookmarkEnd w:id="35"/>
      <w:bookmarkEnd w:id="36"/>
      <w:bookmarkEnd w:id="37"/>
    </w:p>
    <w:p w14:paraId="398E80CD" w14:textId="77777777" w:rsidR="00733346" w:rsidRPr="004E5A6E" w:rsidRDefault="00733346" w:rsidP="00733346">
      <w:pPr>
        <w:spacing w:after="120" w:line="276" w:lineRule="auto"/>
        <w:rPr>
          <w:color w:val="auto"/>
          <w:lang w:val="sq-AL"/>
        </w:rPr>
      </w:pPr>
      <w:r w:rsidRPr="004E5A6E">
        <w:rPr>
          <w:color w:val="auto"/>
          <w:lang w:val="sq-AL"/>
        </w:rPr>
        <w:t>Procesi i hartimit të PRE 2021- 2023 u udhëhoq nga Ministri i Financave si Koordinatori Kombëtar dhe u koordinua nga Ministria e Financave, Zyra e Planifikimit Strategjik (ZPS) në Zyrën e Kryeministrit dhe koordinatorët e fushave të politikave nga ministritë e linjës. Koordinatorët janë takuar rregullisht për të diskutuar përmbajtjen e masave, përputhshmërinë e tyre me dokumentet përkatëse të planifikimit strategjik dhe me udhëzimet e politikave të marra përmes Dialogut Ekonomik dhe Fiskal me Komisionin Evropian.</w:t>
      </w:r>
    </w:p>
    <w:p w14:paraId="2436EACA" w14:textId="77777777" w:rsidR="0012156A" w:rsidRPr="004E5A6E" w:rsidRDefault="00733346" w:rsidP="0012156A">
      <w:pPr>
        <w:spacing w:after="120" w:line="276" w:lineRule="auto"/>
        <w:jc w:val="both"/>
        <w:rPr>
          <w:color w:val="auto"/>
          <w:lang w:val="sq-AL"/>
        </w:rPr>
      </w:pPr>
      <w:r w:rsidRPr="004E5A6E">
        <w:rPr>
          <w:color w:val="auto"/>
          <w:lang w:val="sq-AL"/>
        </w:rPr>
        <w:t>Grupet ndërministrore të punës u takuan për të siguruar që aktivitetet afatshkurtra nga projekt PRE-ja ishin përfshirë në Planin Vjetor të Punës të Qeverisë për 2021 dhe janë në përputhje me aktivitetet e planifikuara në projekt Planin Kombëtar për Zbatimin e MSA-së (PKZMSA) dhe Agjendën Evropiane të Reformave (ARE), si dhe me projektbuxhetin e vitit 2021. ZPS-ja, në bashkëpunim me koordinatorët e fushës, siguroi që shumica e masave lidhen drejtpërdrejt me Strategjinë Kombëtare të Zhvillimit dhe Udhërrëfyesit për zbatimin e saj.</w:t>
      </w:r>
    </w:p>
    <w:p w14:paraId="64008360" w14:textId="32252391" w:rsidR="0012156A" w:rsidRPr="004E5A6E" w:rsidRDefault="0012156A" w:rsidP="0012156A">
      <w:pPr>
        <w:spacing w:after="120" w:line="276" w:lineRule="auto"/>
        <w:jc w:val="both"/>
        <w:rPr>
          <w:color w:val="auto"/>
          <w:lang w:val="sq-AL"/>
        </w:rPr>
      </w:pPr>
      <w:r w:rsidRPr="004E5A6E">
        <w:rPr>
          <w:color w:val="auto"/>
          <w:lang w:val="sq-AL"/>
        </w:rPr>
        <w:t>Duke marrë parasysh strukturën aktuale ekonomike të Kosovës dhe pengesat e shumta për rritjen ekonomike, në veçanti situatën e krijuar si rezultat i pandemisë globale COVID-19, është e nevojshme që reformat strukturore të orientohen në mënyrë të tillë që synojnë rimëkëmbjen e ekonomisë në përgjithësi.</w:t>
      </w:r>
    </w:p>
    <w:p w14:paraId="0D189C82" w14:textId="04C0EA8D" w:rsidR="0012156A" w:rsidRPr="004E5A6E" w:rsidRDefault="0012156A" w:rsidP="0012156A">
      <w:pPr>
        <w:spacing w:after="120" w:line="276" w:lineRule="auto"/>
        <w:jc w:val="both"/>
        <w:rPr>
          <w:color w:val="auto"/>
          <w:lang w:val="sq-AL"/>
        </w:rPr>
      </w:pPr>
      <w:r w:rsidRPr="004E5A6E">
        <w:rPr>
          <w:color w:val="auto"/>
          <w:lang w:val="sq-AL"/>
        </w:rPr>
        <w:t>Në këtë linjë, Qeveria mbetet e përkushtuar për të mbështetur rimëkëmbjen ekonomike dhe për të përmirësuar perspektivat e punësimit. Kuadri i përgjithshëm i politikës ERP është një kombinim i: (1) programit të rimëkëmbjes ekonomike i cili do të synojë të mbështesë rimëkëmbjen ekonomike pas-pandemike, (2) një politikë fiskale të bazuar në rregulla të orientuara drejt stabilitetit të financave publike dhe, brenda hapësirës fiskale në dispozicion, duke mbështetur rritjen ekonomike përmes investimeve kapitale, rritjes së fondeve për zonat prioritare të zhvillimit dhe (2) një sërë reformash prioritare strukturore që adresojnë pengesat kryesore të rritjes ekonomike, duke mbështetur zhvillimin e sektorëve ekonomikë konkurrues dhe duke siguruar që rritja ekonomike është gjithëpërfshirëse dhe e orientuar drejt rritjes së mirëqenies .</w:t>
      </w:r>
    </w:p>
    <w:p w14:paraId="683C0486" w14:textId="77777777" w:rsidR="00D6295F" w:rsidRPr="004E5A6E" w:rsidRDefault="00D6295F" w:rsidP="00D6295F">
      <w:pPr>
        <w:jc w:val="both"/>
        <w:rPr>
          <w:color w:val="auto"/>
          <w:lang w:val="sq-AL"/>
        </w:rPr>
      </w:pPr>
    </w:p>
    <w:p w14:paraId="1D7C95F9" w14:textId="77777777" w:rsidR="00733346" w:rsidRPr="004E5A6E" w:rsidRDefault="00733346" w:rsidP="00733346">
      <w:pPr>
        <w:rPr>
          <w:color w:val="auto"/>
          <w:lang w:val="sq-AL"/>
        </w:rPr>
      </w:pPr>
    </w:p>
    <w:p w14:paraId="4F922BD3" w14:textId="77777777" w:rsidR="00733346" w:rsidRPr="004E5A6E" w:rsidRDefault="00733346" w:rsidP="00733346">
      <w:pPr>
        <w:rPr>
          <w:color w:val="auto"/>
          <w:lang w:val="sq-AL"/>
        </w:rPr>
      </w:pPr>
    </w:p>
    <w:p w14:paraId="35A82A99" w14:textId="77777777" w:rsidR="00733346" w:rsidRPr="004E5A6E" w:rsidRDefault="00733346" w:rsidP="00733346">
      <w:pPr>
        <w:rPr>
          <w:color w:val="auto"/>
          <w:lang w:val="sq-AL"/>
        </w:rPr>
      </w:pPr>
    </w:p>
    <w:p w14:paraId="0F770D78" w14:textId="77777777" w:rsidR="00733346" w:rsidRPr="004E5A6E" w:rsidRDefault="00733346" w:rsidP="00733346">
      <w:pPr>
        <w:rPr>
          <w:color w:val="auto"/>
          <w:lang w:val="sq-AL"/>
        </w:rPr>
      </w:pPr>
    </w:p>
    <w:p w14:paraId="654C7EEC" w14:textId="77777777" w:rsidR="00733346" w:rsidRPr="004E5A6E" w:rsidRDefault="00733346" w:rsidP="00733346">
      <w:pPr>
        <w:rPr>
          <w:color w:val="auto"/>
          <w:lang w:val="sq-AL"/>
        </w:rPr>
      </w:pPr>
    </w:p>
    <w:p w14:paraId="42AE04C4" w14:textId="77777777" w:rsidR="00733346" w:rsidRPr="004E5A6E" w:rsidRDefault="00733346" w:rsidP="00733346">
      <w:pPr>
        <w:rPr>
          <w:color w:val="auto"/>
          <w:lang w:val="sq-AL"/>
        </w:rPr>
      </w:pPr>
    </w:p>
    <w:p w14:paraId="28F9B5A9" w14:textId="77777777" w:rsidR="00733346" w:rsidRPr="004E5A6E" w:rsidRDefault="00733346" w:rsidP="00733346">
      <w:pPr>
        <w:rPr>
          <w:color w:val="auto"/>
          <w:lang w:val="sq-AL"/>
        </w:rPr>
      </w:pPr>
    </w:p>
    <w:p w14:paraId="0EBAE1CC" w14:textId="77777777" w:rsidR="00733346" w:rsidRPr="004E5A6E" w:rsidRDefault="00733346" w:rsidP="00733346">
      <w:pPr>
        <w:rPr>
          <w:color w:val="auto"/>
          <w:lang w:val="sq-AL"/>
        </w:rPr>
      </w:pPr>
    </w:p>
    <w:p w14:paraId="10731F55" w14:textId="77777777" w:rsidR="00733346" w:rsidRPr="004E5A6E" w:rsidRDefault="00733346" w:rsidP="00733346">
      <w:pPr>
        <w:rPr>
          <w:color w:val="auto"/>
          <w:lang w:val="sq-AL"/>
        </w:rPr>
      </w:pPr>
    </w:p>
    <w:p w14:paraId="2B85B3BB" w14:textId="77777777" w:rsidR="00733346" w:rsidRPr="004E5A6E" w:rsidRDefault="00733346" w:rsidP="00733346">
      <w:pPr>
        <w:pStyle w:val="ERPL2"/>
        <w:ind w:hanging="704"/>
        <w:rPr>
          <w:rFonts w:ascii="Times New Roman" w:hAnsi="Times New Roman"/>
          <w:lang w:val="sq-AL"/>
        </w:rPr>
      </w:pPr>
      <w:bookmarkStart w:id="38" w:name="_Toc57720352"/>
      <w:r w:rsidRPr="004E5A6E">
        <w:rPr>
          <w:rFonts w:ascii="Times New Roman" w:hAnsi="Times New Roman"/>
          <w:lang w:val="sq-AL"/>
        </w:rPr>
        <w:t>1.1 Zbatimi i Rekomandimeve të Politikave</w:t>
      </w:r>
      <w:bookmarkEnd w:id="38"/>
      <w:r w:rsidRPr="004E5A6E">
        <w:rPr>
          <w:rFonts w:ascii="Times New Roman" w:hAnsi="Times New Roman"/>
          <w:lang w:val="sq-AL"/>
        </w:rPr>
        <w:t xml:space="preserve"> </w:t>
      </w:r>
    </w:p>
    <w:p w14:paraId="434CDB15" w14:textId="448D95BF" w:rsidR="00733346" w:rsidRPr="004E5A6E" w:rsidRDefault="00733346" w:rsidP="00733346">
      <w:pPr>
        <w:pStyle w:val="ListParagraph"/>
        <w:spacing w:line="256" w:lineRule="auto"/>
        <w:ind w:left="0"/>
        <w:jc w:val="both"/>
        <w:rPr>
          <w:rFonts w:ascii="Times New Roman" w:hAnsi="Times New Roman"/>
          <w:b/>
          <w:sz w:val="24"/>
          <w:szCs w:val="24"/>
          <w:lang w:val="sq-AL"/>
        </w:rPr>
      </w:pPr>
      <w:r w:rsidRPr="004E5A6E">
        <w:rPr>
          <w:rFonts w:ascii="Times New Roman" w:hAnsi="Times New Roman"/>
          <w:b/>
          <w:sz w:val="24"/>
          <w:szCs w:val="24"/>
          <w:lang w:val="sq-AL"/>
        </w:rPr>
        <w:t xml:space="preserve">“[1.A.] Krijimi i hapësirës fiskale dhe ndërmarrja e masave mirëshënjestruese për të adresuar pasojat </w:t>
      </w:r>
      <w:r w:rsidR="00DE1E8A" w:rsidRPr="004E5A6E">
        <w:rPr>
          <w:rFonts w:ascii="Times New Roman" w:hAnsi="Times New Roman"/>
          <w:b/>
          <w:sz w:val="24"/>
          <w:szCs w:val="24"/>
          <w:lang w:val="sq-AL"/>
        </w:rPr>
        <w:t>socio ekonomike</w:t>
      </w:r>
      <w:r w:rsidRPr="004E5A6E">
        <w:rPr>
          <w:rFonts w:ascii="Times New Roman" w:hAnsi="Times New Roman"/>
          <w:b/>
          <w:sz w:val="24"/>
          <w:szCs w:val="24"/>
          <w:lang w:val="sq-AL"/>
        </w:rPr>
        <w:t xml:space="preserve"> të krizës, duke përfshirë kontrollin e shpenzimeve për faturën e pagave publike dhe pensionet e veteranëve të luftës përmes progresit me </w:t>
      </w:r>
      <w:r w:rsidR="00DE1E8A" w:rsidRPr="004E5A6E">
        <w:rPr>
          <w:rFonts w:ascii="Times New Roman" w:hAnsi="Times New Roman"/>
          <w:b/>
          <w:sz w:val="24"/>
          <w:szCs w:val="24"/>
          <w:lang w:val="sq-AL"/>
        </w:rPr>
        <w:t>ri klasifikimin</w:t>
      </w:r>
      <w:r w:rsidRPr="004E5A6E">
        <w:rPr>
          <w:rFonts w:ascii="Times New Roman" w:hAnsi="Times New Roman"/>
          <w:b/>
          <w:sz w:val="24"/>
          <w:szCs w:val="24"/>
          <w:lang w:val="sq-AL"/>
        </w:rPr>
        <w:t xml:space="preserve"> e përfituesve. [1.B.] Forcimi i qëndrueshmërisë afatmesme të financave publike, përmirësimi i mbledhjes së të ardhurave tatimore duke ulur </w:t>
      </w:r>
      <w:r w:rsidR="00DE1E8A" w:rsidRPr="004E5A6E">
        <w:rPr>
          <w:rFonts w:ascii="Times New Roman" w:hAnsi="Times New Roman"/>
          <w:b/>
          <w:sz w:val="24"/>
          <w:szCs w:val="24"/>
          <w:lang w:val="sq-AL"/>
        </w:rPr>
        <w:t>in formalitetin</w:t>
      </w:r>
      <w:r w:rsidRPr="004E5A6E">
        <w:rPr>
          <w:rFonts w:ascii="Times New Roman" w:hAnsi="Times New Roman"/>
          <w:b/>
          <w:sz w:val="24"/>
          <w:szCs w:val="24"/>
          <w:lang w:val="sq-AL"/>
        </w:rPr>
        <w:t>.”</w:t>
      </w:r>
    </w:p>
    <w:p w14:paraId="767D9FC6" w14:textId="77777777" w:rsidR="00733346" w:rsidRPr="004E5A6E" w:rsidRDefault="00733346" w:rsidP="00733346">
      <w:pPr>
        <w:pStyle w:val="ListParagraph"/>
        <w:ind w:left="0"/>
        <w:jc w:val="both"/>
        <w:rPr>
          <w:rFonts w:ascii="Times New Roman" w:hAnsi="Times New Roman"/>
          <w:sz w:val="24"/>
          <w:szCs w:val="24"/>
          <w:lang w:val="sq-AL"/>
        </w:rPr>
      </w:pPr>
    </w:p>
    <w:p w14:paraId="4C676564" w14:textId="77777777" w:rsidR="00733346" w:rsidRPr="004E5A6E" w:rsidRDefault="00733346" w:rsidP="00733346">
      <w:pPr>
        <w:pStyle w:val="ListParagraph"/>
        <w:ind w:left="0"/>
        <w:jc w:val="both"/>
        <w:rPr>
          <w:b/>
          <w:lang w:val="sq-AL"/>
        </w:rPr>
      </w:pPr>
      <w:r w:rsidRPr="004E5A6E">
        <w:rPr>
          <w:rFonts w:ascii="Times New Roman" w:hAnsi="Times New Roman"/>
          <w:sz w:val="24"/>
          <w:szCs w:val="24"/>
          <w:lang w:val="sq-AL"/>
        </w:rPr>
        <w:t>[1.A.]</w:t>
      </w:r>
      <w:r w:rsidRPr="004E5A6E">
        <w:rPr>
          <w:b/>
          <w:lang w:val="sq-AL"/>
        </w:rPr>
        <w:t xml:space="preserve"> </w:t>
      </w:r>
    </w:p>
    <w:p w14:paraId="35A98DE9" w14:textId="6D54D388" w:rsidR="00733346" w:rsidRPr="004E5A6E" w:rsidRDefault="00733346" w:rsidP="0068706C">
      <w:pPr>
        <w:pStyle w:val="ListParagraph"/>
        <w:numPr>
          <w:ilvl w:val="0"/>
          <w:numId w:val="7"/>
        </w:numPr>
        <w:spacing w:line="256" w:lineRule="auto"/>
        <w:ind w:left="0" w:firstLine="0"/>
        <w:jc w:val="both"/>
        <w:rPr>
          <w:rFonts w:ascii="Times New Roman" w:hAnsi="Times New Roman"/>
          <w:sz w:val="24"/>
          <w:szCs w:val="24"/>
          <w:lang w:val="sq-AL"/>
        </w:rPr>
      </w:pPr>
      <w:r w:rsidRPr="004E5A6E">
        <w:rPr>
          <w:rFonts w:ascii="Times New Roman" w:hAnsi="Times New Roman"/>
          <w:sz w:val="24"/>
          <w:szCs w:val="24"/>
          <w:lang w:val="sq-AL"/>
        </w:rPr>
        <w:t xml:space="preserve">Për të krijuar hapësirën e nevojshme fiskale për të adresuar pasojat </w:t>
      </w:r>
      <w:r w:rsidR="00DE1E8A" w:rsidRPr="004E5A6E">
        <w:rPr>
          <w:rFonts w:ascii="Times New Roman" w:hAnsi="Times New Roman"/>
          <w:sz w:val="24"/>
          <w:szCs w:val="24"/>
          <w:lang w:val="sq-AL"/>
        </w:rPr>
        <w:t>socio ekonomike</w:t>
      </w:r>
      <w:r w:rsidRPr="004E5A6E">
        <w:rPr>
          <w:rFonts w:ascii="Times New Roman" w:hAnsi="Times New Roman"/>
          <w:sz w:val="24"/>
          <w:szCs w:val="24"/>
          <w:lang w:val="sq-AL"/>
        </w:rPr>
        <w:t xml:space="preserve"> të krizës, u ndërmorën një sërë veprimesh.</w:t>
      </w:r>
    </w:p>
    <w:p w14:paraId="44B602A7" w14:textId="71A0FB29" w:rsidR="00733346" w:rsidRPr="004E5A6E" w:rsidRDefault="00733346" w:rsidP="00733346">
      <w:pPr>
        <w:pStyle w:val="ListParagraph"/>
        <w:spacing w:line="256" w:lineRule="auto"/>
        <w:ind w:left="0"/>
        <w:jc w:val="both"/>
        <w:rPr>
          <w:rFonts w:ascii="Times New Roman" w:hAnsi="Times New Roman"/>
          <w:sz w:val="24"/>
          <w:szCs w:val="24"/>
          <w:lang w:val="sq-AL"/>
        </w:rPr>
      </w:pPr>
      <w:r w:rsidRPr="004E5A6E">
        <w:rPr>
          <w:rFonts w:ascii="Times New Roman" w:hAnsi="Times New Roman"/>
          <w:i/>
          <w:iCs/>
          <w:sz w:val="24"/>
          <w:szCs w:val="24"/>
          <w:lang w:val="sq-AL"/>
        </w:rPr>
        <w:t>Së pari</w:t>
      </w:r>
      <w:r w:rsidRPr="004E5A6E">
        <w:rPr>
          <w:rFonts w:ascii="Times New Roman" w:hAnsi="Times New Roman"/>
          <w:sz w:val="24"/>
          <w:szCs w:val="24"/>
          <w:lang w:val="sq-AL"/>
        </w:rPr>
        <w:t>, Ministria e Financave rishikoi Ligjin e Buxhetit për vitin 2020 (në korrik), i cili u karakterizua nga shkurtime në disa kategori shpenzimesh për të akomoduar masat e kërkuara si pjesë e Pakos Fiskale Emergjente dhe Program</w:t>
      </w:r>
      <w:r w:rsidR="00DE1E8A" w:rsidRPr="004E5A6E">
        <w:rPr>
          <w:rFonts w:ascii="Times New Roman" w:hAnsi="Times New Roman"/>
          <w:sz w:val="24"/>
          <w:szCs w:val="24"/>
          <w:lang w:val="sq-AL"/>
        </w:rPr>
        <w:t>it të Rimëkëmbjes Ekonomike (PR</w:t>
      </w:r>
      <w:r w:rsidRPr="004E5A6E">
        <w:rPr>
          <w:rFonts w:ascii="Times New Roman" w:hAnsi="Times New Roman"/>
          <w:sz w:val="24"/>
          <w:szCs w:val="24"/>
          <w:lang w:val="sq-AL"/>
        </w:rPr>
        <w:t xml:space="preserve">E) në rrethanat e të hyrave shumë më të </w:t>
      </w:r>
      <w:r w:rsidR="00DE1E8A" w:rsidRPr="004E5A6E">
        <w:rPr>
          <w:rFonts w:ascii="Times New Roman" w:hAnsi="Times New Roman"/>
          <w:sz w:val="24"/>
          <w:szCs w:val="24"/>
          <w:lang w:val="sq-AL"/>
        </w:rPr>
        <w:t>ulta</w:t>
      </w:r>
      <w:r w:rsidRPr="004E5A6E">
        <w:rPr>
          <w:rFonts w:ascii="Times New Roman" w:hAnsi="Times New Roman"/>
          <w:sz w:val="24"/>
          <w:szCs w:val="24"/>
          <w:lang w:val="sq-AL"/>
        </w:rPr>
        <w:t xml:space="preserve"> se sa ishin planifikuar në buxhetin fillestar.</w:t>
      </w:r>
    </w:p>
    <w:p w14:paraId="1590A6CC" w14:textId="77777777" w:rsidR="00733346" w:rsidRPr="004E5A6E" w:rsidRDefault="00733346" w:rsidP="00733346">
      <w:pPr>
        <w:pStyle w:val="ListParagraph"/>
        <w:spacing w:line="256" w:lineRule="auto"/>
        <w:ind w:left="0"/>
        <w:jc w:val="both"/>
        <w:rPr>
          <w:rFonts w:ascii="Times New Roman" w:hAnsi="Times New Roman"/>
          <w:sz w:val="24"/>
          <w:szCs w:val="24"/>
          <w:lang w:val="sq-AL"/>
        </w:rPr>
      </w:pPr>
      <w:r w:rsidRPr="004E5A6E">
        <w:rPr>
          <w:rFonts w:ascii="Times New Roman" w:hAnsi="Times New Roman"/>
          <w:i/>
          <w:iCs/>
          <w:sz w:val="24"/>
          <w:szCs w:val="24"/>
          <w:lang w:val="sq-AL"/>
        </w:rPr>
        <w:t>Së dyti</w:t>
      </w:r>
      <w:r w:rsidRPr="004E5A6E">
        <w:rPr>
          <w:rFonts w:ascii="Times New Roman" w:hAnsi="Times New Roman"/>
          <w:sz w:val="24"/>
          <w:szCs w:val="24"/>
          <w:lang w:val="sq-AL"/>
        </w:rPr>
        <w:t>, Kuvendi ka miratuar zbutjen e përkohshme të rregullave fiskale, e cila ka lejuar zgjerimin e hapësirës fiskale në nivele të papara. Më konkretisht, deficiti fiskal është lejuar të arrijë 6.5 përqind të BPV-së, nga 2 përqind e BPV-së sa ishte më parë; ndërsa bilanci bankar është lejuar të arrijë 3 përqind të BPV-së (më parë ishte 4.5 përqind e BPV-së).</w:t>
      </w:r>
    </w:p>
    <w:p w14:paraId="695BA9B0" w14:textId="77777777" w:rsidR="00733346" w:rsidRPr="004E5A6E" w:rsidRDefault="00733346" w:rsidP="00733346">
      <w:pPr>
        <w:pStyle w:val="ListParagraph"/>
        <w:ind w:left="0"/>
        <w:jc w:val="both"/>
        <w:rPr>
          <w:rFonts w:ascii="Times New Roman" w:hAnsi="Times New Roman"/>
          <w:iCs/>
          <w:sz w:val="24"/>
          <w:szCs w:val="24"/>
          <w:lang w:val="sq-AL"/>
        </w:rPr>
      </w:pPr>
      <w:r w:rsidRPr="004E5A6E">
        <w:rPr>
          <w:rFonts w:ascii="Times New Roman" w:hAnsi="Times New Roman"/>
          <w:i/>
          <w:sz w:val="24"/>
          <w:szCs w:val="24"/>
          <w:lang w:val="sq-AL"/>
        </w:rPr>
        <w:t>Së treti</w:t>
      </w:r>
      <w:r w:rsidRPr="004E5A6E">
        <w:rPr>
          <w:rFonts w:ascii="Times New Roman" w:hAnsi="Times New Roman"/>
          <w:iCs/>
          <w:sz w:val="24"/>
          <w:szCs w:val="24"/>
          <w:lang w:val="sq-AL"/>
        </w:rPr>
        <w:t>, për herë të parë, në shtator të vitit 2020, Ministria e Financave ka rishikuar Kornizën Afatmesme të Shpenzimeve për periudhën 2021-2023, duke reflektuar një ndryshim në prioritete, të cilat janë zhvendosur dukshëm drejt rimëkëmbjes ekonomike. Ky ndryshim i prioriteteve reflektohet gjithashtu në tavanet më të ulëta buxhetore për vitin e ardhshëm.</w:t>
      </w:r>
    </w:p>
    <w:p w14:paraId="7C89AD02" w14:textId="77777777" w:rsidR="00733346" w:rsidRPr="004E5A6E" w:rsidRDefault="00733346" w:rsidP="00733346">
      <w:pPr>
        <w:pStyle w:val="ListParagraph"/>
        <w:ind w:left="0"/>
        <w:jc w:val="both"/>
        <w:rPr>
          <w:rFonts w:ascii="Times New Roman" w:hAnsi="Times New Roman"/>
          <w:iCs/>
          <w:sz w:val="24"/>
          <w:szCs w:val="24"/>
          <w:lang w:val="sq-AL"/>
        </w:rPr>
      </w:pPr>
      <w:r w:rsidRPr="004E5A6E">
        <w:rPr>
          <w:rFonts w:ascii="Times New Roman" w:hAnsi="Times New Roman"/>
          <w:i/>
          <w:sz w:val="24"/>
          <w:szCs w:val="24"/>
          <w:lang w:val="sq-AL"/>
        </w:rPr>
        <w:t>Së katërti</w:t>
      </w:r>
      <w:r w:rsidRPr="004E5A6E">
        <w:rPr>
          <w:rFonts w:ascii="Times New Roman" w:hAnsi="Times New Roman"/>
          <w:iCs/>
          <w:sz w:val="24"/>
          <w:szCs w:val="24"/>
          <w:lang w:val="sq-AL"/>
        </w:rPr>
        <w:t>, për të financuar këto masa dhe për të adresuar rënien e konsiderueshme të të ardhurave buxhetore, është kërkuar financim shtesë. Duke pasur parasysh që Kosova nuk ka qasje në tregjet e huaja të kapitalit, financimi i jashtëm që është marrë gjatë këtij viti vjen nga IFN dhe organizata ndërkombëtare të ndryshme si: përmes Instrumentit të Financimit të Shpejtë (RFI) ose Ndihmës Makrofinanciare (NMF), ndër të tjera.</w:t>
      </w:r>
    </w:p>
    <w:p w14:paraId="48BF3165" w14:textId="77777777" w:rsidR="00733346" w:rsidRPr="004E5A6E" w:rsidRDefault="00733346" w:rsidP="0068706C">
      <w:pPr>
        <w:pStyle w:val="ListParagraph"/>
        <w:numPr>
          <w:ilvl w:val="0"/>
          <w:numId w:val="7"/>
        </w:numPr>
        <w:spacing w:line="256" w:lineRule="auto"/>
        <w:ind w:left="0" w:firstLine="0"/>
        <w:jc w:val="both"/>
        <w:rPr>
          <w:rFonts w:ascii="Times New Roman" w:hAnsi="Times New Roman"/>
          <w:sz w:val="24"/>
          <w:szCs w:val="24"/>
          <w:lang w:val="sq-AL"/>
        </w:rPr>
      </w:pPr>
      <w:r w:rsidRPr="004E5A6E">
        <w:rPr>
          <w:rFonts w:ascii="Times New Roman" w:hAnsi="Times New Roman"/>
          <w:sz w:val="24"/>
          <w:szCs w:val="24"/>
          <w:lang w:val="sq-AL"/>
        </w:rPr>
        <w:t>Duhet të theksohet se Projektligji për pagat në sektorin publik është shfuqizuar nga Gjykata Kushtetuese në fund të qershorit 2020 dhe nuk pritet të krijojë presione mbi shpenzimet rrjedhëse të paktën për vitin e ardhshëm.</w:t>
      </w:r>
    </w:p>
    <w:p w14:paraId="69D6B958" w14:textId="5591FBBE" w:rsidR="00733346" w:rsidRPr="004E5A6E" w:rsidRDefault="00733346" w:rsidP="0068706C">
      <w:pPr>
        <w:pStyle w:val="ListParagraph"/>
        <w:numPr>
          <w:ilvl w:val="0"/>
          <w:numId w:val="7"/>
        </w:numPr>
        <w:spacing w:line="256" w:lineRule="auto"/>
        <w:ind w:left="0" w:firstLine="0"/>
        <w:jc w:val="both"/>
        <w:rPr>
          <w:rFonts w:ascii="Times New Roman" w:hAnsi="Times New Roman"/>
          <w:sz w:val="24"/>
          <w:szCs w:val="24"/>
          <w:lang w:val="sq-AL"/>
        </w:rPr>
      </w:pPr>
      <w:r w:rsidRPr="004E5A6E">
        <w:rPr>
          <w:rFonts w:ascii="Times New Roman" w:hAnsi="Times New Roman"/>
          <w:sz w:val="24"/>
          <w:szCs w:val="24"/>
          <w:lang w:val="sq-AL"/>
        </w:rPr>
        <w:t xml:space="preserve">Në lidhje me pensionet e veteranëve të luftës, nuk ka pasur ndonjë përparim në </w:t>
      </w:r>
      <w:r w:rsidR="004E5A6E" w:rsidRPr="004E5A6E">
        <w:rPr>
          <w:rFonts w:ascii="Times New Roman" w:hAnsi="Times New Roman"/>
          <w:sz w:val="24"/>
          <w:szCs w:val="24"/>
          <w:lang w:val="sq-AL"/>
        </w:rPr>
        <w:t>ri klasifikimin</w:t>
      </w:r>
      <w:r w:rsidRPr="004E5A6E">
        <w:rPr>
          <w:rFonts w:ascii="Times New Roman" w:hAnsi="Times New Roman"/>
          <w:sz w:val="24"/>
          <w:szCs w:val="24"/>
          <w:lang w:val="sq-AL"/>
        </w:rPr>
        <w:t xml:space="preserve"> e përfituesve. Rregullat e punës të Komisionit nuk janë aprovuar ende nga qeveria. Sidoqoftë, në buxhetin vjetor të rishikuar 2020 dhe në buxhetin 2021, Ministria e Financave ka planifikuar burime buxhetore për të paguar veteranët e luftës në përputhje me obligimet aktuale ligjore në fuqi. </w:t>
      </w:r>
    </w:p>
    <w:p w14:paraId="6D915403" w14:textId="77777777" w:rsidR="00733346" w:rsidRPr="004E5A6E" w:rsidRDefault="00733346" w:rsidP="00733346">
      <w:pPr>
        <w:pStyle w:val="ListParagraph"/>
        <w:ind w:left="0"/>
        <w:jc w:val="both"/>
        <w:rPr>
          <w:rFonts w:ascii="Times New Roman" w:hAnsi="Times New Roman"/>
          <w:sz w:val="24"/>
          <w:szCs w:val="24"/>
          <w:lang w:val="sq-AL"/>
        </w:rPr>
      </w:pPr>
    </w:p>
    <w:p w14:paraId="7B50D845" w14:textId="77777777" w:rsidR="00733346" w:rsidRPr="004E5A6E" w:rsidRDefault="00733346" w:rsidP="00733346">
      <w:pPr>
        <w:pStyle w:val="ListParagraph"/>
        <w:ind w:left="0"/>
        <w:jc w:val="both"/>
        <w:rPr>
          <w:bCs/>
          <w:lang w:val="sq-AL"/>
        </w:rPr>
      </w:pPr>
      <w:r w:rsidRPr="004E5A6E">
        <w:rPr>
          <w:rFonts w:ascii="Times New Roman" w:hAnsi="Times New Roman"/>
          <w:sz w:val="24"/>
          <w:szCs w:val="24"/>
          <w:lang w:val="sq-AL"/>
        </w:rPr>
        <w:t>[1.B.]</w:t>
      </w:r>
      <w:r w:rsidRPr="004E5A6E">
        <w:rPr>
          <w:b/>
          <w:lang w:val="sq-AL"/>
        </w:rPr>
        <w:t xml:space="preserve"> </w:t>
      </w:r>
      <w:r w:rsidRPr="004E5A6E">
        <w:rPr>
          <w:rFonts w:ascii="Times New Roman" w:hAnsi="Times New Roman"/>
          <w:sz w:val="24"/>
          <w:szCs w:val="24"/>
          <w:lang w:val="sq-AL"/>
        </w:rPr>
        <w:t>Gjatë pandemisë, institucionet të cilat kanë mandatin për të luftuar ekonominë informale kanë qenë mjaft të kufizuara për të operuar për shkak të kufizimeve të vendosura në numrin e stafit që punon në vend, ndër të tjera. Sidoqoftë, disa nga masat e ndërmarra nga Qeveria në lidhje me mbështetjen e bizneseve kanë pasur një ndikim pozitiv në pajtueshmërinë vullnetare. Më konkretisht, masa nr. 14 e Pakos Fiskale Emergjente, e cila iu dedikua punonjësve të rinj që regjistroheshin, ka kontribuar në një rritje prej 14,000 mijë punonjësish të regjistruar rishtas. Gjithashtu, paketa e dytë fiskale, e ka bërë biznesin më të vetëdijshëm për nevojën e formalizimit (veçanërisht numri i punonjësve), duke pasur parasysh që mbështetja qeveritare do të varej drejtpërdrejt nga numri i punonjësve të deklaruar.</w:t>
      </w:r>
    </w:p>
    <w:p w14:paraId="6785BF88" w14:textId="77777777" w:rsidR="00733346" w:rsidRPr="004E5A6E" w:rsidRDefault="00733346" w:rsidP="00733346">
      <w:pPr>
        <w:pStyle w:val="ListParagraph"/>
        <w:ind w:left="0"/>
        <w:jc w:val="both"/>
        <w:rPr>
          <w:rFonts w:ascii="Times New Roman" w:hAnsi="Times New Roman"/>
          <w:sz w:val="24"/>
          <w:szCs w:val="24"/>
          <w:lang w:val="sq-AL"/>
        </w:rPr>
      </w:pPr>
      <w:r w:rsidRPr="004E5A6E">
        <w:rPr>
          <w:rFonts w:ascii="Times New Roman" w:hAnsi="Times New Roman"/>
          <w:sz w:val="24"/>
          <w:szCs w:val="24"/>
          <w:lang w:val="sq-AL"/>
        </w:rPr>
        <w:t xml:space="preserve">Për më tepër, Administrata Tatimore ka punuar në drejtim të krijimit të kufizimeve ligjore që synojnë të sigurojnë zbatimin e kornizës ligjore; dhe krijimin e instrumenteve shtesë ligjore për të penalizuar aktivitete të ndryshme të ekonomisë informale. Në këtë drejtim, Administrata Tatimore po planifikon një sërë aktivitetesh që do të mbahen në të ardhmen e afërt; të cilat, ndër të tjera, do të shënjestrojnë sektorë me nivele të larta informaliteti, do të rrisin bashkëpunimin me ministritë e tjera për të monitoruar punëtorët e paregjistruar; do të rrisin inspektimet. </w:t>
      </w:r>
    </w:p>
    <w:p w14:paraId="1111B6FA" w14:textId="77777777" w:rsidR="00733346" w:rsidRPr="004E5A6E" w:rsidRDefault="00733346" w:rsidP="00733346">
      <w:pPr>
        <w:pStyle w:val="ListParagraph"/>
        <w:ind w:left="0"/>
        <w:jc w:val="both"/>
        <w:rPr>
          <w:rFonts w:ascii="Times New Roman" w:hAnsi="Times New Roman"/>
          <w:sz w:val="24"/>
          <w:szCs w:val="24"/>
          <w:lang w:val="sq-AL"/>
        </w:rPr>
      </w:pPr>
    </w:p>
    <w:p w14:paraId="6FA53DE1" w14:textId="77777777" w:rsidR="00733346" w:rsidRPr="004E5A6E" w:rsidRDefault="00733346" w:rsidP="00733346">
      <w:pPr>
        <w:pStyle w:val="ListParagraph"/>
        <w:spacing w:line="256" w:lineRule="auto"/>
        <w:ind w:left="0"/>
        <w:jc w:val="both"/>
        <w:rPr>
          <w:rFonts w:ascii="Times New Roman" w:hAnsi="Times New Roman"/>
          <w:b/>
          <w:sz w:val="24"/>
          <w:szCs w:val="24"/>
          <w:lang w:val="sq-AL"/>
        </w:rPr>
      </w:pPr>
      <w:r w:rsidRPr="004E5A6E">
        <w:rPr>
          <w:rFonts w:ascii="Times New Roman" w:hAnsi="Times New Roman"/>
          <w:b/>
          <w:sz w:val="24"/>
          <w:szCs w:val="24"/>
          <w:lang w:val="sq-AL"/>
        </w:rPr>
        <w:t>“[2.A.] Mbështetja e rimëkëmbjes ekonomike, përmirësimi i ekzekutimit të shpenzimeve kapitale duke forcuar kapacitetet institucionale në nivelet e qeverisjes qendrore dhe lokale për planifikimin e investimeve shumëvjeçare dhe menaxhimin e projekteve të investimeve.  [2.B.] Përmirësimi i mbikëqyrjes financiare dhe llogaridhënies së ndërmarrjeve publike. [2.C.] Përgatitja e një dokumenti opsionesh mbi krijimin e një organi të pavarur për mbikëqyrjen fiskale për konsultime të mëtejshme me palët e interesit, përfshirë BE-në.”</w:t>
      </w:r>
    </w:p>
    <w:p w14:paraId="3143CF42" w14:textId="77777777" w:rsidR="00733346" w:rsidRPr="004E5A6E" w:rsidRDefault="00733346" w:rsidP="00733346">
      <w:pPr>
        <w:pStyle w:val="ListParagraph"/>
        <w:ind w:left="0"/>
        <w:jc w:val="both"/>
        <w:rPr>
          <w:rFonts w:ascii="Times New Roman" w:hAnsi="Times New Roman"/>
          <w:b/>
          <w:sz w:val="24"/>
          <w:szCs w:val="24"/>
          <w:lang w:val="sq-AL"/>
        </w:rPr>
      </w:pPr>
    </w:p>
    <w:p w14:paraId="1172EDD2" w14:textId="77777777" w:rsidR="00733346" w:rsidRPr="004E5A6E" w:rsidRDefault="00733346" w:rsidP="00733346">
      <w:pPr>
        <w:pStyle w:val="ListParagraph"/>
        <w:ind w:left="0"/>
        <w:jc w:val="both"/>
        <w:rPr>
          <w:rFonts w:ascii="Times New Roman" w:eastAsia="MS Mincho" w:hAnsi="Times New Roman"/>
          <w:sz w:val="24"/>
          <w:lang w:val="sq-AL"/>
        </w:rPr>
      </w:pPr>
      <w:r w:rsidRPr="004E5A6E">
        <w:rPr>
          <w:rFonts w:ascii="Times New Roman" w:eastAsia="MS Mincho" w:hAnsi="Times New Roman"/>
          <w:sz w:val="24"/>
          <w:szCs w:val="24"/>
          <w:lang w:val="sq-AL"/>
        </w:rPr>
        <w:t>[2.A.] Ministria e Financave ka filluar zbatimin e Udhëzimit Administrativ (UA) mbi kriteret e përzgjedhjes për projektet kapitale. Ky udhëzim hyri në fuqi më 1 janar 2020, ndërsa zbatimi i tij në praktikë filloi me pranimin e propozimeve të projekteve kapitale nga organizatat buxhetore në nivelin qendror dhe lokal për Buxhetin e vitit 2021. Ky udhëzim ka vendosur disa kritere themelore që duhen përmbushur nga projektet e propozuara kapitale, në mënyrë që ato të përfshihen në Buxhet. Para hyrjes në fuqi të këtij udhëzimi, Departamenti i Buxhetit (mbështetur nga projekti GIZ për financat publike) mbajti trajnime me Organizatat Buxhetore në lidhje me zbatimin e tij. Në Projekt Buxhetin 2021, propozimet për projekte kapitale në vlerë rreth 23 milion euro në nivel lokal nuk plotësonin kriteret minimale të këtij UA, dhe për këtë arsye ato u transferuan në kategorinë e rezervave komunale.</w:t>
      </w:r>
    </w:p>
    <w:p w14:paraId="011A58C6" w14:textId="77777777" w:rsidR="00733346" w:rsidRPr="004E5A6E" w:rsidRDefault="00733346" w:rsidP="00733346">
      <w:pPr>
        <w:pStyle w:val="ListParagraph"/>
        <w:ind w:left="0"/>
        <w:jc w:val="both"/>
        <w:rPr>
          <w:rFonts w:ascii="Times New Roman" w:eastAsia="MS Mincho" w:hAnsi="Times New Roman"/>
          <w:sz w:val="24"/>
          <w:lang w:val="sq-AL"/>
        </w:rPr>
      </w:pPr>
      <w:r w:rsidRPr="004E5A6E">
        <w:rPr>
          <w:rFonts w:ascii="Times New Roman" w:eastAsia="MS Mincho" w:hAnsi="Times New Roman"/>
          <w:sz w:val="24"/>
          <w:lang w:val="sq-AL"/>
        </w:rPr>
        <w:t>Për më tepër, konfigurimi i SIMFK për të lejuar zotime shumëvjeçare është zhvilluar dhe testuar, ndërsa e njëjta gjë është në pritje për sistemin e buxhetimit (sistemi i menaxhimit të zhvillimit të buxhetit-BDMS), i cili do të lejonte ndarjet buxhetore shumëvjeçare. Sidoqoftë, duhet të futen ndryshime në legjislacion për të lejuar buxhetimin shumëvjeçar (zgjatja e ndarjeve mbi një vit) si dhe duhet të futen zotimet për shpenzimet kapitale. Ky proces pritet të përparojë sapo t situata e reagimit emergjent ndaj pandemisë të jetë qetësuar.</w:t>
      </w:r>
    </w:p>
    <w:p w14:paraId="6ACC6258" w14:textId="77777777" w:rsidR="00733346" w:rsidRPr="004E5A6E" w:rsidRDefault="00733346" w:rsidP="00733346">
      <w:pPr>
        <w:pStyle w:val="ListParagraph"/>
        <w:ind w:left="0"/>
        <w:jc w:val="both"/>
        <w:rPr>
          <w:rFonts w:ascii="Times New Roman" w:eastAsia="MS Mincho" w:hAnsi="Times New Roman"/>
          <w:sz w:val="24"/>
          <w:lang w:val="sq-AL"/>
        </w:rPr>
      </w:pPr>
    </w:p>
    <w:p w14:paraId="3DE5AF93" w14:textId="77777777" w:rsidR="00733346" w:rsidRPr="004E5A6E" w:rsidRDefault="00733346" w:rsidP="00733346">
      <w:pPr>
        <w:pStyle w:val="ListParagraph"/>
        <w:ind w:left="0"/>
        <w:jc w:val="both"/>
        <w:rPr>
          <w:rFonts w:ascii="Times New Roman" w:eastAsia="MS Mincho" w:hAnsi="Times New Roman"/>
          <w:sz w:val="24"/>
          <w:szCs w:val="24"/>
          <w:lang w:val="sq-AL"/>
        </w:rPr>
      </w:pPr>
      <w:r w:rsidRPr="004E5A6E">
        <w:rPr>
          <w:rFonts w:ascii="Times New Roman" w:eastAsia="MS Mincho" w:hAnsi="Times New Roman"/>
          <w:sz w:val="24"/>
          <w:szCs w:val="24"/>
          <w:lang w:val="sq-AL"/>
        </w:rPr>
        <w:t>[2.B.] Aktualisht Ministria e Ekonomisë dhe Ambientit me ndihmën e BERZH-it dhe Deloitte është në fazën e rishikimit të Projektligjit për Ndërmarrjet Publike, i cili tashmë është parashikuar në Planin Legjislativ të Qeverisë së Republikës së Kosovës për vitin 2020. Ky Projektligj për Ndërmarrjet Publike synon të përmirësojë mbikëqyrjen si të ndërmarrjeve publike qendrore ashtu edhe të ndërmarrjeve publike lokale, të standardizojë llogaridhënien, të përcaktojë detyrat dhe përgjegjësitë dhe të prezantojë një format të ri për raportimin financiar dhe operativ.</w:t>
      </w:r>
    </w:p>
    <w:p w14:paraId="2F8D651B" w14:textId="77777777" w:rsidR="00733346" w:rsidRPr="004E5A6E" w:rsidRDefault="00733346" w:rsidP="00733346">
      <w:pPr>
        <w:spacing w:before="100" w:beforeAutospacing="1" w:after="100" w:afterAutospacing="1"/>
        <w:jc w:val="both"/>
        <w:rPr>
          <w:lang w:val="sq-AL"/>
        </w:rPr>
      </w:pPr>
      <w:r w:rsidRPr="004E5A6E">
        <w:rPr>
          <w:lang w:val="sq-AL"/>
        </w:rPr>
        <w:t xml:space="preserve">[2.C] Gjatë periudhës 1 dhjetor 2020 - 30 janar 2021, pritet asistenca teknike nga Departamenti për Çështje Fiskale në hartimin e dokumentit të opsioneve për krijimin e një organi të pavarur për mbikëqyrjen fiskale. Prandaj, deri në fund të janarit 2021, një draft i këtij dokumenti opsionesh do të jetë në dispozicion për komente dhe sugjerime të mëtejshme nga palët përkatëse të interesit. </w:t>
      </w:r>
    </w:p>
    <w:p w14:paraId="5E6C9A51" w14:textId="38733EF0" w:rsidR="00733346" w:rsidRPr="004E5A6E" w:rsidRDefault="00733346" w:rsidP="0012156A">
      <w:pPr>
        <w:pStyle w:val="ERPL1"/>
        <w:numPr>
          <w:ilvl w:val="0"/>
          <w:numId w:val="0"/>
        </w:numPr>
        <w:rPr>
          <w:rFonts w:ascii="Times New Roman" w:eastAsia="MS Mincho" w:hAnsi="Times New Roman"/>
          <w:smallCaps w:val="0"/>
          <w:color w:val="000000" w:themeColor="text1"/>
          <w:kern w:val="0"/>
          <w:sz w:val="24"/>
          <w:lang w:val="sq-AL"/>
        </w:rPr>
      </w:pPr>
      <w:bookmarkStart w:id="39" w:name="_Toc57302272"/>
      <w:bookmarkStart w:id="40" w:name="_Toc57720353"/>
      <w:r w:rsidRPr="004E5A6E">
        <w:rPr>
          <w:rFonts w:ascii="Times New Roman" w:eastAsia="MS Mincho" w:hAnsi="Times New Roman"/>
          <w:smallCaps w:val="0"/>
          <w:color w:val="000000" w:themeColor="text1"/>
          <w:kern w:val="0"/>
          <w:sz w:val="24"/>
          <w:lang w:val="sq-AL"/>
        </w:rPr>
        <w:t xml:space="preserve">“[3.A.] Monitorimi i ngushtë i sfidave të stabilitetit financiar si rezultat i pandemisë së </w:t>
      </w:r>
      <w:r w:rsidR="004E5A6E" w:rsidRPr="004E5A6E">
        <w:rPr>
          <w:rFonts w:ascii="Times New Roman" w:eastAsia="MS Mincho" w:hAnsi="Times New Roman"/>
          <w:smallCaps w:val="0"/>
          <w:color w:val="000000" w:themeColor="text1"/>
          <w:kern w:val="0"/>
          <w:sz w:val="24"/>
          <w:lang w:val="sq-AL"/>
        </w:rPr>
        <w:t>korona virusit</w:t>
      </w:r>
      <w:r w:rsidRPr="004E5A6E">
        <w:rPr>
          <w:rFonts w:ascii="Times New Roman" w:eastAsia="MS Mincho" w:hAnsi="Times New Roman"/>
          <w:smallCaps w:val="0"/>
          <w:color w:val="000000" w:themeColor="text1"/>
          <w:kern w:val="0"/>
          <w:sz w:val="24"/>
          <w:lang w:val="sq-AL"/>
        </w:rPr>
        <w:t xml:space="preserve"> dhe ndërmarrja e masave të duhura nëse është e nevojshme, njëkohësisht duke zhvilluar një kornizë më të integruar për matjen e ngarkesës me borxh të ekonomive familjare. [3.b] Ndërmarrja e një analize të thelluar të personelit dhe kërkesave të kompetencës në fushat kryesore të politikave të bankës qendrore, veçanërisht stabilitetin financiar. [3.C] Vazhdimi me anketën e pritjev</w:t>
      </w:r>
      <w:r w:rsidR="0012156A" w:rsidRPr="004E5A6E">
        <w:rPr>
          <w:rFonts w:ascii="Times New Roman" w:eastAsia="MS Mincho" w:hAnsi="Times New Roman"/>
          <w:smallCaps w:val="0"/>
          <w:color w:val="000000" w:themeColor="text1"/>
          <w:kern w:val="0"/>
          <w:sz w:val="24"/>
          <w:lang w:val="sq-AL"/>
        </w:rPr>
        <w:t>e të inflacionit dhe publikimin</w:t>
      </w:r>
      <w:r w:rsidRPr="004E5A6E">
        <w:rPr>
          <w:rFonts w:ascii="Times New Roman" w:eastAsia="MS Mincho" w:hAnsi="Times New Roman"/>
          <w:smallCaps w:val="0"/>
          <w:color w:val="000000" w:themeColor="text1"/>
          <w:kern w:val="0"/>
          <w:sz w:val="24"/>
          <w:lang w:val="sq-AL"/>
        </w:rPr>
        <w:t xml:space="preserve"> i serive kohore </w:t>
      </w:r>
      <w:r w:rsidR="00EF7F7F" w:rsidRPr="004E5A6E">
        <w:rPr>
          <w:rFonts w:ascii="Times New Roman" w:eastAsia="MS Mincho" w:hAnsi="Times New Roman"/>
          <w:smallCaps w:val="0"/>
          <w:color w:val="000000" w:themeColor="text1"/>
          <w:kern w:val="0"/>
          <w:sz w:val="24"/>
          <w:lang w:val="sq-AL"/>
        </w:rPr>
        <w:t>në momentin që më shumë të dhëna ja</w:t>
      </w:r>
      <w:r w:rsidRPr="004E5A6E">
        <w:rPr>
          <w:rFonts w:ascii="Times New Roman" w:eastAsia="MS Mincho" w:hAnsi="Times New Roman"/>
          <w:smallCaps w:val="0"/>
          <w:color w:val="000000" w:themeColor="text1"/>
          <w:kern w:val="0"/>
          <w:sz w:val="24"/>
          <w:lang w:val="sq-AL"/>
        </w:rPr>
        <w:t>në në dispozicion."</w:t>
      </w:r>
      <w:bookmarkEnd w:id="39"/>
      <w:bookmarkEnd w:id="40"/>
    </w:p>
    <w:p w14:paraId="076909A5" w14:textId="77777777" w:rsidR="00733346" w:rsidRPr="004E5A6E" w:rsidRDefault="00733346" w:rsidP="0012156A">
      <w:pPr>
        <w:pStyle w:val="ERPL1"/>
        <w:numPr>
          <w:ilvl w:val="0"/>
          <w:numId w:val="0"/>
        </w:numPr>
        <w:spacing w:before="0" w:after="0"/>
        <w:rPr>
          <w:rFonts w:ascii="Times New Roman" w:eastAsia="MS Mincho" w:hAnsi="Times New Roman"/>
          <w:b w:val="0"/>
          <w:smallCaps w:val="0"/>
          <w:color w:val="000000" w:themeColor="text1"/>
          <w:kern w:val="0"/>
          <w:sz w:val="24"/>
          <w:lang w:val="sq-AL"/>
        </w:rPr>
      </w:pPr>
      <w:bookmarkStart w:id="41" w:name="_Toc57302273"/>
      <w:bookmarkStart w:id="42" w:name="_Toc57720354"/>
      <w:r w:rsidRPr="004E5A6E">
        <w:rPr>
          <w:rFonts w:ascii="Times New Roman" w:eastAsia="MS Mincho" w:hAnsi="Times New Roman"/>
          <w:b w:val="0"/>
          <w:smallCaps w:val="0"/>
          <w:color w:val="000000" w:themeColor="text1"/>
          <w:kern w:val="0"/>
          <w:sz w:val="24"/>
          <w:lang w:val="sq-AL"/>
        </w:rPr>
        <w:t>[3.A] Që nga fillimi i masave kufizuese në muajin mars, BQK-ja ka treguar proaktivitet të lartë, me instrumentet që ka pasur në dispozicion, për të ndihmuar agjentët ekonomikë të përballen me krizën ekonomike në mënyrën më të lehtë të mundshme. Gjatë pandemisë, Banka Qendrore e Kosovës ndërmori veprimet e mëposhtme për të zbutur disa nga implikimet e Covid-19:</w:t>
      </w:r>
      <w:bookmarkEnd w:id="41"/>
      <w:bookmarkEnd w:id="42"/>
    </w:p>
    <w:p w14:paraId="63A3A7DA" w14:textId="1598F17A" w:rsidR="00733346" w:rsidRPr="004E5A6E" w:rsidRDefault="00733346" w:rsidP="0068706C">
      <w:pPr>
        <w:pStyle w:val="ERPL1"/>
        <w:numPr>
          <w:ilvl w:val="0"/>
          <w:numId w:val="12"/>
        </w:numPr>
        <w:spacing w:before="0" w:after="0"/>
        <w:jc w:val="left"/>
        <w:rPr>
          <w:rFonts w:ascii="Times New Roman" w:eastAsia="MS Mincho" w:hAnsi="Times New Roman"/>
          <w:b w:val="0"/>
          <w:smallCaps w:val="0"/>
          <w:color w:val="000000" w:themeColor="text1"/>
          <w:kern w:val="0"/>
          <w:sz w:val="24"/>
          <w:lang w:val="sq-AL"/>
        </w:rPr>
      </w:pPr>
      <w:bookmarkStart w:id="43" w:name="_Toc57302274"/>
      <w:bookmarkStart w:id="44" w:name="_Toc57720355"/>
      <w:r w:rsidRPr="004E5A6E">
        <w:rPr>
          <w:rFonts w:ascii="Times New Roman" w:eastAsia="MS Mincho" w:hAnsi="Times New Roman"/>
          <w:b w:val="0"/>
          <w:smallCaps w:val="0"/>
          <w:color w:val="000000" w:themeColor="text1"/>
          <w:kern w:val="0"/>
          <w:sz w:val="24"/>
          <w:lang w:val="sq-AL"/>
        </w:rPr>
        <w:t>Heqja e përkohshme e kërkesave për ripagimin e kredive,</w:t>
      </w:r>
      <w:r w:rsidR="00713DEA">
        <w:rPr>
          <w:rFonts w:ascii="Times New Roman" w:eastAsia="MS Mincho" w:hAnsi="Times New Roman"/>
          <w:b w:val="0"/>
          <w:smallCaps w:val="0"/>
          <w:color w:val="000000" w:themeColor="text1"/>
          <w:kern w:val="0"/>
          <w:sz w:val="24"/>
          <w:lang w:val="sq-AL"/>
        </w:rPr>
        <w:t xml:space="preserve"> klasifikimin dhe provizionimin </w:t>
      </w:r>
      <w:r w:rsidRPr="004E5A6E">
        <w:rPr>
          <w:rFonts w:ascii="Times New Roman" w:eastAsia="MS Mincho" w:hAnsi="Times New Roman"/>
          <w:b w:val="0"/>
          <w:smallCaps w:val="0"/>
          <w:color w:val="000000" w:themeColor="text1"/>
          <w:kern w:val="0"/>
          <w:sz w:val="24"/>
          <w:lang w:val="sq-AL"/>
        </w:rPr>
        <w:t>e kredive;</w:t>
      </w:r>
      <w:bookmarkEnd w:id="43"/>
      <w:bookmarkEnd w:id="44"/>
    </w:p>
    <w:p w14:paraId="186B36C8" w14:textId="77777777" w:rsidR="00733346" w:rsidRPr="004E5A6E" w:rsidRDefault="00733346" w:rsidP="0068706C">
      <w:pPr>
        <w:pStyle w:val="ERPL1"/>
        <w:numPr>
          <w:ilvl w:val="0"/>
          <w:numId w:val="12"/>
        </w:numPr>
        <w:spacing w:before="0" w:after="0"/>
        <w:jc w:val="left"/>
        <w:rPr>
          <w:rFonts w:ascii="Times New Roman" w:eastAsia="MS Mincho" w:hAnsi="Times New Roman"/>
          <w:b w:val="0"/>
          <w:smallCaps w:val="0"/>
          <w:color w:val="000000" w:themeColor="text1"/>
          <w:kern w:val="0"/>
          <w:sz w:val="24"/>
          <w:lang w:val="sq-AL"/>
        </w:rPr>
      </w:pPr>
      <w:bookmarkStart w:id="45" w:name="_Toc57302275"/>
      <w:bookmarkStart w:id="46" w:name="_Toc57720356"/>
      <w:r w:rsidRPr="004E5A6E">
        <w:rPr>
          <w:rFonts w:ascii="Times New Roman" w:eastAsia="MS Mincho" w:hAnsi="Times New Roman"/>
          <w:b w:val="0"/>
          <w:smallCaps w:val="0"/>
          <w:color w:val="000000" w:themeColor="text1"/>
          <w:kern w:val="0"/>
          <w:sz w:val="24"/>
          <w:lang w:val="sq-AL"/>
        </w:rPr>
        <w:t>Moratoriumi i ripagimit të kredive për korporatat dhe ekonomitë familjare;</w:t>
      </w:r>
      <w:bookmarkEnd w:id="45"/>
      <w:bookmarkEnd w:id="46"/>
    </w:p>
    <w:p w14:paraId="64214F4D" w14:textId="4F5A949C" w:rsidR="00733346" w:rsidRPr="004E5A6E" w:rsidRDefault="00733346" w:rsidP="0068706C">
      <w:pPr>
        <w:pStyle w:val="ERPL1"/>
        <w:numPr>
          <w:ilvl w:val="0"/>
          <w:numId w:val="12"/>
        </w:numPr>
        <w:spacing w:before="0" w:after="0"/>
        <w:jc w:val="left"/>
        <w:rPr>
          <w:rFonts w:ascii="Times New Roman" w:eastAsia="MS Mincho" w:hAnsi="Times New Roman"/>
          <w:b w:val="0"/>
          <w:smallCaps w:val="0"/>
          <w:color w:val="000000" w:themeColor="text1"/>
          <w:kern w:val="0"/>
          <w:sz w:val="24"/>
          <w:lang w:val="sq-AL"/>
        </w:rPr>
      </w:pPr>
      <w:bookmarkStart w:id="47" w:name="_Toc57302276"/>
      <w:bookmarkStart w:id="48" w:name="_Toc57720357"/>
      <w:r w:rsidRPr="004E5A6E">
        <w:rPr>
          <w:rFonts w:ascii="Times New Roman" w:eastAsia="MS Mincho" w:hAnsi="Times New Roman"/>
          <w:b w:val="0"/>
          <w:smallCaps w:val="0"/>
          <w:color w:val="000000" w:themeColor="text1"/>
          <w:kern w:val="0"/>
          <w:sz w:val="24"/>
          <w:lang w:val="sq-AL"/>
        </w:rPr>
        <w:t>Rishikimi i kërkesave për pezullimin e ripagimit të kredive dhe n</w:t>
      </w:r>
      <w:r w:rsidR="00713DEA">
        <w:rPr>
          <w:rFonts w:ascii="Times New Roman" w:eastAsia="MS Mincho" w:hAnsi="Times New Roman"/>
          <w:b w:val="0"/>
          <w:smallCaps w:val="0"/>
          <w:color w:val="000000" w:themeColor="text1"/>
          <w:kern w:val="0"/>
          <w:sz w:val="24"/>
          <w:lang w:val="sq-AL"/>
        </w:rPr>
        <w:t xml:space="preserve">grirja e vlerësimeve </w:t>
      </w:r>
      <w:r w:rsidRPr="004E5A6E">
        <w:rPr>
          <w:rFonts w:ascii="Times New Roman" w:eastAsia="MS Mincho" w:hAnsi="Times New Roman"/>
          <w:b w:val="0"/>
          <w:smallCaps w:val="0"/>
          <w:color w:val="000000" w:themeColor="text1"/>
          <w:kern w:val="0"/>
          <w:sz w:val="24"/>
          <w:lang w:val="sq-AL"/>
        </w:rPr>
        <w:t>(rejtingut) të kredive individuale;</w:t>
      </w:r>
      <w:bookmarkEnd w:id="47"/>
      <w:bookmarkEnd w:id="48"/>
    </w:p>
    <w:p w14:paraId="6CEC2319" w14:textId="77777777" w:rsidR="00733346" w:rsidRPr="004E5A6E" w:rsidRDefault="00733346" w:rsidP="0068706C">
      <w:pPr>
        <w:pStyle w:val="ERPL1"/>
        <w:numPr>
          <w:ilvl w:val="0"/>
          <w:numId w:val="12"/>
        </w:numPr>
        <w:spacing w:before="0" w:after="0"/>
        <w:jc w:val="left"/>
        <w:rPr>
          <w:rFonts w:ascii="Times New Roman" w:eastAsia="MS Mincho" w:hAnsi="Times New Roman"/>
          <w:b w:val="0"/>
          <w:smallCaps w:val="0"/>
          <w:color w:val="000000" w:themeColor="text1"/>
          <w:kern w:val="0"/>
          <w:sz w:val="24"/>
          <w:lang w:val="sq-AL"/>
        </w:rPr>
      </w:pPr>
      <w:bookmarkStart w:id="49" w:name="_Toc57302277"/>
      <w:bookmarkStart w:id="50" w:name="_Toc57720358"/>
      <w:r w:rsidRPr="004E5A6E">
        <w:rPr>
          <w:rFonts w:ascii="Times New Roman" w:eastAsia="MS Mincho" w:hAnsi="Times New Roman"/>
          <w:b w:val="0"/>
          <w:smallCaps w:val="0"/>
          <w:color w:val="000000" w:themeColor="text1"/>
          <w:kern w:val="0"/>
          <w:sz w:val="24"/>
          <w:lang w:val="sq-AL"/>
        </w:rPr>
        <w:t>Asnjë masë e uljes së vlerësimit kreditor nuk zbatohet për huamarrësit;</w:t>
      </w:r>
      <w:bookmarkEnd w:id="49"/>
      <w:bookmarkEnd w:id="50"/>
    </w:p>
    <w:p w14:paraId="3A0B6607" w14:textId="02D77A57" w:rsidR="00733346" w:rsidRPr="004E5A6E" w:rsidRDefault="00733346" w:rsidP="0068706C">
      <w:pPr>
        <w:pStyle w:val="ERPL1"/>
        <w:numPr>
          <w:ilvl w:val="0"/>
          <w:numId w:val="12"/>
        </w:numPr>
        <w:spacing w:before="0" w:after="0"/>
        <w:jc w:val="left"/>
        <w:rPr>
          <w:rFonts w:ascii="Times New Roman" w:eastAsia="MS Mincho" w:hAnsi="Times New Roman"/>
          <w:b w:val="0"/>
          <w:smallCaps w:val="0"/>
          <w:color w:val="000000" w:themeColor="text1"/>
          <w:kern w:val="0"/>
          <w:sz w:val="24"/>
          <w:lang w:val="sq-AL"/>
        </w:rPr>
      </w:pPr>
      <w:bookmarkStart w:id="51" w:name="_Toc57302278"/>
      <w:bookmarkStart w:id="52" w:name="_Toc57720359"/>
      <w:r w:rsidRPr="004E5A6E">
        <w:rPr>
          <w:rFonts w:ascii="Times New Roman" w:eastAsia="MS Mincho" w:hAnsi="Times New Roman"/>
          <w:b w:val="0"/>
          <w:smallCaps w:val="0"/>
          <w:color w:val="000000" w:themeColor="text1"/>
          <w:kern w:val="0"/>
          <w:sz w:val="24"/>
          <w:lang w:val="sq-AL"/>
        </w:rPr>
        <w:t>Zbutja e masave ligjore për të mos kërkuar provizione sh</w:t>
      </w:r>
      <w:r w:rsidR="00713DEA">
        <w:rPr>
          <w:rFonts w:ascii="Times New Roman" w:eastAsia="MS Mincho" w:hAnsi="Times New Roman"/>
          <w:b w:val="0"/>
          <w:smallCaps w:val="0"/>
          <w:color w:val="000000" w:themeColor="text1"/>
          <w:kern w:val="0"/>
          <w:sz w:val="24"/>
          <w:lang w:val="sq-AL"/>
        </w:rPr>
        <w:t xml:space="preserve">tesë dhe për të mos klasifikuar </w:t>
      </w:r>
      <w:r w:rsidRPr="004E5A6E">
        <w:rPr>
          <w:rFonts w:ascii="Times New Roman" w:eastAsia="MS Mincho" w:hAnsi="Times New Roman"/>
          <w:b w:val="0"/>
          <w:smallCaps w:val="0"/>
          <w:color w:val="000000" w:themeColor="text1"/>
          <w:kern w:val="0"/>
          <w:sz w:val="24"/>
          <w:lang w:val="sq-AL"/>
        </w:rPr>
        <w:t>kreditë si kredi joperformuese në Regjistrin e Kredive.</w:t>
      </w:r>
      <w:bookmarkEnd w:id="51"/>
      <w:bookmarkEnd w:id="52"/>
    </w:p>
    <w:p w14:paraId="6255DC67" w14:textId="77777777" w:rsidR="00733346" w:rsidRPr="004E5A6E" w:rsidRDefault="00733346" w:rsidP="00733346">
      <w:pPr>
        <w:autoSpaceDE w:val="0"/>
        <w:autoSpaceDN w:val="0"/>
        <w:adjustRightInd w:val="0"/>
        <w:jc w:val="both"/>
        <w:rPr>
          <w:lang w:val="sq-AL"/>
        </w:rPr>
      </w:pPr>
    </w:p>
    <w:p w14:paraId="12F54EA9" w14:textId="77777777" w:rsidR="00733346" w:rsidRPr="004E5A6E" w:rsidRDefault="00733346" w:rsidP="00733346">
      <w:pPr>
        <w:autoSpaceDE w:val="0"/>
        <w:autoSpaceDN w:val="0"/>
        <w:adjustRightInd w:val="0"/>
        <w:rPr>
          <w:lang w:val="sq-AL"/>
        </w:rPr>
      </w:pPr>
      <w:r w:rsidRPr="004E5A6E">
        <w:rPr>
          <w:lang w:val="sq-AL"/>
        </w:rPr>
        <w:t>Veç kësaj, në qershor të vitit 2020, BQK-ja nxorri Udhëzuesin për ristrukturimin e kredive për shkak të Covid-19. Qëllimi i këtij udhëzimi është të sigurojë informacion në lidhje me parimet dhe udhëzimet në lidhje me procesin e ristrukturimit të kredive; të përcaktojë kriteret mbi të cilat duhet të bazohet procesi i ristrukturimit të kredive; dhe të udhëzojë institucionet huadhënëse të mos ushtrojnë likuidimin e kolateralit.</w:t>
      </w:r>
    </w:p>
    <w:p w14:paraId="67D76ACE" w14:textId="77777777" w:rsidR="00733346" w:rsidRPr="004E5A6E" w:rsidRDefault="00733346" w:rsidP="00733346">
      <w:pPr>
        <w:autoSpaceDE w:val="0"/>
        <w:autoSpaceDN w:val="0"/>
        <w:adjustRightInd w:val="0"/>
        <w:rPr>
          <w:lang w:val="sq-AL"/>
        </w:rPr>
      </w:pPr>
    </w:p>
    <w:p w14:paraId="4E2950A1" w14:textId="77777777" w:rsidR="00733346" w:rsidRPr="004E5A6E" w:rsidRDefault="00733346" w:rsidP="00733346">
      <w:pPr>
        <w:autoSpaceDE w:val="0"/>
        <w:autoSpaceDN w:val="0"/>
        <w:adjustRightInd w:val="0"/>
        <w:jc w:val="both"/>
        <w:rPr>
          <w:lang w:val="sq-AL"/>
        </w:rPr>
      </w:pPr>
      <w:r w:rsidRPr="004E5A6E">
        <w:rPr>
          <w:lang w:val="sq-AL"/>
        </w:rPr>
        <w:t>Për më tepër, BQK-ja aktualisht është duke punuar në një analizë më të thelluar të ngarkesës me borxh të ekonomive familjare. Duke përdorur të dhënat nga Regjistri i Kredive, BQK-ja ka analizuar mundësinë për të llogaritur një indeks alternativ të ngarkesës me borxh për segmente të ndryshme të të ardhurave të klientëve, në mënyrë që të monitorojë nga afër klientët më të cenueshëm</w:t>
      </w:r>
    </w:p>
    <w:p w14:paraId="22070AA1" w14:textId="77777777" w:rsidR="00733346" w:rsidRPr="004E5A6E" w:rsidRDefault="00733346" w:rsidP="00733346">
      <w:pPr>
        <w:jc w:val="both"/>
        <w:rPr>
          <w:color w:val="000000" w:themeColor="text1"/>
          <w:lang w:val="sq-AL"/>
        </w:rPr>
      </w:pPr>
    </w:p>
    <w:p w14:paraId="032F89AD" w14:textId="77777777" w:rsidR="00733346" w:rsidRPr="004E5A6E" w:rsidRDefault="00733346" w:rsidP="00733346">
      <w:pPr>
        <w:jc w:val="both"/>
        <w:rPr>
          <w:color w:val="000000" w:themeColor="text1"/>
          <w:lang w:val="sq-AL"/>
        </w:rPr>
      </w:pPr>
      <w:r w:rsidRPr="004E5A6E">
        <w:rPr>
          <w:color w:val="000000" w:themeColor="text1"/>
          <w:lang w:val="sq-AL"/>
        </w:rPr>
        <w:t xml:space="preserve">[3.B.] BQK-ja është plotësisht e vetëdijshme për kërkesat e burimeve dhe të kompetencës për personelin e stabilitetit financiar, megjithatë për shkak të implikimeve të pandemisë, procesi i rekrutimit u vonua bazuar në rekomandimet e institucioneve shëndetësore dhe të sigurisë. Sidoqoftë, për të siguruar vazhdimin e punës aktuale analitike, ne kemi zgjatur kontratën për një nga analistët e lartë që ishte punësuar me kontratë për kohë të caktuar edhe për një vit. Sapo të hiqen masat kufizuese, ne do të vazhdojmë me çfarë është planifikuar për stabilitetin financiar. </w:t>
      </w:r>
    </w:p>
    <w:p w14:paraId="51C15464" w14:textId="77777777" w:rsidR="00733346" w:rsidRPr="004E5A6E" w:rsidRDefault="00733346" w:rsidP="00733346">
      <w:pPr>
        <w:jc w:val="both"/>
        <w:rPr>
          <w:color w:val="000000" w:themeColor="text1"/>
          <w:lang w:val="sq-AL"/>
        </w:rPr>
      </w:pPr>
    </w:p>
    <w:p w14:paraId="00CF500F" w14:textId="77777777" w:rsidR="00733346" w:rsidRPr="004E5A6E" w:rsidRDefault="00733346" w:rsidP="00733346">
      <w:pPr>
        <w:jc w:val="both"/>
        <w:rPr>
          <w:lang w:val="sq-AL"/>
        </w:rPr>
      </w:pPr>
      <w:r w:rsidRPr="004E5A6E">
        <w:rPr>
          <w:color w:val="000000" w:themeColor="text1"/>
          <w:lang w:val="sq-AL"/>
        </w:rPr>
        <w:t>[3.C.] BQK-ja vazhdoi realizimin e anketës së pritjeve të inflacionit. Rezultatet më të fundit të pritjeve të inflacionit pasqyrojnë vlerësimin e inflacionit të bankave gjatë tremujorit të dytë 2020 dhe pritjet e bankave për tremujorin e tretë të vitit 2020 (korrik - shtator 2020). Duke parë dinamikën aktuale të inflacionit gjatë këtyre muajve të vitit 2020, ne konsiderojmë se pritjet e bankave për inflacionin janë paksa optimiste.</w:t>
      </w:r>
      <w:r w:rsidRPr="004E5A6E">
        <w:rPr>
          <w:lang w:val="sq-AL"/>
        </w:rPr>
        <w:t xml:space="preserve"> </w:t>
      </w:r>
    </w:p>
    <w:p w14:paraId="2C3EFDC2" w14:textId="77777777" w:rsidR="00733346" w:rsidRPr="004E5A6E" w:rsidRDefault="00733346" w:rsidP="00733346">
      <w:pPr>
        <w:jc w:val="both"/>
        <w:rPr>
          <w:lang w:val="sq-AL"/>
        </w:rPr>
      </w:pPr>
    </w:p>
    <w:p w14:paraId="0799B8B3" w14:textId="77777777" w:rsidR="00733346" w:rsidRPr="004E5A6E" w:rsidRDefault="00733346" w:rsidP="00733346">
      <w:pPr>
        <w:jc w:val="both"/>
        <w:rPr>
          <w:b/>
          <w:color w:val="000000" w:themeColor="text1"/>
          <w:lang w:val="sq-AL"/>
        </w:rPr>
      </w:pPr>
      <w:r w:rsidRPr="004E5A6E">
        <w:rPr>
          <w:b/>
          <w:color w:val="000000" w:themeColor="text1"/>
          <w:lang w:val="sq-AL"/>
        </w:rPr>
        <w:t xml:space="preserve"> “[4.A]. Me qëllim zbutjen e pasojave ekonomike të pandemisë Covid-19 dhe stimulimin e rimëkëmbjes ekonomike, vendosja e një mekanizmi efektiv dhe transparent për të përkrahur sektorin privat dhe punonjësit e prekur nga kriza, në veçanti ndërmarrjet mikro, të vogla dhe të mesme dhe të vetëpunësuarit. [4.B.] Shtrirja e mbulimit të mbrojtjes sociale dhe ofrimi i stimujve për bizneset dhe punonjësit në sektorin e ekonomisë informale që të regjistrohen dhe lehtësimi i kalimit të tyre në ekonominë formale. [4.C.] Për të siguruar një rimëkëmbje të shpejtë, zbatimi i mëtejshëm i masave relevante të mjedisit biznesor, në veçanti thjeshtimi, shkrirja dhe heqja e licencave dhe lejeve."</w:t>
      </w:r>
    </w:p>
    <w:p w14:paraId="2F4F5301" w14:textId="77777777" w:rsidR="00733346" w:rsidRPr="004E5A6E" w:rsidRDefault="00733346" w:rsidP="00733346">
      <w:pPr>
        <w:jc w:val="both"/>
        <w:rPr>
          <w:rFonts w:ascii="Book Antiqua" w:hAnsi="Book Antiqua"/>
          <w:b/>
          <w:color w:val="000000" w:themeColor="text1"/>
          <w:lang w:val="sq-AL"/>
        </w:rPr>
      </w:pPr>
    </w:p>
    <w:p w14:paraId="11301064" w14:textId="77777777" w:rsidR="00733346" w:rsidRPr="004E5A6E" w:rsidRDefault="00733346" w:rsidP="00733346">
      <w:pPr>
        <w:jc w:val="both"/>
        <w:rPr>
          <w:rFonts w:ascii="GillAlternateOneLight" w:hAnsi="GillAlternateOneLight"/>
          <w:color w:val="000000" w:themeColor="text1"/>
          <w:lang w:val="sq-AL"/>
        </w:rPr>
      </w:pPr>
      <w:r w:rsidRPr="004E5A6E">
        <w:rPr>
          <w:rFonts w:ascii="GillAlternateOneLight" w:hAnsi="GillAlternateOneLight"/>
          <w:color w:val="000000" w:themeColor="text1"/>
          <w:lang w:val="sq-AL"/>
        </w:rPr>
        <w:t>[4. A.] Një nga masat kryesore të pakos ishte e drejtuar në mbështetjen e sektorit privat në Kosovë. Masa 3A e Programit të Rimëkëmbjes Ekonomike (pakoja e dytë fiskale) përfshinte një transfer të drejtpërdrejtë buxhetor në vlerë 60 milion euro për kompanitë aktive në regjistrin e tatimpaguesve. Numri i përgjithshëm i përfituesve vlerësohet të jetë 36,679 kompani që punësojnë rreth 207 mijë njerëz. Rreth 72% e mjeteve u alokuan për kompani të vogla (që punësojnë deri në 50 persona). I gjithë procesi i aplikimit u bë në mënyrë elektronike përmes Platformës së Deklarimit Elektronik (EDI), e cila e bëri më efikas dhe më transparent procesin. Marrë parasysh vonesat në raundin e mëparshëm të transfereve, raundi i dytë vuri në spikamë automatizimin në mënyrë që transferimet të bëheshin në kohën e duhur. Transparenca dhe llogaridhënia e plotë do të sigurohen duke publikuar (në përputhje me legjislacionin në fuqi) të gjithë përfituesit e mjeteve. Ky zotim gjithashtu është bërë i kushtëzuar nën Asistencën Makro Financiare të BE-së dhe po diskutohet si pjesë e negociatave vazhduese të Instrumentit të Zgjeruar të Financimit të Fondit Monetar Ndërkombëtar (FMN EFF).</w:t>
      </w:r>
    </w:p>
    <w:p w14:paraId="7BF17EF0" w14:textId="77777777" w:rsidR="00733346" w:rsidRPr="004E5A6E" w:rsidRDefault="00733346" w:rsidP="00733346">
      <w:pPr>
        <w:jc w:val="both"/>
        <w:rPr>
          <w:lang w:val="sq-AL"/>
        </w:rPr>
      </w:pPr>
    </w:p>
    <w:p w14:paraId="7A9FC4FE" w14:textId="77777777" w:rsidR="00733346" w:rsidRPr="004E5A6E" w:rsidRDefault="00733346" w:rsidP="00733346">
      <w:pPr>
        <w:jc w:val="both"/>
        <w:rPr>
          <w:rFonts w:ascii="Book Antiqua" w:hAnsi="Book Antiqua"/>
          <w:color w:val="000000" w:themeColor="text1"/>
          <w:lang w:val="sq-AL"/>
        </w:rPr>
      </w:pPr>
      <w:r w:rsidRPr="004E5A6E">
        <w:rPr>
          <w:rFonts w:ascii="Book Antiqua" w:hAnsi="Book Antiqua"/>
          <w:color w:val="000000" w:themeColor="text1"/>
          <w:lang w:val="sq-AL"/>
        </w:rPr>
        <w:t xml:space="preserve"> [4.B.] </w:t>
      </w:r>
      <w:r w:rsidRPr="004E5A6E">
        <w:rPr>
          <w:lang w:val="sq-AL"/>
        </w:rPr>
        <w:t xml:space="preserve">Gjatë pandemisë, janë ndërmarrë një mori masash nga qeveria në lidhje me mbrojtjen sociale, por vetëm njëra prej tyre synonte rritjen e mbulimit vetëm në periudhën afatshkurtër. </w:t>
      </w:r>
      <w:r w:rsidRPr="004E5A6E">
        <w:rPr>
          <w:u w:val="single"/>
          <w:lang w:val="sq-AL"/>
        </w:rPr>
        <w:t>Masa 15</w:t>
      </w:r>
      <w:r w:rsidRPr="004E5A6E">
        <w:rPr>
          <w:lang w:val="sq-AL"/>
        </w:rPr>
        <w:t xml:space="preserve"> e Pakos Fiskale Emergjente (PFE) konsiston në ndihmën mujore në vlerë prej 130 eurosh për tre muaj (prill, maj dhe qershor) për qytetarët me kushte të vështira financiare, të deklaruar si të papunë në institucionin kompetent dhe të cilët nuk janë përfitues të ndonjë të ardhure mujore nga buxheti i Kosovës. Vlera e ekzekutuar për këtë kategori kapte rreth 10.5 milion euro me 27,572 përfitues.</w:t>
      </w:r>
    </w:p>
    <w:p w14:paraId="5E5539FC" w14:textId="77777777" w:rsidR="00733346" w:rsidRPr="004E5A6E" w:rsidRDefault="00733346" w:rsidP="0012156A">
      <w:pPr>
        <w:pStyle w:val="ERPL1"/>
        <w:numPr>
          <w:ilvl w:val="0"/>
          <w:numId w:val="0"/>
        </w:numPr>
        <w:spacing w:before="0" w:after="0"/>
        <w:rPr>
          <w:rFonts w:ascii="Times New Roman" w:eastAsia="MS Mincho" w:hAnsi="Times New Roman"/>
          <w:b w:val="0"/>
          <w:smallCaps w:val="0"/>
          <w:kern w:val="0"/>
          <w:sz w:val="24"/>
          <w:lang w:val="sq-AL"/>
        </w:rPr>
      </w:pPr>
      <w:bookmarkStart w:id="53" w:name="_Toc57302279"/>
      <w:bookmarkStart w:id="54" w:name="_Toc57720360"/>
      <w:r w:rsidRPr="004E5A6E">
        <w:rPr>
          <w:rFonts w:ascii="Times New Roman" w:eastAsia="MS Mincho" w:hAnsi="Times New Roman"/>
          <w:b w:val="0"/>
          <w:smallCaps w:val="0"/>
          <w:kern w:val="0"/>
          <w:sz w:val="24"/>
          <w:lang w:val="sq-AL"/>
        </w:rPr>
        <w:t>Një masë tjetër e PFE (</w:t>
      </w:r>
      <w:r w:rsidRPr="004E5A6E">
        <w:rPr>
          <w:rFonts w:ascii="Times New Roman" w:eastAsia="MS Mincho" w:hAnsi="Times New Roman"/>
          <w:b w:val="0"/>
          <w:smallCaps w:val="0"/>
          <w:kern w:val="0"/>
          <w:sz w:val="24"/>
          <w:u w:val="single"/>
          <w:lang w:val="sq-AL"/>
        </w:rPr>
        <w:t>Masa 1</w:t>
      </w:r>
      <w:r w:rsidRPr="004E5A6E">
        <w:rPr>
          <w:rFonts w:ascii="Times New Roman" w:eastAsia="MS Mincho" w:hAnsi="Times New Roman"/>
          <w:b w:val="0"/>
          <w:smallCaps w:val="0"/>
          <w:kern w:val="0"/>
          <w:sz w:val="24"/>
          <w:lang w:val="sq-AL"/>
        </w:rPr>
        <w:t>) fokusohej tek përfituesit e skemave sociale, të cilët e kishin të vështirë të siguronin mbijetesën dhe që janë kryesisht të përfshirë në grupin e shoqërisë që përballet me varfëri ekstreme. Sipas kësaj mase, 24,864 përfitues të kësaj skeme morën ndihmë shtesë mujore, me një kosto buxhetore prej rreth 7.8 milion euro. E njëjta gjë ishte parashikuar edhe në Programin e Reformës Ekonomike (pakoja e dytë fiskale), me një kosto totale të vlerësuar prej 7.5 milion euro për një periudhë tre mujore.</w:t>
      </w:r>
      <w:bookmarkEnd w:id="53"/>
      <w:bookmarkEnd w:id="54"/>
    </w:p>
    <w:p w14:paraId="069E602D" w14:textId="77777777" w:rsidR="00733346" w:rsidRPr="004E5A6E" w:rsidRDefault="00733346" w:rsidP="0012156A">
      <w:pPr>
        <w:pStyle w:val="ERPL1"/>
        <w:numPr>
          <w:ilvl w:val="0"/>
          <w:numId w:val="0"/>
        </w:numPr>
        <w:rPr>
          <w:rFonts w:ascii="Times New Roman" w:eastAsia="MS Mincho" w:hAnsi="Times New Roman"/>
          <w:b w:val="0"/>
          <w:smallCaps w:val="0"/>
          <w:kern w:val="0"/>
          <w:sz w:val="24"/>
          <w:lang w:val="sq-AL"/>
        </w:rPr>
      </w:pPr>
      <w:bookmarkStart w:id="55" w:name="_Toc57302280"/>
      <w:bookmarkStart w:id="56" w:name="_Toc57720361"/>
      <w:r w:rsidRPr="004E5A6E">
        <w:rPr>
          <w:rFonts w:ascii="Times New Roman" w:eastAsia="MS Mincho" w:hAnsi="Times New Roman"/>
          <w:b w:val="0"/>
          <w:smallCaps w:val="0"/>
          <w:kern w:val="0"/>
          <w:sz w:val="24"/>
          <w:lang w:val="sq-AL"/>
        </w:rPr>
        <w:t xml:space="preserve">Krahas kësaj, të gjithë përfituesit e skemave të pensioneve bazë, pensioneve për personat me aftësi të kufizuara dhe pensioneve familjare, të cilët marrin më pak se 100 € në bazë mujore, sipas </w:t>
      </w:r>
      <w:r w:rsidRPr="004E5A6E">
        <w:rPr>
          <w:rFonts w:ascii="Times New Roman" w:eastAsia="MS Mincho" w:hAnsi="Times New Roman"/>
          <w:b w:val="0"/>
          <w:smallCaps w:val="0"/>
          <w:kern w:val="0"/>
          <w:sz w:val="24"/>
          <w:u w:val="single"/>
          <w:lang w:val="sq-AL"/>
        </w:rPr>
        <w:t>Masës 2</w:t>
      </w:r>
      <w:r w:rsidRPr="004E5A6E">
        <w:rPr>
          <w:rFonts w:ascii="Times New Roman" w:eastAsia="MS Mincho" w:hAnsi="Times New Roman"/>
          <w:b w:val="0"/>
          <w:smallCaps w:val="0"/>
          <w:kern w:val="0"/>
          <w:sz w:val="24"/>
          <w:lang w:val="sq-AL"/>
        </w:rPr>
        <w:t xml:space="preserve"> të PFE, kishin të drejtë për 30 € shtesë në bazë mujore. Kostoja totale e kësaj mase arriti në 16.3 milion euro dhe 170,221 persona përfituan prej saj.</w:t>
      </w:r>
      <w:bookmarkEnd w:id="55"/>
      <w:bookmarkEnd w:id="56"/>
    </w:p>
    <w:p w14:paraId="04DC59D8" w14:textId="77777777" w:rsidR="00733346" w:rsidRPr="004E5A6E" w:rsidRDefault="00733346" w:rsidP="0012156A">
      <w:pPr>
        <w:pStyle w:val="ERPL1"/>
        <w:numPr>
          <w:ilvl w:val="0"/>
          <w:numId w:val="0"/>
        </w:numPr>
        <w:spacing w:before="0" w:after="0"/>
        <w:rPr>
          <w:rFonts w:ascii="Times New Roman" w:eastAsia="MS Mincho" w:hAnsi="Times New Roman"/>
          <w:b w:val="0"/>
          <w:smallCaps w:val="0"/>
          <w:kern w:val="0"/>
          <w:sz w:val="24"/>
          <w:lang w:val="sq-AL"/>
        </w:rPr>
      </w:pPr>
      <w:bookmarkStart w:id="57" w:name="_Toc57302281"/>
      <w:bookmarkStart w:id="58" w:name="_Toc57720362"/>
      <w:r w:rsidRPr="004E5A6E">
        <w:rPr>
          <w:rFonts w:ascii="Times New Roman" w:eastAsia="MS Mincho" w:hAnsi="Times New Roman"/>
          <w:b w:val="0"/>
          <w:smallCaps w:val="0"/>
          <w:kern w:val="0"/>
          <w:sz w:val="24"/>
          <w:lang w:val="sq-AL"/>
        </w:rPr>
        <w:t xml:space="preserve">Në fund, </w:t>
      </w:r>
      <w:r w:rsidRPr="004E5A6E">
        <w:rPr>
          <w:rFonts w:ascii="Times New Roman" w:eastAsia="MS Mincho" w:hAnsi="Times New Roman"/>
          <w:b w:val="0"/>
          <w:smallCaps w:val="0"/>
          <w:kern w:val="0"/>
          <w:sz w:val="24"/>
          <w:u w:val="single"/>
          <w:lang w:val="sq-AL"/>
        </w:rPr>
        <w:t>Masa 14</w:t>
      </w:r>
      <w:r w:rsidRPr="004E5A6E">
        <w:rPr>
          <w:rFonts w:ascii="Times New Roman" w:eastAsia="MS Mincho" w:hAnsi="Times New Roman"/>
          <w:b w:val="0"/>
          <w:smallCaps w:val="0"/>
          <w:kern w:val="0"/>
          <w:sz w:val="24"/>
          <w:lang w:val="sq-AL"/>
        </w:rPr>
        <w:t xml:space="preserve"> e PFE konsistonte në ofrimin e mbështetjes financiare për kompanitë komerciale, të cilat regjistrojnë punonjësit me një kontratë pune prej të paktën një (1) vit, gjatë periudhës së situatës emergjente të shëndetit publik, me 130 € për dy muajt pasues pas regjistrimit. Kostoja totale e kësaj mase ishte rreth 3.8 milion euro dhe 14,463 e tyre përfituan prej saj.</w:t>
      </w:r>
      <w:bookmarkEnd w:id="57"/>
      <w:bookmarkEnd w:id="58"/>
    </w:p>
    <w:p w14:paraId="146F6F7D" w14:textId="53181C39" w:rsidR="00733346" w:rsidRPr="004E5A6E" w:rsidRDefault="00733346" w:rsidP="0012156A">
      <w:pPr>
        <w:pStyle w:val="ERPL1"/>
        <w:numPr>
          <w:ilvl w:val="0"/>
          <w:numId w:val="0"/>
        </w:numPr>
        <w:spacing w:before="0" w:after="0"/>
        <w:ind w:left="2970"/>
        <w:rPr>
          <w:rFonts w:ascii="Book Antiqua" w:eastAsia="MS Mincho" w:hAnsi="Book Antiqua" w:cstheme="minorBidi"/>
          <w:b w:val="0"/>
          <w:smallCaps w:val="0"/>
          <w:color w:val="000000" w:themeColor="text1"/>
          <w:kern w:val="0"/>
          <w:sz w:val="22"/>
          <w:szCs w:val="22"/>
          <w:lang w:val="sq-AL"/>
        </w:rPr>
      </w:pPr>
    </w:p>
    <w:p w14:paraId="1214D4D9" w14:textId="3F3CF618" w:rsidR="00733346" w:rsidRPr="004E5A6E" w:rsidRDefault="00733346" w:rsidP="00733346">
      <w:pPr>
        <w:jc w:val="both"/>
        <w:rPr>
          <w:lang w:val="sq-AL"/>
        </w:rPr>
      </w:pPr>
      <w:r w:rsidRPr="004E5A6E">
        <w:rPr>
          <w:rFonts w:ascii="Book Antiqua" w:hAnsi="Book Antiqua"/>
          <w:color w:val="000000" w:themeColor="text1"/>
          <w:lang w:val="sq-AL"/>
        </w:rPr>
        <w:t xml:space="preserve"> [4.C.] </w:t>
      </w:r>
      <w:r w:rsidRPr="004E5A6E">
        <w:rPr>
          <w:lang w:val="sq-AL"/>
        </w:rPr>
        <w:t>Gjetjet e raporteve mbi lejet dhe licencat e identifikuara që mund të thjeshtohen, shkrihen ose edhe</w:t>
      </w:r>
      <w:r w:rsidR="0012156A" w:rsidRPr="004E5A6E">
        <w:rPr>
          <w:lang w:val="sq-AL"/>
        </w:rPr>
        <w:t xml:space="preserve"> të hiqen për ministritë e shën</w:t>
      </w:r>
      <w:r w:rsidRPr="004E5A6E">
        <w:rPr>
          <w:lang w:val="sq-AL"/>
        </w:rPr>
        <w:t xml:space="preserve">jestruara u përfshinë në Aneksin 16 të projekt Koncept Dokumentit për Reduktimin e Barrës Administrative, i cili u miratua në mars të vitit 2020. Një listë e akteve (nën) ligjore të cilat duhet të ndryshohen në mënyrë që të përmbushet caku i këtij procesi iu </w:t>
      </w:r>
      <w:r w:rsidR="004E5A6E" w:rsidRPr="004E5A6E">
        <w:rPr>
          <w:lang w:val="sq-AL"/>
        </w:rPr>
        <w:t>bashkëngjiten</w:t>
      </w:r>
      <w:r w:rsidRPr="004E5A6E">
        <w:rPr>
          <w:lang w:val="sq-AL"/>
        </w:rPr>
        <w:t xml:space="preserve"> këtij projekt Koncept Dokumenti. Që nga miratimi i Programit Legjislativ në qershor të vitit 2020, ministritë e shënjestruara filluan të krijojnë grupe të punës për të ndryshuar aktet ligjore të identifikuara në bashkëpunim me konsulentët e IFC-së. Disa drafte fillestare janë të gatshme të kalojnë nëpër procesin e konsultimeve paraprake dhe publike.</w:t>
      </w:r>
    </w:p>
    <w:p w14:paraId="4436326B" w14:textId="6242AE09" w:rsidR="00733346" w:rsidRPr="004E5A6E" w:rsidRDefault="00733346" w:rsidP="00733346">
      <w:pPr>
        <w:jc w:val="both"/>
        <w:rPr>
          <w:lang w:val="sq-AL"/>
        </w:rPr>
      </w:pPr>
      <w:r w:rsidRPr="004E5A6E">
        <w:rPr>
          <w:lang w:val="sq-AL"/>
        </w:rPr>
        <w:t xml:space="preserve">Sekretariati Koordinues i Qeverisë (SKQ) ka punuar në masa për përmirësimin e mjedisit të biznesit nëpërmjet thjeshtimit, shkrirjes dhe heqjes së licencave dhe lejeve që do të ndihmonin për të siguruar një rimëkëmbje të shpejtë. Midis këtyre masave, 14 trajnerë të </w:t>
      </w:r>
      <w:r w:rsidR="004E5A6E" w:rsidRPr="004E5A6E">
        <w:rPr>
          <w:lang w:val="sq-AL"/>
        </w:rPr>
        <w:t>certifikuar</w:t>
      </w:r>
      <w:r w:rsidRPr="004E5A6E">
        <w:rPr>
          <w:lang w:val="sq-AL"/>
        </w:rPr>
        <w:t xml:space="preserve"> u trajnuan për zbatimin e Modelit të Kostos Standarde (MKS) për barrën administrative, 40 të tjerë është planifikuar të trajnohen në dy vitet e ardhshme, rreth 50 zyrtarë të ministrive të linjës janë trajnuar se si të përdorin MKS-në dhe të paktën 120 do të trajnohen në dy vitet e ardhshme. SKQ-ja ka filluar matjen pikënisje për të identifikuar të gjithë barrat administrative dhe faza e parë është pothuajse e përfunduar. I gjithë programi përfshin 30% ulje të barrës administrative për bizneset, qytetarët dhe administratën. SKQ-ja është në proces të rregullimit të planit të punës për të integruar zvogëlimin e barrës administrative si një nga prioritet kyçe për qeverinë.</w:t>
      </w:r>
    </w:p>
    <w:p w14:paraId="6E390571" w14:textId="77777777" w:rsidR="00733346" w:rsidRPr="004E5A6E" w:rsidRDefault="00733346" w:rsidP="0012156A">
      <w:pPr>
        <w:pStyle w:val="ERPL1"/>
        <w:numPr>
          <w:ilvl w:val="0"/>
          <w:numId w:val="0"/>
        </w:numPr>
        <w:tabs>
          <w:tab w:val="left" w:pos="7"/>
        </w:tabs>
        <w:rPr>
          <w:rFonts w:ascii="Book Antiqua" w:eastAsia="MS Mincho" w:hAnsi="Book Antiqua" w:cstheme="minorBidi"/>
          <w:smallCaps w:val="0"/>
          <w:vanish/>
          <w:color w:val="000000" w:themeColor="text1"/>
          <w:kern w:val="0"/>
          <w:sz w:val="22"/>
          <w:szCs w:val="22"/>
          <w:lang w:val="sq-AL"/>
          <w:specVanish/>
        </w:rPr>
      </w:pPr>
      <w:bookmarkStart w:id="59" w:name="_Toc57302282"/>
      <w:bookmarkStart w:id="60" w:name="_Toc57720363"/>
      <w:r w:rsidRPr="004E5A6E">
        <w:rPr>
          <w:rFonts w:ascii="Book Antiqua" w:eastAsia="MS Mincho" w:hAnsi="Book Antiqua" w:cstheme="minorBidi"/>
          <w:smallCaps w:val="0"/>
          <w:color w:val="000000" w:themeColor="text1"/>
          <w:kern w:val="0"/>
          <w:sz w:val="22"/>
          <w:szCs w:val="22"/>
          <w:lang w:val="sq-AL"/>
        </w:rPr>
        <w:t>[5.A.] Forcimi i sektorit shëndetësor për të ofruar shërbime të kujdesit parësor shëndetësor të përshtatshme dhe të arritshme për të gjithë qytetarët. [5.B.] Në periudhën afatshkurtër, sigurimi i rritjes së mbulimit të përfitimeve të papunësisë dhe përfitimeve sociale të bazuara në nevoja për grupet më të prekura nga kriza covid-19. [5.C] Në planin afatmesëm, rishikimi i skemave të ndihmës sociale, në veçanti pensioneve të bazuara në kategori, për të siguruar që ato të shënjestrojnë grupet më në nevojë dhe të fokusohen në uljen e varfërisë.</w:t>
      </w:r>
      <w:bookmarkEnd w:id="59"/>
      <w:bookmarkEnd w:id="60"/>
    </w:p>
    <w:p w14:paraId="1C92A056" w14:textId="77777777" w:rsidR="00733346" w:rsidRPr="004E5A6E" w:rsidRDefault="00733346" w:rsidP="00733346">
      <w:pPr>
        <w:pStyle w:val="NormalWeb"/>
        <w:rPr>
          <w:rFonts w:eastAsia="MS Mincho"/>
          <w:lang w:val="sq-AL"/>
        </w:rPr>
      </w:pPr>
    </w:p>
    <w:p w14:paraId="401DC674" w14:textId="77777777" w:rsidR="00733346" w:rsidRPr="004E5A6E" w:rsidRDefault="00733346" w:rsidP="0012156A">
      <w:pPr>
        <w:pStyle w:val="NormalWeb"/>
        <w:jc w:val="both"/>
        <w:rPr>
          <w:rFonts w:ascii="Times New Roman" w:eastAsia="Times New Roman" w:hAnsi="Times New Roman"/>
          <w:color w:val="000000"/>
          <w:sz w:val="24"/>
          <w:szCs w:val="24"/>
          <w:lang w:val="sq-AL"/>
        </w:rPr>
      </w:pPr>
      <w:r w:rsidRPr="004E5A6E">
        <w:rPr>
          <w:rFonts w:ascii="Times New Roman" w:eastAsia="Times New Roman" w:hAnsi="Times New Roman"/>
          <w:color w:val="000000"/>
          <w:sz w:val="24"/>
          <w:szCs w:val="24"/>
          <w:lang w:val="sq-AL"/>
        </w:rPr>
        <w:t>[5.A] Buxheti i Rishikuar i vitit 2020 për Sektorin Qendror Shëndetësor i përbërë nga Ministria e Shëndetësisë dhe Shërbimet Spitalore Universitare u rrit me 13.0% krahasuar me buxhetin e vitit 2019, duke arritur në 182 milion euro. Një rritje e tillë përfshin alokime më të larta për produktet farmaceutike esenciale dhe për shpenzimet kapitale. Gjatë periudhës afatmesme, buxheti parashikohet të rritet mesatarisht me 3.1%.</w:t>
      </w:r>
    </w:p>
    <w:p w14:paraId="5153275B" w14:textId="77777777" w:rsidR="00733346" w:rsidRPr="004E5A6E" w:rsidRDefault="00733346" w:rsidP="00733346">
      <w:pPr>
        <w:pStyle w:val="NormalWeb"/>
        <w:spacing w:before="0" w:beforeAutospacing="0" w:after="0" w:afterAutospacing="0"/>
        <w:jc w:val="both"/>
        <w:rPr>
          <w:rFonts w:ascii="Times New Roman" w:eastAsia="Times New Roman" w:hAnsi="Times New Roman"/>
          <w:color w:val="000000"/>
          <w:sz w:val="24"/>
          <w:szCs w:val="24"/>
          <w:lang w:val="sq-AL"/>
        </w:rPr>
      </w:pPr>
      <w:r w:rsidRPr="004E5A6E">
        <w:rPr>
          <w:rFonts w:ascii="Times New Roman" w:eastAsia="Times New Roman" w:hAnsi="Times New Roman"/>
          <w:color w:val="000000"/>
          <w:sz w:val="24"/>
          <w:szCs w:val="24"/>
          <w:lang w:val="sq-AL"/>
        </w:rPr>
        <w:t>Granti specifik për kujdesin parësor shëndetësor në vitin 2020 është më i lartë se në vitin 2019, duke kapur një shumë prej 61.7 milion euro. Për periudhën afatmesme, përkatësisht periudhën 2021 deri 2022, granti specifik për kujdesin parësor shëndetësor pritet të rritet me 2.5 milion euro në vit. Financimi për kujdesin dytësor shëndetësor në vitin 2019 është në nivele të ngjashme me atë të vitit të kaluar (një rritje me 2.6 milion euro për çdo vit deri në fund të periudhës së parashikuar); ndërsa financimi për shërbimet në shtëpi (rezidenciale) regjistron një rritje të lehtë krahasuar me vitin e kaluar, duke arritur një vlerë prej 2.0 milion euro dhe duke mbetur përafërsisht në të njëjtin nivel gjatë vitit 2021 dhe 2022.</w:t>
      </w:r>
    </w:p>
    <w:p w14:paraId="7E19B861" w14:textId="77777777" w:rsidR="00733346" w:rsidRPr="004E5A6E" w:rsidRDefault="00733346" w:rsidP="00733346">
      <w:pPr>
        <w:pStyle w:val="PlainText"/>
        <w:jc w:val="both"/>
        <w:rPr>
          <w:rFonts w:ascii="Times New Roman" w:hAnsi="Times New Roman" w:cs="Times New Roman"/>
          <w:sz w:val="24"/>
          <w:szCs w:val="24"/>
          <w:lang w:val="sq-AL"/>
        </w:rPr>
      </w:pPr>
    </w:p>
    <w:p w14:paraId="3BC357C7" w14:textId="77777777" w:rsidR="00733346" w:rsidRPr="004E5A6E" w:rsidRDefault="00733346" w:rsidP="00733346">
      <w:pPr>
        <w:pStyle w:val="PlainText"/>
        <w:jc w:val="both"/>
        <w:rPr>
          <w:rFonts w:ascii="Times New Roman" w:hAnsi="Times New Roman" w:cs="Times New Roman"/>
          <w:sz w:val="24"/>
          <w:szCs w:val="24"/>
          <w:lang w:val="sq-AL"/>
        </w:rPr>
      </w:pPr>
      <w:r w:rsidRPr="004E5A6E">
        <w:rPr>
          <w:rFonts w:ascii="Times New Roman" w:hAnsi="Times New Roman" w:cs="Times New Roman"/>
          <w:sz w:val="24"/>
          <w:szCs w:val="24"/>
          <w:lang w:val="sq-AL"/>
        </w:rPr>
        <w:t>[5.B] Përveç masave të përmendura në [4B], Masa 8 e Pakos Fiskale Emergjente siguroi ndihmë mujore në vlerë prej njëqind e tridhjetë (130 €) euro për qytetarët që humbin punën e tyre për shkak të situatës emergjente të shëndetit publik, për prill, maj dhe qershor. Sidoqoftë, kostoja e kësaj mase rezultoi shumë më e ulët se sa ishte planifikuar (rreth 322 mijë euro) dhe me një numër të ulët përfituesish (782).</w:t>
      </w:r>
    </w:p>
    <w:p w14:paraId="500B2E8E" w14:textId="77777777" w:rsidR="00733346" w:rsidRPr="004E5A6E" w:rsidRDefault="00733346" w:rsidP="00733346">
      <w:pPr>
        <w:pStyle w:val="PlainText"/>
        <w:jc w:val="both"/>
        <w:rPr>
          <w:rFonts w:ascii="Times New Roman" w:hAnsi="Times New Roman" w:cs="Times New Roman"/>
          <w:sz w:val="24"/>
          <w:szCs w:val="24"/>
          <w:lang w:val="sq-AL"/>
        </w:rPr>
      </w:pPr>
    </w:p>
    <w:p w14:paraId="5805DF71" w14:textId="77777777" w:rsidR="00733346" w:rsidRPr="004E5A6E" w:rsidRDefault="00733346" w:rsidP="0012156A">
      <w:pPr>
        <w:pStyle w:val="PlainText"/>
        <w:jc w:val="both"/>
        <w:rPr>
          <w:rFonts w:ascii="Times New Roman" w:hAnsi="Times New Roman" w:cs="Times New Roman"/>
          <w:sz w:val="24"/>
          <w:szCs w:val="24"/>
          <w:lang w:val="sq-AL"/>
        </w:rPr>
      </w:pPr>
      <w:r w:rsidRPr="004E5A6E">
        <w:rPr>
          <w:rFonts w:ascii="Times New Roman" w:hAnsi="Times New Roman" w:cs="Times New Roman"/>
          <w:sz w:val="24"/>
          <w:szCs w:val="24"/>
          <w:lang w:val="sq-AL"/>
        </w:rPr>
        <w:t>[5.C] Projektligji për ndryshimin dhe plotësimin e Ligjit nr. 04 / L-131 për skemat pensionale të financuara nga shteti ka përfunduar dhe kostoja është llogaritur për a) njohjen e përvojës së punës për skemat e pensioneve kontributdhënëse në vitet 1990 - 1998 për punëtorët e larguar nga puna, b) pensionet e dyfishta dhe c) njohjen e diplomave deri më 01.01.1999.</w:t>
      </w:r>
    </w:p>
    <w:p w14:paraId="7459D46E" w14:textId="77777777" w:rsidR="00733346" w:rsidRPr="004E5A6E" w:rsidRDefault="00733346" w:rsidP="0012156A">
      <w:pPr>
        <w:pStyle w:val="PlainText"/>
        <w:jc w:val="both"/>
        <w:rPr>
          <w:rFonts w:ascii="Times New Roman" w:hAnsi="Times New Roman" w:cs="Times New Roman"/>
          <w:sz w:val="24"/>
          <w:szCs w:val="24"/>
          <w:lang w:val="sq-AL"/>
        </w:rPr>
      </w:pPr>
      <w:r w:rsidRPr="004E5A6E">
        <w:rPr>
          <w:rFonts w:ascii="Times New Roman" w:hAnsi="Times New Roman" w:cs="Times New Roman"/>
          <w:sz w:val="24"/>
          <w:szCs w:val="24"/>
          <w:lang w:val="sq-AL"/>
        </w:rPr>
        <w:t>Në përputhje me rekomandimet e Auditorit të Përgjithshëm, Ministria e Punës dhe Mirëqenies Sociale është angazhuar në disiplinimin e skemës së pensioneve, me theks në kthimin e mjeteve të fituara pa bazë ligjore, e cila po arrihet në bashkëpunim me Agjencinë e Regjistrimit Civil, Administratën Tatimore të Kosovës, Trustin dhe Komunitetet Fetare.</w:t>
      </w:r>
    </w:p>
    <w:p w14:paraId="2A541E6D" w14:textId="1AF77F8A" w:rsidR="00733346" w:rsidRPr="004E5A6E" w:rsidRDefault="00733346" w:rsidP="00713DEA">
      <w:pPr>
        <w:jc w:val="both"/>
        <w:rPr>
          <w:lang w:val="sq-AL"/>
        </w:rPr>
      </w:pPr>
      <w:r w:rsidRPr="004E5A6E">
        <w:rPr>
          <w:lang w:val="sq-AL"/>
        </w:rPr>
        <w:t>Objektivi kryesor i MPMS-së në fushën e legjislacionit është transpozimi i vazhdueshëm i Acquis të BE-së në fushën e punësimit dhe politikave sociale deri në vitin 2022. Në këtë drejtim, në planin afatmesëm, ka dy ligje të reja që planifikohen të miratohen: i) Ligji i ri për sigurimin social dhe pensionet e financuara nga shteti; ii) Ligji i ri për trajtimin e personave me aftësi të kufizuara.</w:t>
      </w:r>
      <w:r w:rsidR="00CE4035">
        <w:rPr>
          <w:lang w:val="sq-AL"/>
        </w:rPr>
        <w:t xml:space="preserve"> </w:t>
      </w:r>
    </w:p>
    <w:p w14:paraId="00CC67E8" w14:textId="1C2ABB9F" w:rsidR="00733346" w:rsidRPr="004E5A6E" w:rsidRDefault="00733346" w:rsidP="00713DEA">
      <w:pPr>
        <w:pStyle w:val="ERPL1"/>
        <w:numPr>
          <w:ilvl w:val="0"/>
          <w:numId w:val="0"/>
        </w:numPr>
        <w:spacing w:before="120" w:after="0"/>
        <w:outlineLvl w:val="9"/>
        <w:rPr>
          <w:rFonts w:ascii="Book Antiqua" w:eastAsia="MS Mincho" w:hAnsi="Book Antiqua" w:cstheme="minorBidi"/>
          <w:smallCaps w:val="0"/>
          <w:color w:val="000000" w:themeColor="text1"/>
          <w:kern w:val="0"/>
          <w:sz w:val="22"/>
          <w:szCs w:val="22"/>
          <w:lang w:val="sq-AL"/>
        </w:rPr>
      </w:pPr>
      <w:r w:rsidRPr="004E5A6E">
        <w:rPr>
          <w:rFonts w:ascii="Book Antiqua" w:eastAsia="MS Mincho" w:hAnsi="Book Antiqua" w:cstheme="minorBidi"/>
          <w:smallCaps w:val="0"/>
          <w:color w:val="000000" w:themeColor="text1"/>
          <w:kern w:val="0"/>
          <w:sz w:val="22"/>
          <w:szCs w:val="22"/>
          <w:lang w:val="sq-AL"/>
        </w:rPr>
        <w:t xml:space="preserve">[6.A] Me qëllim minimizimin e ndikimit të Covid-19, ndërmarrja e masave për të ruajtur punësimin, duke përfshirë përmes skemave afatshkurtëra të punës dhe përmirësimi i kapaciteteve të Agjencisë së Punësimit për të siguruar ofrimin e masave të shtuara aktive të tregut punës. [6.B] Me qëllim të rritjes së integrimit të të rinjve në tregun e punës, realizimi i një një studimi të fizibilitetit për një skemë të Garantimit për Rininë. </w:t>
      </w:r>
    </w:p>
    <w:p w14:paraId="3CBAF27E" w14:textId="77777777" w:rsidR="00733346" w:rsidRPr="004E5A6E" w:rsidRDefault="00733346" w:rsidP="00EF7F7F">
      <w:pPr>
        <w:pStyle w:val="PlainText"/>
        <w:spacing w:before="120"/>
        <w:jc w:val="both"/>
        <w:rPr>
          <w:rFonts w:ascii="Times New Roman" w:hAnsi="Times New Roman" w:cs="Times New Roman"/>
          <w:sz w:val="24"/>
          <w:szCs w:val="24"/>
          <w:lang w:val="sq-AL"/>
        </w:rPr>
      </w:pPr>
      <w:r w:rsidRPr="004E5A6E">
        <w:rPr>
          <w:rFonts w:ascii="Times New Roman" w:hAnsi="Times New Roman" w:cs="Times New Roman"/>
          <w:sz w:val="24"/>
          <w:szCs w:val="24"/>
          <w:lang w:val="sq-AL"/>
        </w:rPr>
        <w:t>[6.A] Sipas të dhënave më të fundit të Agjencisë së Punësimit, numri i përgjithshëm i punëkërkuesve të regjistruar deri në muajin gusht të vitit 2020 arriti në 187,870 persona, nga të cilët 78,198 persona u regjistruan këtë vit. Rritja më e madhe në regjistrimin e punëkërkuesve ndodhi gjatë pikut të periudhës së pandemisë (mars deri në prill), gjatë së cilës u regjistruan 67,510 persona. Që nga janari, numri i vendeve të lira arriti në 2813 vende të lira, ndërsa numri i ndërmjetësimeve në punësim arriti në 1,079 ndërmjetësime (nga të cilat 950 persona të ndërmjetësuar në punësim të rregullt dhe pjesa tjetër përmes masave aktive të tregut të punës). Për sa i përket aftësimit profesional, gjithsej 2.586 punëkërkues u referuan për trajnime në shtatë Qendra të Aftësimit Profesional.</w:t>
      </w:r>
    </w:p>
    <w:p w14:paraId="6AF5A2FD" w14:textId="77777777" w:rsidR="00733346" w:rsidRPr="004E5A6E" w:rsidRDefault="00733346" w:rsidP="0012156A">
      <w:pPr>
        <w:pStyle w:val="PlainText"/>
        <w:jc w:val="both"/>
        <w:rPr>
          <w:rFonts w:ascii="Times New Roman" w:hAnsi="Times New Roman" w:cs="Times New Roman"/>
          <w:color w:val="000000" w:themeColor="text1"/>
          <w:sz w:val="24"/>
          <w:szCs w:val="24"/>
          <w:lang w:val="sq-AL"/>
        </w:rPr>
      </w:pPr>
      <w:r w:rsidRPr="004E5A6E">
        <w:rPr>
          <w:rFonts w:ascii="Times New Roman" w:hAnsi="Times New Roman" w:cs="Times New Roman"/>
          <w:color w:val="000000" w:themeColor="text1"/>
          <w:sz w:val="24"/>
          <w:szCs w:val="24"/>
          <w:lang w:val="sq-AL"/>
        </w:rPr>
        <w:t>Gjatë periudhës së pandemisë, Masa 3A e Pakos Fiskale Emergjente që përfshinte mbulimin e shpenzimeve të pagave të punonjësve në shumën prej njëqind e shtatëdhjetë (170 €) euro, për muajin prill dhe maj, në shumën 49.1 milion euro (me 137,468 përfitues).</w:t>
      </w:r>
    </w:p>
    <w:p w14:paraId="6C7AB9B2" w14:textId="77777777" w:rsidR="00733346" w:rsidRPr="004E5A6E" w:rsidRDefault="00733346" w:rsidP="00733346">
      <w:pPr>
        <w:pStyle w:val="PlainText"/>
        <w:jc w:val="both"/>
        <w:rPr>
          <w:rFonts w:ascii="Times New Roman" w:hAnsi="Times New Roman" w:cs="Times New Roman"/>
          <w:color w:val="000000" w:themeColor="text1"/>
          <w:sz w:val="24"/>
          <w:szCs w:val="24"/>
          <w:lang w:val="sq-AL"/>
        </w:rPr>
      </w:pPr>
      <w:r w:rsidRPr="004E5A6E">
        <w:rPr>
          <w:rFonts w:ascii="Times New Roman" w:hAnsi="Times New Roman" w:cs="Times New Roman"/>
          <w:color w:val="000000" w:themeColor="text1"/>
          <w:sz w:val="24"/>
          <w:szCs w:val="24"/>
          <w:lang w:val="sq-AL"/>
        </w:rPr>
        <w:t>Një masë e ngjashme vazhdoi edhe në pakon e dytë fiskale. Më konkretisht, kjo masë në Programin e Reformës Ekonomike synonte subvencionimin e pagës për punonjësit në bizneset e prekura nga pandemia për muajt mars dhe prill, me një kosto prej rreth 60 milion euro. Përveç kësaj, në të ardhmen e afërt, Programi i Reformave Ekonomike (pakoja e dytë fiskale) synon të subvencionojë pagën për punonjësit e rinj të punësuar nga bizneset bazuar në një plan që identifikon sektorët dhe kategoritë e punonjësve më në nevojë, në shumën prej pesë milion euro (Masa 3B) dhe të siguroj mbështetje profesionale për bizneset për të operuar në kohë pandemie, të tilla si puna nga shtëpia, puna online, transformimi dixhital, etj., në vlerë prej tre milion euro (Masa 3C).</w:t>
      </w:r>
    </w:p>
    <w:p w14:paraId="3B32D02F" w14:textId="77777777" w:rsidR="00733346" w:rsidRPr="004E5A6E" w:rsidRDefault="00733346" w:rsidP="00733346">
      <w:pPr>
        <w:pStyle w:val="PlainText"/>
        <w:jc w:val="both"/>
        <w:rPr>
          <w:rFonts w:ascii="Times New Roman" w:hAnsi="Times New Roman" w:cs="Times New Roman"/>
          <w:sz w:val="24"/>
          <w:szCs w:val="24"/>
          <w:lang w:val="sq-AL"/>
        </w:rPr>
      </w:pPr>
    </w:p>
    <w:p w14:paraId="276971EB" w14:textId="77777777" w:rsidR="00733346" w:rsidRPr="004E5A6E" w:rsidRDefault="00733346" w:rsidP="00733346">
      <w:pPr>
        <w:pStyle w:val="PlainText"/>
        <w:jc w:val="both"/>
        <w:rPr>
          <w:rFonts w:ascii="Times New Roman" w:hAnsi="Times New Roman" w:cs="Times New Roman"/>
          <w:color w:val="000000" w:themeColor="text1"/>
          <w:sz w:val="24"/>
          <w:szCs w:val="24"/>
          <w:lang w:val="sq-AL"/>
        </w:rPr>
      </w:pPr>
      <w:r w:rsidRPr="004E5A6E">
        <w:rPr>
          <w:rFonts w:ascii="Times New Roman" w:hAnsi="Times New Roman" w:cs="Times New Roman"/>
          <w:sz w:val="24"/>
          <w:szCs w:val="24"/>
          <w:lang w:val="sq-AL"/>
        </w:rPr>
        <w:t>[6.B] Në lidhje me Skemën e Garantimit për të Rinjtë, janë përgatitur termat e referencës për zhvillimin e studimit të fizibilitetit. Këshilli për  Bashkëpunim Rajonal tashmë ka kontraktuar kolegjin universitar "</w:t>
      </w:r>
      <w:r w:rsidR="00D6295F" w:rsidRPr="004E5A6E">
        <w:rPr>
          <w:rFonts w:ascii="Times New Roman" w:hAnsi="Times New Roman" w:cs="Times New Roman"/>
          <w:sz w:val="24"/>
          <w:szCs w:val="24"/>
          <w:lang w:val="sq-AL"/>
        </w:rPr>
        <w:t>W</w:t>
      </w:r>
      <w:r w:rsidRPr="004E5A6E">
        <w:rPr>
          <w:rFonts w:ascii="Times New Roman" w:hAnsi="Times New Roman" w:cs="Times New Roman"/>
          <w:sz w:val="24"/>
          <w:szCs w:val="24"/>
          <w:lang w:val="sq-AL"/>
        </w:rPr>
        <w:t>isdom" për të kryer analizën, e cila do të përfshinte disa elementet e mëposhtëm:</w:t>
      </w:r>
      <w:r w:rsidRPr="004E5A6E">
        <w:rPr>
          <w:rFonts w:ascii="Times New Roman" w:hAnsi="Times New Roman" w:cs="Times New Roman"/>
          <w:color w:val="000000" w:themeColor="text1"/>
          <w:sz w:val="24"/>
          <w:szCs w:val="24"/>
          <w:lang w:val="sq-AL"/>
        </w:rPr>
        <w:t xml:space="preserve"> </w:t>
      </w:r>
    </w:p>
    <w:p w14:paraId="13440BDB" w14:textId="77777777" w:rsidR="00733346" w:rsidRPr="004E5A6E" w:rsidRDefault="00733346" w:rsidP="0068706C">
      <w:pPr>
        <w:pStyle w:val="PlainText"/>
        <w:numPr>
          <w:ilvl w:val="0"/>
          <w:numId w:val="8"/>
        </w:numPr>
        <w:ind w:left="0" w:firstLine="0"/>
        <w:jc w:val="both"/>
        <w:rPr>
          <w:rFonts w:ascii="Times New Roman" w:hAnsi="Times New Roman" w:cs="Times New Roman"/>
          <w:color w:val="000000" w:themeColor="text1"/>
          <w:sz w:val="24"/>
          <w:szCs w:val="24"/>
          <w:lang w:val="sq-AL"/>
        </w:rPr>
      </w:pPr>
      <w:r w:rsidRPr="004E5A6E">
        <w:rPr>
          <w:rFonts w:ascii="Times New Roman" w:hAnsi="Times New Roman" w:cs="Times New Roman"/>
          <w:color w:val="000000" w:themeColor="text1"/>
          <w:sz w:val="24"/>
          <w:szCs w:val="24"/>
          <w:lang w:val="sq-AL"/>
        </w:rPr>
        <w:t>analiza e masave ekzistuese të punësimit të të rinjve dhe sfidave specifike në kontekstin kombëtar dhe praktikave të mira;</w:t>
      </w:r>
    </w:p>
    <w:p w14:paraId="34878EFA" w14:textId="77777777" w:rsidR="00733346" w:rsidRPr="004E5A6E" w:rsidRDefault="00733346" w:rsidP="0068706C">
      <w:pPr>
        <w:pStyle w:val="PlainText"/>
        <w:numPr>
          <w:ilvl w:val="0"/>
          <w:numId w:val="8"/>
        </w:numPr>
        <w:ind w:left="0" w:firstLine="0"/>
        <w:jc w:val="both"/>
        <w:rPr>
          <w:rFonts w:ascii="Times New Roman" w:hAnsi="Times New Roman" w:cs="Times New Roman"/>
          <w:color w:val="000000" w:themeColor="text1"/>
          <w:sz w:val="24"/>
          <w:szCs w:val="24"/>
          <w:lang w:val="sq-AL"/>
        </w:rPr>
      </w:pPr>
      <w:r w:rsidRPr="004E5A6E">
        <w:rPr>
          <w:rFonts w:ascii="Times New Roman" w:hAnsi="Times New Roman" w:cs="Times New Roman"/>
          <w:color w:val="000000" w:themeColor="text1"/>
          <w:sz w:val="24"/>
          <w:szCs w:val="24"/>
          <w:lang w:val="sq-AL"/>
        </w:rPr>
        <w:t>hartëzimi i situatës së të rinjve NEET (jo në punësim, arsim ose trajnim) në secilin prej 6 vendeve të Ballkanit Perëndimor (BP6) duke përdorur të dhënat zyrtare statistikore ose kërkimet ekzistuese;</w:t>
      </w:r>
    </w:p>
    <w:p w14:paraId="4F84CC0F" w14:textId="77777777" w:rsidR="00733346" w:rsidRPr="004E5A6E" w:rsidRDefault="00733346" w:rsidP="0068706C">
      <w:pPr>
        <w:pStyle w:val="PlainText"/>
        <w:numPr>
          <w:ilvl w:val="0"/>
          <w:numId w:val="8"/>
        </w:numPr>
        <w:ind w:left="0" w:firstLine="0"/>
        <w:jc w:val="both"/>
        <w:rPr>
          <w:rFonts w:ascii="Times New Roman" w:hAnsi="Times New Roman" w:cs="Times New Roman"/>
          <w:color w:val="000000" w:themeColor="text1"/>
          <w:sz w:val="24"/>
          <w:szCs w:val="24"/>
          <w:lang w:val="sq-AL"/>
        </w:rPr>
      </w:pPr>
      <w:r w:rsidRPr="004E5A6E">
        <w:rPr>
          <w:rFonts w:ascii="Times New Roman" w:hAnsi="Times New Roman" w:cs="Times New Roman"/>
          <w:color w:val="000000" w:themeColor="text1"/>
          <w:sz w:val="24"/>
          <w:szCs w:val="24"/>
          <w:lang w:val="sq-AL"/>
        </w:rPr>
        <w:t>modifikimi i hartimit dhe realizimit të politikave, specifike për secilën ekonomi, për të integruar NEET-të e paregjistruar, përfshirë mekanizmat e përshtatur të kontaktimit për të identifikuar dhe ndihmuar grupet më të cenueshme të NEET</w:t>
      </w:r>
    </w:p>
    <w:p w14:paraId="349540FA" w14:textId="77777777" w:rsidR="00733346" w:rsidRPr="004E5A6E" w:rsidRDefault="00733346" w:rsidP="0068706C">
      <w:pPr>
        <w:pStyle w:val="PlainText"/>
        <w:numPr>
          <w:ilvl w:val="0"/>
          <w:numId w:val="8"/>
        </w:numPr>
        <w:ind w:left="0" w:firstLine="0"/>
        <w:jc w:val="both"/>
        <w:rPr>
          <w:rFonts w:ascii="Times New Roman" w:hAnsi="Times New Roman" w:cs="Times New Roman"/>
          <w:color w:val="000000" w:themeColor="text1"/>
          <w:sz w:val="24"/>
          <w:szCs w:val="24"/>
          <w:lang w:val="sq-AL"/>
        </w:rPr>
      </w:pPr>
      <w:r w:rsidRPr="004E5A6E">
        <w:rPr>
          <w:rFonts w:ascii="Times New Roman" w:hAnsi="Times New Roman" w:cs="Times New Roman"/>
          <w:color w:val="000000" w:themeColor="text1"/>
          <w:sz w:val="24"/>
          <w:szCs w:val="24"/>
          <w:lang w:val="sq-AL"/>
        </w:rPr>
        <w:t>analiza e kapaciteteve të akterëve kryesorë dhe identifikimi i fushave për rritjen e performancës së tyre;</w:t>
      </w:r>
    </w:p>
    <w:p w14:paraId="5CEA9561" w14:textId="77777777" w:rsidR="00733346" w:rsidRPr="004E5A6E" w:rsidRDefault="00733346" w:rsidP="0068706C">
      <w:pPr>
        <w:pStyle w:val="PlainText"/>
        <w:numPr>
          <w:ilvl w:val="0"/>
          <w:numId w:val="8"/>
        </w:numPr>
        <w:ind w:left="0" w:firstLine="0"/>
        <w:jc w:val="both"/>
        <w:rPr>
          <w:rFonts w:ascii="Times New Roman" w:hAnsi="Times New Roman" w:cs="Times New Roman"/>
          <w:color w:val="000000" w:themeColor="text1"/>
          <w:sz w:val="24"/>
          <w:szCs w:val="24"/>
          <w:lang w:val="sq-AL"/>
        </w:rPr>
      </w:pPr>
      <w:r w:rsidRPr="004E5A6E">
        <w:rPr>
          <w:rFonts w:ascii="Times New Roman" w:hAnsi="Times New Roman" w:cs="Times New Roman"/>
          <w:color w:val="000000" w:themeColor="text1"/>
          <w:sz w:val="24"/>
          <w:szCs w:val="24"/>
          <w:lang w:val="sq-AL"/>
        </w:rPr>
        <w:t>propozimi i udhërrëfyesve për secilën ekonomi për përshtatjen e kornizave ekzistuese institucionale dhe projeksionin sa më të saktë të mundshëm të kostove administrative dhe operacionale me një fokus në aktivitetet në terren (të kontaktimit) dhe punën e Shërbimit Publik të Punësimit.</w:t>
      </w:r>
    </w:p>
    <w:p w14:paraId="2E718CEC" w14:textId="77777777" w:rsidR="00733346" w:rsidRPr="004E5A6E" w:rsidRDefault="00733346" w:rsidP="0068706C">
      <w:pPr>
        <w:pStyle w:val="PlainText"/>
        <w:numPr>
          <w:ilvl w:val="0"/>
          <w:numId w:val="8"/>
        </w:numPr>
        <w:ind w:left="0" w:firstLine="0"/>
        <w:jc w:val="both"/>
        <w:rPr>
          <w:rFonts w:ascii="Times New Roman" w:hAnsi="Times New Roman" w:cs="Times New Roman"/>
          <w:color w:val="000000" w:themeColor="text1"/>
          <w:sz w:val="24"/>
          <w:szCs w:val="24"/>
          <w:lang w:val="sq-AL"/>
        </w:rPr>
      </w:pPr>
      <w:r w:rsidRPr="004E5A6E">
        <w:rPr>
          <w:rFonts w:ascii="Times New Roman" w:hAnsi="Times New Roman" w:cs="Times New Roman"/>
          <w:color w:val="000000" w:themeColor="text1"/>
          <w:sz w:val="24"/>
          <w:szCs w:val="24"/>
          <w:lang w:val="sq-AL"/>
        </w:rPr>
        <w:t>një draft i studimit të fizibilitetit parashikohet të përfundojë deri në fund të dhjetorit.</w:t>
      </w:r>
    </w:p>
    <w:p w14:paraId="5537F5AD" w14:textId="77777777" w:rsidR="00733346" w:rsidRPr="004E5A6E" w:rsidRDefault="00733346" w:rsidP="00733346">
      <w:pPr>
        <w:rPr>
          <w:lang w:val="sq-AL"/>
        </w:rPr>
      </w:pPr>
    </w:p>
    <w:p w14:paraId="5ED8D3AC" w14:textId="77777777" w:rsidR="00733346" w:rsidRPr="004E5A6E" w:rsidRDefault="00733346" w:rsidP="00733346">
      <w:pPr>
        <w:rPr>
          <w:b/>
          <w:smallCaps/>
          <w:color w:val="auto"/>
          <w:kern w:val="28"/>
          <w:sz w:val="28"/>
          <w:lang w:val="sq-AL"/>
        </w:rPr>
      </w:pPr>
      <w:r w:rsidRPr="004E5A6E">
        <w:rPr>
          <w:color w:val="auto"/>
          <w:lang w:val="sq-AL"/>
        </w:rPr>
        <w:br w:type="page"/>
      </w:r>
    </w:p>
    <w:p w14:paraId="3F3D67EB" w14:textId="77777777" w:rsidR="00733346" w:rsidRPr="004E5A6E" w:rsidRDefault="00733346" w:rsidP="0068706C">
      <w:pPr>
        <w:pStyle w:val="ERPL1"/>
        <w:numPr>
          <w:ilvl w:val="0"/>
          <w:numId w:val="9"/>
        </w:numPr>
        <w:ind w:left="-90" w:firstLine="90"/>
        <w:rPr>
          <w:rFonts w:ascii="Times New Roman" w:hAnsi="Times New Roman"/>
          <w:lang w:val="sq-AL"/>
        </w:rPr>
      </w:pPr>
      <w:bookmarkStart w:id="61" w:name="_Toc57720364"/>
      <w:r w:rsidRPr="004E5A6E">
        <w:rPr>
          <w:rFonts w:ascii="Times New Roman" w:hAnsi="Times New Roman"/>
          <w:lang w:val="sq-AL"/>
        </w:rPr>
        <w:t>Korniza Makroekonomike</w:t>
      </w:r>
      <w:bookmarkEnd w:id="61"/>
    </w:p>
    <w:p w14:paraId="31C87492" w14:textId="77777777" w:rsidR="00733346" w:rsidRPr="004E5A6E" w:rsidRDefault="00733346" w:rsidP="00733346">
      <w:pPr>
        <w:pStyle w:val="ERPL2"/>
        <w:spacing w:line="276" w:lineRule="auto"/>
        <w:ind w:hanging="704"/>
        <w:rPr>
          <w:rFonts w:ascii="Times New Roman" w:hAnsi="Times New Roman"/>
          <w:lang w:val="sq-AL"/>
        </w:rPr>
      </w:pPr>
      <w:bookmarkStart w:id="62" w:name="_Toc504051205"/>
      <w:bookmarkStart w:id="63" w:name="_Toc504051402"/>
      <w:bookmarkStart w:id="64" w:name="_Toc504338907"/>
      <w:bookmarkStart w:id="65" w:name="_Toc57720365"/>
      <w:r w:rsidRPr="004E5A6E">
        <w:rPr>
          <w:rFonts w:ascii="Times New Roman" w:hAnsi="Times New Roman"/>
          <w:lang w:val="sq-AL"/>
        </w:rPr>
        <w:t>2.1 Mjedisi i Jashtëm Ekonomik</w:t>
      </w:r>
      <w:bookmarkEnd w:id="62"/>
      <w:bookmarkEnd w:id="63"/>
      <w:bookmarkEnd w:id="64"/>
      <w:bookmarkEnd w:id="65"/>
    </w:p>
    <w:p w14:paraId="722CC27A" w14:textId="77777777" w:rsidR="00733346" w:rsidRPr="004E5A6E" w:rsidRDefault="00733346" w:rsidP="0012156A">
      <w:pPr>
        <w:tabs>
          <w:tab w:val="left" w:pos="180"/>
        </w:tabs>
        <w:spacing w:before="120"/>
        <w:jc w:val="both"/>
        <w:rPr>
          <w:color w:val="auto"/>
          <w:lang w:val="sq-AL"/>
        </w:rPr>
      </w:pPr>
      <w:bookmarkStart w:id="66" w:name="_Toc23846811"/>
      <w:r w:rsidRPr="004E5A6E">
        <w:rPr>
          <w:color w:val="auto"/>
          <w:lang w:val="sq-AL"/>
        </w:rPr>
        <w:t>Pandemia COVID-19 ka shkaktuar një krizë ekonomike globale që ka qenë e rëndë dhe e paparashikueshme. Pika më e ulët e ekonomisë globale ishte prilli i këtij viti, kur pothuajse në të gjithë botën, një numër i konsiderueshëm i sektorëve ekonomikë u mbyllën. Duke marrë parasysh që kjo krizë globale, ndryshe nga kriza financiare globale e vitit 2008, ka pasur një ndikim në ekonominë tonë, mjedisi i jashtëm ekonomik duhet të analizohet në mënyrë më të detajuar pasi ka një sërë kanalesh përmes të cilave efektet e krizës mund të transmetohen nga jashtë në vendin tonë, siç janë: tregtia, remitancat, investimet e huaja direkte dhe eventualisht sektori financiar.</w:t>
      </w:r>
    </w:p>
    <w:p w14:paraId="6D2E3ACB" w14:textId="10F593B7" w:rsidR="0012156A" w:rsidRPr="004E5A6E" w:rsidRDefault="00733346" w:rsidP="0012156A">
      <w:pPr>
        <w:tabs>
          <w:tab w:val="left" w:pos="180"/>
        </w:tabs>
        <w:spacing w:before="120"/>
        <w:jc w:val="both"/>
        <w:rPr>
          <w:color w:val="auto"/>
          <w:lang w:val="sq-AL"/>
        </w:rPr>
      </w:pPr>
      <w:r w:rsidRPr="004E5A6E">
        <w:rPr>
          <w:color w:val="auto"/>
          <w:lang w:val="sq-AL"/>
        </w:rPr>
        <w:t>Pasiguritë dhe paqartësitë që ka shkaktuar kjo krizë janë të dukshme dhe mund të shihen para së gjithash në rishikimet vaz</w:t>
      </w:r>
      <w:r w:rsidR="0012156A" w:rsidRPr="004E5A6E">
        <w:rPr>
          <w:color w:val="auto"/>
          <w:lang w:val="sq-AL"/>
        </w:rPr>
        <w:t>h</w:t>
      </w:r>
      <w:r w:rsidRPr="004E5A6E">
        <w:rPr>
          <w:color w:val="auto"/>
          <w:lang w:val="sq-AL"/>
        </w:rPr>
        <w:t xml:space="preserve">duese (deri më tani rënëse) të parashikimeve makroekonomike. Në publikimin e tetorit të </w:t>
      </w:r>
      <w:r w:rsidR="00BC4776" w:rsidRPr="004E5A6E">
        <w:rPr>
          <w:color w:val="auto"/>
          <w:lang w:val="sq-AL"/>
        </w:rPr>
        <w:t>Perspektivës Ekonomike Globale-W</w:t>
      </w:r>
      <w:r w:rsidRPr="004E5A6E">
        <w:rPr>
          <w:color w:val="auto"/>
          <w:lang w:val="sq-AL"/>
        </w:rPr>
        <w:t>EO (nga FMN-ja), ekonomia globale në vitin 2020 parashikohet të shënojë rënie me 4.4 përqind në terma realë, e cila përbën një rishikim rritës prej 0.5 pikë përqi</w:t>
      </w:r>
      <w:r w:rsidR="0012156A" w:rsidRPr="004E5A6E">
        <w:rPr>
          <w:color w:val="auto"/>
          <w:lang w:val="sq-AL"/>
        </w:rPr>
        <w:t>ndje krahasuar me publikimin e W</w:t>
      </w:r>
      <w:r w:rsidRPr="004E5A6E">
        <w:rPr>
          <w:color w:val="auto"/>
          <w:lang w:val="sq-AL"/>
        </w:rPr>
        <w:t>EO të qershorit.</w:t>
      </w:r>
    </w:p>
    <w:p w14:paraId="676A5C6E" w14:textId="138B589E" w:rsidR="00733346" w:rsidRPr="004E5A6E" w:rsidRDefault="00733346" w:rsidP="00EF7F7F">
      <w:pPr>
        <w:tabs>
          <w:tab w:val="left" w:pos="180"/>
        </w:tabs>
        <w:spacing w:before="120"/>
        <w:jc w:val="both"/>
        <w:rPr>
          <w:color w:val="auto"/>
          <w:lang w:val="sq-AL"/>
        </w:rPr>
      </w:pPr>
      <w:r w:rsidRPr="004E5A6E">
        <w:rPr>
          <w:color w:val="auto"/>
          <w:lang w:val="sq-AL"/>
        </w:rPr>
        <w:t>Pas gjysmës së parë të vitit 2020, masat kufizuese u zbutën dhe pritej rimëkëmbja ekonomike. Sidoqoftë, në tremujorin e fundit të vitit 2020 ka pasur një rishfaqje të rasteve të infektimeve, gjë që ka çuar në rivendosjen e masave kufizuese në shumë shtete anëtare. Këto pritet të ndikojnë negativisht në aktivitetin ekonomik në periudhën afatshkurtër. Prapëseprapë, edhe në periudhën afatmesme, nivelet e pasigurisë mbeten të larta duke marrë parasysh se pandemia është duke vazhduar dhe parashikimet varen nga një zhvillim kyç - pra, zhvillimi i një vaksine për virusin SARS-CoV-2. Ka pasur disa zhvillime në lidhje me vaksinat e mundshme, megjithatë ka ende paqartësi në lidhje me kohën kur ato do të fillojnë të shpërndahen. Parashikimet e Komisionit Evropian supozojnë se masat kufizuese do të mbeten në fuqi edhe në periudhën afatmesme, por me një intensitet më të ulët krahasuar me vitin 2020.</w:t>
      </w:r>
    </w:p>
    <w:p w14:paraId="7668CA0A" w14:textId="77777777" w:rsidR="00733346" w:rsidRPr="004E5A6E" w:rsidRDefault="00733346" w:rsidP="00733346">
      <w:pPr>
        <w:jc w:val="both"/>
        <w:rPr>
          <w:color w:val="auto"/>
          <w:lang w:val="sq-AL"/>
        </w:rPr>
      </w:pPr>
      <w:r w:rsidRPr="004E5A6E">
        <w:rPr>
          <w:color w:val="auto"/>
          <w:lang w:val="sq-AL"/>
        </w:rPr>
        <w:t xml:space="preserve">Aktiviteti ekonomik pritet të ringjallet në fillim të vitit 2021, por në një masë më të vogël sesa mendohej më parë, për shkak të vazhdimit të pjesshëm të masave kufizuese në shumicën e vendeve. Gjatë gjysmës së dytë të vitit 2021, ringjallja ekonomike do të forcohet teksa masat pritet të lehtësohen. Në vitin 2022, situata pritet të normalizohet dhe pritet rritje e moderuar ekonomike. </w:t>
      </w:r>
    </w:p>
    <w:p w14:paraId="63D366A9" w14:textId="77777777" w:rsidR="00EF7F7F" w:rsidRPr="004E5A6E" w:rsidRDefault="00EF7F7F" w:rsidP="00733346">
      <w:pPr>
        <w:jc w:val="both"/>
        <w:rPr>
          <w:color w:val="auto"/>
          <w:lang w:val="sq-AL"/>
        </w:rPr>
      </w:pPr>
    </w:p>
    <w:p w14:paraId="2D1BD8EC" w14:textId="7E7D9E69" w:rsidR="00733346" w:rsidRPr="004E5A6E" w:rsidRDefault="008910E0" w:rsidP="00733346">
      <w:pPr>
        <w:pStyle w:val="Caption"/>
        <w:keepNext/>
        <w:jc w:val="both"/>
        <w:rPr>
          <w:rFonts w:ascii="Times New Roman" w:hAnsi="Times New Roman"/>
          <w:b/>
          <w:i w:val="0"/>
          <w:color w:val="auto"/>
          <w:sz w:val="20"/>
          <w:szCs w:val="20"/>
          <w:lang w:val="sq-AL"/>
        </w:rPr>
      </w:pPr>
      <w:bookmarkStart w:id="67" w:name="_Toc57722676"/>
      <w:r w:rsidRPr="004E5A6E">
        <w:rPr>
          <w:noProof/>
          <w:lang w:val="en-US"/>
        </w:rPr>
        <w:drawing>
          <wp:anchor distT="0" distB="0" distL="114300" distR="114300" simplePos="0" relativeHeight="251784704" behindDoc="1" locked="0" layoutInCell="1" allowOverlap="1" wp14:anchorId="11B37CCE" wp14:editId="10D58625">
            <wp:simplePos x="0" y="0"/>
            <wp:positionH relativeFrom="margin">
              <wp:align>left</wp:align>
            </wp:positionH>
            <wp:positionV relativeFrom="paragraph">
              <wp:posOffset>247015</wp:posOffset>
            </wp:positionV>
            <wp:extent cx="3390900" cy="2000250"/>
            <wp:effectExtent l="0" t="0" r="0" b="0"/>
            <wp:wrapTight wrapText="bothSides">
              <wp:wrapPolygon edited="0">
                <wp:start x="0" y="0"/>
                <wp:lineTo x="0" y="21394"/>
                <wp:lineTo x="21479" y="21394"/>
                <wp:lineTo x="21479" y="0"/>
                <wp:lineTo x="0" y="0"/>
              </wp:wrapPolygon>
            </wp:wrapTight>
            <wp:docPr id="15" name="Chart 15">
              <a:extLst xmlns:a="http://schemas.openxmlformats.org/drawingml/2006/main">
                <a:ext uri="{FF2B5EF4-FFF2-40B4-BE49-F238E27FC236}">
                  <a16:creationId xmlns:a16="http://schemas.microsoft.com/office/drawing/2014/main" id="{CAA7BBD0-7C96-438B-BF3E-F0720B6BFA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V relativeFrom="margin">
              <wp14:pctHeight>0</wp14:pctHeight>
            </wp14:sizeRelV>
          </wp:anchor>
        </w:drawing>
      </w:r>
      <w:r w:rsidR="00733346" w:rsidRPr="004E5A6E">
        <w:rPr>
          <w:rFonts w:ascii="Times New Roman" w:hAnsi="Times New Roman"/>
          <w:b/>
          <w:i w:val="0"/>
          <w:color w:val="auto"/>
          <w:sz w:val="20"/>
          <w:szCs w:val="20"/>
          <w:lang w:val="sq-AL"/>
        </w:rPr>
        <w:t xml:space="preserve">Figura </w:t>
      </w:r>
      <w:r w:rsidR="00CA51E9" w:rsidRPr="004E5A6E">
        <w:rPr>
          <w:rFonts w:ascii="Times New Roman" w:hAnsi="Times New Roman"/>
          <w:b/>
          <w:i w:val="0"/>
          <w:color w:val="auto"/>
          <w:sz w:val="20"/>
          <w:szCs w:val="20"/>
          <w:lang w:val="sq-AL"/>
        </w:rPr>
        <w:fldChar w:fldCharType="begin"/>
      </w:r>
      <w:r w:rsidR="00CA51E9" w:rsidRPr="004E5A6E">
        <w:rPr>
          <w:rFonts w:ascii="Times New Roman" w:hAnsi="Times New Roman"/>
          <w:b/>
          <w:i w:val="0"/>
          <w:color w:val="auto"/>
          <w:sz w:val="20"/>
          <w:szCs w:val="20"/>
          <w:lang w:val="sq-AL"/>
        </w:rPr>
        <w:instrText xml:space="preserve"> SEQ Figure \* ARABIC </w:instrText>
      </w:r>
      <w:r w:rsidR="00CA51E9" w:rsidRPr="004E5A6E">
        <w:rPr>
          <w:rFonts w:ascii="Times New Roman" w:hAnsi="Times New Roman"/>
          <w:b/>
          <w:i w:val="0"/>
          <w:color w:val="auto"/>
          <w:sz w:val="20"/>
          <w:szCs w:val="20"/>
          <w:lang w:val="sq-AL"/>
        </w:rPr>
        <w:fldChar w:fldCharType="separate"/>
      </w:r>
      <w:r w:rsidR="00FA7C77" w:rsidRPr="004E5A6E">
        <w:rPr>
          <w:rFonts w:ascii="Times New Roman" w:hAnsi="Times New Roman"/>
          <w:b/>
          <w:i w:val="0"/>
          <w:noProof/>
          <w:color w:val="auto"/>
          <w:sz w:val="20"/>
          <w:szCs w:val="20"/>
          <w:lang w:val="sq-AL"/>
        </w:rPr>
        <w:t>1</w:t>
      </w:r>
      <w:r w:rsidR="00CA51E9" w:rsidRPr="004E5A6E">
        <w:rPr>
          <w:rFonts w:ascii="Times New Roman" w:hAnsi="Times New Roman"/>
          <w:b/>
          <w:i w:val="0"/>
          <w:color w:val="auto"/>
          <w:sz w:val="20"/>
          <w:szCs w:val="20"/>
          <w:lang w:val="sq-AL"/>
        </w:rPr>
        <w:fldChar w:fldCharType="end"/>
      </w:r>
      <w:r w:rsidR="00733346" w:rsidRPr="004E5A6E">
        <w:rPr>
          <w:rFonts w:ascii="Times New Roman" w:hAnsi="Times New Roman"/>
          <w:b/>
          <w:i w:val="0"/>
          <w:color w:val="auto"/>
          <w:sz w:val="20"/>
          <w:szCs w:val="20"/>
          <w:lang w:val="sq-AL"/>
        </w:rPr>
        <w:t xml:space="preserve"> Perspektiva e rritjes së BPV-së</w:t>
      </w:r>
      <w:r w:rsidR="00733346" w:rsidRPr="004E5A6E">
        <w:rPr>
          <w:rStyle w:val="FootnoteReference"/>
          <w:rFonts w:ascii="Times New Roman" w:hAnsi="Times New Roman"/>
          <w:b/>
          <w:i w:val="0"/>
          <w:color w:val="auto"/>
          <w:sz w:val="20"/>
          <w:szCs w:val="20"/>
          <w:lang w:val="sq-AL"/>
        </w:rPr>
        <w:footnoteReference w:id="2"/>
      </w:r>
      <w:bookmarkEnd w:id="67"/>
    </w:p>
    <w:p w14:paraId="205D8FCE" w14:textId="25D13F8B" w:rsidR="00D6295F" w:rsidRPr="004E5A6E" w:rsidRDefault="00D6295F" w:rsidP="00D6295F">
      <w:pPr>
        <w:rPr>
          <w:lang w:val="sq-AL"/>
        </w:rPr>
      </w:pPr>
    </w:p>
    <w:p w14:paraId="4062A2E9" w14:textId="77777777" w:rsidR="00733346" w:rsidRPr="004E5A6E" w:rsidRDefault="00733346" w:rsidP="00733346">
      <w:pPr>
        <w:jc w:val="both"/>
        <w:rPr>
          <w:color w:val="auto"/>
          <w:lang w:val="sq-AL"/>
        </w:rPr>
      </w:pPr>
      <w:r w:rsidRPr="004E5A6E">
        <w:rPr>
          <w:color w:val="auto"/>
          <w:lang w:val="sq-AL"/>
        </w:rPr>
        <w:t xml:space="preserve">BPV-ja e BE-së parashikohet të shënojë rënie me 7.5% në vitin 2020 dhe të ringjallet me 4% përkatësisht 3% në vitin 2021 dhe 2022, që është më e ulët se pritjet parapandemike, madje edhe në 2022. Sidoqoftë, shpejtësia e rimëkëmbjes ekonomike pritet të jetë e ndryshme midis vendeve anëtare duke marrë parasysh dallimet në masat kufizuese dhe përgjigjet e politikave. </w:t>
      </w:r>
    </w:p>
    <w:p w14:paraId="23108CA7" w14:textId="77777777" w:rsidR="00733346" w:rsidRPr="004E5A6E" w:rsidRDefault="00733346" w:rsidP="008910E0">
      <w:pPr>
        <w:tabs>
          <w:tab w:val="left" w:pos="180"/>
        </w:tabs>
        <w:spacing w:before="120"/>
        <w:jc w:val="both"/>
        <w:rPr>
          <w:color w:val="auto"/>
          <w:lang w:val="sq-AL"/>
        </w:rPr>
      </w:pPr>
      <w:r w:rsidRPr="004E5A6E">
        <w:rPr>
          <w:color w:val="auto"/>
          <w:lang w:val="sq-AL"/>
        </w:rPr>
        <w:t xml:space="preserve">Për më tepër, vendet si </w:t>
      </w:r>
      <w:r w:rsidRPr="004E5A6E">
        <w:rPr>
          <w:b/>
          <w:bCs/>
          <w:color w:val="auto"/>
          <w:lang w:val="sq-AL"/>
        </w:rPr>
        <w:t>Gjermania dhe Zvicra</w:t>
      </w:r>
      <w:r w:rsidRPr="004E5A6E">
        <w:rPr>
          <w:color w:val="auto"/>
          <w:lang w:val="sq-AL"/>
        </w:rPr>
        <w:t>, dy vende nga të cilat vijnë mbi 60 përqind e remitancave në Kosovë, pritet të kenë një rënie ekonomike në vitin 2020. Gjermania pritet të ketë një rënie të BPV-së prej 5.6% në vitin 2020 dhe një rritje prej 3.5% përkatësisht 2.6% në vitin 2021 dhe 2022, duke u kthyer kështu në nivelet e tyre përkatëse të para-COVID-it. Rishpërthimi i infektimeve ka goditur Gjermaninë gjatë këtij tremujori të fundit (TM4 2020), gjë që ka rritur nivelet e pasigurisë në vitin e ardhshëm.</w:t>
      </w:r>
    </w:p>
    <w:p w14:paraId="4CF0AB7F" w14:textId="77777777" w:rsidR="00733346" w:rsidRPr="004E5A6E" w:rsidRDefault="00733346" w:rsidP="008910E0">
      <w:pPr>
        <w:tabs>
          <w:tab w:val="left" w:pos="180"/>
        </w:tabs>
        <w:spacing w:before="120"/>
        <w:jc w:val="both"/>
        <w:rPr>
          <w:color w:val="auto"/>
          <w:lang w:val="sq-AL"/>
        </w:rPr>
      </w:pPr>
      <w:r w:rsidRPr="004E5A6E">
        <w:rPr>
          <w:color w:val="auto"/>
          <w:lang w:val="sq-AL"/>
        </w:rPr>
        <w:t xml:space="preserve">Bazuar në parashikimet e KE-së, Zvicra pritet të ketë një rënie të BPV-së real me 4% gjatë vitit 2020. Një rënie e dukshme e kërkesës së brendshme është një faktor kyç prapa tkurrjes në vitin 2020, duke reflektuar kryesisht konsumin më të dobët privat dhe investime më të ulëta. Në vitin 2021, rimëkëmbja pritet të jetë vetëm e pjesshme bazuar në konsumin privat dhe pritjet e investimeve, si dhe të ardhurat nga ngjarjet sportive ndërkombëtare. Ndërsa, në vitin 2022 ekonomia do të fillojë të konvergojë drejt potencialit të saj. </w:t>
      </w:r>
    </w:p>
    <w:p w14:paraId="47F01641" w14:textId="77777777" w:rsidR="00733346" w:rsidRPr="004E5A6E" w:rsidRDefault="00733346" w:rsidP="008910E0">
      <w:pPr>
        <w:tabs>
          <w:tab w:val="left" w:pos="180"/>
        </w:tabs>
        <w:spacing w:before="120"/>
        <w:jc w:val="both"/>
        <w:rPr>
          <w:color w:val="auto"/>
          <w:lang w:val="sq-AL"/>
        </w:rPr>
      </w:pPr>
      <w:r w:rsidRPr="004E5A6E">
        <w:rPr>
          <w:color w:val="auto"/>
          <w:lang w:val="sq-AL"/>
        </w:rPr>
        <w:t xml:space="preserve">Në përputhje me një tkurrje globale, inflacioni është i përmbajtur. Bazuar në parashikimet e publikuara në </w:t>
      </w:r>
      <w:r w:rsidR="00D6295F" w:rsidRPr="004E5A6E">
        <w:rPr>
          <w:color w:val="auto"/>
          <w:lang w:val="sq-AL"/>
        </w:rPr>
        <w:t>W</w:t>
      </w:r>
      <w:r w:rsidRPr="004E5A6E">
        <w:rPr>
          <w:color w:val="auto"/>
          <w:lang w:val="sq-AL"/>
        </w:rPr>
        <w:t>EO të tetorit 2020, në ekonomitë e zhvilluara inflacioni pritet të jetë 0.8 përqind gjatë vitit 2020 (gjatë vitit 2019 ishte 1.4 përqind), dhe 1.6 përqind gjatë vitit 2021. Nga ana tjetër, në ekonomitë në zhvillim, nga 5.1 përqind në vitin 2019, inflacioni pritet të bjerë në 5.0 përqind përkatësisht 4.7 përqind gjatë vitit 2020 dhe 2021.</w:t>
      </w:r>
    </w:p>
    <w:p w14:paraId="6092A3C3" w14:textId="77777777" w:rsidR="00733346" w:rsidRPr="004E5A6E" w:rsidRDefault="00733346" w:rsidP="00733346">
      <w:pPr>
        <w:tabs>
          <w:tab w:val="left" w:pos="180"/>
        </w:tabs>
        <w:spacing w:before="120"/>
        <w:jc w:val="both"/>
        <w:rPr>
          <w:color w:val="auto"/>
          <w:lang w:val="sq-AL"/>
        </w:rPr>
      </w:pPr>
      <w:r w:rsidRPr="004E5A6E">
        <w:rPr>
          <w:color w:val="auto"/>
          <w:lang w:val="sq-AL"/>
        </w:rPr>
        <w:t>Në eurozonë, si inflacioni bazë ashtu dhe ai total ranë ndjeshëm në vitin 2020 pas rënies së çmimeve të energjisë dhe shërbimeve (veçanërisht turizmit). Inflacioni i IHÇK në eurozonë pritet të jetë 0.3% mesatarisht në vitin 2020. Gjatë dy viteve të ardhshme, inflacioni në eurozonë do të jetë i moderuar me 1.1% në vitin 2021 dhe 1.3% në 2022. Sidoqoftë, presionet rënëse mbi çmimet pritet të vazhdojnë kur kemi parasysh kërkesën e dobët dhe zhvillimet në tregun e punës.</w:t>
      </w:r>
    </w:p>
    <w:p w14:paraId="74A15C1C" w14:textId="77777777" w:rsidR="00733346" w:rsidRPr="004E5A6E" w:rsidRDefault="00733346" w:rsidP="00733346">
      <w:pPr>
        <w:tabs>
          <w:tab w:val="left" w:pos="180"/>
        </w:tabs>
        <w:spacing w:before="120"/>
        <w:jc w:val="both"/>
        <w:rPr>
          <w:color w:val="auto"/>
          <w:lang w:val="sq-AL"/>
        </w:rPr>
      </w:pPr>
      <w:r w:rsidRPr="004E5A6E">
        <w:rPr>
          <w:color w:val="auto"/>
          <w:lang w:val="sq-AL"/>
        </w:rPr>
        <w:t>Çmimet në përgjithësi kanë shënuar një trend rënës gjatë vitit 2020. Indeksi i çmimeve i të gjithë (mallrave) ka rënë me 13.3 përqind (BPV) gjatë janarit-shtatorit 2020, ndërsa çmimi i naftës ka një trend edhe më të shprehur rënës gjatë së njëjtës periudhë, duke shënuar një rënie vjetore prej rreth 35.6 përqind në terma vjetorë. Në fund, në lidhje me nikelin, çmimi mesatar i tij në tregjet ndërkombëtare nuk lëvizi shumë gjatë tremujorit të parë dhe të dytë të vitit 2020, krahasuar me të njëjtën periudhë të vitit të kaluar. Ndërsa, gjatë tremujorit të tretë, ai është rritur në krahasim me tremujorin e mëparshëm, por ende është rreth 9 përqind më i ulët se niveli i regjistruar në tremujorin e dytë të vitit 2019.</w:t>
      </w:r>
    </w:p>
    <w:bookmarkEnd w:id="66"/>
    <w:p w14:paraId="4970AD16" w14:textId="77777777" w:rsidR="00E738B7" w:rsidRPr="004E5A6E" w:rsidRDefault="00E738B7" w:rsidP="00E738B7">
      <w:pPr>
        <w:pStyle w:val="Caption"/>
        <w:keepNext/>
        <w:rPr>
          <w:rFonts w:ascii="Times New Roman" w:hAnsi="Times New Roman"/>
          <w:b/>
          <w:i w:val="0"/>
          <w:color w:val="auto"/>
          <w:lang w:val="sq-AL"/>
        </w:rPr>
      </w:pPr>
    </w:p>
    <w:p w14:paraId="30E935A6" w14:textId="1236E6AF" w:rsidR="00E738B7" w:rsidRPr="004E5A6E" w:rsidRDefault="00E738B7" w:rsidP="00E738B7">
      <w:pPr>
        <w:pStyle w:val="Caption"/>
        <w:keepNext/>
        <w:rPr>
          <w:lang w:val="sq-AL"/>
        </w:rPr>
      </w:pPr>
      <w:r w:rsidRPr="004E5A6E">
        <w:rPr>
          <w:lang w:val="sq-AL"/>
        </w:rPr>
        <w:t xml:space="preserve">Tabela </w:t>
      </w:r>
      <w:r w:rsidRPr="004E5A6E">
        <w:rPr>
          <w:lang w:val="sq-AL"/>
        </w:rPr>
        <w:fldChar w:fldCharType="begin"/>
      </w:r>
      <w:r w:rsidRPr="004E5A6E">
        <w:rPr>
          <w:lang w:val="sq-AL"/>
        </w:rPr>
        <w:instrText xml:space="preserve"> SEQ Tabela \* ARABIC </w:instrText>
      </w:r>
      <w:r w:rsidRPr="004E5A6E">
        <w:rPr>
          <w:lang w:val="sq-AL"/>
        </w:rPr>
        <w:fldChar w:fldCharType="separate"/>
      </w:r>
      <w:r w:rsidRPr="004E5A6E">
        <w:rPr>
          <w:noProof/>
          <w:lang w:val="sq-AL"/>
        </w:rPr>
        <w:t>1</w:t>
      </w:r>
      <w:r w:rsidRPr="004E5A6E">
        <w:rPr>
          <w:lang w:val="sq-AL"/>
        </w:rPr>
        <w:fldChar w:fldCharType="end"/>
      </w:r>
      <w:r w:rsidRPr="004E5A6E">
        <w:rPr>
          <w:lang w:val="sq-AL"/>
        </w:rPr>
        <w:t>Treguesit globalë të çmimeve</w:t>
      </w:r>
    </w:p>
    <w:tbl>
      <w:tblPr>
        <w:tblW w:w="5000" w:type="pct"/>
        <w:shd w:val="clear" w:color="auto" w:fill="DEEAF6" w:themeFill="accent1" w:themeFillTint="33"/>
        <w:tblLook w:val="04A0" w:firstRow="1" w:lastRow="0" w:firstColumn="1" w:lastColumn="0" w:noHBand="0" w:noVBand="1"/>
      </w:tblPr>
      <w:tblGrid>
        <w:gridCol w:w="3813"/>
        <w:gridCol w:w="685"/>
        <w:gridCol w:w="686"/>
        <w:gridCol w:w="686"/>
        <w:gridCol w:w="686"/>
        <w:gridCol w:w="686"/>
        <w:gridCol w:w="686"/>
        <w:gridCol w:w="686"/>
      </w:tblGrid>
      <w:tr w:rsidR="00733346" w:rsidRPr="004E5A6E" w14:paraId="0B97A7F8" w14:textId="77777777" w:rsidTr="00EE37A9">
        <w:trPr>
          <w:trHeight w:hRule="exact" w:val="340"/>
        </w:trPr>
        <w:tc>
          <w:tcPr>
            <w:tcW w:w="221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52589D98" w14:textId="77777777" w:rsidR="00733346" w:rsidRPr="004E5A6E" w:rsidRDefault="00733346" w:rsidP="00D6295F">
            <w:pPr>
              <w:tabs>
                <w:tab w:val="left" w:pos="180"/>
              </w:tabs>
              <w:spacing w:before="120"/>
              <w:jc w:val="both"/>
              <w:rPr>
                <w:b/>
                <w:bCs/>
                <w:color w:val="auto"/>
                <w:sz w:val="18"/>
                <w:szCs w:val="18"/>
                <w:lang w:val="sq-AL"/>
              </w:rPr>
            </w:pPr>
          </w:p>
        </w:tc>
        <w:tc>
          <w:tcPr>
            <w:tcW w:w="1592" w:type="pct"/>
            <w:gridSpan w:val="4"/>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2CA2ADF5" w14:textId="77777777" w:rsidR="00733346" w:rsidRPr="004E5A6E" w:rsidRDefault="00733346" w:rsidP="00D6295F">
            <w:pPr>
              <w:tabs>
                <w:tab w:val="left" w:pos="180"/>
              </w:tabs>
              <w:spacing w:before="120"/>
              <w:jc w:val="center"/>
              <w:rPr>
                <w:b/>
                <w:bCs/>
                <w:color w:val="auto"/>
                <w:sz w:val="18"/>
                <w:szCs w:val="18"/>
                <w:lang w:val="sq-AL"/>
              </w:rPr>
            </w:pPr>
            <w:r w:rsidRPr="004E5A6E">
              <w:rPr>
                <w:b/>
                <w:bCs/>
                <w:color w:val="auto"/>
                <w:sz w:val="18"/>
                <w:szCs w:val="18"/>
                <w:lang w:val="sq-AL"/>
              </w:rPr>
              <w:t>2019</w:t>
            </w:r>
          </w:p>
        </w:tc>
        <w:tc>
          <w:tcPr>
            <w:tcW w:w="1195" w:type="pct"/>
            <w:gridSpan w:val="3"/>
            <w:tcBorders>
              <w:top w:val="single" w:sz="4" w:space="0" w:color="auto"/>
              <w:left w:val="nil"/>
              <w:bottom w:val="single" w:sz="4" w:space="0" w:color="auto"/>
              <w:right w:val="single" w:sz="4" w:space="0" w:color="auto"/>
            </w:tcBorders>
            <w:shd w:val="clear" w:color="auto" w:fill="DEEAF6" w:themeFill="accent1" w:themeFillTint="33"/>
          </w:tcPr>
          <w:p w14:paraId="77F84C65" w14:textId="77777777" w:rsidR="00733346" w:rsidRPr="004E5A6E" w:rsidRDefault="00733346" w:rsidP="00D6295F">
            <w:pPr>
              <w:tabs>
                <w:tab w:val="left" w:pos="180"/>
              </w:tabs>
              <w:spacing w:before="120"/>
              <w:jc w:val="center"/>
              <w:rPr>
                <w:b/>
                <w:bCs/>
                <w:color w:val="auto"/>
                <w:sz w:val="18"/>
                <w:szCs w:val="18"/>
                <w:lang w:val="sq-AL"/>
              </w:rPr>
            </w:pPr>
            <w:r w:rsidRPr="004E5A6E">
              <w:rPr>
                <w:b/>
                <w:bCs/>
                <w:color w:val="auto"/>
                <w:sz w:val="18"/>
                <w:szCs w:val="18"/>
                <w:lang w:val="sq-AL"/>
              </w:rPr>
              <w:t>2020</w:t>
            </w:r>
          </w:p>
        </w:tc>
      </w:tr>
      <w:tr w:rsidR="00733346" w:rsidRPr="004E5A6E" w14:paraId="473EBAFE" w14:textId="77777777" w:rsidTr="00EE37A9">
        <w:trPr>
          <w:trHeight w:hRule="exact" w:val="340"/>
        </w:trPr>
        <w:tc>
          <w:tcPr>
            <w:tcW w:w="221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54139083" w14:textId="77777777" w:rsidR="00733346" w:rsidRPr="004E5A6E" w:rsidRDefault="00733346" w:rsidP="00D6295F">
            <w:pPr>
              <w:tabs>
                <w:tab w:val="left" w:pos="180"/>
              </w:tabs>
              <w:spacing w:before="120"/>
              <w:jc w:val="both"/>
              <w:rPr>
                <w:b/>
                <w:bCs/>
                <w:color w:val="auto"/>
                <w:sz w:val="18"/>
                <w:szCs w:val="18"/>
                <w:lang w:val="sq-AL"/>
              </w:rPr>
            </w:pPr>
            <w:r w:rsidRPr="004E5A6E">
              <w:rPr>
                <w:b/>
                <w:bCs/>
                <w:color w:val="auto"/>
                <w:sz w:val="18"/>
                <w:szCs w:val="18"/>
                <w:lang w:val="sq-AL"/>
              </w:rPr>
              <w:t> </w:t>
            </w:r>
          </w:p>
        </w:tc>
        <w:tc>
          <w:tcPr>
            <w:tcW w:w="398" w:type="pct"/>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0D9BCD01" w14:textId="77777777" w:rsidR="00733346" w:rsidRPr="004E5A6E" w:rsidRDefault="00733346" w:rsidP="00D6295F">
            <w:pPr>
              <w:tabs>
                <w:tab w:val="left" w:pos="180"/>
              </w:tabs>
              <w:spacing w:before="120"/>
              <w:jc w:val="center"/>
              <w:rPr>
                <w:b/>
                <w:bCs/>
                <w:color w:val="auto"/>
                <w:sz w:val="18"/>
                <w:szCs w:val="18"/>
                <w:lang w:val="sq-AL"/>
              </w:rPr>
            </w:pPr>
            <w:r w:rsidRPr="004E5A6E">
              <w:rPr>
                <w:b/>
                <w:bCs/>
                <w:color w:val="auto"/>
                <w:sz w:val="18"/>
                <w:szCs w:val="18"/>
                <w:lang w:val="sq-AL"/>
              </w:rPr>
              <w:t>TM1</w:t>
            </w:r>
          </w:p>
        </w:tc>
        <w:tc>
          <w:tcPr>
            <w:tcW w:w="398" w:type="pct"/>
            <w:tcBorders>
              <w:top w:val="single" w:sz="4" w:space="0" w:color="auto"/>
              <w:left w:val="nil"/>
              <w:bottom w:val="single" w:sz="4" w:space="0" w:color="auto"/>
              <w:right w:val="single" w:sz="4" w:space="0" w:color="auto"/>
            </w:tcBorders>
            <w:shd w:val="clear" w:color="auto" w:fill="DEEAF6" w:themeFill="accent1" w:themeFillTint="33"/>
          </w:tcPr>
          <w:p w14:paraId="2D1469EB" w14:textId="77777777" w:rsidR="00733346" w:rsidRPr="004E5A6E" w:rsidRDefault="00733346" w:rsidP="00D6295F">
            <w:pPr>
              <w:tabs>
                <w:tab w:val="left" w:pos="180"/>
              </w:tabs>
              <w:spacing w:before="120"/>
              <w:jc w:val="center"/>
              <w:rPr>
                <w:b/>
                <w:bCs/>
                <w:color w:val="auto"/>
                <w:sz w:val="18"/>
                <w:szCs w:val="18"/>
                <w:lang w:val="sq-AL"/>
              </w:rPr>
            </w:pPr>
            <w:r w:rsidRPr="004E5A6E">
              <w:rPr>
                <w:b/>
                <w:bCs/>
                <w:color w:val="auto"/>
                <w:sz w:val="18"/>
                <w:szCs w:val="18"/>
                <w:lang w:val="sq-AL"/>
              </w:rPr>
              <w:t>TM2</w:t>
            </w:r>
          </w:p>
        </w:tc>
        <w:tc>
          <w:tcPr>
            <w:tcW w:w="398" w:type="pct"/>
            <w:tcBorders>
              <w:top w:val="single" w:sz="4" w:space="0" w:color="auto"/>
              <w:left w:val="nil"/>
              <w:bottom w:val="single" w:sz="4" w:space="0" w:color="auto"/>
              <w:right w:val="single" w:sz="4" w:space="0" w:color="auto"/>
            </w:tcBorders>
            <w:shd w:val="clear" w:color="auto" w:fill="DEEAF6" w:themeFill="accent1" w:themeFillTint="33"/>
          </w:tcPr>
          <w:p w14:paraId="03302BF3" w14:textId="77777777" w:rsidR="00733346" w:rsidRPr="004E5A6E" w:rsidRDefault="00733346" w:rsidP="00D6295F">
            <w:pPr>
              <w:tabs>
                <w:tab w:val="left" w:pos="180"/>
              </w:tabs>
              <w:spacing w:before="120"/>
              <w:jc w:val="center"/>
              <w:rPr>
                <w:b/>
                <w:bCs/>
                <w:color w:val="auto"/>
                <w:sz w:val="18"/>
                <w:szCs w:val="18"/>
                <w:lang w:val="sq-AL"/>
              </w:rPr>
            </w:pPr>
            <w:r w:rsidRPr="004E5A6E">
              <w:rPr>
                <w:b/>
                <w:bCs/>
                <w:color w:val="auto"/>
                <w:sz w:val="18"/>
                <w:szCs w:val="18"/>
                <w:lang w:val="sq-AL"/>
              </w:rPr>
              <w:t>TM3</w:t>
            </w:r>
          </w:p>
        </w:tc>
        <w:tc>
          <w:tcPr>
            <w:tcW w:w="398" w:type="pct"/>
            <w:tcBorders>
              <w:top w:val="single" w:sz="4" w:space="0" w:color="auto"/>
              <w:left w:val="nil"/>
              <w:bottom w:val="single" w:sz="4" w:space="0" w:color="auto"/>
              <w:right w:val="single" w:sz="4" w:space="0" w:color="auto"/>
            </w:tcBorders>
            <w:shd w:val="clear" w:color="auto" w:fill="DEEAF6" w:themeFill="accent1" w:themeFillTint="33"/>
          </w:tcPr>
          <w:p w14:paraId="6A12B901" w14:textId="77777777" w:rsidR="00733346" w:rsidRPr="004E5A6E" w:rsidRDefault="00733346" w:rsidP="00D6295F">
            <w:pPr>
              <w:tabs>
                <w:tab w:val="left" w:pos="180"/>
              </w:tabs>
              <w:spacing w:before="120"/>
              <w:jc w:val="center"/>
              <w:rPr>
                <w:b/>
                <w:bCs/>
                <w:color w:val="auto"/>
                <w:sz w:val="18"/>
                <w:szCs w:val="18"/>
                <w:lang w:val="sq-AL"/>
              </w:rPr>
            </w:pPr>
            <w:r w:rsidRPr="004E5A6E">
              <w:rPr>
                <w:b/>
                <w:bCs/>
                <w:color w:val="auto"/>
                <w:sz w:val="18"/>
                <w:szCs w:val="18"/>
                <w:lang w:val="sq-AL"/>
              </w:rPr>
              <w:t>TM4</w:t>
            </w:r>
          </w:p>
        </w:tc>
        <w:tc>
          <w:tcPr>
            <w:tcW w:w="398" w:type="pct"/>
            <w:tcBorders>
              <w:top w:val="single" w:sz="4" w:space="0" w:color="auto"/>
              <w:left w:val="nil"/>
              <w:bottom w:val="single" w:sz="4" w:space="0" w:color="auto"/>
              <w:right w:val="single" w:sz="4" w:space="0" w:color="auto"/>
            </w:tcBorders>
            <w:shd w:val="clear" w:color="auto" w:fill="DEEAF6" w:themeFill="accent1" w:themeFillTint="33"/>
            <w:vAlign w:val="bottom"/>
          </w:tcPr>
          <w:p w14:paraId="6B505040" w14:textId="77777777" w:rsidR="00733346" w:rsidRPr="004E5A6E" w:rsidRDefault="00733346" w:rsidP="00D6295F">
            <w:pPr>
              <w:tabs>
                <w:tab w:val="left" w:pos="180"/>
              </w:tabs>
              <w:spacing w:before="120"/>
              <w:jc w:val="center"/>
              <w:rPr>
                <w:b/>
                <w:bCs/>
                <w:color w:val="auto"/>
                <w:sz w:val="18"/>
                <w:szCs w:val="18"/>
                <w:lang w:val="sq-AL"/>
              </w:rPr>
            </w:pPr>
            <w:r w:rsidRPr="004E5A6E">
              <w:rPr>
                <w:b/>
                <w:bCs/>
                <w:color w:val="auto"/>
                <w:sz w:val="18"/>
                <w:szCs w:val="18"/>
                <w:lang w:val="sq-AL"/>
              </w:rPr>
              <w:t>TM1</w:t>
            </w:r>
          </w:p>
        </w:tc>
        <w:tc>
          <w:tcPr>
            <w:tcW w:w="398" w:type="pct"/>
            <w:tcBorders>
              <w:top w:val="single" w:sz="4" w:space="0" w:color="auto"/>
              <w:left w:val="nil"/>
              <w:bottom w:val="single" w:sz="4" w:space="0" w:color="auto"/>
              <w:right w:val="single" w:sz="4" w:space="0" w:color="auto"/>
            </w:tcBorders>
            <w:shd w:val="clear" w:color="auto" w:fill="DEEAF6" w:themeFill="accent1" w:themeFillTint="33"/>
          </w:tcPr>
          <w:p w14:paraId="0323A5E2" w14:textId="77777777" w:rsidR="00733346" w:rsidRPr="004E5A6E" w:rsidRDefault="00733346" w:rsidP="00D6295F">
            <w:pPr>
              <w:tabs>
                <w:tab w:val="left" w:pos="180"/>
              </w:tabs>
              <w:spacing w:before="120"/>
              <w:jc w:val="center"/>
              <w:rPr>
                <w:b/>
                <w:bCs/>
                <w:color w:val="auto"/>
                <w:sz w:val="18"/>
                <w:szCs w:val="18"/>
                <w:lang w:val="sq-AL"/>
              </w:rPr>
            </w:pPr>
            <w:r w:rsidRPr="004E5A6E">
              <w:rPr>
                <w:b/>
                <w:bCs/>
                <w:color w:val="auto"/>
                <w:sz w:val="18"/>
                <w:szCs w:val="18"/>
                <w:lang w:val="sq-AL"/>
              </w:rPr>
              <w:t>TM2</w:t>
            </w:r>
          </w:p>
        </w:tc>
        <w:tc>
          <w:tcPr>
            <w:tcW w:w="398" w:type="pct"/>
            <w:tcBorders>
              <w:top w:val="single" w:sz="4" w:space="0" w:color="auto"/>
              <w:left w:val="nil"/>
              <w:bottom w:val="single" w:sz="4" w:space="0" w:color="auto"/>
              <w:right w:val="single" w:sz="4" w:space="0" w:color="auto"/>
            </w:tcBorders>
            <w:shd w:val="clear" w:color="auto" w:fill="DEEAF6" w:themeFill="accent1" w:themeFillTint="33"/>
          </w:tcPr>
          <w:p w14:paraId="099F81AF" w14:textId="77777777" w:rsidR="00733346" w:rsidRPr="004E5A6E" w:rsidRDefault="00733346" w:rsidP="00D6295F">
            <w:pPr>
              <w:tabs>
                <w:tab w:val="left" w:pos="180"/>
              </w:tabs>
              <w:spacing w:before="120"/>
              <w:jc w:val="center"/>
              <w:rPr>
                <w:b/>
                <w:bCs/>
                <w:color w:val="auto"/>
                <w:sz w:val="18"/>
                <w:szCs w:val="18"/>
                <w:lang w:val="sq-AL"/>
              </w:rPr>
            </w:pPr>
            <w:r w:rsidRPr="004E5A6E">
              <w:rPr>
                <w:b/>
                <w:bCs/>
                <w:color w:val="auto"/>
                <w:sz w:val="18"/>
                <w:szCs w:val="18"/>
                <w:lang w:val="sq-AL"/>
              </w:rPr>
              <w:t>TM3</w:t>
            </w:r>
          </w:p>
        </w:tc>
      </w:tr>
      <w:tr w:rsidR="00733346" w:rsidRPr="004E5A6E" w14:paraId="5DB03FD4" w14:textId="77777777" w:rsidTr="00EE37A9">
        <w:trPr>
          <w:trHeight w:hRule="exact" w:val="340"/>
        </w:trPr>
        <w:tc>
          <w:tcPr>
            <w:tcW w:w="2213" w:type="pct"/>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4C987762" w14:textId="77777777" w:rsidR="00733346" w:rsidRPr="004E5A6E" w:rsidRDefault="00733346" w:rsidP="00D6295F">
            <w:pPr>
              <w:tabs>
                <w:tab w:val="left" w:pos="180"/>
              </w:tabs>
              <w:spacing w:before="120"/>
              <w:jc w:val="both"/>
              <w:rPr>
                <w:color w:val="auto"/>
                <w:sz w:val="16"/>
                <w:szCs w:val="18"/>
                <w:lang w:val="sq-AL"/>
              </w:rPr>
            </w:pPr>
            <w:r w:rsidRPr="004E5A6E">
              <w:rPr>
                <w:color w:val="auto"/>
                <w:sz w:val="16"/>
                <w:szCs w:val="18"/>
                <w:lang w:val="sq-AL"/>
              </w:rPr>
              <w:t xml:space="preserve">Indeksi i çmimeve për të gjitha mallrat </w:t>
            </w:r>
            <w:r w:rsidRPr="004E5A6E">
              <w:rPr>
                <w:color w:val="auto"/>
                <w:sz w:val="16"/>
                <w:szCs w:val="18"/>
                <w:vertAlign w:val="superscript"/>
                <w:lang w:val="sq-AL"/>
              </w:rPr>
              <w:t>(IMF çmimet e mallrave bazë)</w:t>
            </w:r>
            <w:r w:rsidRPr="004E5A6E">
              <w:rPr>
                <w:rStyle w:val="FootnoteReference"/>
                <w:color w:val="auto"/>
                <w:sz w:val="16"/>
                <w:szCs w:val="18"/>
                <w:lang w:val="sq-AL"/>
              </w:rPr>
              <w:footnoteReference w:id="3"/>
            </w:r>
          </w:p>
        </w:tc>
        <w:tc>
          <w:tcPr>
            <w:tcW w:w="398" w:type="pct"/>
            <w:tcBorders>
              <w:top w:val="nil"/>
              <w:left w:val="nil"/>
              <w:bottom w:val="single" w:sz="4" w:space="0" w:color="auto"/>
              <w:right w:val="single" w:sz="4" w:space="0" w:color="auto"/>
            </w:tcBorders>
            <w:shd w:val="clear" w:color="auto" w:fill="DEEAF6" w:themeFill="accent1" w:themeFillTint="33"/>
            <w:noWrap/>
          </w:tcPr>
          <w:p w14:paraId="1028C259" w14:textId="77777777" w:rsidR="00733346" w:rsidRPr="004E5A6E" w:rsidRDefault="00733346" w:rsidP="00D6295F">
            <w:pPr>
              <w:jc w:val="center"/>
              <w:rPr>
                <w:color w:val="auto"/>
                <w:sz w:val="18"/>
                <w:szCs w:val="18"/>
                <w:lang w:val="sq-AL"/>
              </w:rPr>
            </w:pPr>
            <w:r w:rsidRPr="004E5A6E">
              <w:rPr>
                <w:color w:val="auto"/>
                <w:sz w:val="18"/>
                <w:szCs w:val="18"/>
                <w:lang w:val="sq-AL"/>
              </w:rPr>
              <w:t>118.9</w:t>
            </w:r>
          </w:p>
        </w:tc>
        <w:tc>
          <w:tcPr>
            <w:tcW w:w="398" w:type="pct"/>
            <w:tcBorders>
              <w:top w:val="nil"/>
              <w:left w:val="nil"/>
              <w:bottom w:val="single" w:sz="4" w:space="0" w:color="auto"/>
              <w:right w:val="single" w:sz="4" w:space="0" w:color="auto"/>
            </w:tcBorders>
            <w:shd w:val="clear" w:color="auto" w:fill="DEEAF6" w:themeFill="accent1" w:themeFillTint="33"/>
          </w:tcPr>
          <w:p w14:paraId="06B47859" w14:textId="77777777" w:rsidR="00733346" w:rsidRPr="004E5A6E" w:rsidRDefault="00733346" w:rsidP="00D6295F">
            <w:pPr>
              <w:jc w:val="center"/>
              <w:rPr>
                <w:color w:val="auto"/>
                <w:sz w:val="18"/>
                <w:szCs w:val="18"/>
                <w:lang w:val="sq-AL"/>
              </w:rPr>
            </w:pPr>
            <w:r w:rsidRPr="004E5A6E">
              <w:rPr>
                <w:color w:val="auto"/>
                <w:sz w:val="18"/>
                <w:szCs w:val="18"/>
                <w:lang w:val="sq-AL"/>
              </w:rPr>
              <w:t>120.2</w:t>
            </w:r>
          </w:p>
        </w:tc>
        <w:tc>
          <w:tcPr>
            <w:tcW w:w="398" w:type="pct"/>
            <w:tcBorders>
              <w:top w:val="nil"/>
              <w:left w:val="nil"/>
              <w:bottom w:val="single" w:sz="4" w:space="0" w:color="auto"/>
              <w:right w:val="single" w:sz="4" w:space="0" w:color="auto"/>
            </w:tcBorders>
            <w:shd w:val="clear" w:color="auto" w:fill="DEEAF6" w:themeFill="accent1" w:themeFillTint="33"/>
          </w:tcPr>
          <w:p w14:paraId="5479A1A8" w14:textId="77777777" w:rsidR="00733346" w:rsidRPr="004E5A6E" w:rsidRDefault="00733346" w:rsidP="00D6295F">
            <w:pPr>
              <w:jc w:val="center"/>
              <w:rPr>
                <w:color w:val="auto"/>
                <w:sz w:val="18"/>
                <w:szCs w:val="18"/>
                <w:lang w:val="sq-AL"/>
              </w:rPr>
            </w:pPr>
            <w:r w:rsidRPr="004E5A6E">
              <w:rPr>
                <w:color w:val="auto"/>
                <w:sz w:val="18"/>
                <w:szCs w:val="18"/>
                <w:lang w:val="sq-AL"/>
              </w:rPr>
              <w:t>115.4</w:t>
            </w:r>
          </w:p>
        </w:tc>
        <w:tc>
          <w:tcPr>
            <w:tcW w:w="398" w:type="pct"/>
            <w:tcBorders>
              <w:top w:val="nil"/>
              <w:left w:val="nil"/>
              <w:bottom w:val="single" w:sz="4" w:space="0" w:color="auto"/>
              <w:right w:val="single" w:sz="4" w:space="0" w:color="auto"/>
            </w:tcBorders>
            <w:shd w:val="clear" w:color="auto" w:fill="DEEAF6" w:themeFill="accent1" w:themeFillTint="33"/>
          </w:tcPr>
          <w:p w14:paraId="593B9421" w14:textId="77777777" w:rsidR="00733346" w:rsidRPr="004E5A6E" w:rsidRDefault="00733346" w:rsidP="00D6295F">
            <w:pPr>
              <w:jc w:val="center"/>
              <w:rPr>
                <w:color w:val="auto"/>
                <w:sz w:val="18"/>
                <w:szCs w:val="18"/>
                <w:lang w:val="sq-AL"/>
              </w:rPr>
            </w:pPr>
            <w:r w:rsidRPr="004E5A6E">
              <w:rPr>
                <w:color w:val="auto"/>
                <w:sz w:val="18"/>
                <w:szCs w:val="18"/>
                <w:lang w:val="sq-AL"/>
              </w:rPr>
              <w:t>116.6</w:t>
            </w:r>
          </w:p>
        </w:tc>
        <w:tc>
          <w:tcPr>
            <w:tcW w:w="398" w:type="pct"/>
            <w:tcBorders>
              <w:top w:val="nil"/>
              <w:left w:val="nil"/>
              <w:bottom w:val="single" w:sz="4" w:space="0" w:color="auto"/>
              <w:right w:val="single" w:sz="4" w:space="0" w:color="auto"/>
            </w:tcBorders>
            <w:shd w:val="clear" w:color="auto" w:fill="DEEAF6" w:themeFill="accent1" w:themeFillTint="33"/>
          </w:tcPr>
          <w:p w14:paraId="5DAE979E" w14:textId="77777777" w:rsidR="00733346" w:rsidRPr="004E5A6E" w:rsidRDefault="00733346" w:rsidP="00D6295F">
            <w:pPr>
              <w:jc w:val="center"/>
              <w:rPr>
                <w:color w:val="auto"/>
                <w:sz w:val="18"/>
                <w:szCs w:val="18"/>
                <w:lang w:val="sq-AL"/>
              </w:rPr>
            </w:pPr>
            <w:r w:rsidRPr="004E5A6E">
              <w:rPr>
                <w:color w:val="auto"/>
                <w:sz w:val="18"/>
                <w:szCs w:val="18"/>
                <w:lang w:val="sq-AL"/>
              </w:rPr>
              <w:t>108.2</w:t>
            </w:r>
          </w:p>
        </w:tc>
        <w:tc>
          <w:tcPr>
            <w:tcW w:w="398" w:type="pct"/>
            <w:tcBorders>
              <w:top w:val="nil"/>
              <w:left w:val="nil"/>
              <w:bottom w:val="single" w:sz="4" w:space="0" w:color="auto"/>
              <w:right w:val="single" w:sz="4" w:space="0" w:color="auto"/>
            </w:tcBorders>
            <w:shd w:val="clear" w:color="auto" w:fill="DEEAF6" w:themeFill="accent1" w:themeFillTint="33"/>
          </w:tcPr>
          <w:p w14:paraId="0DFB7C3E" w14:textId="77777777" w:rsidR="00733346" w:rsidRPr="004E5A6E" w:rsidRDefault="00733346" w:rsidP="00D6295F">
            <w:pPr>
              <w:jc w:val="center"/>
              <w:rPr>
                <w:color w:val="auto"/>
                <w:sz w:val="18"/>
                <w:szCs w:val="18"/>
                <w:lang w:val="sq-AL"/>
              </w:rPr>
            </w:pPr>
            <w:r w:rsidRPr="004E5A6E">
              <w:rPr>
                <w:color w:val="auto"/>
                <w:sz w:val="18"/>
                <w:szCs w:val="18"/>
                <w:lang w:val="sq-AL"/>
              </w:rPr>
              <w:t>91.8</w:t>
            </w:r>
          </w:p>
        </w:tc>
        <w:tc>
          <w:tcPr>
            <w:tcW w:w="398" w:type="pct"/>
            <w:tcBorders>
              <w:top w:val="nil"/>
              <w:left w:val="nil"/>
              <w:bottom w:val="single" w:sz="4" w:space="0" w:color="auto"/>
              <w:right w:val="single" w:sz="4" w:space="0" w:color="auto"/>
            </w:tcBorders>
            <w:shd w:val="clear" w:color="auto" w:fill="DEEAF6" w:themeFill="accent1" w:themeFillTint="33"/>
          </w:tcPr>
          <w:p w14:paraId="03DA02F6" w14:textId="77777777" w:rsidR="00733346" w:rsidRPr="004E5A6E" w:rsidRDefault="00733346" w:rsidP="00D6295F">
            <w:pPr>
              <w:jc w:val="center"/>
              <w:rPr>
                <w:color w:val="auto"/>
                <w:sz w:val="18"/>
                <w:szCs w:val="18"/>
                <w:lang w:val="sq-AL"/>
              </w:rPr>
            </w:pPr>
            <w:r w:rsidRPr="004E5A6E">
              <w:rPr>
                <w:color w:val="auto"/>
                <w:sz w:val="18"/>
                <w:szCs w:val="18"/>
                <w:lang w:val="sq-AL"/>
              </w:rPr>
              <w:t>106.9</w:t>
            </w:r>
          </w:p>
        </w:tc>
      </w:tr>
      <w:tr w:rsidR="00733346" w:rsidRPr="004E5A6E" w14:paraId="76C0E986" w14:textId="77777777" w:rsidTr="00EE37A9">
        <w:trPr>
          <w:trHeight w:hRule="exact" w:val="271"/>
        </w:trPr>
        <w:tc>
          <w:tcPr>
            <w:tcW w:w="2213" w:type="pct"/>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4D8D8527" w14:textId="77777777" w:rsidR="00733346" w:rsidRPr="004E5A6E" w:rsidRDefault="00733346" w:rsidP="00D6295F">
            <w:pPr>
              <w:spacing w:line="276" w:lineRule="auto"/>
              <w:jc w:val="both"/>
              <w:rPr>
                <w:color w:val="auto"/>
                <w:sz w:val="16"/>
                <w:szCs w:val="18"/>
                <w:lang w:val="sq-AL"/>
              </w:rPr>
            </w:pPr>
            <w:r w:rsidRPr="004E5A6E">
              <w:rPr>
                <w:color w:val="auto"/>
                <w:sz w:val="16"/>
                <w:szCs w:val="18"/>
                <w:lang w:val="sq-AL"/>
              </w:rPr>
              <w:t>Indeksi i çmimeve të ushqimeve dhe pijeve</w:t>
            </w:r>
          </w:p>
          <w:p w14:paraId="4939FA8A" w14:textId="77777777" w:rsidR="00733346" w:rsidRPr="004E5A6E" w:rsidRDefault="00733346" w:rsidP="00D6295F">
            <w:pPr>
              <w:tabs>
                <w:tab w:val="left" w:pos="180"/>
              </w:tabs>
              <w:spacing w:before="120"/>
              <w:jc w:val="both"/>
              <w:rPr>
                <w:color w:val="auto"/>
                <w:sz w:val="16"/>
                <w:szCs w:val="18"/>
                <w:lang w:val="sq-AL"/>
              </w:rPr>
            </w:pPr>
            <w:r w:rsidRPr="004E5A6E">
              <w:rPr>
                <w:color w:val="auto"/>
                <w:sz w:val="16"/>
                <w:szCs w:val="18"/>
                <w:vertAlign w:val="superscript"/>
                <w:lang w:val="sq-AL"/>
              </w:rPr>
              <w:t>( IMF prices of basic commodities)</w:t>
            </w:r>
          </w:p>
        </w:tc>
        <w:tc>
          <w:tcPr>
            <w:tcW w:w="398" w:type="pct"/>
            <w:tcBorders>
              <w:top w:val="nil"/>
              <w:left w:val="nil"/>
              <w:bottom w:val="single" w:sz="4" w:space="0" w:color="auto"/>
              <w:right w:val="single" w:sz="4" w:space="0" w:color="auto"/>
            </w:tcBorders>
            <w:shd w:val="clear" w:color="auto" w:fill="DEEAF6" w:themeFill="accent1" w:themeFillTint="33"/>
            <w:noWrap/>
          </w:tcPr>
          <w:p w14:paraId="504D6403" w14:textId="77777777" w:rsidR="00733346" w:rsidRPr="004E5A6E" w:rsidRDefault="00733346" w:rsidP="00D6295F">
            <w:pPr>
              <w:jc w:val="center"/>
              <w:rPr>
                <w:color w:val="auto"/>
                <w:sz w:val="18"/>
                <w:szCs w:val="18"/>
                <w:lang w:val="sq-AL"/>
              </w:rPr>
            </w:pPr>
            <w:r w:rsidRPr="004E5A6E">
              <w:rPr>
                <w:color w:val="auto"/>
                <w:sz w:val="18"/>
                <w:szCs w:val="18"/>
                <w:lang w:val="sq-AL"/>
              </w:rPr>
              <w:t>98.9</w:t>
            </w:r>
          </w:p>
        </w:tc>
        <w:tc>
          <w:tcPr>
            <w:tcW w:w="398" w:type="pct"/>
            <w:tcBorders>
              <w:top w:val="nil"/>
              <w:left w:val="nil"/>
              <w:bottom w:val="single" w:sz="4" w:space="0" w:color="auto"/>
              <w:right w:val="single" w:sz="4" w:space="0" w:color="auto"/>
            </w:tcBorders>
            <w:shd w:val="clear" w:color="auto" w:fill="DEEAF6" w:themeFill="accent1" w:themeFillTint="33"/>
          </w:tcPr>
          <w:p w14:paraId="4402A5CD" w14:textId="77777777" w:rsidR="00733346" w:rsidRPr="004E5A6E" w:rsidRDefault="00733346" w:rsidP="00D6295F">
            <w:pPr>
              <w:jc w:val="center"/>
              <w:rPr>
                <w:color w:val="auto"/>
                <w:sz w:val="18"/>
                <w:szCs w:val="18"/>
                <w:lang w:val="sq-AL"/>
              </w:rPr>
            </w:pPr>
            <w:r w:rsidRPr="004E5A6E">
              <w:rPr>
                <w:color w:val="auto"/>
                <w:sz w:val="18"/>
                <w:szCs w:val="18"/>
                <w:lang w:val="sq-AL"/>
              </w:rPr>
              <w:t>99.8</w:t>
            </w:r>
          </w:p>
        </w:tc>
        <w:tc>
          <w:tcPr>
            <w:tcW w:w="398" w:type="pct"/>
            <w:tcBorders>
              <w:top w:val="nil"/>
              <w:left w:val="nil"/>
              <w:bottom w:val="single" w:sz="4" w:space="0" w:color="auto"/>
              <w:right w:val="single" w:sz="4" w:space="0" w:color="auto"/>
            </w:tcBorders>
            <w:shd w:val="clear" w:color="auto" w:fill="DEEAF6" w:themeFill="accent1" w:themeFillTint="33"/>
          </w:tcPr>
          <w:p w14:paraId="349F73BA" w14:textId="77777777" w:rsidR="00733346" w:rsidRPr="004E5A6E" w:rsidRDefault="00733346" w:rsidP="00D6295F">
            <w:pPr>
              <w:jc w:val="center"/>
              <w:rPr>
                <w:color w:val="auto"/>
                <w:sz w:val="18"/>
                <w:szCs w:val="18"/>
                <w:lang w:val="sq-AL"/>
              </w:rPr>
            </w:pPr>
            <w:r w:rsidRPr="004E5A6E">
              <w:rPr>
                <w:color w:val="auto"/>
                <w:sz w:val="18"/>
                <w:szCs w:val="18"/>
                <w:lang w:val="sq-AL"/>
              </w:rPr>
              <w:t>97.9</w:t>
            </w:r>
          </w:p>
        </w:tc>
        <w:tc>
          <w:tcPr>
            <w:tcW w:w="398" w:type="pct"/>
            <w:tcBorders>
              <w:top w:val="nil"/>
              <w:left w:val="nil"/>
              <w:bottom w:val="single" w:sz="4" w:space="0" w:color="auto"/>
              <w:right w:val="single" w:sz="4" w:space="0" w:color="auto"/>
            </w:tcBorders>
            <w:shd w:val="clear" w:color="auto" w:fill="DEEAF6" w:themeFill="accent1" w:themeFillTint="33"/>
          </w:tcPr>
          <w:p w14:paraId="642780A2" w14:textId="77777777" w:rsidR="00733346" w:rsidRPr="004E5A6E" w:rsidRDefault="00733346" w:rsidP="00D6295F">
            <w:pPr>
              <w:jc w:val="center"/>
              <w:rPr>
                <w:color w:val="auto"/>
                <w:sz w:val="18"/>
                <w:szCs w:val="18"/>
                <w:lang w:val="sq-AL"/>
              </w:rPr>
            </w:pPr>
            <w:r w:rsidRPr="004E5A6E">
              <w:rPr>
                <w:color w:val="auto"/>
                <w:sz w:val="18"/>
                <w:szCs w:val="18"/>
                <w:lang w:val="sq-AL"/>
              </w:rPr>
              <w:t>99.1</w:t>
            </w:r>
          </w:p>
        </w:tc>
        <w:tc>
          <w:tcPr>
            <w:tcW w:w="398" w:type="pct"/>
            <w:tcBorders>
              <w:top w:val="nil"/>
              <w:left w:val="nil"/>
              <w:bottom w:val="single" w:sz="4" w:space="0" w:color="auto"/>
              <w:right w:val="single" w:sz="4" w:space="0" w:color="auto"/>
            </w:tcBorders>
            <w:shd w:val="clear" w:color="auto" w:fill="DEEAF6" w:themeFill="accent1" w:themeFillTint="33"/>
          </w:tcPr>
          <w:p w14:paraId="5A7EAD6D" w14:textId="77777777" w:rsidR="00733346" w:rsidRPr="004E5A6E" w:rsidRDefault="00733346" w:rsidP="00D6295F">
            <w:pPr>
              <w:jc w:val="center"/>
              <w:rPr>
                <w:color w:val="auto"/>
                <w:sz w:val="18"/>
                <w:szCs w:val="18"/>
                <w:lang w:val="sq-AL"/>
              </w:rPr>
            </w:pPr>
            <w:r w:rsidRPr="004E5A6E">
              <w:rPr>
                <w:color w:val="auto"/>
                <w:sz w:val="18"/>
                <w:szCs w:val="18"/>
                <w:lang w:val="sq-AL"/>
              </w:rPr>
              <w:t>100.2</w:t>
            </w:r>
          </w:p>
        </w:tc>
        <w:tc>
          <w:tcPr>
            <w:tcW w:w="398" w:type="pct"/>
            <w:tcBorders>
              <w:top w:val="nil"/>
              <w:left w:val="nil"/>
              <w:bottom w:val="single" w:sz="4" w:space="0" w:color="auto"/>
              <w:right w:val="single" w:sz="4" w:space="0" w:color="auto"/>
            </w:tcBorders>
            <w:shd w:val="clear" w:color="auto" w:fill="DEEAF6" w:themeFill="accent1" w:themeFillTint="33"/>
          </w:tcPr>
          <w:p w14:paraId="48D021FD" w14:textId="77777777" w:rsidR="00733346" w:rsidRPr="004E5A6E" w:rsidRDefault="00733346" w:rsidP="00D6295F">
            <w:pPr>
              <w:jc w:val="center"/>
              <w:rPr>
                <w:color w:val="auto"/>
                <w:sz w:val="18"/>
                <w:szCs w:val="18"/>
                <w:lang w:val="sq-AL"/>
              </w:rPr>
            </w:pPr>
            <w:r w:rsidRPr="004E5A6E">
              <w:rPr>
                <w:color w:val="auto"/>
                <w:sz w:val="18"/>
                <w:szCs w:val="18"/>
                <w:lang w:val="sq-AL"/>
              </w:rPr>
              <w:t>95.5</w:t>
            </w:r>
          </w:p>
        </w:tc>
        <w:tc>
          <w:tcPr>
            <w:tcW w:w="398" w:type="pct"/>
            <w:tcBorders>
              <w:top w:val="nil"/>
              <w:left w:val="nil"/>
              <w:bottom w:val="single" w:sz="4" w:space="0" w:color="auto"/>
              <w:right w:val="single" w:sz="4" w:space="0" w:color="auto"/>
            </w:tcBorders>
            <w:shd w:val="clear" w:color="auto" w:fill="DEEAF6" w:themeFill="accent1" w:themeFillTint="33"/>
          </w:tcPr>
          <w:p w14:paraId="73B4B642" w14:textId="77777777" w:rsidR="00733346" w:rsidRPr="004E5A6E" w:rsidRDefault="00733346" w:rsidP="00D6295F">
            <w:pPr>
              <w:jc w:val="center"/>
              <w:rPr>
                <w:color w:val="auto"/>
                <w:sz w:val="18"/>
                <w:szCs w:val="18"/>
                <w:lang w:val="sq-AL"/>
              </w:rPr>
            </w:pPr>
            <w:r w:rsidRPr="004E5A6E">
              <w:rPr>
                <w:color w:val="auto"/>
                <w:sz w:val="18"/>
                <w:szCs w:val="18"/>
                <w:lang w:val="sq-AL"/>
              </w:rPr>
              <w:t>98.4</w:t>
            </w:r>
          </w:p>
        </w:tc>
      </w:tr>
      <w:tr w:rsidR="00733346" w:rsidRPr="004E5A6E" w14:paraId="2271653F" w14:textId="77777777" w:rsidTr="00EE37A9">
        <w:trPr>
          <w:trHeight w:hRule="exact" w:val="340"/>
        </w:trPr>
        <w:tc>
          <w:tcPr>
            <w:tcW w:w="2213" w:type="pct"/>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61CBBB14" w14:textId="77777777" w:rsidR="00733346" w:rsidRPr="004E5A6E" w:rsidRDefault="00733346" w:rsidP="00D6295F">
            <w:pPr>
              <w:tabs>
                <w:tab w:val="left" w:pos="180"/>
              </w:tabs>
              <w:spacing w:before="120"/>
              <w:jc w:val="both"/>
              <w:rPr>
                <w:color w:val="auto"/>
                <w:sz w:val="16"/>
                <w:szCs w:val="18"/>
                <w:lang w:val="sq-AL"/>
              </w:rPr>
            </w:pPr>
            <w:r w:rsidRPr="004E5A6E">
              <w:rPr>
                <w:color w:val="auto"/>
                <w:sz w:val="16"/>
                <w:szCs w:val="18"/>
                <w:lang w:val="sq-AL"/>
              </w:rPr>
              <w:t xml:space="preserve">Çmimi i naftës bruto e tipit Brent </w:t>
            </w:r>
            <w:r w:rsidRPr="004E5A6E">
              <w:rPr>
                <w:rStyle w:val="FootnoteReference"/>
                <w:color w:val="auto"/>
                <w:sz w:val="16"/>
                <w:szCs w:val="18"/>
                <w:lang w:val="sq-AL"/>
              </w:rPr>
              <w:footnoteReference w:id="4"/>
            </w:r>
          </w:p>
        </w:tc>
        <w:tc>
          <w:tcPr>
            <w:tcW w:w="398" w:type="pct"/>
            <w:tcBorders>
              <w:top w:val="nil"/>
              <w:left w:val="nil"/>
              <w:bottom w:val="single" w:sz="4" w:space="0" w:color="auto"/>
              <w:right w:val="single" w:sz="4" w:space="0" w:color="auto"/>
            </w:tcBorders>
            <w:shd w:val="clear" w:color="auto" w:fill="DEEAF6" w:themeFill="accent1" w:themeFillTint="33"/>
            <w:noWrap/>
          </w:tcPr>
          <w:p w14:paraId="5FD4E2C7" w14:textId="77777777" w:rsidR="00733346" w:rsidRPr="004E5A6E" w:rsidRDefault="00733346" w:rsidP="00D6295F">
            <w:pPr>
              <w:jc w:val="center"/>
              <w:rPr>
                <w:color w:val="auto"/>
                <w:sz w:val="18"/>
                <w:szCs w:val="18"/>
                <w:lang w:val="sq-AL"/>
              </w:rPr>
            </w:pPr>
            <w:r w:rsidRPr="004E5A6E">
              <w:rPr>
                <w:color w:val="auto"/>
                <w:sz w:val="18"/>
                <w:szCs w:val="18"/>
                <w:lang w:val="sq-AL"/>
              </w:rPr>
              <w:t>63.3</w:t>
            </w:r>
          </w:p>
        </w:tc>
        <w:tc>
          <w:tcPr>
            <w:tcW w:w="398" w:type="pct"/>
            <w:tcBorders>
              <w:top w:val="nil"/>
              <w:left w:val="nil"/>
              <w:bottom w:val="single" w:sz="4" w:space="0" w:color="auto"/>
              <w:right w:val="single" w:sz="4" w:space="0" w:color="auto"/>
            </w:tcBorders>
            <w:shd w:val="clear" w:color="auto" w:fill="DEEAF6" w:themeFill="accent1" w:themeFillTint="33"/>
          </w:tcPr>
          <w:p w14:paraId="050CD772" w14:textId="77777777" w:rsidR="00733346" w:rsidRPr="004E5A6E" w:rsidRDefault="00733346" w:rsidP="00D6295F">
            <w:pPr>
              <w:jc w:val="center"/>
              <w:rPr>
                <w:color w:val="auto"/>
                <w:sz w:val="18"/>
                <w:szCs w:val="18"/>
                <w:lang w:val="sq-AL"/>
              </w:rPr>
            </w:pPr>
            <w:r w:rsidRPr="004E5A6E">
              <w:rPr>
                <w:color w:val="auto"/>
                <w:sz w:val="18"/>
                <w:szCs w:val="18"/>
                <w:lang w:val="sq-AL"/>
              </w:rPr>
              <w:t>68.3</w:t>
            </w:r>
          </w:p>
        </w:tc>
        <w:tc>
          <w:tcPr>
            <w:tcW w:w="398" w:type="pct"/>
            <w:tcBorders>
              <w:top w:val="nil"/>
              <w:left w:val="nil"/>
              <w:bottom w:val="single" w:sz="4" w:space="0" w:color="auto"/>
              <w:right w:val="single" w:sz="4" w:space="0" w:color="auto"/>
            </w:tcBorders>
            <w:shd w:val="clear" w:color="auto" w:fill="DEEAF6" w:themeFill="accent1" w:themeFillTint="33"/>
          </w:tcPr>
          <w:p w14:paraId="58B1DA26" w14:textId="77777777" w:rsidR="00733346" w:rsidRPr="004E5A6E" w:rsidRDefault="00733346" w:rsidP="00D6295F">
            <w:pPr>
              <w:jc w:val="center"/>
              <w:rPr>
                <w:color w:val="auto"/>
                <w:sz w:val="18"/>
                <w:szCs w:val="18"/>
                <w:lang w:val="sq-AL"/>
              </w:rPr>
            </w:pPr>
            <w:r w:rsidRPr="004E5A6E">
              <w:rPr>
                <w:color w:val="auto"/>
                <w:sz w:val="18"/>
                <w:szCs w:val="18"/>
                <w:lang w:val="sq-AL"/>
              </w:rPr>
              <w:t>61.9</w:t>
            </w:r>
          </w:p>
        </w:tc>
        <w:tc>
          <w:tcPr>
            <w:tcW w:w="398" w:type="pct"/>
            <w:tcBorders>
              <w:top w:val="nil"/>
              <w:left w:val="nil"/>
              <w:bottom w:val="single" w:sz="4" w:space="0" w:color="auto"/>
              <w:right w:val="single" w:sz="4" w:space="0" w:color="auto"/>
            </w:tcBorders>
            <w:shd w:val="clear" w:color="auto" w:fill="DEEAF6" w:themeFill="accent1" w:themeFillTint="33"/>
          </w:tcPr>
          <w:p w14:paraId="3A0AC450" w14:textId="77777777" w:rsidR="00733346" w:rsidRPr="004E5A6E" w:rsidRDefault="00733346" w:rsidP="00D6295F">
            <w:pPr>
              <w:jc w:val="center"/>
              <w:rPr>
                <w:color w:val="auto"/>
                <w:sz w:val="18"/>
                <w:szCs w:val="18"/>
                <w:lang w:val="sq-AL"/>
              </w:rPr>
            </w:pPr>
            <w:r w:rsidRPr="004E5A6E">
              <w:rPr>
                <w:color w:val="auto"/>
                <w:sz w:val="18"/>
                <w:szCs w:val="18"/>
                <w:lang w:val="sq-AL"/>
              </w:rPr>
              <w:t>62.7</w:t>
            </w:r>
          </w:p>
        </w:tc>
        <w:tc>
          <w:tcPr>
            <w:tcW w:w="398" w:type="pct"/>
            <w:tcBorders>
              <w:top w:val="nil"/>
              <w:left w:val="nil"/>
              <w:bottom w:val="single" w:sz="4" w:space="0" w:color="auto"/>
              <w:right w:val="single" w:sz="4" w:space="0" w:color="auto"/>
            </w:tcBorders>
            <w:shd w:val="clear" w:color="auto" w:fill="DEEAF6" w:themeFill="accent1" w:themeFillTint="33"/>
          </w:tcPr>
          <w:p w14:paraId="4A1A091A" w14:textId="77777777" w:rsidR="00733346" w:rsidRPr="004E5A6E" w:rsidRDefault="00733346" w:rsidP="00D6295F">
            <w:pPr>
              <w:jc w:val="center"/>
              <w:rPr>
                <w:color w:val="auto"/>
                <w:sz w:val="18"/>
                <w:szCs w:val="18"/>
                <w:lang w:val="sq-AL"/>
              </w:rPr>
            </w:pPr>
            <w:r w:rsidRPr="004E5A6E">
              <w:rPr>
                <w:color w:val="auto"/>
                <w:sz w:val="18"/>
                <w:szCs w:val="18"/>
                <w:lang w:val="sq-AL"/>
              </w:rPr>
              <w:t>50.5</w:t>
            </w:r>
          </w:p>
        </w:tc>
        <w:tc>
          <w:tcPr>
            <w:tcW w:w="398" w:type="pct"/>
            <w:tcBorders>
              <w:top w:val="nil"/>
              <w:left w:val="nil"/>
              <w:bottom w:val="single" w:sz="4" w:space="0" w:color="auto"/>
              <w:right w:val="single" w:sz="4" w:space="0" w:color="auto"/>
            </w:tcBorders>
            <w:shd w:val="clear" w:color="auto" w:fill="DEEAF6" w:themeFill="accent1" w:themeFillTint="33"/>
          </w:tcPr>
          <w:p w14:paraId="63DC14B1" w14:textId="77777777" w:rsidR="00733346" w:rsidRPr="004E5A6E" w:rsidRDefault="00733346" w:rsidP="00D6295F">
            <w:pPr>
              <w:jc w:val="center"/>
              <w:rPr>
                <w:color w:val="auto"/>
                <w:sz w:val="18"/>
                <w:szCs w:val="18"/>
                <w:lang w:val="sq-AL"/>
              </w:rPr>
            </w:pPr>
            <w:r w:rsidRPr="004E5A6E">
              <w:rPr>
                <w:color w:val="auto"/>
                <w:sz w:val="18"/>
                <w:szCs w:val="18"/>
                <w:lang w:val="sq-AL"/>
              </w:rPr>
              <w:t>31.4</w:t>
            </w:r>
          </w:p>
        </w:tc>
        <w:tc>
          <w:tcPr>
            <w:tcW w:w="398" w:type="pct"/>
            <w:tcBorders>
              <w:top w:val="nil"/>
              <w:left w:val="nil"/>
              <w:bottom w:val="single" w:sz="4" w:space="0" w:color="auto"/>
              <w:right w:val="single" w:sz="4" w:space="0" w:color="auto"/>
            </w:tcBorders>
            <w:shd w:val="clear" w:color="auto" w:fill="DEEAF6" w:themeFill="accent1" w:themeFillTint="33"/>
          </w:tcPr>
          <w:p w14:paraId="0D12B9DF" w14:textId="77777777" w:rsidR="00733346" w:rsidRPr="004E5A6E" w:rsidRDefault="00733346" w:rsidP="00D6295F">
            <w:pPr>
              <w:jc w:val="center"/>
              <w:rPr>
                <w:color w:val="auto"/>
                <w:sz w:val="18"/>
                <w:szCs w:val="18"/>
                <w:lang w:val="sq-AL"/>
              </w:rPr>
            </w:pPr>
            <w:r w:rsidRPr="004E5A6E">
              <w:rPr>
                <w:color w:val="auto"/>
                <w:sz w:val="18"/>
                <w:szCs w:val="18"/>
                <w:lang w:val="sq-AL"/>
              </w:rPr>
              <w:t>42.7</w:t>
            </w:r>
          </w:p>
        </w:tc>
      </w:tr>
      <w:tr w:rsidR="00733346" w:rsidRPr="004E5A6E" w14:paraId="7ACB1DD7" w14:textId="77777777" w:rsidTr="00EE37A9">
        <w:trPr>
          <w:trHeight w:hRule="exact" w:val="340"/>
        </w:trPr>
        <w:tc>
          <w:tcPr>
            <w:tcW w:w="2213" w:type="pct"/>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7345F56E" w14:textId="77777777" w:rsidR="00733346" w:rsidRPr="004E5A6E" w:rsidRDefault="00733346" w:rsidP="00D6295F">
            <w:pPr>
              <w:tabs>
                <w:tab w:val="left" w:pos="180"/>
              </w:tabs>
              <w:spacing w:before="120"/>
              <w:jc w:val="both"/>
              <w:rPr>
                <w:color w:val="auto"/>
                <w:sz w:val="16"/>
                <w:szCs w:val="18"/>
                <w:lang w:val="sq-AL"/>
              </w:rPr>
            </w:pPr>
            <w:r w:rsidRPr="004E5A6E">
              <w:rPr>
                <w:color w:val="auto"/>
                <w:sz w:val="16"/>
                <w:szCs w:val="18"/>
                <w:lang w:val="sq-AL"/>
              </w:rPr>
              <w:t>Nikeli, $ për ton metrikë</w:t>
            </w:r>
          </w:p>
        </w:tc>
        <w:tc>
          <w:tcPr>
            <w:tcW w:w="398" w:type="pct"/>
            <w:tcBorders>
              <w:top w:val="nil"/>
              <w:left w:val="nil"/>
              <w:bottom w:val="single" w:sz="4" w:space="0" w:color="auto"/>
              <w:right w:val="single" w:sz="4" w:space="0" w:color="auto"/>
            </w:tcBorders>
            <w:shd w:val="clear" w:color="auto" w:fill="DEEAF6" w:themeFill="accent1" w:themeFillTint="33"/>
            <w:noWrap/>
          </w:tcPr>
          <w:p w14:paraId="5DE56B1B" w14:textId="77777777" w:rsidR="00733346" w:rsidRPr="004E5A6E" w:rsidRDefault="00733346" w:rsidP="00D6295F">
            <w:pPr>
              <w:jc w:val="center"/>
              <w:rPr>
                <w:color w:val="auto"/>
                <w:sz w:val="18"/>
                <w:szCs w:val="18"/>
                <w:lang w:val="sq-AL"/>
              </w:rPr>
            </w:pPr>
            <w:r w:rsidRPr="004E5A6E">
              <w:rPr>
                <w:color w:val="auto"/>
                <w:sz w:val="18"/>
                <w:szCs w:val="18"/>
                <w:lang w:val="sq-AL"/>
              </w:rPr>
              <w:t>12,412</w:t>
            </w:r>
          </w:p>
        </w:tc>
        <w:tc>
          <w:tcPr>
            <w:tcW w:w="398" w:type="pct"/>
            <w:tcBorders>
              <w:top w:val="nil"/>
              <w:left w:val="nil"/>
              <w:bottom w:val="single" w:sz="4" w:space="0" w:color="auto"/>
              <w:right w:val="single" w:sz="4" w:space="0" w:color="auto"/>
            </w:tcBorders>
            <w:shd w:val="clear" w:color="auto" w:fill="DEEAF6" w:themeFill="accent1" w:themeFillTint="33"/>
          </w:tcPr>
          <w:p w14:paraId="454AC53F" w14:textId="77777777" w:rsidR="00733346" w:rsidRPr="004E5A6E" w:rsidRDefault="00733346" w:rsidP="00D6295F">
            <w:pPr>
              <w:jc w:val="center"/>
              <w:rPr>
                <w:color w:val="auto"/>
                <w:sz w:val="18"/>
                <w:szCs w:val="18"/>
                <w:lang w:val="sq-AL"/>
              </w:rPr>
            </w:pPr>
            <w:r w:rsidRPr="004E5A6E">
              <w:rPr>
                <w:color w:val="auto"/>
                <w:sz w:val="18"/>
                <w:szCs w:val="18"/>
                <w:lang w:val="sq-AL"/>
              </w:rPr>
              <w:t>12,244</w:t>
            </w:r>
          </w:p>
        </w:tc>
        <w:tc>
          <w:tcPr>
            <w:tcW w:w="398" w:type="pct"/>
            <w:tcBorders>
              <w:top w:val="nil"/>
              <w:left w:val="nil"/>
              <w:bottom w:val="single" w:sz="4" w:space="0" w:color="auto"/>
              <w:right w:val="single" w:sz="4" w:space="0" w:color="auto"/>
            </w:tcBorders>
            <w:shd w:val="clear" w:color="auto" w:fill="DEEAF6" w:themeFill="accent1" w:themeFillTint="33"/>
          </w:tcPr>
          <w:p w14:paraId="607DE4F1" w14:textId="77777777" w:rsidR="00733346" w:rsidRPr="004E5A6E" w:rsidRDefault="00733346" w:rsidP="00D6295F">
            <w:pPr>
              <w:jc w:val="center"/>
              <w:rPr>
                <w:color w:val="auto"/>
                <w:sz w:val="18"/>
                <w:szCs w:val="18"/>
                <w:lang w:val="sq-AL"/>
              </w:rPr>
            </w:pPr>
            <w:r w:rsidRPr="004E5A6E">
              <w:rPr>
                <w:color w:val="auto"/>
                <w:sz w:val="18"/>
                <w:szCs w:val="18"/>
                <w:lang w:val="sq-AL"/>
              </w:rPr>
              <w:t>15,651</w:t>
            </w:r>
          </w:p>
        </w:tc>
        <w:tc>
          <w:tcPr>
            <w:tcW w:w="398" w:type="pct"/>
            <w:tcBorders>
              <w:top w:val="nil"/>
              <w:left w:val="nil"/>
              <w:bottom w:val="single" w:sz="4" w:space="0" w:color="auto"/>
              <w:right w:val="single" w:sz="4" w:space="0" w:color="auto"/>
            </w:tcBorders>
            <w:shd w:val="clear" w:color="auto" w:fill="DEEAF6" w:themeFill="accent1" w:themeFillTint="33"/>
          </w:tcPr>
          <w:p w14:paraId="58C4D055" w14:textId="77777777" w:rsidR="00733346" w:rsidRPr="004E5A6E" w:rsidRDefault="00733346" w:rsidP="00D6295F">
            <w:pPr>
              <w:jc w:val="center"/>
              <w:rPr>
                <w:color w:val="auto"/>
                <w:sz w:val="18"/>
                <w:szCs w:val="18"/>
                <w:lang w:val="sq-AL"/>
              </w:rPr>
            </w:pPr>
            <w:r w:rsidRPr="004E5A6E">
              <w:rPr>
                <w:color w:val="auto"/>
                <w:sz w:val="18"/>
                <w:szCs w:val="18"/>
                <w:lang w:val="sq-AL"/>
              </w:rPr>
              <w:t>15,349</w:t>
            </w:r>
          </w:p>
        </w:tc>
        <w:tc>
          <w:tcPr>
            <w:tcW w:w="398" w:type="pct"/>
            <w:tcBorders>
              <w:top w:val="nil"/>
              <w:left w:val="nil"/>
              <w:bottom w:val="single" w:sz="4" w:space="0" w:color="auto"/>
              <w:right w:val="single" w:sz="4" w:space="0" w:color="auto"/>
            </w:tcBorders>
            <w:shd w:val="clear" w:color="auto" w:fill="DEEAF6" w:themeFill="accent1" w:themeFillTint="33"/>
          </w:tcPr>
          <w:p w14:paraId="11794478" w14:textId="77777777" w:rsidR="00733346" w:rsidRPr="004E5A6E" w:rsidRDefault="00733346" w:rsidP="00D6295F">
            <w:pPr>
              <w:jc w:val="center"/>
              <w:rPr>
                <w:color w:val="auto"/>
                <w:sz w:val="18"/>
                <w:szCs w:val="18"/>
                <w:lang w:val="sq-AL"/>
              </w:rPr>
            </w:pPr>
            <w:r w:rsidRPr="004E5A6E">
              <w:rPr>
                <w:color w:val="auto"/>
                <w:sz w:val="18"/>
                <w:szCs w:val="18"/>
                <w:lang w:val="sq-AL"/>
              </w:rPr>
              <w:t>12,690</w:t>
            </w:r>
          </w:p>
        </w:tc>
        <w:tc>
          <w:tcPr>
            <w:tcW w:w="398" w:type="pct"/>
            <w:tcBorders>
              <w:top w:val="nil"/>
              <w:left w:val="nil"/>
              <w:bottom w:val="single" w:sz="4" w:space="0" w:color="auto"/>
              <w:right w:val="single" w:sz="4" w:space="0" w:color="auto"/>
            </w:tcBorders>
            <w:shd w:val="clear" w:color="auto" w:fill="DEEAF6" w:themeFill="accent1" w:themeFillTint="33"/>
          </w:tcPr>
          <w:p w14:paraId="74445F2C" w14:textId="77777777" w:rsidR="00733346" w:rsidRPr="004E5A6E" w:rsidRDefault="00733346" w:rsidP="00D6295F">
            <w:pPr>
              <w:jc w:val="center"/>
              <w:rPr>
                <w:color w:val="auto"/>
                <w:sz w:val="18"/>
                <w:szCs w:val="18"/>
                <w:lang w:val="sq-AL"/>
              </w:rPr>
            </w:pPr>
            <w:r w:rsidRPr="004E5A6E">
              <w:rPr>
                <w:color w:val="auto"/>
                <w:sz w:val="18"/>
                <w:szCs w:val="18"/>
                <w:lang w:val="sq-AL"/>
              </w:rPr>
              <w:t>12,237</w:t>
            </w:r>
          </w:p>
        </w:tc>
        <w:tc>
          <w:tcPr>
            <w:tcW w:w="398" w:type="pct"/>
            <w:tcBorders>
              <w:top w:val="nil"/>
              <w:left w:val="nil"/>
              <w:bottom w:val="single" w:sz="4" w:space="0" w:color="auto"/>
              <w:right w:val="single" w:sz="4" w:space="0" w:color="auto"/>
            </w:tcBorders>
            <w:shd w:val="clear" w:color="auto" w:fill="DEEAF6" w:themeFill="accent1" w:themeFillTint="33"/>
          </w:tcPr>
          <w:p w14:paraId="7E0401EF" w14:textId="77777777" w:rsidR="00733346" w:rsidRPr="004E5A6E" w:rsidRDefault="00733346" w:rsidP="00D6295F">
            <w:pPr>
              <w:jc w:val="center"/>
              <w:rPr>
                <w:color w:val="auto"/>
                <w:sz w:val="18"/>
                <w:szCs w:val="18"/>
                <w:lang w:val="sq-AL"/>
              </w:rPr>
            </w:pPr>
            <w:r w:rsidRPr="004E5A6E">
              <w:rPr>
                <w:color w:val="auto"/>
                <w:sz w:val="18"/>
                <w:szCs w:val="18"/>
                <w:lang w:val="sq-AL"/>
              </w:rPr>
              <w:t>14,266</w:t>
            </w:r>
          </w:p>
        </w:tc>
      </w:tr>
    </w:tbl>
    <w:p w14:paraId="5D44B039" w14:textId="77777777" w:rsidR="00733346" w:rsidRPr="004E5A6E" w:rsidRDefault="00733346" w:rsidP="00733346">
      <w:pPr>
        <w:spacing w:line="276" w:lineRule="auto"/>
        <w:rPr>
          <w:color w:val="auto"/>
          <w:highlight w:val="cyan"/>
          <w:lang w:val="sq-AL"/>
        </w:rPr>
      </w:pPr>
    </w:p>
    <w:p w14:paraId="2F2962EF" w14:textId="77777777" w:rsidR="00EA106B" w:rsidRPr="004E5A6E" w:rsidRDefault="00EA106B" w:rsidP="0068706C">
      <w:pPr>
        <w:pStyle w:val="ERPL2"/>
        <w:numPr>
          <w:ilvl w:val="1"/>
          <w:numId w:val="10"/>
        </w:numPr>
        <w:rPr>
          <w:rFonts w:ascii="Times New Roman" w:hAnsi="Times New Roman"/>
          <w:lang w:val="sq-AL"/>
        </w:rPr>
      </w:pPr>
      <w:bookmarkStart w:id="68" w:name="_Toc57720366"/>
      <w:bookmarkStart w:id="69" w:name="_Toc504074786"/>
      <w:bookmarkEnd w:id="16"/>
      <w:bookmarkEnd w:id="17"/>
      <w:bookmarkEnd w:id="18"/>
      <w:bookmarkEnd w:id="19"/>
      <w:bookmarkEnd w:id="20"/>
      <w:bookmarkEnd w:id="21"/>
      <w:bookmarkEnd w:id="22"/>
      <w:bookmarkEnd w:id="23"/>
      <w:bookmarkEnd w:id="24"/>
      <w:bookmarkEnd w:id="25"/>
      <w:bookmarkEnd w:id="26"/>
      <w:bookmarkEnd w:id="27"/>
      <w:bookmarkEnd w:id="28"/>
      <w:r w:rsidRPr="004E5A6E">
        <w:rPr>
          <w:rFonts w:ascii="Times New Roman" w:hAnsi="Times New Roman"/>
          <w:lang w:val="sq-AL"/>
        </w:rPr>
        <w:t>Zhvillimet e fundit ekonomike në Kosovë dhe perspektiva për vitin 2020</w:t>
      </w:r>
      <w:bookmarkEnd w:id="68"/>
    </w:p>
    <w:p w14:paraId="61C537B3" w14:textId="77777777" w:rsidR="00EA106B" w:rsidRPr="004E5A6E" w:rsidRDefault="00EA106B" w:rsidP="00EA106B">
      <w:pPr>
        <w:pStyle w:val="ERPL3"/>
        <w:rPr>
          <w:rFonts w:ascii="Times New Roman" w:hAnsi="Times New Roman"/>
          <w:lang w:val="sq-AL"/>
        </w:rPr>
      </w:pPr>
      <w:bookmarkStart w:id="70" w:name="_Toc57198253"/>
      <w:bookmarkStart w:id="71" w:name="_Toc57720367"/>
      <w:r w:rsidRPr="004E5A6E">
        <w:rPr>
          <w:rFonts w:ascii="Times New Roman" w:hAnsi="Times New Roman"/>
          <w:lang w:val="sq-AL"/>
        </w:rPr>
        <w:t>Sektori real</w:t>
      </w:r>
      <w:bookmarkEnd w:id="70"/>
      <w:bookmarkEnd w:id="71"/>
    </w:p>
    <w:p w14:paraId="65F6B5CD" w14:textId="77777777" w:rsidR="00EA106B" w:rsidRPr="004E5A6E" w:rsidRDefault="00EA106B" w:rsidP="00EA106B">
      <w:pPr>
        <w:spacing w:before="240" w:after="120" w:line="276" w:lineRule="auto"/>
        <w:jc w:val="both"/>
        <w:rPr>
          <w:color w:val="auto"/>
          <w:lang w:val="sq-AL"/>
        </w:rPr>
      </w:pPr>
      <w:r w:rsidRPr="004E5A6E">
        <w:rPr>
          <w:color w:val="auto"/>
          <w:lang w:val="sq-AL"/>
        </w:rPr>
        <w:t>Sipas të dhënave vjetore nga Agjencia e Statistikave të Kosovës (ASK), BPV-ja reale gjatë vitit 2019 është rritur për 4.94% krahasuar me vitin paraprak.</w:t>
      </w:r>
    </w:p>
    <w:p w14:paraId="44A96944" w14:textId="77777777" w:rsidR="00EA106B" w:rsidRPr="004E5A6E" w:rsidRDefault="00EA106B" w:rsidP="00EA106B">
      <w:pPr>
        <w:spacing w:before="240" w:after="120" w:line="276" w:lineRule="auto"/>
        <w:jc w:val="both"/>
        <w:rPr>
          <w:color w:val="auto"/>
          <w:lang w:val="sq-AL"/>
        </w:rPr>
      </w:pPr>
      <w:r w:rsidRPr="004E5A6E">
        <w:rPr>
          <w:color w:val="auto"/>
          <w:lang w:val="sq-AL"/>
        </w:rPr>
        <w:t>Sipas botimeve më të fundit të llogarive kombëtare të ASK-së, Prodhimi i Brendshëm Bruto për tremujorin e parë të vitit 2020 shënoi një rritje reale vjetore prej 1.29% ndërsa në tremujorin e dytë BPV-ja ka shënuar një rënie reale prej 9.3%. Si rezultat, BPV-të reale në gjashtë muajt e parë të vitit 2020 shënuan një rënie mesatare prej 4.64%. Rritja e ngadaltë në tremujorin e parë ishte pjesërisht për shkak të ngërçit politik që karakterizoi ekonominë e Kosovës në fillim të vitit e cila u reflektua në dinamikën e ngadaltë të investimeve kapitale. Dhe kryesisht për shkak të fillimit të zbatimit të masave të kontrollit ndaj COVID-19 dhe efektit negativ që mjedisi i jashtëm ekonomik ka pasur në ekonominë e Kosovës përmes kanaleve tregtare, remitancave ose investimeve të huaja direkte. Në të kundërtën, rënia ekonomike në tremujorin e dytë pritej për shkak të masave kufizuese që çuan në mbylljen e shumë aktiviteteve ekonomike. Sidoqoftë, magnituta e kësaj rënie ishte më e mirë se sa pritej dhe kryesisht për shkak të një performance pozitive të konsumit privat.</w:t>
      </w:r>
    </w:p>
    <w:tbl>
      <w:tblPr>
        <w:tblStyle w:val="TableGrid"/>
        <w:tblW w:w="0" w:type="auto"/>
        <w:shd w:val="clear" w:color="auto" w:fill="DEEAF6" w:themeFill="accent1" w:themeFillTint="33"/>
        <w:tblLook w:val="04A0" w:firstRow="1" w:lastRow="0" w:firstColumn="1" w:lastColumn="0" w:noHBand="0" w:noVBand="1"/>
      </w:tblPr>
      <w:tblGrid>
        <w:gridCol w:w="8614"/>
      </w:tblGrid>
      <w:tr w:rsidR="00EA106B" w:rsidRPr="004E5A6E" w14:paraId="309038A7" w14:textId="77777777" w:rsidTr="00D6295F">
        <w:trPr>
          <w:trHeight w:val="333"/>
        </w:trPr>
        <w:tc>
          <w:tcPr>
            <w:tcW w:w="8998" w:type="dxa"/>
            <w:shd w:val="clear" w:color="auto" w:fill="DEEAF6" w:themeFill="accent1" w:themeFillTint="33"/>
          </w:tcPr>
          <w:p w14:paraId="32382FD8" w14:textId="77777777" w:rsidR="00EA106B" w:rsidRPr="004E5A6E" w:rsidRDefault="00EA106B" w:rsidP="00D6295F">
            <w:pPr>
              <w:rPr>
                <w:b/>
                <w:color w:val="auto"/>
                <w:lang w:val="sq-AL"/>
              </w:rPr>
            </w:pPr>
            <w:r w:rsidRPr="004E5A6E">
              <w:rPr>
                <w:b/>
                <w:color w:val="auto"/>
                <w:lang w:val="sq-AL"/>
              </w:rPr>
              <w:t>Kutia e informacionit 1: Mospërputhja e të dhënave statistikore midis llogarive kombëtare të ASK-së dhe Bilancit të Pagesave të BQK-së.</w:t>
            </w:r>
          </w:p>
        </w:tc>
      </w:tr>
      <w:tr w:rsidR="00EA106B" w:rsidRPr="004E5A6E" w14:paraId="2E221140" w14:textId="77777777" w:rsidTr="00D6295F">
        <w:trPr>
          <w:trHeight w:val="3669"/>
        </w:trPr>
        <w:tc>
          <w:tcPr>
            <w:tcW w:w="8998" w:type="dxa"/>
            <w:shd w:val="clear" w:color="auto" w:fill="DEEAF6" w:themeFill="accent1" w:themeFillTint="33"/>
          </w:tcPr>
          <w:p w14:paraId="27DA2793" w14:textId="77777777" w:rsidR="00EA106B" w:rsidRPr="004E5A6E" w:rsidRDefault="00EA106B" w:rsidP="00D6295F">
            <w:pPr>
              <w:rPr>
                <w:b/>
                <w:color w:val="auto"/>
                <w:lang w:val="sq-AL"/>
              </w:rPr>
            </w:pPr>
          </w:p>
          <w:p w14:paraId="772D021F" w14:textId="77777777" w:rsidR="00EA106B" w:rsidRPr="004E5A6E" w:rsidRDefault="00EA106B" w:rsidP="00D6295F">
            <w:pPr>
              <w:jc w:val="both"/>
              <w:rPr>
                <w:color w:val="auto"/>
                <w:lang w:val="sq-AL"/>
              </w:rPr>
            </w:pPr>
            <w:r w:rsidRPr="004E5A6E">
              <w:rPr>
                <w:color w:val="auto"/>
                <w:lang w:val="sq-AL"/>
              </w:rPr>
              <w:t>ASK-ja ka publikuar Raportin Vjetor të Llogarive Kombëtare për vitin 2019 në Shtator 2020. Sipas këtij raporti, BPV-ja nominale ka shënuar një rritje vjetore prej 5.9% dhe një rritje reale prej 4.9%. Sidoqoftë, të dhënat vjetore në këtë raport nuk pasqyrojnë të dhënat e tregtisë së shërbimeve për vitin 2018 të publikuara në serinë kohore të bilancit të pagesave nga BQK-ja. Kjo mospërputhje mund të nënkuptojë që BPV-ja nominale e publikuar nga ASK-ja për vitin 2018 është më e ulët se sa ishte në të vërtetë dhe më e lartë në vitin 2019.</w:t>
            </w:r>
          </w:p>
          <w:p w14:paraId="14B769A8" w14:textId="77777777" w:rsidR="00EA106B" w:rsidRPr="004E5A6E" w:rsidRDefault="00EA106B" w:rsidP="00D6295F">
            <w:pPr>
              <w:jc w:val="both"/>
              <w:rPr>
                <w:color w:val="auto"/>
                <w:lang w:val="sq-AL"/>
              </w:rPr>
            </w:pPr>
          </w:p>
          <w:p w14:paraId="5B5D1863" w14:textId="77777777" w:rsidR="00EA106B" w:rsidRPr="004E5A6E" w:rsidRDefault="00EA106B" w:rsidP="00D6295F">
            <w:pPr>
              <w:jc w:val="both"/>
              <w:rPr>
                <w:color w:val="auto"/>
                <w:lang w:val="sq-AL"/>
              </w:rPr>
            </w:pPr>
            <w:r w:rsidRPr="004E5A6E">
              <w:rPr>
                <w:color w:val="auto"/>
                <w:lang w:val="sq-AL"/>
              </w:rPr>
              <w:t>Në të njëjtën kohë, ASK-ja ka publikuar të dhëna tremujore për BPV në TM2 të vitit 2020 duke vlerësuar një rënie reale prej 9.3%. Sidoqoftë, BPV-ja tremujore në vitin 2019 nuk është rishikuar ende në mënyrë që të pasqyrojë të dhënat vjetore. Sipas të dhënave tremujore në vitin 2019, BPV-ja reale është rreth 4.4%, ndërsa sipas të dhënave vjetore, BPV-ja reale luhatet rreth 4.9%.</w:t>
            </w:r>
          </w:p>
          <w:p w14:paraId="1D7D7D50" w14:textId="77777777" w:rsidR="00EA106B" w:rsidRPr="004E5A6E" w:rsidRDefault="00EA106B" w:rsidP="00D6295F">
            <w:pPr>
              <w:jc w:val="both"/>
              <w:rPr>
                <w:color w:val="auto"/>
                <w:lang w:val="sq-AL"/>
              </w:rPr>
            </w:pPr>
          </w:p>
          <w:p w14:paraId="723D1663" w14:textId="77777777" w:rsidR="00EA106B" w:rsidRPr="004E5A6E" w:rsidRDefault="00EA106B" w:rsidP="00D6295F">
            <w:pPr>
              <w:jc w:val="both"/>
              <w:rPr>
                <w:color w:val="auto"/>
                <w:lang w:val="sq-AL"/>
              </w:rPr>
            </w:pPr>
            <w:r w:rsidRPr="004E5A6E">
              <w:rPr>
                <w:color w:val="auto"/>
                <w:lang w:val="sq-AL"/>
              </w:rPr>
              <w:t>Këto mospërputhje midis dy institucioneve (përpiluesit e statistikave) krijojnë vështirësi në procesin e hartimit të projeksioneve sepse ka paqartësi në lidhje me bazën e të dhënave që do të përdoret për vitin 2019 dhe 2020 si pikë fillestare për projeksionet e viteve pasuese. Duke marrë parasysh që modeli makro-fiskal i përdorur nga MF-ja është në baza vjetore, për vitin 2019 janë përdorur të dhënat vjetore të llogarive kombëtare nga ASK-ja.</w:t>
            </w:r>
          </w:p>
          <w:p w14:paraId="2C90DA3D" w14:textId="77777777" w:rsidR="00EA106B" w:rsidRPr="004E5A6E" w:rsidRDefault="00EA106B" w:rsidP="00D6295F">
            <w:pPr>
              <w:rPr>
                <w:b/>
                <w:color w:val="auto"/>
                <w:lang w:val="sq-AL"/>
              </w:rPr>
            </w:pPr>
          </w:p>
          <w:p w14:paraId="4C111CD1" w14:textId="77777777" w:rsidR="00EA106B" w:rsidRPr="004E5A6E" w:rsidRDefault="00EA106B" w:rsidP="00D6295F">
            <w:pPr>
              <w:rPr>
                <w:b/>
                <w:color w:val="auto"/>
                <w:sz w:val="22"/>
                <w:lang w:val="sq-AL"/>
              </w:rPr>
            </w:pPr>
            <w:r w:rsidRPr="004E5A6E">
              <w:rPr>
                <w:b/>
                <w:color w:val="auto"/>
                <w:lang w:val="sq-AL"/>
              </w:rPr>
              <w:t xml:space="preserve">  </w:t>
            </w:r>
            <w:r w:rsidRPr="004E5A6E">
              <w:rPr>
                <w:b/>
                <w:color w:val="auto"/>
                <w:sz w:val="22"/>
                <w:lang w:val="sq-AL"/>
              </w:rPr>
              <w:t xml:space="preserve">Tabela 1. </w:t>
            </w:r>
            <w:r w:rsidRPr="004E5A6E">
              <w:rPr>
                <w:color w:val="auto"/>
                <w:sz w:val="22"/>
                <w:lang w:val="sq-AL"/>
              </w:rPr>
              <w:t>Mospërputhjet statistikore, milion Euro</w:t>
            </w:r>
          </w:p>
          <w:tbl>
            <w:tblPr>
              <w:tblStyle w:val="TableGrid"/>
              <w:tblW w:w="0" w:type="auto"/>
              <w:tblInd w:w="157" w:type="dxa"/>
              <w:tblLook w:val="04A0" w:firstRow="1" w:lastRow="0" w:firstColumn="1" w:lastColumn="0" w:noHBand="0" w:noVBand="1"/>
            </w:tblPr>
            <w:tblGrid>
              <w:gridCol w:w="2839"/>
              <w:gridCol w:w="1603"/>
              <w:gridCol w:w="1467"/>
              <w:gridCol w:w="2322"/>
            </w:tblGrid>
            <w:tr w:rsidR="00EA106B" w:rsidRPr="004E5A6E" w14:paraId="22427CF5" w14:textId="77777777" w:rsidTr="00D6295F">
              <w:trPr>
                <w:trHeight w:val="247"/>
              </w:trPr>
              <w:tc>
                <w:tcPr>
                  <w:tcW w:w="3060" w:type="dxa"/>
                  <w:vAlign w:val="center"/>
                </w:tcPr>
                <w:p w14:paraId="478B62C7" w14:textId="77777777" w:rsidR="00EA106B" w:rsidRPr="004E5A6E" w:rsidRDefault="00EA106B" w:rsidP="00D6295F">
                  <w:pPr>
                    <w:rPr>
                      <w:rFonts w:eastAsia="MS Mincho"/>
                      <w:color w:val="auto"/>
                      <w:sz w:val="22"/>
                      <w:lang w:val="sq-AL" w:eastAsia="en-GB"/>
                    </w:rPr>
                  </w:pPr>
                  <w:r w:rsidRPr="004E5A6E">
                    <w:rPr>
                      <w:color w:val="auto"/>
                      <w:sz w:val="22"/>
                      <w:lang w:val="sq-AL"/>
                    </w:rPr>
                    <w:t>milion Euro</w:t>
                  </w:r>
                </w:p>
              </w:tc>
              <w:tc>
                <w:tcPr>
                  <w:tcW w:w="1710" w:type="dxa"/>
                </w:tcPr>
                <w:p w14:paraId="495958DD" w14:textId="77777777" w:rsidR="00EA106B" w:rsidRPr="004E5A6E" w:rsidRDefault="00EA106B" w:rsidP="00D6295F">
                  <w:pPr>
                    <w:jc w:val="center"/>
                    <w:rPr>
                      <w:rFonts w:eastAsia="MS Mincho"/>
                      <w:b/>
                      <w:color w:val="auto"/>
                      <w:sz w:val="22"/>
                      <w:lang w:val="sq-AL" w:eastAsia="en-GB"/>
                    </w:rPr>
                  </w:pPr>
                  <w:r w:rsidRPr="004E5A6E">
                    <w:rPr>
                      <w:rFonts w:eastAsia="MS Mincho"/>
                      <w:b/>
                      <w:color w:val="auto"/>
                      <w:sz w:val="22"/>
                      <w:lang w:val="sq-AL" w:eastAsia="en-GB"/>
                    </w:rPr>
                    <w:t>ASK 2018</w:t>
                  </w:r>
                </w:p>
              </w:tc>
              <w:tc>
                <w:tcPr>
                  <w:tcW w:w="1554" w:type="dxa"/>
                </w:tcPr>
                <w:p w14:paraId="03B2F7B2" w14:textId="77777777" w:rsidR="00EA106B" w:rsidRPr="004E5A6E" w:rsidRDefault="00EA106B" w:rsidP="00D6295F">
                  <w:pPr>
                    <w:jc w:val="center"/>
                    <w:rPr>
                      <w:rFonts w:eastAsia="MS Mincho"/>
                      <w:b/>
                      <w:color w:val="auto"/>
                      <w:sz w:val="22"/>
                      <w:lang w:val="sq-AL" w:eastAsia="en-GB"/>
                    </w:rPr>
                  </w:pPr>
                  <w:r w:rsidRPr="004E5A6E">
                    <w:rPr>
                      <w:rFonts w:eastAsia="MS Mincho"/>
                      <w:b/>
                      <w:color w:val="auto"/>
                      <w:sz w:val="22"/>
                      <w:lang w:val="sq-AL" w:eastAsia="en-GB"/>
                    </w:rPr>
                    <w:t>BQK 2018</w:t>
                  </w:r>
                </w:p>
              </w:tc>
              <w:tc>
                <w:tcPr>
                  <w:tcW w:w="2496" w:type="dxa"/>
                </w:tcPr>
                <w:p w14:paraId="03D5203D" w14:textId="77777777" w:rsidR="00EA106B" w:rsidRPr="004E5A6E" w:rsidRDefault="00EA106B" w:rsidP="00D6295F">
                  <w:pPr>
                    <w:jc w:val="center"/>
                    <w:rPr>
                      <w:rFonts w:eastAsia="MS Mincho"/>
                      <w:b/>
                      <w:color w:val="auto"/>
                      <w:sz w:val="22"/>
                      <w:lang w:val="sq-AL" w:eastAsia="en-GB"/>
                    </w:rPr>
                  </w:pPr>
                  <w:r w:rsidRPr="004E5A6E">
                    <w:rPr>
                      <w:rFonts w:eastAsia="MS Mincho"/>
                      <w:b/>
                      <w:color w:val="auto"/>
                      <w:sz w:val="22"/>
                      <w:lang w:val="sq-AL" w:eastAsia="en-GB"/>
                    </w:rPr>
                    <w:t xml:space="preserve">Diferenca </w:t>
                  </w:r>
                </w:p>
              </w:tc>
            </w:tr>
            <w:tr w:rsidR="00EA106B" w:rsidRPr="004E5A6E" w14:paraId="2CE6F944" w14:textId="77777777" w:rsidTr="00D6295F">
              <w:trPr>
                <w:trHeight w:val="247"/>
              </w:trPr>
              <w:tc>
                <w:tcPr>
                  <w:tcW w:w="3060" w:type="dxa"/>
                  <w:vAlign w:val="center"/>
                </w:tcPr>
                <w:p w14:paraId="6BC090B4" w14:textId="77777777" w:rsidR="00EA106B" w:rsidRPr="004E5A6E" w:rsidRDefault="00EA106B" w:rsidP="00D6295F">
                  <w:pPr>
                    <w:rPr>
                      <w:rFonts w:eastAsia="MS Mincho"/>
                      <w:b/>
                      <w:color w:val="auto"/>
                      <w:sz w:val="22"/>
                      <w:lang w:val="sq-AL" w:eastAsia="en-GB"/>
                    </w:rPr>
                  </w:pPr>
                  <w:r w:rsidRPr="004E5A6E">
                    <w:rPr>
                      <w:rFonts w:eastAsia="MS Mincho"/>
                      <w:b/>
                      <w:color w:val="auto"/>
                      <w:sz w:val="22"/>
                      <w:lang w:val="sq-AL" w:eastAsia="en-GB"/>
                    </w:rPr>
                    <w:t>Eksporti i Shërbimeve</w:t>
                  </w:r>
                </w:p>
              </w:tc>
              <w:tc>
                <w:tcPr>
                  <w:tcW w:w="1710" w:type="dxa"/>
                </w:tcPr>
                <w:p w14:paraId="557C3117" w14:textId="77777777" w:rsidR="00EA106B" w:rsidRPr="004E5A6E" w:rsidRDefault="00EA106B" w:rsidP="00D6295F">
                  <w:pPr>
                    <w:jc w:val="center"/>
                    <w:rPr>
                      <w:rFonts w:eastAsia="MS Mincho"/>
                      <w:color w:val="auto"/>
                      <w:sz w:val="22"/>
                      <w:lang w:val="sq-AL" w:eastAsia="en-GB"/>
                    </w:rPr>
                  </w:pPr>
                  <w:r w:rsidRPr="004E5A6E">
                    <w:rPr>
                      <w:color w:val="auto"/>
                      <w:sz w:val="22"/>
                      <w:lang w:val="sq-AL"/>
                    </w:rPr>
                    <w:t>1,401.9</w:t>
                  </w:r>
                </w:p>
              </w:tc>
              <w:tc>
                <w:tcPr>
                  <w:tcW w:w="1554" w:type="dxa"/>
                  <w:vAlign w:val="center"/>
                </w:tcPr>
                <w:p w14:paraId="1874282F" w14:textId="77777777" w:rsidR="00EA106B" w:rsidRPr="004E5A6E" w:rsidRDefault="00EA106B" w:rsidP="00D6295F">
                  <w:pPr>
                    <w:jc w:val="center"/>
                    <w:rPr>
                      <w:rFonts w:eastAsia="MS Mincho"/>
                      <w:color w:val="auto"/>
                      <w:sz w:val="22"/>
                      <w:lang w:val="sq-AL" w:eastAsia="en-GB"/>
                    </w:rPr>
                  </w:pPr>
                  <w:r w:rsidRPr="004E5A6E">
                    <w:rPr>
                      <w:color w:val="auto"/>
                      <w:sz w:val="22"/>
                      <w:lang w:val="sq-AL"/>
                    </w:rPr>
                    <w:t>1,561.6</w:t>
                  </w:r>
                </w:p>
              </w:tc>
              <w:tc>
                <w:tcPr>
                  <w:tcW w:w="2496" w:type="dxa"/>
                  <w:vAlign w:val="center"/>
                </w:tcPr>
                <w:p w14:paraId="3B364AF9" w14:textId="77777777" w:rsidR="00EA106B" w:rsidRPr="004E5A6E" w:rsidRDefault="00EA106B" w:rsidP="00D6295F">
                  <w:pPr>
                    <w:jc w:val="center"/>
                    <w:rPr>
                      <w:rFonts w:eastAsia="MS Mincho"/>
                      <w:color w:val="auto"/>
                      <w:sz w:val="22"/>
                      <w:lang w:val="sq-AL" w:eastAsia="en-GB"/>
                    </w:rPr>
                  </w:pPr>
                  <w:r w:rsidRPr="004E5A6E">
                    <w:rPr>
                      <w:rFonts w:eastAsia="MS Mincho"/>
                      <w:color w:val="auto"/>
                      <w:sz w:val="22"/>
                      <w:lang w:val="sq-AL" w:eastAsia="en-GB"/>
                    </w:rPr>
                    <w:t>159.70</w:t>
                  </w:r>
                </w:p>
              </w:tc>
            </w:tr>
            <w:tr w:rsidR="00EA106B" w:rsidRPr="004E5A6E" w14:paraId="6E7BC520" w14:textId="77777777" w:rsidTr="00D6295F">
              <w:trPr>
                <w:trHeight w:val="116"/>
              </w:trPr>
              <w:tc>
                <w:tcPr>
                  <w:tcW w:w="3060" w:type="dxa"/>
                  <w:vAlign w:val="center"/>
                </w:tcPr>
                <w:p w14:paraId="33F57222" w14:textId="77777777" w:rsidR="00EA106B" w:rsidRPr="004E5A6E" w:rsidRDefault="00EA106B" w:rsidP="00D6295F">
                  <w:pPr>
                    <w:rPr>
                      <w:rFonts w:eastAsia="MS Mincho"/>
                      <w:b/>
                      <w:color w:val="auto"/>
                      <w:sz w:val="22"/>
                      <w:lang w:val="sq-AL" w:eastAsia="en-GB"/>
                    </w:rPr>
                  </w:pPr>
                  <w:r w:rsidRPr="004E5A6E">
                    <w:rPr>
                      <w:rFonts w:eastAsia="MS Mincho"/>
                      <w:b/>
                      <w:color w:val="auto"/>
                      <w:sz w:val="22"/>
                      <w:lang w:val="sq-AL" w:eastAsia="en-GB"/>
                    </w:rPr>
                    <w:t>Importi i Shërbimeve</w:t>
                  </w:r>
                </w:p>
              </w:tc>
              <w:tc>
                <w:tcPr>
                  <w:tcW w:w="1710" w:type="dxa"/>
                </w:tcPr>
                <w:p w14:paraId="6A284051" w14:textId="77777777" w:rsidR="00EA106B" w:rsidRPr="004E5A6E" w:rsidRDefault="00EA106B" w:rsidP="00D6295F">
                  <w:pPr>
                    <w:jc w:val="center"/>
                    <w:rPr>
                      <w:rFonts w:eastAsia="MS Mincho"/>
                      <w:color w:val="auto"/>
                      <w:sz w:val="22"/>
                      <w:lang w:val="sq-AL" w:eastAsia="en-GB"/>
                    </w:rPr>
                  </w:pPr>
                  <w:r w:rsidRPr="004E5A6E">
                    <w:rPr>
                      <w:color w:val="auto"/>
                      <w:sz w:val="22"/>
                      <w:lang w:val="sq-AL"/>
                    </w:rPr>
                    <w:t>631.3</w:t>
                  </w:r>
                </w:p>
              </w:tc>
              <w:tc>
                <w:tcPr>
                  <w:tcW w:w="1554" w:type="dxa"/>
                  <w:vAlign w:val="center"/>
                </w:tcPr>
                <w:p w14:paraId="25384595" w14:textId="77777777" w:rsidR="00EA106B" w:rsidRPr="004E5A6E" w:rsidRDefault="00EA106B" w:rsidP="00D6295F">
                  <w:pPr>
                    <w:jc w:val="center"/>
                    <w:rPr>
                      <w:rFonts w:eastAsia="MS Mincho"/>
                      <w:color w:val="auto"/>
                      <w:sz w:val="22"/>
                      <w:lang w:val="sq-AL" w:eastAsia="en-GB"/>
                    </w:rPr>
                  </w:pPr>
                  <w:r w:rsidRPr="004E5A6E">
                    <w:rPr>
                      <w:color w:val="auto"/>
                      <w:sz w:val="22"/>
                      <w:lang w:val="sq-AL"/>
                    </w:rPr>
                    <w:t>705.8</w:t>
                  </w:r>
                </w:p>
              </w:tc>
              <w:tc>
                <w:tcPr>
                  <w:tcW w:w="2496" w:type="dxa"/>
                  <w:vAlign w:val="center"/>
                </w:tcPr>
                <w:p w14:paraId="7AD23D04" w14:textId="77777777" w:rsidR="00EA106B" w:rsidRPr="004E5A6E" w:rsidRDefault="00EA106B" w:rsidP="00D6295F">
                  <w:pPr>
                    <w:jc w:val="center"/>
                    <w:rPr>
                      <w:rFonts w:eastAsia="MS Mincho"/>
                      <w:color w:val="auto"/>
                      <w:sz w:val="22"/>
                      <w:lang w:val="sq-AL" w:eastAsia="en-GB"/>
                    </w:rPr>
                  </w:pPr>
                  <w:r w:rsidRPr="004E5A6E">
                    <w:rPr>
                      <w:color w:val="auto"/>
                      <w:sz w:val="22"/>
                      <w:lang w:val="sq-AL"/>
                    </w:rPr>
                    <w:t>74.50</w:t>
                  </w:r>
                </w:p>
              </w:tc>
            </w:tr>
          </w:tbl>
          <w:p w14:paraId="1D465470" w14:textId="77777777" w:rsidR="00EA106B" w:rsidRPr="004E5A6E" w:rsidRDefault="00EA106B" w:rsidP="00D6295F">
            <w:pPr>
              <w:jc w:val="both"/>
              <w:rPr>
                <w:color w:val="auto"/>
                <w:lang w:val="sq-AL"/>
              </w:rPr>
            </w:pPr>
          </w:p>
        </w:tc>
      </w:tr>
    </w:tbl>
    <w:p w14:paraId="6BFC7F71" w14:textId="77777777" w:rsidR="00EA106B" w:rsidRPr="004E5A6E" w:rsidRDefault="00EA106B" w:rsidP="00EA106B">
      <w:pPr>
        <w:spacing w:line="276" w:lineRule="auto"/>
        <w:jc w:val="both"/>
        <w:rPr>
          <w:color w:val="auto"/>
          <w:lang w:val="sq-AL"/>
        </w:rPr>
      </w:pPr>
    </w:p>
    <w:p w14:paraId="50B1FEEC" w14:textId="77777777" w:rsidR="00EA106B" w:rsidRPr="004E5A6E" w:rsidRDefault="00EA106B" w:rsidP="00EA106B">
      <w:pPr>
        <w:spacing w:line="276" w:lineRule="auto"/>
        <w:jc w:val="both"/>
        <w:rPr>
          <w:color w:val="auto"/>
          <w:lang w:val="sq-AL"/>
        </w:rPr>
      </w:pPr>
      <w:r w:rsidRPr="004E5A6E">
        <w:rPr>
          <w:color w:val="auto"/>
          <w:lang w:val="sq-AL"/>
        </w:rPr>
        <w:t xml:space="preserve">Sipas të dhënave paraprake për gjysmën e parë të vitit 2020, </w:t>
      </w:r>
      <w:r w:rsidRPr="004E5A6E">
        <w:rPr>
          <w:b/>
          <w:color w:val="auto"/>
          <w:lang w:val="sq-AL"/>
        </w:rPr>
        <w:t xml:space="preserve">konsumi total </w:t>
      </w:r>
      <w:r w:rsidRPr="004E5A6E">
        <w:rPr>
          <w:color w:val="auto"/>
          <w:lang w:val="sq-AL"/>
        </w:rPr>
        <w:t xml:space="preserve">vlerësohet të jetë rritur me 4.2% në terma realë, si rezultat i konsumit më të lartë privat dhe konsumit publik. Rritja e konsumit privat pasqyron rritjen e flukseve hyrëse nga kompensimi i punonjësve (të ardhurat primare) me 9.0% (nga 7.7% në të njëjtën periudhë 2019) dhe në remitancat me 7.2% (nga 5.4% në të njëjtën periudhë në 2019). Ndërsa rritja e konsumit publik erdhi kryesisht nga shpenzimet si pjesë e paketës fiskale. </w:t>
      </w:r>
      <w:r w:rsidRPr="004E5A6E">
        <w:rPr>
          <w:b/>
          <w:color w:val="auto"/>
          <w:lang w:val="sq-AL"/>
        </w:rPr>
        <w:t xml:space="preserve">Investimet </w:t>
      </w:r>
      <w:r w:rsidRPr="004E5A6E">
        <w:rPr>
          <w:color w:val="auto"/>
          <w:lang w:val="sq-AL"/>
        </w:rPr>
        <w:t>gjatë këtyre dy tremujorëve të parë të vitit 2020 kanë rënë me 28.3% në terma realë. Kjo rënie mbështetet nga rënia e investimeve për shkak të ngërçit politik në fillim të vitit dhe pasigurisë në rritje në vend pas masave kufizuese për të parandaluar përhapjen e COVID-19. Këta faktorë luajtën një rol kryesor në uljen e investimeve totale, veçanërisht investimeve private. Si rezultat, tremujori i dytë kishte një rënie më të theksuar prej rreth 41.1% duke reflektuar masa kufizuese, të cilat kufizuan aktivitetin ekonomik në shumë sektorë..</w:t>
      </w:r>
    </w:p>
    <w:p w14:paraId="578D7ABA" w14:textId="77777777" w:rsidR="00EA106B" w:rsidRPr="004E5A6E" w:rsidRDefault="00EA106B" w:rsidP="00EA106B">
      <w:pPr>
        <w:spacing w:line="276" w:lineRule="auto"/>
        <w:jc w:val="both"/>
        <w:rPr>
          <w:color w:val="auto"/>
          <w:lang w:val="sq-AL"/>
        </w:rPr>
      </w:pPr>
    </w:p>
    <w:p w14:paraId="69AA06FD" w14:textId="77777777" w:rsidR="00EA106B" w:rsidRPr="004E5A6E" w:rsidRDefault="00EA106B" w:rsidP="00EA106B">
      <w:pPr>
        <w:spacing w:line="276" w:lineRule="auto"/>
        <w:jc w:val="both"/>
        <w:rPr>
          <w:color w:val="auto"/>
          <w:lang w:val="sq-AL"/>
        </w:rPr>
      </w:pPr>
      <w:r w:rsidRPr="004E5A6E">
        <w:rPr>
          <w:b/>
          <w:color w:val="auto"/>
          <w:lang w:val="sq-AL"/>
        </w:rPr>
        <w:t xml:space="preserve">Eksporti i mallrave dhe shërbimeve </w:t>
      </w:r>
      <w:r w:rsidRPr="004E5A6E">
        <w:rPr>
          <w:color w:val="auto"/>
          <w:lang w:val="sq-AL"/>
        </w:rPr>
        <w:t xml:space="preserve">gjatë këtyre dy tremujorëve të vitit 2020 kishte një rënie vjetore reale prej rreth 21% si rezultat i rënies më të madhe të eksporteve të shërbimeve pavarësisht nga një rritje e kënaqshme e eksporteve të mallrave me rreth 17.9%. </w:t>
      </w:r>
      <w:r w:rsidRPr="004E5A6E">
        <w:rPr>
          <w:b/>
          <w:color w:val="auto"/>
          <w:lang w:val="sq-AL"/>
        </w:rPr>
        <w:t xml:space="preserve">Importi i mallrave dhe shërbimeve </w:t>
      </w:r>
      <w:r w:rsidRPr="004E5A6E">
        <w:rPr>
          <w:color w:val="auto"/>
          <w:lang w:val="sq-AL"/>
        </w:rPr>
        <w:t>u ul me 8.76% (vit pas viti), e cila ishte më e theksuar në tremujorin e dytë të vitit 2020, kur u prezantuan masat kufizuese.</w:t>
      </w:r>
    </w:p>
    <w:p w14:paraId="3ADAF472" w14:textId="77777777" w:rsidR="00EA106B" w:rsidRPr="004E5A6E" w:rsidRDefault="00EA106B" w:rsidP="00EA106B">
      <w:pPr>
        <w:widowControl w:val="0"/>
        <w:shd w:val="clear" w:color="auto" w:fill="FFFFFF"/>
        <w:spacing w:before="240" w:after="120" w:line="276" w:lineRule="auto"/>
        <w:jc w:val="both"/>
        <w:rPr>
          <w:color w:val="auto"/>
          <w:highlight w:val="yellow"/>
          <w:lang w:val="sq-AL"/>
        </w:rPr>
      </w:pPr>
      <w:r w:rsidRPr="004E5A6E">
        <w:rPr>
          <w:color w:val="auto"/>
          <w:lang w:val="sq-AL"/>
        </w:rPr>
        <w:t>Në mungesë të të dhënave zyrtare në lidhje me llogaritë kombëtare, treguesit indirekt të disponueshëm për aktivitetin ekonomik në tremujorin e tretë të vitit 2020 sugjerojnë që aktiviteti ekonomik do të vazhdojë të operojë në një territor negativ, por në përmasa më të ulëta se në TM2. Importi dhe eksporti total vazhduan të përkeqësohen edhe në tremujorin e tretë dhe duke pasur parasysh kulmin e sezonalitetit gjatë këtij tremujori, kontributi i tyre negativ në BPV pritet të jetë edhe më i lartë se në TM2. Të dhënat që janë në dispozicion për tremujorin e fundit (TM4 i vitit 2020) janë shumë të kufizuara dhe mbulojnë vetëm një muaj (tetorin). Ato sugjerojnë një përmirësim të aktivitetit ekonomik në TM4, por sidoqoftë ringjallja e fundit në infeksione dhe rivendosja e pjesshme e masave kufizuese përfaqësojnë potencialin për përkeqësimin e mëtejshëm të aktivitetit</w:t>
      </w:r>
      <w:r w:rsidRPr="004E5A6E">
        <w:rPr>
          <w:rFonts w:ascii="Calibri" w:hAnsi="Calibri" w:cs="Calibri"/>
          <w:shd w:val="clear" w:color="auto" w:fill="FFFFFF"/>
          <w:lang w:val="sq-AL"/>
        </w:rPr>
        <w:t>.</w:t>
      </w:r>
    </w:p>
    <w:p w14:paraId="723DE179" w14:textId="595960D0" w:rsidR="00EE37A9" w:rsidRPr="004E5A6E" w:rsidRDefault="00EE37A9" w:rsidP="00EE37A9">
      <w:pPr>
        <w:pStyle w:val="Caption"/>
        <w:keepNext/>
        <w:spacing w:before="120" w:after="0" w:line="276" w:lineRule="auto"/>
        <w:jc w:val="both"/>
        <w:rPr>
          <w:rFonts w:ascii="Times New Roman" w:hAnsi="Times New Roman"/>
          <w:b/>
          <w:i w:val="0"/>
          <w:color w:val="auto"/>
          <w:lang w:val="sq-AL"/>
        </w:rPr>
      </w:pPr>
      <w:r w:rsidRPr="004E5A6E">
        <w:rPr>
          <w:rFonts w:ascii="Times New Roman" w:hAnsi="Times New Roman"/>
          <w:b/>
          <w:i w:val="0"/>
          <w:color w:val="auto"/>
          <w:lang w:val="sq-AL"/>
        </w:rPr>
        <w:t xml:space="preserve">Tabela </w:t>
      </w:r>
      <w:r w:rsidRPr="004E5A6E">
        <w:rPr>
          <w:rFonts w:ascii="Times New Roman" w:hAnsi="Times New Roman"/>
          <w:b/>
          <w:i w:val="0"/>
          <w:color w:val="auto"/>
          <w:lang w:val="sq-AL"/>
        </w:rPr>
        <w:fldChar w:fldCharType="begin"/>
      </w:r>
      <w:r w:rsidRPr="004E5A6E">
        <w:rPr>
          <w:rFonts w:ascii="Times New Roman" w:hAnsi="Times New Roman"/>
          <w:b/>
          <w:i w:val="0"/>
          <w:color w:val="auto"/>
          <w:lang w:val="sq-AL"/>
        </w:rPr>
        <w:instrText xml:space="preserve"> SEQ Tabela \* ARABIC </w:instrText>
      </w:r>
      <w:r w:rsidRPr="004E5A6E">
        <w:rPr>
          <w:rFonts w:ascii="Times New Roman" w:hAnsi="Times New Roman"/>
          <w:b/>
          <w:i w:val="0"/>
          <w:color w:val="auto"/>
          <w:lang w:val="sq-AL"/>
        </w:rPr>
        <w:fldChar w:fldCharType="separate"/>
      </w:r>
      <w:r w:rsidR="00E738B7" w:rsidRPr="004E5A6E">
        <w:rPr>
          <w:rFonts w:ascii="Times New Roman" w:hAnsi="Times New Roman"/>
          <w:b/>
          <w:i w:val="0"/>
          <w:noProof/>
          <w:color w:val="auto"/>
          <w:lang w:val="sq-AL"/>
        </w:rPr>
        <w:t>2</w:t>
      </w:r>
      <w:r w:rsidRPr="004E5A6E">
        <w:rPr>
          <w:rFonts w:ascii="Times New Roman" w:hAnsi="Times New Roman"/>
          <w:b/>
          <w:i w:val="0"/>
          <w:color w:val="auto"/>
          <w:lang w:val="sq-AL"/>
        </w:rPr>
        <w:fldChar w:fldCharType="end"/>
      </w:r>
      <w:r w:rsidRPr="004E5A6E">
        <w:rPr>
          <w:rFonts w:ascii="Times New Roman" w:hAnsi="Times New Roman"/>
          <w:b/>
          <w:i w:val="0"/>
          <w:color w:val="auto"/>
          <w:lang w:val="sq-AL"/>
        </w:rPr>
        <w:t xml:space="preserve"> Treguesit paraprijës dhe të rastësisë për përbërësit e kërkesës agregate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1853"/>
        <w:gridCol w:w="268"/>
        <w:gridCol w:w="1687"/>
        <w:gridCol w:w="1027"/>
        <w:gridCol w:w="825"/>
        <w:gridCol w:w="760"/>
        <w:gridCol w:w="760"/>
        <w:gridCol w:w="312"/>
        <w:gridCol w:w="581"/>
        <w:gridCol w:w="541"/>
      </w:tblGrid>
      <w:tr w:rsidR="008E7336" w:rsidRPr="004E5A6E" w14:paraId="50FA5952" w14:textId="77777777" w:rsidTr="00EE37A9">
        <w:trPr>
          <w:trHeight w:hRule="exact" w:val="537"/>
        </w:trPr>
        <w:tc>
          <w:tcPr>
            <w:tcW w:w="1076" w:type="pct"/>
            <w:shd w:val="clear" w:color="auto" w:fill="DEEAF6" w:themeFill="accent1" w:themeFillTint="33"/>
            <w:noWrap/>
            <w:vAlign w:val="bottom"/>
            <w:hideMark/>
          </w:tcPr>
          <w:p w14:paraId="505E00B0" w14:textId="77777777" w:rsidR="0066738A" w:rsidRPr="004E5A6E" w:rsidRDefault="0066738A" w:rsidP="00D6295F">
            <w:pPr>
              <w:spacing w:line="276" w:lineRule="auto"/>
              <w:rPr>
                <w:b/>
                <w:bCs/>
                <w:color w:val="auto"/>
                <w:sz w:val="16"/>
                <w:szCs w:val="16"/>
                <w:lang w:val="sq-AL"/>
              </w:rPr>
            </w:pPr>
            <w:r w:rsidRPr="004E5A6E">
              <w:rPr>
                <w:b/>
                <w:bCs/>
                <w:color w:val="auto"/>
                <w:sz w:val="16"/>
                <w:szCs w:val="16"/>
                <w:lang w:val="sq-AL"/>
              </w:rPr>
              <w:t>Treguesi</w:t>
            </w:r>
          </w:p>
        </w:tc>
        <w:tc>
          <w:tcPr>
            <w:tcW w:w="156" w:type="pct"/>
            <w:shd w:val="clear" w:color="auto" w:fill="DEEAF6" w:themeFill="accent1" w:themeFillTint="33"/>
          </w:tcPr>
          <w:p w14:paraId="7D8FB8DC" w14:textId="77777777" w:rsidR="0066738A" w:rsidRPr="004E5A6E" w:rsidRDefault="0066738A" w:rsidP="00D6295F">
            <w:pPr>
              <w:spacing w:line="276" w:lineRule="auto"/>
              <w:rPr>
                <w:i/>
                <w:iCs/>
                <w:color w:val="auto"/>
                <w:sz w:val="16"/>
                <w:szCs w:val="16"/>
                <w:lang w:val="sq-AL"/>
              </w:rPr>
            </w:pPr>
          </w:p>
        </w:tc>
        <w:tc>
          <w:tcPr>
            <w:tcW w:w="979" w:type="pct"/>
            <w:shd w:val="clear" w:color="auto" w:fill="DEEAF6" w:themeFill="accent1" w:themeFillTint="33"/>
            <w:noWrap/>
            <w:hideMark/>
          </w:tcPr>
          <w:p w14:paraId="414D3BBA" w14:textId="0289DA7E" w:rsidR="0066738A" w:rsidRPr="004E5A6E" w:rsidRDefault="0066738A" w:rsidP="00D6295F">
            <w:pPr>
              <w:spacing w:line="276" w:lineRule="auto"/>
              <w:rPr>
                <w:i/>
                <w:iCs/>
                <w:color w:val="auto"/>
                <w:sz w:val="16"/>
                <w:szCs w:val="16"/>
                <w:lang w:val="sq-AL"/>
              </w:rPr>
            </w:pPr>
            <w:r w:rsidRPr="004E5A6E">
              <w:rPr>
                <w:i/>
                <w:iCs/>
                <w:color w:val="auto"/>
                <w:sz w:val="16"/>
                <w:szCs w:val="16"/>
                <w:lang w:val="sq-AL"/>
              </w:rPr>
              <w:t>Ndryshorja e përfaqësuesit</w:t>
            </w:r>
          </w:p>
        </w:tc>
        <w:tc>
          <w:tcPr>
            <w:tcW w:w="596" w:type="pct"/>
            <w:shd w:val="clear" w:color="auto" w:fill="DEEAF6" w:themeFill="accent1" w:themeFillTint="33"/>
            <w:noWrap/>
            <w:hideMark/>
          </w:tcPr>
          <w:p w14:paraId="4AF9159A" w14:textId="77777777" w:rsidR="0066738A" w:rsidRPr="004E5A6E" w:rsidRDefault="0066738A" w:rsidP="00D6295F">
            <w:pPr>
              <w:spacing w:line="276" w:lineRule="auto"/>
              <w:rPr>
                <w:i/>
                <w:iCs/>
                <w:color w:val="auto"/>
                <w:sz w:val="16"/>
                <w:szCs w:val="16"/>
                <w:lang w:val="sq-AL"/>
              </w:rPr>
            </w:pPr>
            <w:r w:rsidRPr="004E5A6E">
              <w:rPr>
                <w:i/>
                <w:iCs/>
                <w:color w:val="auto"/>
                <w:sz w:val="16"/>
                <w:szCs w:val="16"/>
                <w:lang w:val="sq-AL"/>
              </w:rPr>
              <w:t xml:space="preserve">Lloji i treguesve </w:t>
            </w:r>
          </w:p>
        </w:tc>
        <w:tc>
          <w:tcPr>
            <w:tcW w:w="479" w:type="pct"/>
            <w:shd w:val="clear" w:color="auto" w:fill="DEEAF6" w:themeFill="accent1" w:themeFillTint="33"/>
            <w:noWrap/>
            <w:vAlign w:val="center"/>
            <w:hideMark/>
          </w:tcPr>
          <w:p w14:paraId="50BE9647" w14:textId="77777777" w:rsidR="0066738A" w:rsidRPr="004E5A6E" w:rsidRDefault="0066738A" w:rsidP="00D6295F">
            <w:pPr>
              <w:spacing w:line="276" w:lineRule="auto"/>
              <w:jc w:val="center"/>
              <w:rPr>
                <w:b/>
                <w:color w:val="auto"/>
                <w:sz w:val="16"/>
                <w:szCs w:val="16"/>
                <w:lang w:val="sq-AL"/>
              </w:rPr>
            </w:pPr>
            <w:r w:rsidRPr="004E5A6E">
              <w:rPr>
                <w:b/>
                <w:color w:val="auto"/>
                <w:sz w:val="16"/>
                <w:szCs w:val="16"/>
                <w:lang w:val="sq-AL"/>
              </w:rPr>
              <w:t>2019 (Avg.)</w:t>
            </w:r>
          </w:p>
        </w:tc>
        <w:tc>
          <w:tcPr>
            <w:tcW w:w="441" w:type="pct"/>
            <w:shd w:val="clear" w:color="auto" w:fill="DEEAF6" w:themeFill="accent1" w:themeFillTint="33"/>
            <w:noWrap/>
            <w:vAlign w:val="center"/>
            <w:hideMark/>
          </w:tcPr>
          <w:p w14:paraId="3A97F9C2" w14:textId="77777777" w:rsidR="0066738A" w:rsidRPr="004E5A6E" w:rsidRDefault="0066738A" w:rsidP="00D6295F">
            <w:pPr>
              <w:spacing w:line="276" w:lineRule="auto"/>
              <w:jc w:val="center"/>
              <w:rPr>
                <w:b/>
                <w:color w:val="auto"/>
                <w:sz w:val="16"/>
                <w:szCs w:val="16"/>
                <w:lang w:val="sq-AL"/>
              </w:rPr>
            </w:pPr>
            <w:r w:rsidRPr="004E5A6E">
              <w:rPr>
                <w:b/>
                <w:color w:val="auto"/>
                <w:sz w:val="16"/>
                <w:szCs w:val="16"/>
                <w:lang w:val="sq-AL"/>
              </w:rPr>
              <w:t>2020 TM1</w:t>
            </w:r>
          </w:p>
        </w:tc>
        <w:tc>
          <w:tcPr>
            <w:tcW w:w="441" w:type="pct"/>
            <w:shd w:val="clear" w:color="auto" w:fill="DEEAF6" w:themeFill="accent1" w:themeFillTint="33"/>
            <w:noWrap/>
            <w:vAlign w:val="center"/>
            <w:hideMark/>
          </w:tcPr>
          <w:p w14:paraId="73556AC1" w14:textId="77777777" w:rsidR="0066738A" w:rsidRPr="004E5A6E" w:rsidRDefault="0066738A" w:rsidP="00D6295F">
            <w:pPr>
              <w:spacing w:line="276" w:lineRule="auto"/>
              <w:jc w:val="center"/>
              <w:rPr>
                <w:b/>
                <w:color w:val="auto"/>
                <w:sz w:val="16"/>
                <w:szCs w:val="16"/>
                <w:lang w:val="sq-AL"/>
              </w:rPr>
            </w:pPr>
            <w:r w:rsidRPr="004E5A6E">
              <w:rPr>
                <w:b/>
                <w:color w:val="auto"/>
                <w:sz w:val="16"/>
                <w:szCs w:val="16"/>
                <w:lang w:val="sq-AL"/>
              </w:rPr>
              <w:t>2020 TM2</w:t>
            </w:r>
          </w:p>
        </w:tc>
        <w:tc>
          <w:tcPr>
            <w:tcW w:w="518" w:type="pct"/>
            <w:gridSpan w:val="2"/>
            <w:shd w:val="clear" w:color="auto" w:fill="DEEAF6" w:themeFill="accent1" w:themeFillTint="33"/>
            <w:noWrap/>
            <w:vAlign w:val="center"/>
            <w:hideMark/>
          </w:tcPr>
          <w:p w14:paraId="2EED61CE" w14:textId="77777777" w:rsidR="0066738A" w:rsidRPr="004E5A6E" w:rsidRDefault="0066738A" w:rsidP="00D6295F">
            <w:pPr>
              <w:spacing w:line="276" w:lineRule="auto"/>
              <w:jc w:val="center"/>
              <w:rPr>
                <w:b/>
                <w:color w:val="auto"/>
                <w:sz w:val="16"/>
                <w:szCs w:val="16"/>
                <w:lang w:val="sq-AL"/>
              </w:rPr>
            </w:pPr>
            <w:r w:rsidRPr="004E5A6E">
              <w:rPr>
                <w:b/>
                <w:color w:val="auto"/>
                <w:sz w:val="16"/>
                <w:szCs w:val="16"/>
                <w:lang w:val="sq-AL"/>
              </w:rPr>
              <w:t>2020 TM3</w:t>
            </w:r>
          </w:p>
        </w:tc>
        <w:tc>
          <w:tcPr>
            <w:tcW w:w="314" w:type="pct"/>
            <w:shd w:val="clear" w:color="auto" w:fill="DEEAF6" w:themeFill="accent1" w:themeFillTint="33"/>
            <w:vAlign w:val="center"/>
          </w:tcPr>
          <w:p w14:paraId="63CDE0B1" w14:textId="77777777" w:rsidR="0066738A" w:rsidRPr="004E5A6E" w:rsidRDefault="0066738A" w:rsidP="00D6295F">
            <w:pPr>
              <w:spacing w:line="276" w:lineRule="auto"/>
              <w:jc w:val="center"/>
              <w:rPr>
                <w:b/>
                <w:color w:val="auto"/>
                <w:sz w:val="16"/>
                <w:szCs w:val="16"/>
                <w:lang w:val="sq-AL"/>
              </w:rPr>
            </w:pPr>
            <w:r w:rsidRPr="004E5A6E">
              <w:rPr>
                <w:b/>
                <w:color w:val="auto"/>
                <w:sz w:val="16"/>
                <w:szCs w:val="16"/>
                <w:lang w:val="sq-AL"/>
              </w:rPr>
              <w:t>2020</w:t>
            </w:r>
          </w:p>
          <w:p w14:paraId="6C31E3BA" w14:textId="77777777" w:rsidR="0066738A" w:rsidRPr="004E5A6E" w:rsidRDefault="0066738A" w:rsidP="00D6295F">
            <w:pPr>
              <w:spacing w:line="276" w:lineRule="auto"/>
              <w:jc w:val="center"/>
              <w:rPr>
                <w:b/>
                <w:color w:val="auto"/>
                <w:sz w:val="16"/>
                <w:szCs w:val="16"/>
                <w:lang w:val="sq-AL"/>
              </w:rPr>
            </w:pPr>
            <w:r w:rsidRPr="004E5A6E">
              <w:rPr>
                <w:b/>
                <w:color w:val="auto"/>
                <w:sz w:val="16"/>
                <w:szCs w:val="16"/>
                <w:lang w:val="sq-AL"/>
              </w:rPr>
              <w:t>TM4</w:t>
            </w:r>
          </w:p>
        </w:tc>
      </w:tr>
      <w:tr w:rsidR="008E7336" w:rsidRPr="004E5A6E" w14:paraId="64D69439" w14:textId="77777777" w:rsidTr="00EE37A9">
        <w:trPr>
          <w:trHeight w:hRule="exact" w:val="247"/>
        </w:trPr>
        <w:tc>
          <w:tcPr>
            <w:tcW w:w="1076" w:type="pct"/>
            <w:shd w:val="clear" w:color="auto" w:fill="DEEAF6" w:themeFill="accent1" w:themeFillTint="33"/>
            <w:noWrap/>
            <w:hideMark/>
          </w:tcPr>
          <w:p w14:paraId="2F417748" w14:textId="77777777" w:rsidR="0066738A" w:rsidRPr="004E5A6E" w:rsidRDefault="0066738A" w:rsidP="00D6295F">
            <w:pPr>
              <w:spacing w:line="276" w:lineRule="auto"/>
              <w:rPr>
                <w:b/>
                <w:bCs/>
                <w:color w:val="auto"/>
                <w:sz w:val="16"/>
                <w:szCs w:val="16"/>
                <w:lang w:val="sq-AL"/>
              </w:rPr>
            </w:pPr>
            <w:r w:rsidRPr="004E5A6E">
              <w:rPr>
                <w:b/>
                <w:bCs/>
                <w:color w:val="auto"/>
                <w:sz w:val="16"/>
                <w:szCs w:val="16"/>
                <w:lang w:val="sq-AL"/>
              </w:rPr>
              <w:t>Hyrjet e remitancave</w:t>
            </w:r>
          </w:p>
        </w:tc>
        <w:tc>
          <w:tcPr>
            <w:tcW w:w="156" w:type="pct"/>
            <w:shd w:val="clear" w:color="auto" w:fill="DEEAF6" w:themeFill="accent1" w:themeFillTint="33"/>
          </w:tcPr>
          <w:p w14:paraId="45C2EA32" w14:textId="77777777" w:rsidR="0066738A" w:rsidRPr="004E5A6E" w:rsidRDefault="0066738A" w:rsidP="00D6295F">
            <w:pPr>
              <w:spacing w:line="276" w:lineRule="auto"/>
              <w:rPr>
                <w:i/>
                <w:iCs/>
                <w:color w:val="auto"/>
                <w:sz w:val="16"/>
                <w:szCs w:val="16"/>
                <w:lang w:val="sq-AL"/>
              </w:rPr>
            </w:pPr>
          </w:p>
        </w:tc>
        <w:tc>
          <w:tcPr>
            <w:tcW w:w="979" w:type="pct"/>
            <w:shd w:val="clear" w:color="auto" w:fill="DEEAF6" w:themeFill="accent1" w:themeFillTint="33"/>
            <w:noWrap/>
            <w:hideMark/>
          </w:tcPr>
          <w:p w14:paraId="7D89CC7C" w14:textId="0DB3CCC2" w:rsidR="0066738A" w:rsidRPr="004E5A6E" w:rsidRDefault="0066738A" w:rsidP="00D6295F">
            <w:pPr>
              <w:spacing w:line="276" w:lineRule="auto"/>
              <w:rPr>
                <w:i/>
                <w:iCs/>
                <w:color w:val="auto"/>
                <w:sz w:val="16"/>
                <w:szCs w:val="16"/>
                <w:lang w:val="sq-AL"/>
              </w:rPr>
            </w:pPr>
            <w:r w:rsidRPr="004E5A6E">
              <w:rPr>
                <w:i/>
                <w:iCs/>
                <w:color w:val="auto"/>
                <w:sz w:val="16"/>
                <w:szCs w:val="16"/>
                <w:lang w:val="sq-AL"/>
              </w:rPr>
              <w:t>Konsumi privat</w:t>
            </w:r>
          </w:p>
        </w:tc>
        <w:tc>
          <w:tcPr>
            <w:tcW w:w="596" w:type="pct"/>
            <w:shd w:val="clear" w:color="auto" w:fill="DEEAF6" w:themeFill="accent1" w:themeFillTint="33"/>
            <w:noWrap/>
            <w:hideMark/>
          </w:tcPr>
          <w:p w14:paraId="2A76AE41" w14:textId="41AD5A61" w:rsidR="0066738A" w:rsidRPr="004E5A6E" w:rsidRDefault="00C9293C" w:rsidP="00D6295F">
            <w:pPr>
              <w:spacing w:line="276" w:lineRule="auto"/>
              <w:rPr>
                <w:i/>
                <w:iCs/>
                <w:color w:val="auto"/>
                <w:sz w:val="16"/>
                <w:szCs w:val="16"/>
                <w:lang w:val="sq-AL"/>
              </w:rPr>
            </w:pPr>
            <w:r w:rsidRPr="004E5A6E">
              <w:rPr>
                <w:i/>
                <w:iCs/>
                <w:color w:val="auto"/>
                <w:sz w:val="16"/>
                <w:szCs w:val="16"/>
                <w:lang w:val="sq-AL"/>
              </w:rPr>
              <w:t>Paraprijës</w:t>
            </w:r>
          </w:p>
        </w:tc>
        <w:tc>
          <w:tcPr>
            <w:tcW w:w="479" w:type="pct"/>
            <w:shd w:val="clear" w:color="auto" w:fill="DEEAF6" w:themeFill="accent1" w:themeFillTint="33"/>
            <w:noWrap/>
            <w:vAlign w:val="center"/>
          </w:tcPr>
          <w:p w14:paraId="2607BB2C"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6.4%</w:t>
            </w:r>
          </w:p>
        </w:tc>
        <w:tc>
          <w:tcPr>
            <w:tcW w:w="441" w:type="pct"/>
            <w:shd w:val="clear" w:color="auto" w:fill="DEEAF6" w:themeFill="accent1" w:themeFillTint="33"/>
            <w:noWrap/>
            <w:vAlign w:val="center"/>
          </w:tcPr>
          <w:p w14:paraId="11A44C5F"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1.4%</w:t>
            </w:r>
          </w:p>
        </w:tc>
        <w:tc>
          <w:tcPr>
            <w:tcW w:w="622" w:type="pct"/>
            <w:gridSpan w:val="2"/>
            <w:shd w:val="clear" w:color="auto" w:fill="DEEAF6" w:themeFill="accent1" w:themeFillTint="33"/>
            <w:noWrap/>
            <w:vAlign w:val="center"/>
          </w:tcPr>
          <w:p w14:paraId="671293A1"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12.0%</w:t>
            </w:r>
          </w:p>
        </w:tc>
        <w:tc>
          <w:tcPr>
            <w:tcW w:w="337" w:type="pct"/>
            <w:shd w:val="clear" w:color="auto" w:fill="DEEAF6" w:themeFill="accent1" w:themeFillTint="33"/>
            <w:noWrap/>
            <w:vAlign w:val="center"/>
          </w:tcPr>
          <w:p w14:paraId="4EB66D64"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18.1%</w:t>
            </w:r>
          </w:p>
        </w:tc>
        <w:tc>
          <w:tcPr>
            <w:tcW w:w="314" w:type="pct"/>
            <w:shd w:val="clear" w:color="auto" w:fill="DEEAF6" w:themeFill="accent1" w:themeFillTint="33"/>
            <w:vAlign w:val="center"/>
          </w:tcPr>
          <w:p w14:paraId="478F705E"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27.6%</w:t>
            </w:r>
          </w:p>
        </w:tc>
      </w:tr>
      <w:tr w:rsidR="008E7336" w:rsidRPr="004E5A6E" w14:paraId="47E35203" w14:textId="77777777" w:rsidTr="00EE37A9">
        <w:trPr>
          <w:trHeight w:hRule="exact" w:val="208"/>
        </w:trPr>
        <w:tc>
          <w:tcPr>
            <w:tcW w:w="1076" w:type="pct"/>
            <w:shd w:val="clear" w:color="auto" w:fill="DEEAF6" w:themeFill="accent1" w:themeFillTint="33"/>
            <w:noWrap/>
          </w:tcPr>
          <w:p w14:paraId="170132E4" w14:textId="77777777" w:rsidR="0066738A" w:rsidRPr="004E5A6E" w:rsidRDefault="0066738A" w:rsidP="00D6295F">
            <w:pPr>
              <w:spacing w:line="276" w:lineRule="auto"/>
              <w:rPr>
                <w:b/>
                <w:bCs/>
                <w:color w:val="auto"/>
                <w:sz w:val="16"/>
                <w:szCs w:val="16"/>
                <w:lang w:val="sq-AL"/>
              </w:rPr>
            </w:pPr>
            <w:r w:rsidRPr="004E5A6E">
              <w:rPr>
                <w:b/>
                <w:bCs/>
                <w:color w:val="auto"/>
                <w:sz w:val="16"/>
                <w:szCs w:val="16"/>
                <w:lang w:val="sq-AL"/>
              </w:rPr>
              <w:t>Qarkullimi (ATK)</w:t>
            </w:r>
          </w:p>
        </w:tc>
        <w:tc>
          <w:tcPr>
            <w:tcW w:w="156" w:type="pct"/>
            <w:shd w:val="clear" w:color="auto" w:fill="DEEAF6" w:themeFill="accent1" w:themeFillTint="33"/>
          </w:tcPr>
          <w:p w14:paraId="37F6996D" w14:textId="77777777" w:rsidR="0066738A" w:rsidRPr="004E5A6E" w:rsidRDefault="0066738A" w:rsidP="00D6295F">
            <w:pPr>
              <w:spacing w:line="276" w:lineRule="auto"/>
              <w:rPr>
                <w:i/>
                <w:iCs/>
                <w:color w:val="auto"/>
                <w:sz w:val="16"/>
                <w:szCs w:val="16"/>
                <w:lang w:val="sq-AL"/>
              </w:rPr>
            </w:pPr>
          </w:p>
        </w:tc>
        <w:tc>
          <w:tcPr>
            <w:tcW w:w="979" w:type="pct"/>
            <w:shd w:val="clear" w:color="auto" w:fill="DEEAF6" w:themeFill="accent1" w:themeFillTint="33"/>
            <w:noWrap/>
          </w:tcPr>
          <w:p w14:paraId="240A02B0" w14:textId="619F5116" w:rsidR="0066738A" w:rsidRPr="004E5A6E" w:rsidRDefault="0066738A" w:rsidP="00D6295F">
            <w:pPr>
              <w:spacing w:line="276" w:lineRule="auto"/>
              <w:rPr>
                <w:i/>
                <w:iCs/>
                <w:color w:val="auto"/>
                <w:sz w:val="16"/>
                <w:szCs w:val="16"/>
                <w:lang w:val="sq-AL"/>
              </w:rPr>
            </w:pPr>
            <w:r w:rsidRPr="004E5A6E">
              <w:rPr>
                <w:i/>
                <w:iCs/>
                <w:color w:val="auto"/>
                <w:sz w:val="16"/>
                <w:szCs w:val="16"/>
                <w:lang w:val="sq-AL"/>
              </w:rPr>
              <w:t>Konsumi privat dhe investimet</w:t>
            </w:r>
          </w:p>
        </w:tc>
        <w:tc>
          <w:tcPr>
            <w:tcW w:w="596" w:type="pct"/>
            <w:shd w:val="clear" w:color="auto" w:fill="DEEAF6" w:themeFill="accent1" w:themeFillTint="33"/>
            <w:noWrap/>
          </w:tcPr>
          <w:p w14:paraId="2F15D3B5" w14:textId="77777777" w:rsidR="0066738A" w:rsidRPr="004E5A6E" w:rsidRDefault="0066738A" w:rsidP="00D6295F">
            <w:pPr>
              <w:spacing w:line="276" w:lineRule="auto"/>
              <w:rPr>
                <w:i/>
                <w:iCs/>
                <w:color w:val="auto"/>
                <w:sz w:val="16"/>
                <w:szCs w:val="16"/>
                <w:lang w:val="sq-AL"/>
              </w:rPr>
            </w:pPr>
            <w:r w:rsidRPr="004E5A6E">
              <w:rPr>
                <w:i/>
                <w:iCs/>
                <w:color w:val="auto"/>
                <w:sz w:val="16"/>
                <w:szCs w:val="16"/>
                <w:lang w:val="sq-AL"/>
              </w:rPr>
              <w:t>Të rastësisë</w:t>
            </w:r>
          </w:p>
        </w:tc>
        <w:tc>
          <w:tcPr>
            <w:tcW w:w="479" w:type="pct"/>
            <w:shd w:val="clear" w:color="auto" w:fill="DEEAF6" w:themeFill="accent1" w:themeFillTint="33"/>
            <w:noWrap/>
            <w:vAlign w:val="center"/>
          </w:tcPr>
          <w:p w14:paraId="7367A250"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5.1%</w:t>
            </w:r>
          </w:p>
        </w:tc>
        <w:tc>
          <w:tcPr>
            <w:tcW w:w="441" w:type="pct"/>
            <w:shd w:val="clear" w:color="auto" w:fill="DEEAF6" w:themeFill="accent1" w:themeFillTint="33"/>
            <w:noWrap/>
            <w:vAlign w:val="center"/>
          </w:tcPr>
          <w:p w14:paraId="69CAD5EA"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2.96%</w:t>
            </w:r>
          </w:p>
        </w:tc>
        <w:tc>
          <w:tcPr>
            <w:tcW w:w="622" w:type="pct"/>
            <w:gridSpan w:val="2"/>
            <w:shd w:val="clear" w:color="auto" w:fill="DEEAF6" w:themeFill="accent1" w:themeFillTint="33"/>
            <w:noWrap/>
            <w:vAlign w:val="center"/>
          </w:tcPr>
          <w:p w14:paraId="257D5FC8"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-24.2%</w:t>
            </w:r>
          </w:p>
        </w:tc>
        <w:tc>
          <w:tcPr>
            <w:tcW w:w="337" w:type="pct"/>
            <w:shd w:val="clear" w:color="auto" w:fill="DEEAF6" w:themeFill="accent1" w:themeFillTint="33"/>
            <w:noWrap/>
            <w:vAlign w:val="center"/>
          </w:tcPr>
          <w:p w14:paraId="55D0331A"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-15.5%</w:t>
            </w:r>
          </w:p>
          <w:p w14:paraId="2F45562C" w14:textId="77777777" w:rsidR="0066738A" w:rsidRPr="004E5A6E" w:rsidRDefault="0066738A" w:rsidP="00D6295F">
            <w:pPr>
              <w:spacing w:line="276" w:lineRule="auto"/>
              <w:jc w:val="center"/>
              <w:rPr>
                <w:color w:val="auto"/>
                <w:sz w:val="16"/>
                <w:szCs w:val="16"/>
                <w:lang w:val="sq-AL"/>
              </w:rPr>
            </w:pPr>
          </w:p>
        </w:tc>
        <w:tc>
          <w:tcPr>
            <w:tcW w:w="314" w:type="pct"/>
            <w:shd w:val="clear" w:color="auto" w:fill="DEEAF6" w:themeFill="accent1" w:themeFillTint="33"/>
            <w:vAlign w:val="center"/>
          </w:tcPr>
          <w:p w14:paraId="120794C7" w14:textId="77777777" w:rsidR="0066738A" w:rsidRPr="004E5A6E" w:rsidRDefault="0066738A" w:rsidP="00D6295F">
            <w:pPr>
              <w:spacing w:line="276" w:lineRule="auto"/>
              <w:jc w:val="center"/>
              <w:rPr>
                <w:color w:val="auto"/>
                <w:sz w:val="16"/>
                <w:szCs w:val="16"/>
                <w:lang w:val="sq-AL"/>
              </w:rPr>
            </w:pPr>
          </w:p>
        </w:tc>
      </w:tr>
      <w:tr w:rsidR="008E7336" w:rsidRPr="004E5A6E" w14:paraId="7BA3EE50" w14:textId="77777777" w:rsidTr="00EE37A9">
        <w:trPr>
          <w:trHeight w:hRule="exact" w:val="233"/>
        </w:trPr>
        <w:tc>
          <w:tcPr>
            <w:tcW w:w="1076" w:type="pct"/>
            <w:shd w:val="clear" w:color="auto" w:fill="DEEAF6" w:themeFill="accent1" w:themeFillTint="33"/>
            <w:noWrap/>
            <w:hideMark/>
          </w:tcPr>
          <w:p w14:paraId="76CE0E02" w14:textId="77777777" w:rsidR="0066738A" w:rsidRPr="004E5A6E" w:rsidRDefault="0066738A" w:rsidP="00D6295F">
            <w:pPr>
              <w:spacing w:line="276" w:lineRule="auto"/>
              <w:rPr>
                <w:b/>
                <w:bCs/>
                <w:color w:val="auto"/>
                <w:sz w:val="16"/>
                <w:szCs w:val="16"/>
                <w:lang w:val="sq-AL"/>
              </w:rPr>
            </w:pPr>
            <w:r w:rsidRPr="004E5A6E">
              <w:rPr>
                <w:b/>
                <w:bCs/>
                <w:color w:val="auto"/>
                <w:sz w:val="16"/>
                <w:szCs w:val="16"/>
                <w:lang w:val="sq-AL"/>
              </w:rPr>
              <w:t>Mbledhja e TVSH-së</w:t>
            </w:r>
          </w:p>
        </w:tc>
        <w:tc>
          <w:tcPr>
            <w:tcW w:w="156" w:type="pct"/>
            <w:shd w:val="clear" w:color="auto" w:fill="DEEAF6" w:themeFill="accent1" w:themeFillTint="33"/>
          </w:tcPr>
          <w:p w14:paraId="6EF47D7D" w14:textId="77777777" w:rsidR="0066738A" w:rsidRPr="004E5A6E" w:rsidRDefault="0066738A" w:rsidP="00D6295F">
            <w:pPr>
              <w:spacing w:line="276" w:lineRule="auto"/>
              <w:rPr>
                <w:i/>
                <w:iCs/>
                <w:color w:val="auto"/>
                <w:sz w:val="16"/>
                <w:szCs w:val="16"/>
                <w:lang w:val="sq-AL"/>
              </w:rPr>
            </w:pPr>
          </w:p>
        </w:tc>
        <w:tc>
          <w:tcPr>
            <w:tcW w:w="979" w:type="pct"/>
            <w:shd w:val="clear" w:color="auto" w:fill="DEEAF6" w:themeFill="accent1" w:themeFillTint="33"/>
            <w:noWrap/>
            <w:hideMark/>
          </w:tcPr>
          <w:p w14:paraId="59FC6985" w14:textId="0A68BBAC" w:rsidR="0066738A" w:rsidRPr="004E5A6E" w:rsidRDefault="0066738A" w:rsidP="00D6295F">
            <w:pPr>
              <w:spacing w:line="276" w:lineRule="auto"/>
              <w:rPr>
                <w:i/>
                <w:iCs/>
                <w:color w:val="auto"/>
                <w:sz w:val="16"/>
                <w:szCs w:val="16"/>
                <w:lang w:val="sq-AL"/>
              </w:rPr>
            </w:pPr>
            <w:r w:rsidRPr="004E5A6E">
              <w:rPr>
                <w:i/>
                <w:iCs/>
                <w:color w:val="auto"/>
                <w:sz w:val="16"/>
                <w:szCs w:val="16"/>
                <w:lang w:val="sq-AL"/>
              </w:rPr>
              <w:t>Konsumi total</w:t>
            </w:r>
          </w:p>
        </w:tc>
        <w:tc>
          <w:tcPr>
            <w:tcW w:w="596" w:type="pct"/>
            <w:shd w:val="clear" w:color="auto" w:fill="DEEAF6" w:themeFill="accent1" w:themeFillTint="33"/>
            <w:noWrap/>
            <w:hideMark/>
          </w:tcPr>
          <w:p w14:paraId="43690AD4" w14:textId="77777777" w:rsidR="0066738A" w:rsidRPr="004E5A6E" w:rsidRDefault="0066738A" w:rsidP="00D6295F">
            <w:pPr>
              <w:spacing w:line="276" w:lineRule="auto"/>
              <w:rPr>
                <w:i/>
                <w:iCs/>
                <w:color w:val="auto"/>
                <w:sz w:val="16"/>
                <w:szCs w:val="16"/>
                <w:lang w:val="sq-AL"/>
              </w:rPr>
            </w:pPr>
            <w:r w:rsidRPr="004E5A6E">
              <w:rPr>
                <w:i/>
                <w:iCs/>
                <w:color w:val="auto"/>
                <w:sz w:val="16"/>
                <w:szCs w:val="16"/>
                <w:lang w:val="sq-AL"/>
              </w:rPr>
              <w:t>Kryesorë</w:t>
            </w:r>
          </w:p>
        </w:tc>
        <w:tc>
          <w:tcPr>
            <w:tcW w:w="479" w:type="pct"/>
            <w:shd w:val="clear" w:color="auto" w:fill="DEEAF6" w:themeFill="accent1" w:themeFillTint="33"/>
            <w:noWrap/>
            <w:vAlign w:val="center"/>
          </w:tcPr>
          <w:p w14:paraId="2FD135FE"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5.8%</w:t>
            </w:r>
          </w:p>
        </w:tc>
        <w:tc>
          <w:tcPr>
            <w:tcW w:w="441" w:type="pct"/>
            <w:shd w:val="clear" w:color="auto" w:fill="DEEAF6" w:themeFill="accent1" w:themeFillTint="33"/>
            <w:noWrap/>
            <w:vAlign w:val="center"/>
          </w:tcPr>
          <w:p w14:paraId="081115FD"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4.7%</w:t>
            </w:r>
          </w:p>
        </w:tc>
        <w:tc>
          <w:tcPr>
            <w:tcW w:w="622" w:type="pct"/>
            <w:gridSpan w:val="2"/>
            <w:shd w:val="clear" w:color="auto" w:fill="DEEAF6" w:themeFill="accent1" w:themeFillTint="33"/>
            <w:noWrap/>
            <w:vAlign w:val="center"/>
          </w:tcPr>
          <w:p w14:paraId="12852DAE"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-21.8%</w:t>
            </w:r>
          </w:p>
        </w:tc>
        <w:tc>
          <w:tcPr>
            <w:tcW w:w="337" w:type="pct"/>
            <w:shd w:val="clear" w:color="auto" w:fill="DEEAF6" w:themeFill="accent1" w:themeFillTint="33"/>
            <w:noWrap/>
            <w:vAlign w:val="center"/>
          </w:tcPr>
          <w:p w14:paraId="1A362A7B"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-14.9%</w:t>
            </w:r>
          </w:p>
        </w:tc>
        <w:tc>
          <w:tcPr>
            <w:tcW w:w="314" w:type="pct"/>
            <w:shd w:val="clear" w:color="auto" w:fill="DEEAF6" w:themeFill="accent1" w:themeFillTint="33"/>
            <w:vAlign w:val="center"/>
          </w:tcPr>
          <w:p w14:paraId="2B0861FD"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-7.2%</w:t>
            </w:r>
          </w:p>
        </w:tc>
      </w:tr>
      <w:tr w:rsidR="008E7336" w:rsidRPr="004E5A6E" w14:paraId="3EF49F5E" w14:textId="77777777" w:rsidTr="00EE37A9">
        <w:trPr>
          <w:trHeight w:hRule="exact" w:val="208"/>
        </w:trPr>
        <w:tc>
          <w:tcPr>
            <w:tcW w:w="1076" w:type="pct"/>
            <w:shd w:val="clear" w:color="auto" w:fill="DEEAF6" w:themeFill="accent1" w:themeFillTint="33"/>
            <w:noWrap/>
            <w:hideMark/>
          </w:tcPr>
          <w:p w14:paraId="5AFA773C" w14:textId="77777777" w:rsidR="0066738A" w:rsidRPr="004E5A6E" w:rsidRDefault="0066738A" w:rsidP="00D6295F">
            <w:pPr>
              <w:spacing w:line="276" w:lineRule="auto"/>
              <w:rPr>
                <w:b/>
                <w:bCs/>
                <w:color w:val="auto"/>
                <w:sz w:val="16"/>
                <w:szCs w:val="16"/>
                <w:lang w:val="sq-AL"/>
              </w:rPr>
            </w:pPr>
            <w:r w:rsidRPr="004E5A6E">
              <w:rPr>
                <w:b/>
                <w:bCs/>
                <w:color w:val="auto"/>
                <w:sz w:val="16"/>
                <w:szCs w:val="16"/>
                <w:lang w:val="sq-AL"/>
              </w:rPr>
              <w:t>Kredi të reja konsumatore</w:t>
            </w:r>
          </w:p>
        </w:tc>
        <w:tc>
          <w:tcPr>
            <w:tcW w:w="156" w:type="pct"/>
            <w:shd w:val="clear" w:color="auto" w:fill="DEEAF6" w:themeFill="accent1" w:themeFillTint="33"/>
          </w:tcPr>
          <w:p w14:paraId="0A1FEA11" w14:textId="77777777" w:rsidR="0066738A" w:rsidRPr="004E5A6E" w:rsidRDefault="0066738A" w:rsidP="00D6295F">
            <w:pPr>
              <w:spacing w:line="276" w:lineRule="auto"/>
              <w:rPr>
                <w:i/>
                <w:iCs/>
                <w:color w:val="auto"/>
                <w:sz w:val="16"/>
                <w:szCs w:val="16"/>
                <w:lang w:val="sq-AL"/>
              </w:rPr>
            </w:pPr>
          </w:p>
        </w:tc>
        <w:tc>
          <w:tcPr>
            <w:tcW w:w="979" w:type="pct"/>
            <w:shd w:val="clear" w:color="auto" w:fill="DEEAF6" w:themeFill="accent1" w:themeFillTint="33"/>
            <w:noWrap/>
            <w:hideMark/>
          </w:tcPr>
          <w:p w14:paraId="55BD2285" w14:textId="347F139B" w:rsidR="0066738A" w:rsidRPr="004E5A6E" w:rsidRDefault="0066738A" w:rsidP="00D6295F">
            <w:pPr>
              <w:spacing w:line="276" w:lineRule="auto"/>
              <w:rPr>
                <w:i/>
                <w:iCs/>
                <w:color w:val="auto"/>
                <w:sz w:val="16"/>
                <w:szCs w:val="16"/>
                <w:lang w:val="sq-AL"/>
              </w:rPr>
            </w:pPr>
            <w:r w:rsidRPr="004E5A6E">
              <w:rPr>
                <w:i/>
                <w:iCs/>
                <w:color w:val="auto"/>
                <w:sz w:val="16"/>
                <w:szCs w:val="16"/>
                <w:lang w:val="sq-AL"/>
              </w:rPr>
              <w:t>Konsumi privat</w:t>
            </w:r>
          </w:p>
        </w:tc>
        <w:tc>
          <w:tcPr>
            <w:tcW w:w="596" w:type="pct"/>
            <w:shd w:val="clear" w:color="auto" w:fill="DEEAF6" w:themeFill="accent1" w:themeFillTint="33"/>
            <w:noWrap/>
            <w:hideMark/>
          </w:tcPr>
          <w:p w14:paraId="53E22D78" w14:textId="77777777" w:rsidR="0066738A" w:rsidRPr="004E5A6E" w:rsidRDefault="0066738A" w:rsidP="00D6295F">
            <w:pPr>
              <w:spacing w:line="276" w:lineRule="auto"/>
              <w:rPr>
                <w:i/>
                <w:iCs/>
                <w:color w:val="auto"/>
                <w:sz w:val="16"/>
                <w:szCs w:val="16"/>
                <w:lang w:val="sq-AL"/>
              </w:rPr>
            </w:pPr>
            <w:r w:rsidRPr="004E5A6E">
              <w:rPr>
                <w:i/>
                <w:iCs/>
                <w:color w:val="auto"/>
                <w:sz w:val="16"/>
                <w:szCs w:val="16"/>
                <w:lang w:val="sq-AL"/>
              </w:rPr>
              <w:t>Kryesorë</w:t>
            </w:r>
          </w:p>
        </w:tc>
        <w:tc>
          <w:tcPr>
            <w:tcW w:w="479" w:type="pct"/>
            <w:shd w:val="clear" w:color="auto" w:fill="DEEAF6" w:themeFill="accent1" w:themeFillTint="33"/>
            <w:noWrap/>
            <w:vAlign w:val="center"/>
          </w:tcPr>
          <w:p w14:paraId="26F736AD"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-4.1%</w:t>
            </w:r>
          </w:p>
        </w:tc>
        <w:tc>
          <w:tcPr>
            <w:tcW w:w="441" w:type="pct"/>
            <w:shd w:val="clear" w:color="auto" w:fill="DEEAF6" w:themeFill="accent1" w:themeFillTint="33"/>
            <w:noWrap/>
            <w:vAlign w:val="center"/>
          </w:tcPr>
          <w:p w14:paraId="74F95BC4"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13.6%</w:t>
            </w:r>
          </w:p>
        </w:tc>
        <w:tc>
          <w:tcPr>
            <w:tcW w:w="622" w:type="pct"/>
            <w:gridSpan w:val="2"/>
            <w:shd w:val="clear" w:color="auto" w:fill="DEEAF6" w:themeFill="accent1" w:themeFillTint="33"/>
            <w:noWrap/>
            <w:vAlign w:val="center"/>
          </w:tcPr>
          <w:p w14:paraId="1D427500"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-59.3%</w:t>
            </w:r>
          </w:p>
        </w:tc>
        <w:tc>
          <w:tcPr>
            <w:tcW w:w="337" w:type="pct"/>
            <w:shd w:val="clear" w:color="auto" w:fill="DEEAF6" w:themeFill="accent1" w:themeFillTint="33"/>
            <w:noWrap/>
            <w:vAlign w:val="center"/>
          </w:tcPr>
          <w:p w14:paraId="198F5226"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37.5%</w:t>
            </w:r>
          </w:p>
        </w:tc>
        <w:tc>
          <w:tcPr>
            <w:tcW w:w="314" w:type="pct"/>
            <w:shd w:val="clear" w:color="auto" w:fill="DEEAF6" w:themeFill="accent1" w:themeFillTint="33"/>
            <w:vAlign w:val="center"/>
          </w:tcPr>
          <w:p w14:paraId="2A4F4AC8" w14:textId="77777777" w:rsidR="0066738A" w:rsidRPr="004E5A6E" w:rsidRDefault="0066738A" w:rsidP="00D6295F">
            <w:pPr>
              <w:spacing w:line="276" w:lineRule="auto"/>
              <w:jc w:val="center"/>
              <w:rPr>
                <w:color w:val="auto"/>
                <w:sz w:val="16"/>
                <w:szCs w:val="16"/>
                <w:lang w:val="sq-AL"/>
              </w:rPr>
            </w:pPr>
          </w:p>
        </w:tc>
      </w:tr>
      <w:tr w:rsidR="008E7336" w:rsidRPr="004E5A6E" w14:paraId="1E5BA0B3" w14:textId="77777777" w:rsidTr="00EE37A9">
        <w:trPr>
          <w:trHeight w:hRule="exact" w:val="208"/>
        </w:trPr>
        <w:tc>
          <w:tcPr>
            <w:tcW w:w="1076" w:type="pct"/>
            <w:shd w:val="clear" w:color="auto" w:fill="DEEAF6" w:themeFill="accent1" w:themeFillTint="33"/>
            <w:noWrap/>
            <w:hideMark/>
          </w:tcPr>
          <w:p w14:paraId="4992A247" w14:textId="77777777" w:rsidR="0066738A" w:rsidRPr="004E5A6E" w:rsidRDefault="0066738A" w:rsidP="00D6295F">
            <w:pPr>
              <w:spacing w:line="276" w:lineRule="auto"/>
              <w:rPr>
                <w:b/>
                <w:bCs/>
                <w:color w:val="auto"/>
                <w:sz w:val="16"/>
                <w:szCs w:val="16"/>
                <w:lang w:val="sq-AL"/>
              </w:rPr>
            </w:pPr>
            <w:r w:rsidRPr="004E5A6E">
              <w:rPr>
                <w:b/>
                <w:bCs/>
                <w:color w:val="auto"/>
                <w:sz w:val="16"/>
                <w:szCs w:val="16"/>
                <w:lang w:val="sq-AL"/>
              </w:rPr>
              <w:t>Importi i mallrave të konsumit</w:t>
            </w:r>
          </w:p>
        </w:tc>
        <w:tc>
          <w:tcPr>
            <w:tcW w:w="156" w:type="pct"/>
            <w:shd w:val="clear" w:color="auto" w:fill="DEEAF6" w:themeFill="accent1" w:themeFillTint="33"/>
          </w:tcPr>
          <w:p w14:paraId="4DFF7CA3" w14:textId="77777777" w:rsidR="0066738A" w:rsidRPr="004E5A6E" w:rsidRDefault="0066738A" w:rsidP="00D6295F">
            <w:pPr>
              <w:spacing w:line="276" w:lineRule="auto"/>
              <w:rPr>
                <w:i/>
                <w:iCs/>
                <w:color w:val="auto"/>
                <w:sz w:val="16"/>
                <w:szCs w:val="16"/>
                <w:lang w:val="sq-AL"/>
              </w:rPr>
            </w:pPr>
          </w:p>
        </w:tc>
        <w:tc>
          <w:tcPr>
            <w:tcW w:w="979" w:type="pct"/>
            <w:shd w:val="clear" w:color="auto" w:fill="DEEAF6" w:themeFill="accent1" w:themeFillTint="33"/>
            <w:noWrap/>
            <w:hideMark/>
          </w:tcPr>
          <w:p w14:paraId="1968626D" w14:textId="05634FF7" w:rsidR="0066738A" w:rsidRPr="004E5A6E" w:rsidRDefault="0066738A" w:rsidP="00D6295F">
            <w:pPr>
              <w:spacing w:line="276" w:lineRule="auto"/>
              <w:rPr>
                <w:i/>
                <w:iCs/>
                <w:color w:val="auto"/>
                <w:sz w:val="16"/>
                <w:szCs w:val="16"/>
                <w:lang w:val="sq-AL"/>
              </w:rPr>
            </w:pPr>
            <w:r w:rsidRPr="004E5A6E">
              <w:rPr>
                <w:i/>
                <w:iCs/>
                <w:color w:val="auto"/>
                <w:sz w:val="16"/>
                <w:szCs w:val="16"/>
                <w:lang w:val="sq-AL"/>
              </w:rPr>
              <w:t>Konsumi privat</w:t>
            </w:r>
          </w:p>
        </w:tc>
        <w:tc>
          <w:tcPr>
            <w:tcW w:w="596" w:type="pct"/>
            <w:shd w:val="clear" w:color="auto" w:fill="DEEAF6" w:themeFill="accent1" w:themeFillTint="33"/>
            <w:noWrap/>
            <w:hideMark/>
          </w:tcPr>
          <w:p w14:paraId="5494A0E6" w14:textId="77777777" w:rsidR="0066738A" w:rsidRPr="004E5A6E" w:rsidRDefault="0066738A" w:rsidP="00D6295F">
            <w:pPr>
              <w:spacing w:line="276" w:lineRule="auto"/>
              <w:rPr>
                <w:i/>
                <w:iCs/>
                <w:color w:val="auto"/>
                <w:sz w:val="16"/>
                <w:szCs w:val="16"/>
                <w:lang w:val="sq-AL"/>
              </w:rPr>
            </w:pPr>
            <w:r w:rsidRPr="004E5A6E">
              <w:rPr>
                <w:i/>
                <w:iCs/>
                <w:color w:val="auto"/>
                <w:sz w:val="16"/>
                <w:szCs w:val="16"/>
                <w:lang w:val="sq-AL"/>
              </w:rPr>
              <w:t>Kryesorë</w:t>
            </w:r>
          </w:p>
        </w:tc>
        <w:tc>
          <w:tcPr>
            <w:tcW w:w="479" w:type="pct"/>
            <w:shd w:val="clear" w:color="auto" w:fill="DEEAF6" w:themeFill="accent1" w:themeFillTint="33"/>
            <w:noWrap/>
            <w:vAlign w:val="center"/>
          </w:tcPr>
          <w:p w14:paraId="64ED8553"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5.6%</w:t>
            </w:r>
          </w:p>
        </w:tc>
        <w:tc>
          <w:tcPr>
            <w:tcW w:w="441" w:type="pct"/>
            <w:shd w:val="clear" w:color="auto" w:fill="DEEAF6" w:themeFill="accent1" w:themeFillTint="33"/>
            <w:noWrap/>
            <w:vAlign w:val="center"/>
          </w:tcPr>
          <w:p w14:paraId="07209EF7"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9.4%</w:t>
            </w:r>
          </w:p>
        </w:tc>
        <w:tc>
          <w:tcPr>
            <w:tcW w:w="622" w:type="pct"/>
            <w:gridSpan w:val="2"/>
            <w:shd w:val="clear" w:color="auto" w:fill="DEEAF6" w:themeFill="accent1" w:themeFillTint="33"/>
            <w:noWrap/>
            <w:vAlign w:val="center"/>
          </w:tcPr>
          <w:p w14:paraId="097F2D18"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-10.4%</w:t>
            </w:r>
          </w:p>
        </w:tc>
        <w:tc>
          <w:tcPr>
            <w:tcW w:w="337" w:type="pct"/>
            <w:shd w:val="clear" w:color="auto" w:fill="DEEAF6" w:themeFill="accent1" w:themeFillTint="33"/>
            <w:noWrap/>
            <w:vAlign w:val="center"/>
          </w:tcPr>
          <w:p w14:paraId="6EF1B082"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-12.8%</w:t>
            </w:r>
          </w:p>
        </w:tc>
        <w:tc>
          <w:tcPr>
            <w:tcW w:w="314" w:type="pct"/>
            <w:shd w:val="clear" w:color="auto" w:fill="DEEAF6" w:themeFill="accent1" w:themeFillTint="33"/>
            <w:vAlign w:val="center"/>
          </w:tcPr>
          <w:p w14:paraId="490D4D4F"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6.7%</w:t>
            </w:r>
          </w:p>
        </w:tc>
      </w:tr>
      <w:tr w:rsidR="008E7336" w:rsidRPr="004E5A6E" w14:paraId="10AD8CB4" w14:textId="77777777" w:rsidTr="00EE37A9">
        <w:trPr>
          <w:trHeight w:hRule="exact" w:val="169"/>
        </w:trPr>
        <w:tc>
          <w:tcPr>
            <w:tcW w:w="1076" w:type="pct"/>
            <w:shd w:val="clear" w:color="auto" w:fill="DEEAF6" w:themeFill="accent1" w:themeFillTint="33"/>
            <w:noWrap/>
            <w:hideMark/>
          </w:tcPr>
          <w:p w14:paraId="3C30B411" w14:textId="77777777" w:rsidR="0066738A" w:rsidRPr="004E5A6E" w:rsidRDefault="0066738A" w:rsidP="00D6295F">
            <w:pPr>
              <w:spacing w:line="276" w:lineRule="auto"/>
              <w:rPr>
                <w:b/>
                <w:bCs/>
                <w:color w:val="auto"/>
                <w:sz w:val="16"/>
                <w:szCs w:val="16"/>
                <w:lang w:val="sq-AL"/>
              </w:rPr>
            </w:pPr>
            <w:r w:rsidRPr="004E5A6E">
              <w:rPr>
                <w:b/>
                <w:bCs/>
                <w:color w:val="auto"/>
                <w:sz w:val="16"/>
                <w:szCs w:val="16"/>
                <w:lang w:val="sq-AL"/>
              </w:rPr>
              <w:t>Konsumi i qeverisë</w:t>
            </w:r>
          </w:p>
        </w:tc>
        <w:tc>
          <w:tcPr>
            <w:tcW w:w="156" w:type="pct"/>
            <w:shd w:val="clear" w:color="auto" w:fill="DEEAF6" w:themeFill="accent1" w:themeFillTint="33"/>
          </w:tcPr>
          <w:p w14:paraId="62FCD297" w14:textId="77777777" w:rsidR="0066738A" w:rsidRPr="004E5A6E" w:rsidRDefault="0066738A" w:rsidP="00D6295F">
            <w:pPr>
              <w:spacing w:line="276" w:lineRule="auto"/>
              <w:jc w:val="center"/>
              <w:rPr>
                <w:i/>
                <w:iCs/>
                <w:color w:val="auto"/>
                <w:sz w:val="16"/>
                <w:szCs w:val="16"/>
                <w:lang w:val="sq-AL"/>
              </w:rPr>
            </w:pPr>
          </w:p>
        </w:tc>
        <w:tc>
          <w:tcPr>
            <w:tcW w:w="979" w:type="pct"/>
            <w:shd w:val="clear" w:color="auto" w:fill="DEEAF6" w:themeFill="accent1" w:themeFillTint="33"/>
            <w:noWrap/>
            <w:vAlign w:val="bottom"/>
            <w:hideMark/>
          </w:tcPr>
          <w:p w14:paraId="3378BD21" w14:textId="5D5D651C" w:rsidR="0066738A" w:rsidRPr="004E5A6E" w:rsidRDefault="0066738A" w:rsidP="00D6295F">
            <w:pPr>
              <w:spacing w:line="276" w:lineRule="auto"/>
              <w:jc w:val="center"/>
              <w:rPr>
                <w:i/>
                <w:iCs/>
                <w:color w:val="auto"/>
                <w:sz w:val="16"/>
                <w:szCs w:val="16"/>
                <w:lang w:val="sq-AL"/>
              </w:rPr>
            </w:pPr>
            <w:r w:rsidRPr="004E5A6E">
              <w:rPr>
                <w:i/>
                <w:iCs/>
                <w:color w:val="auto"/>
                <w:sz w:val="16"/>
                <w:szCs w:val="16"/>
                <w:lang w:val="sq-AL"/>
              </w:rPr>
              <w:t>-</w:t>
            </w:r>
          </w:p>
        </w:tc>
        <w:tc>
          <w:tcPr>
            <w:tcW w:w="596" w:type="pct"/>
            <w:shd w:val="clear" w:color="auto" w:fill="DEEAF6" w:themeFill="accent1" w:themeFillTint="33"/>
            <w:noWrap/>
            <w:hideMark/>
          </w:tcPr>
          <w:p w14:paraId="39FC635F" w14:textId="77777777" w:rsidR="0066738A" w:rsidRPr="004E5A6E" w:rsidRDefault="0066738A" w:rsidP="00D6295F">
            <w:pPr>
              <w:spacing w:line="276" w:lineRule="auto"/>
              <w:rPr>
                <w:i/>
                <w:iCs/>
                <w:color w:val="auto"/>
                <w:sz w:val="16"/>
                <w:szCs w:val="16"/>
                <w:lang w:val="sq-AL"/>
              </w:rPr>
            </w:pPr>
            <w:r w:rsidRPr="004E5A6E">
              <w:rPr>
                <w:i/>
                <w:iCs/>
                <w:color w:val="auto"/>
                <w:sz w:val="16"/>
                <w:szCs w:val="16"/>
                <w:lang w:val="sq-AL"/>
              </w:rPr>
              <w:t>Të rastësisë</w:t>
            </w:r>
          </w:p>
        </w:tc>
        <w:tc>
          <w:tcPr>
            <w:tcW w:w="479" w:type="pct"/>
            <w:shd w:val="clear" w:color="auto" w:fill="DEEAF6" w:themeFill="accent1" w:themeFillTint="33"/>
            <w:noWrap/>
            <w:vAlign w:val="center"/>
          </w:tcPr>
          <w:p w14:paraId="227CF8D3"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8.2%</w:t>
            </w:r>
          </w:p>
        </w:tc>
        <w:tc>
          <w:tcPr>
            <w:tcW w:w="441" w:type="pct"/>
            <w:shd w:val="clear" w:color="auto" w:fill="DEEAF6" w:themeFill="accent1" w:themeFillTint="33"/>
            <w:noWrap/>
            <w:vAlign w:val="center"/>
          </w:tcPr>
          <w:p w14:paraId="2F626ACE"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1.1%</w:t>
            </w:r>
          </w:p>
        </w:tc>
        <w:tc>
          <w:tcPr>
            <w:tcW w:w="622" w:type="pct"/>
            <w:gridSpan w:val="2"/>
            <w:shd w:val="clear" w:color="auto" w:fill="DEEAF6" w:themeFill="accent1" w:themeFillTint="33"/>
            <w:noWrap/>
            <w:vAlign w:val="center"/>
          </w:tcPr>
          <w:p w14:paraId="6DA8247E"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3.9%</w:t>
            </w:r>
          </w:p>
        </w:tc>
        <w:tc>
          <w:tcPr>
            <w:tcW w:w="337" w:type="pct"/>
            <w:shd w:val="clear" w:color="auto" w:fill="DEEAF6" w:themeFill="accent1" w:themeFillTint="33"/>
            <w:noWrap/>
            <w:vAlign w:val="center"/>
          </w:tcPr>
          <w:p w14:paraId="668CF6CC"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4.5%</w:t>
            </w:r>
          </w:p>
        </w:tc>
        <w:tc>
          <w:tcPr>
            <w:tcW w:w="314" w:type="pct"/>
            <w:shd w:val="clear" w:color="auto" w:fill="DEEAF6" w:themeFill="accent1" w:themeFillTint="33"/>
            <w:vAlign w:val="center"/>
          </w:tcPr>
          <w:p w14:paraId="48E4E838"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8.7%</w:t>
            </w:r>
          </w:p>
        </w:tc>
      </w:tr>
      <w:tr w:rsidR="008E7336" w:rsidRPr="004E5A6E" w14:paraId="687C3EFC" w14:textId="77777777" w:rsidTr="00EE37A9">
        <w:trPr>
          <w:trHeight w:hRule="exact" w:val="208"/>
        </w:trPr>
        <w:tc>
          <w:tcPr>
            <w:tcW w:w="1076" w:type="pct"/>
            <w:shd w:val="clear" w:color="auto" w:fill="DEEAF6" w:themeFill="accent1" w:themeFillTint="33"/>
            <w:noWrap/>
            <w:hideMark/>
          </w:tcPr>
          <w:p w14:paraId="6CFB9F7E" w14:textId="77777777" w:rsidR="0066738A" w:rsidRPr="004E5A6E" w:rsidRDefault="0066738A" w:rsidP="00D6295F">
            <w:pPr>
              <w:spacing w:line="276" w:lineRule="auto"/>
              <w:rPr>
                <w:b/>
                <w:bCs/>
                <w:color w:val="auto"/>
                <w:sz w:val="16"/>
                <w:szCs w:val="16"/>
                <w:lang w:val="sq-AL"/>
              </w:rPr>
            </w:pPr>
            <w:r w:rsidRPr="004E5A6E">
              <w:rPr>
                <w:b/>
                <w:bCs/>
                <w:color w:val="auto"/>
                <w:sz w:val="16"/>
                <w:szCs w:val="16"/>
                <w:lang w:val="sq-AL"/>
              </w:rPr>
              <w:t>Investimet qeveritare</w:t>
            </w:r>
          </w:p>
        </w:tc>
        <w:tc>
          <w:tcPr>
            <w:tcW w:w="156" w:type="pct"/>
            <w:shd w:val="clear" w:color="auto" w:fill="DEEAF6" w:themeFill="accent1" w:themeFillTint="33"/>
          </w:tcPr>
          <w:p w14:paraId="49444BBD" w14:textId="77777777" w:rsidR="0066738A" w:rsidRPr="004E5A6E" w:rsidRDefault="0066738A" w:rsidP="00D6295F">
            <w:pPr>
              <w:spacing w:line="276" w:lineRule="auto"/>
              <w:jc w:val="center"/>
              <w:rPr>
                <w:i/>
                <w:iCs/>
                <w:color w:val="auto"/>
                <w:sz w:val="16"/>
                <w:szCs w:val="16"/>
                <w:lang w:val="sq-AL"/>
              </w:rPr>
            </w:pPr>
          </w:p>
        </w:tc>
        <w:tc>
          <w:tcPr>
            <w:tcW w:w="979" w:type="pct"/>
            <w:shd w:val="clear" w:color="auto" w:fill="DEEAF6" w:themeFill="accent1" w:themeFillTint="33"/>
            <w:noWrap/>
            <w:vAlign w:val="bottom"/>
            <w:hideMark/>
          </w:tcPr>
          <w:p w14:paraId="0C229744" w14:textId="1827C885" w:rsidR="0066738A" w:rsidRPr="004E5A6E" w:rsidRDefault="0066738A" w:rsidP="00D6295F">
            <w:pPr>
              <w:spacing w:line="276" w:lineRule="auto"/>
              <w:jc w:val="center"/>
              <w:rPr>
                <w:i/>
                <w:iCs/>
                <w:color w:val="auto"/>
                <w:sz w:val="16"/>
                <w:szCs w:val="16"/>
                <w:lang w:val="sq-AL"/>
              </w:rPr>
            </w:pPr>
            <w:r w:rsidRPr="004E5A6E">
              <w:rPr>
                <w:i/>
                <w:iCs/>
                <w:color w:val="auto"/>
                <w:sz w:val="16"/>
                <w:szCs w:val="16"/>
                <w:lang w:val="sq-AL"/>
              </w:rPr>
              <w:t>-</w:t>
            </w:r>
          </w:p>
        </w:tc>
        <w:tc>
          <w:tcPr>
            <w:tcW w:w="596" w:type="pct"/>
            <w:shd w:val="clear" w:color="auto" w:fill="DEEAF6" w:themeFill="accent1" w:themeFillTint="33"/>
            <w:noWrap/>
            <w:hideMark/>
          </w:tcPr>
          <w:p w14:paraId="2611D429" w14:textId="77777777" w:rsidR="0066738A" w:rsidRPr="004E5A6E" w:rsidRDefault="0066738A" w:rsidP="00D6295F">
            <w:pPr>
              <w:spacing w:line="276" w:lineRule="auto"/>
              <w:rPr>
                <w:i/>
                <w:iCs/>
                <w:color w:val="auto"/>
                <w:sz w:val="16"/>
                <w:szCs w:val="16"/>
                <w:lang w:val="sq-AL"/>
              </w:rPr>
            </w:pPr>
            <w:r w:rsidRPr="004E5A6E">
              <w:rPr>
                <w:i/>
                <w:iCs/>
                <w:color w:val="auto"/>
                <w:sz w:val="16"/>
                <w:szCs w:val="16"/>
                <w:lang w:val="sq-AL"/>
              </w:rPr>
              <w:t>Të rastësisë</w:t>
            </w:r>
          </w:p>
        </w:tc>
        <w:tc>
          <w:tcPr>
            <w:tcW w:w="479" w:type="pct"/>
            <w:shd w:val="clear" w:color="auto" w:fill="DEEAF6" w:themeFill="accent1" w:themeFillTint="33"/>
            <w:noWrap/>
            <w:vAlign w:val="center"/>
          </w:tcPr>
          <w:p w14:paraId="1504F52D"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0.2%</w:t>
            </w:r>
          </w:p>
        </w:tc>
        <w:tc>
          <w:tcPr>
            <w:tcW w:w="441" w:type="pct"/>
            <w:shd w:val="clear" w:color="auto" w:fill="DEEAF6" w:themeFill="accent1" w:themeFillTint="33"/>
            <w:noWrap/>
            <w:vAlign w:val="center"/>
          </w:tcPr>
          <w:p w14:paraId="7A3E6F60"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-34.9%</w:t>
            </w:r>
          </w:p>
        </w:tc>
        <w:tc>
          <w:tcPr>
            <w:tcW w:w="622" w:type="pct"/>
            <w:gridSpan w:val="2"/>
            <w:shd w:val="clear" w:color="auto" w:fill="DEEAF6" w:themeFill="accent1" w:themeFillTint="33"/>
            <w:noWrap/>
            <w:vAlign w:val="center"/>
          </w:tcPr>
          <w:p w14:paraId="4843A046"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-34.0%</w:t>
            </w:r>
          </w:p>
        </w:tc>
        <w:tc>
          <w:tcPr>
            <w:tcW w:w="337" w:type="pct"/>
            <w:shd w:val="clear" w:color="auto" w:fill="DEEAF6" w:themeFill="accent1" w:themeFillTint="33"/>
            <w:noWrap/>
            <w:vAlign w:val="center"/>
          </w:tcPr>
          <w:p w14:paraId="65687492"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-5.8%</w:t>
            </w:r>
          </w:p>
        </w:tc>
        <w:tc>
          <w:tcPr>
            <w:tcW w:w="314" w:type="pct"/>
            <w:shd w:val="clear" w:color="auto" w:fill="DEEAF6" w:themeFill="accent1" w:themeFillTint="33"/>
            <w:vAlign w:val="center"/>
          </w:tcPr>
          <w:p w14:paraId="734CE864"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-19.3%</w:t>
            </w:r>
          </w:p>
        </w:tc>
      </w:tr>
      <w:tr w:rsidR="008E7336" w:rsidRPr="004E5A6E" w14:paraId="3C290827" w14:textId="77777777" w:rsidTr="00EE37A9">
        <w:trPr>
          <w:trHeight w:hRule="exact" w:val="208"/>
        </w:trPr>
        <w:tc>
          <w:tcPr>
            <w:tcW w:w="1076" w:type="pct"/>
            <w:shd w:val="clear" w:color="auto" w:fill="DEEAF6" w:themeFill="accent1" w:themeFillTint="33"/>
            <w:noWrap/>
            <w:hideMark/>
          </w:tcPr>
          <w:p w14:paraId="018930BA" w14:textId="77777777" w:rsidR="0066738A" w:rsidRPr="004E5A6E" w:rsidRDefault="0066738A" w:rsidP="00D6295F">
            <w:pPr>
              <w:spacing w:line="276" w:lineRule="auto"/>
              <w:rPr>
                <w:b/>
                <w:bCs/>
                <w:color w:val="auto"/>
                <w:sz w:val="16"/>
                <w:szCs w:val="16"/>
                <w:lang w:val="sq-AL"/>
              </w:rPr>
            </w:pPr>
            <w:r w:rsidRPr="004E5A6E">
              <w:rPr>
                <w:b/>
                <w:bCs/>
                <w:color w:val="auto"/>
                <w:sz w:val="16"/>
                <w:szCs w:val="16"/>
                <w:lang w:val="sq-AL"/>
              </w:rPr>
              <w:t>Importet e G&amp;S</w:t>
            </w:r>
          </w:p>
        </w:tc>
        <w:tc>
          <w:tcPr>
            <w:tcW w:w="156" w:type="pct"/>
            <w:shd w:val="clear" w:color="auto" w:fill="DEEAF6" w:themeFill="accent1" w:themeFillTint="33"/>
          </w:tcPr>
          <w:p w14:paraId="7F891D6A" w14:textId="77777777" w:rsidR="0066738A" w:rsidRPr="004E5A6E" w:rsidRDefault="0066738A" w:rsidP="00D6295F">
            <w:pPr>
              <w:spacing w:line="276" w:lineRule="auto"/>
              <w:jc w:val="center"/>
              <w:rPr>
                <w:i/>
                <w:iCs/>
                <w:color w:val="auto"/>
                <w:sz w:val="16"/>
                <w:szCs w:val="16"/>
                <w:lang w:val="sq-AL"/>
              </w:rPr>
            </w:pPr>
          </w:p>
        </w:tc>
        <w:tc>
          <w:tcPr>
            <w:tcW w:w="979" w:type="pct"/>
            <w:shd w:val="clear" w:color="auto" w:fill="DEEAF6" w:themeFill="accent1" w:themeFillTint="33"/>
            <w:noWrap/>
            <w:vAlign w:val="bottom"/>
            <w:hideMark/>
          </w:tcPr>
          <w:p w14:paraId="071F079F" w14:textId="5C1A7F0E" w:rsidR="0066738A" w:rsidRPr="004E5A6E" w:rsidRDefault="0066738A" w:rsidP="00D6295F">
            <w:pPr>
              <w:spacing w:line="276" w:lineRule="auto"/>
              <w:jc w:val="center"/>
              <w:rPr>
                <w:i/>
                <w:iCs/>
                <w:color w:val="auto"/>
                <w:sz w:val="16"/>
                <w:szCs w:val="16"/>
                <w:lang w:val="sq-AL"/>
              </w:rPr>
            </w:pPr>
            <w:r w:rsidRPr="004E5A6E">
              <w:rPr>
                <w:i/>
                <w:iCs/>
                <w:color w:val="auto"/>
                <w:sz w:val="16"/>
                <w:szCs w:val="16"/>
                <w:lang w:val="sq-AL"/>
              </w:rPr>
              <w:t>-</w:t>
            </w:r>
          </w:p>
        </w:tc>
        <w:tc>
          <w:tcPr>
            <w:tcW w:w="596" w:type="pct"/>
            <w:shd w:val="clear" w:color="auto" w:fill="DEEAF6" w:themeFill="accent1" w:themeFillTint="33"/>
            <w:noWrap/>
            <w:hideMark/>
          </w:tcPr>
          <w:p w14:paraId="4C740D25" w14:textId="77777777" w:rsidR="0066738A" w:rsidRPr="004E5A6E" w:rsidRDefault="0066738A" w:rsidP="00D6295F">
            <w:pPr>
              <w:spacing w:line="276" w:lineRule="auto"/>
              <w:rPr>
                <w:i/>
                <w:iCs/>
                <w:color w:val="auto"/>
                <w:sz w:val="16"/>
                <w:szCs w:val="16"/>
                <w:lang w:val="sq-AL"/>
              </w:rPr>
            </w:pPr>
            <w:r w:rsidRPr="004E5A6E">
              <w:rPr>
                <w:i/>
                <w:iCs/>
                <w:color w:val="auto"/>
                <w:sz w:val="16"/>
                <w:szCs w:val="16"/>
                <w:lang w:val="sq-AL"/>
              </w:rPr>
              <w:t>Të rastësisë</w:t>
            </w:r>
          </w:p>
        </w:tc>
        <w:tc>
          <w:tcPr>
            <w:tcW w:w="479" w:type="pct"/>
            <w:shd w:val="clear" w:color="auto" w:fill="DEEAF6" w:themeFill="accent1" w:themeFillTint="33"/>
            <w:noWrap/>
            <w:vAlign w:val="center"/>
          </w:tcPr>
          <w:p w14:paraId="1B291421"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4.7%</w:t>
            </w:r>
          </w:p>
        </w:tc>
        <w:tc>
          <w:tcPr>
            <w:tcW w:w="441" w:type="pct"/>
            <w:shd w:val="clear" w:color="auto" w:fill="DEEAF6" w:themeFill="accent1" w:themeFillTint="33"/>
            <w:noWrap/>
            <w:vAlign w:val="center"/>
          </w:tcPr>
          <w:p w14:paraId="11F60351"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4.4%</w:t>
            </w:r>
          </w:p>
        </w:tc>
        <w:tc>
          <w:tcPr>
            <w:tcW w:w="622" w:type="pct"/>
            <w:gridSpan w:val="2"/>
            <w:shd w:val="clear" w:color="auto" w:fill="DEEAF6" w:themeFill="accent1" w:themeFillTint="33"/>
            <w:noWrap/>
            <w:vAlign w:val="center"/>
          </w:tcPr>
          <w:p w14:paraId="25E9FF49"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-21.5%</w:t>
            </w:r>
          </w:p>
        </w:tc>
        <w:tc>
          <w:tcPr>
            <w:tcW w:w="337" w:type="pct"/>
            <w:shd w:val="clear" w:color="auto" w:fill="DEEAF6" w:themeFill="accent1" w:themeFillTint="33"/>
            <w:noWrap/>
            <w:vAlign w:val="center"/>
          </w:tcPr>
          <w:p w14:paraId="1CF36A97"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-20.0%</w:t>
            </w:r>
          </w:p>
        </w:tc>
        <w:tc>
          <w:tcPr>
            <w:tcW w:w="314" w:type="pct"/>
            <w:shd w:val="clear" w:color="auto" w:fill="DEEAF6" w:themeFill="accent1" w:themeFillTint="33"/>
            <w:vAlign w:val="center"/>
          </w:tcPr>
          <w:p w14:paraId="414CD8E1" w14:textId="77777777" w:rsidR="0066738A" w:rsidRPr="004E5A6E" w:rsidRDefault="0066738A" w:rsidP="00D6295F">
            <w:pPr>
              <w:spacing w:line="276" w:lineRule="auto"/>
              <w:jc w:val="center"/>
              <w:rPr>
                <w:color w:val="auto"/>
                <w:sz w:val="16"/>
                <w:szCs w:val="16"/>
                <w:lang w:val="sq-AL"/>
              </w:rPr>
            </w:pPr>
          </w:p>
        </w:tc>
      </w:tr>
      <w:tr w:rsidR="008E7336" w:rsidRPr="004E5A6E" w14:paraId="4EE3B4E8" w14:textId="77777777" w:rsidTr="00EE37A9">
        <w:trPr>
          <w:trHeight w:hRule="exact" w:val="208"/>
        </w:trPr>
        <w:tc>
          <w:tcPr>
            <w:tcW w:w="1076" w:type="pct"/>
            <w:shd w:val="clear" w:color="auto" w:fill="DEEAF6" w:themeFill="accent1" w:themeFillTint="33"/>
            <w:noWrap/>
            <w:hideMark/>
          </w:tcPr>
          <w:p w14:paraId="0D2AA6E6" w14:textId="77777777" w:rsidR="0066738A" w:rsidRPr="004E5A6E" w:rsidRDefault="0066738A" w:rsidP="00D6295F">
            <w:pPr>
              <w:spacing w:line="276" w:lineRule="auto"/>
              <w:rPr>
                <w:b/>
                <w:bCs/>
                <w:color w:val="auto"/>
                <w:sz w:val="16"/>
                <w:szCs w:val="16"/>
                <w:lang w:val="sq-AL"/>
              </w:rPr>
            </w:pPr>
            <w:r w:rsidRPr="004E5A6E">
              <w:rPr>
                <w:b/>
                <w:bCs/>
                <w:color w:val="auto"/>
                <w:sz w:val="16"/>
                <w:szCs w:val="16"/>
                <w:lang w:val="sq-AL"/>
              </w:rPr>
              <w:t>Eksportet e G&amp;S</w:t>
            </w:r>
          </w:p>
        </w:tc>
        <w:tc>
          <w:tcPr>
            <w:tcW w:w="156" w:type="pct"/>
            <w:shd w:val="clear" w:color="auto" w:fill="DEEAF6" w:themeFill="accent1" w:themeFillTint="33"/>
          </w:tcPr>
          <w:p w14:paraId="3DFB1A2C" w14:textId="77777777" w:rsidR="0066738A" w:rsidRPr="004E5A6E" w:rsidRDefault="0066738A" w:rsidP="00D6295F">
            <w:pPr>
              <w:spacing w:line="276" w:lineRule="auto"/>
              <w:jc w:val="center"/>
              <w:rPr>
                <w:i/>
                <w:iCs/>
                <w:color w:val="auto"/>
                <w:sz w:val="16"/>
                <w:szCs w:val="16"/>
                <w:lang w:val="sq-AL"/>
              </w:rPr>
            </w:pPr>
          </w:p>
        </w:tc>
        <w:tc>
          <w:tcPr>
            <w:tcW w:w="979" w:type="pct"/>
            <w:shd w:val="clear" w:color="auto" w:fill="DEEAF6" w:themeFill="accent1" w:themeFillTint="33"/>
            <w:noWrap/>
            <w:vAlign w:val="bottom"/>
            <w:hideMark/>
          </w:tcPr>
          <w:p w14:paraId="38517A28" w14:textId="4A3A69D6" w:rsidR="0066738A" w:rsidRPr="004E5A6E" w:rsidRDefault="0066738A" w:rsidP="00D6295F">
            <w:pPr>
              <w:spacing w:line="276" w:lineRule="auto"/>
              <w:jc w:val="center"/>
              <w:rPr>
                <w:i/>
                <w:iCs/>
                <w:color w:val="auto"/>
                <w:sz w:val="16"/>
                <w:szCs w:val="16"/>
                <w:lang w:val="sq-AL"/>
              </w:rPr>
            </w:pPr>
            <w:r w:rsidRPr="004E5A6E">
              <w:rPr>
                <w:i/>
                <w:iCs/>
                <w:color w:val="auto"/>
                <w:sz w:val="16"/>
                <w:szCs w:val="16"/>
                <w:lang w:val="sq-AL"/>
              </w:rPr>
              <w:t>-</w:t>
            </w:r>
          </w:p>
        </w:tc>
        <w:tc>
          <w:tcPr>
            <w:tcW w:w="596" w:type="pct"/>
            <w:shd w:val="clear" w:color="auto" w:fill="DEEAF6" w:themeFill="accent1" w:themeFillTint="33"/>
            <w:noWrap/>
            <w:hideMark/>
          </w:tcPr>
          <w:p w14:paraId="28C817A4" w14:textId="77777777" w:rsidR="0066738A" w:rsidRPr="004E5A6E" w:rsidRDefault="0066738A" w:rsidP="00D6295F">
            <w:pPr>
              <w:spacing w:line="276" w:lineRule="auto"/>
              <w:rPr>
                <w:i/>
                <w:iCs/>
                <w:color w:val="auto"/>
                <w:sz w:val="16"/>
                <w:szCs w:val="16"/>
                <w:lang w:val="sq-AL"/>
              </w:rPr>
            </w:pPr>
            <w:r w:rsidRPr="004E5A6E">
              <w:rPr>
                <w:i/>
                <w:iCs/>
                <w:color w:val="auto"/>
                <w:sz w:val="16"/>
                <w:szCs w:val="16"/>
                <w:lang w:val="sq-AL"/>
              </w:rPr>
              <w:t>Të rastësisë</w:t>
            </w:r>
          </w:p>
        </w:tc>
        <w:tc>
          <w:tcPr>
            <w:tcW w:w="479" w:type="pct"/>
            <w:shd w:val="clear" w:color="auto" w:fill="DEEAF6" w:themeFill="accent1" w:themeFillTint="33"/>
            <w:noWrap/>
            <w:vAlign w:val="center"/>
          </w:tcPr>
          <w:p w14:paraId="1F3FB084"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4.4%</w:t>
            </w:r>
          </w:p>
        </w:tc>
        <w:tc>
          <w:tcPr>
            <w:tcW w:w="441" w:type="pct"/>
            <w:shd w:val="clear" w:color="auto" w:fill="DEEAF6" w:themeFill="accent1" w:themeFillTint="33"/>
            <w:noWrap/>
            <w:vAlign w:val="center"/>
          </w:tcPr>
          <w:p w14:paraId="69638BCC"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5.4%</w:t>
            </w:r>
          </w:p>
        </w:tc>
        <w:tc>
          <w:tcPr>
            <w:tcW w:w="622" w:type="pct"/>
            <w:gridSpan w:val="2"/>
            <w:shd w:val="clear" w:color="auto" w:fill="DEEAF6" w:themeFill="accent1" w:themeFillTint="33"/>
            <w:noWrap/>
            <w:vAlign w:val="center"/>
          </w:tcPr>
          <w:p w14:paraId="2AF6F4C4" w14:textId="77777777" w:rsidR="0066738A" w:rsidRPr="004E5A6E" w:rsidRDefault="0066738A" w:rsidP="00D6295F">
            <w:pPr>
              <w:spacing w:line="276" w:lineRule="auto"/>
              <w:jc w:val="center"/>
              <w:rPr>
                <w:color w:val="FF0000"/>
                <w:sz w:val="16"/>
                <w:szCs w:val="16"/>
                <w:lang w:val="sq-AL"/>
              </w:rPr>
            </w:pPr>
            <w:r w:rsidRPr="004E5A6E">
              <w:rPr>
                <w:color w:val="FF0000"/>
                <w:sz w:val="16"/>
                <w:szCs w:val="16"/>
                <w:lang w:val="sq-AL"/>
              </w:rPr>
              <w:t>-43.9%</w:t>
            </w:r>
          </w:p>
        </w:tc>
        <w:tc>
          <w:tcPr>
            <w:tcW w:w="337" w:type="pct"/>
            <w:shd w:val="clear" w:color="auto" w:fill="DEEAF6" w:themeFill="accent1" w:themeFillTint="33"/>
            <w:noWrap/>
            <w:vAlign w:val="center"/>
          </w:tcPr>
          <w:p w14:paraId="5F18CD02"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-55.3%</w:t>
            </w:r>
          </w:p>
        </w:tc>
        <w:tc>
          <w:tcPr>
            <w:tcW w:w="314" w:type="pct"/>
            <w:shd w:val="clear" w:color="auto" w:fill="DEEAF6" w:themeFill="accent1" w:themeFillTint="33"/>
            <w:vAlign w:val="center"/>
          </w:tcPr>
          <w:p w14:paraId="557D9C58" w14:textId="77777777" w:rsidR="0066738A" w:rsidRPr="004E5A6E" w:rsidRDefault="0066738A" w:rsidP="00D6295F">
            <w:pPr>
              <w:spacing w:line="276" w:lineRule="auto"/>
              <w:jc w:val="center"/>
              <w:rPr>
                <w:color w:val="auto"/>
                <w:sz w:val="16"/>
                <w:szCs w:val="16"/>
                <w:lang w:val="sq-AL"/>
              </w:rPr>
            </w:pPr>
          </w:p>
        </w:tc>
      </w:tr>
      <w:tr w:rsidR="008E7336" w:rsidRPr="004E5A6E" w14:paraId="7B186D0B" w14:textId="77777777" w:rsidTr="00EE37A9">
        <w:trPr>
          <w:trHeight w:hRule="exact" w:val="208"/>
        </w:trPr>
        <w:tc>
          <w:tcPr>
            <w:tcW w:w="1076" w:type="pct"/>
            <w:shd w:val="clear" w:color="auto" w:fill="DEEAF6" w:themeFill="accent1" w:themeFillTint="33"/>
            <w:noWrap/>
            <w:hideMark/>
          </w:tcPr>
          <w:p w14:paraId="10A0196D" w14:textId="77777777" w:rsidR="0066738A" w:rsidRPr="004E5A6E" w:rsidRDefault="0066738A" w:rsidP="00D6295F">
            <w:pPr>
              <w:spacing w:line="276" w:lineRule="auto"/>
              <w:rPr>
                <w:b/>
                <w:bCs/>
                <w:color w:val="auto"/>
                <w:sz w:val="16"/>
                <w:szCs w:val="16"/>
                <w:lang w:val="sq-AL"/>
              </w:rPr>
            </w:pPr>
            <w:r w:rsidRPr="004E5A6E">
              <w:rPr>
                <w:b/>
                <w:bCs/>
                <w:color w:val="auto"/>
                <w:sz w:val="16"/>
                <w:szCs w:val="16"/>
                <w:lang w:val="sq-AL"/>
              </w:rPr>
              <w:t>Importet e Mallrave Kapitale</w:t>
            </w:r>
          </w:p>
        </w:tc>
        <w:tc>
          <w:tcPr>
            <w:tcW w:w="156" w:type="pct"/>
            <w:shd w:val="clear" w:color="auto" w:fill="DEEAF6" w:themeFill="accent1" w:themeFillTint="33"/>
          </w:tcPr>
          <w:p w14:paraId="469284DE" w14:textId="77777777" w:rsidR="0066738A" w:rsidRPr="004E5A6E" w:rsidRDefault="0066738A" w:rsidP="00D6295F">
            <w:pPr>
              <w:rPr>
                <w:i/>
                <w:iCs/>
                <w:color w:val="auto"/>
                <w:sz w:val="16"/>
                <w:szCs w:val="16"/>
                <w:lang w:val="sq-AL"/>
              </w:rPr>
            </w:pPr>
          </w:p>
        </w:tc>
        <w:tc>
          <w:tcPr>
            <w:tcW w:w="979" w:type="pct"/>
            <w:shd w:val="clear" w:color="auto" w:fill="DEEAF6" w:themeFill="accent1" w:themeFillTint="33"/>
            <w:noWrap/>
            <w:hideMark/>
          </w:tcPr>
          <w:p w14:paraId="68FC28B6" w14:textId="6527E53F" w:rsidR="0066738A" w:rsidRPr="004E5A6E" w:rsidRDefault="0066738A" w:rsidP="00D6295F">
            <w:pPr>
              <w:rPr>
                <w:i/>
                <w:iCs/>
                <w:color w:val="auto"/>
                <w:sz w:val="16"/>
                <w:szCs w:val="16"/>
                <w:lang w:val="sq-AL"/>
              </w:rPr>
            </w:pPr>
            <w:r w:rsidRPr="004E5A6E">
              <w:rPr>
                <w:i/>
                <w:iCs/>
                <w:color w:val="auto"/>
                <w:sz w:val="16"/>
                <w:szCs w:val="16"/>
                <w:lang w:val="sq-AL"/>
              </w:rPr>
              <w:t>Investime</w:t>
            </w:r>
          </w:p>
        </w:tc>
        <w:tc>
          <w:tcPr>
            <w:tcW w:w="596" w:type="pct"/>
            <w:shd w:val="clear" w:color="auto" w:fill="DEEAF6" w:themeFill="accent1" w:themeFillTint="33"/>
            <w:noWrap/>
            <w:hideMark/>
          </w:tcPr>
          <w:p w14:paraId="2CB2BE36" w14:textId="77777777" w:rsidR="0066738A" w:rsidRPr="004E5A6E" w:rsidRDefault="0066738A" w:rsidP="00D6295F">
            <w:pPr>
              <w:spacing w:line="276" w:lineRule="auto"/>
              <w:rPr>
                <w:i/>
                <w:iCs/>
                <w:color w:val="auto"/>
                <w:sz w:val="16"/>
                <w:szCs w:val="16"/>
                <w:lang w:val="sq-AL"/>
              </w:rPr>
            </w:pPr>
            <w:r w:rsidRPr="004E5A6E">
              <w:rPr>
                <w:i/>
                <w:iCs/>
                <w:color w:val="auto"/>
                <w:sz w:val="16"/>
                <w:szCs w:val="16"/>
                <w:lang w:val="sq-AL"/>
              </w:rPr>
              <w:t>Kryesorë</w:t>
            </w:r>
          </w:p>
        </w:tc>
        <w:tc>
          <w:tcPr>
            <w:tcW w:w="479" w:type="pct"/>
            <w:shd w:val="clear" w:color="auto" w:fill="DEEAF6" w:themeFill="accent1" w:themeFillTint="33"/>
            <w:noWrap/>
            <w:vAlign w:val="center"/>
          </w:tcPr>
          <w:p w14:paraId="6037ED44"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3.7%</w:t>
            </w:r>
          </w:p>
        </w:tc>
        <w:tc>
          <w:tcPr>
            <w:tcW w:w="441" w:type="pct"/>
            <w:shd w:val="clear" w:color="auto" w:fill="DEEAF6" w:themeFill="accent1" w:themeFillTint="33"/>
            <w:noWrap/>
            <w:vAlign w:val="center"/>
          </w:tcPr>
          <w:p w14:paraId="5C9626C3"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7.4%</w:t>
            </w:r>
          </w:p>
        </w:tc>
        <w:tc>
          <w:tcPr>
            <w:tcW w:w="622" w:type="pct"/>
            <w:gridSpan w:val="2"/>
            <w:shd w:val="clear" w:color="auto" w:fill="DEEAF6" w:themeFill="accent1" w:themeFillTint="33"/>
            <w:noWrap/>
            <w:vAlign w:val="center"/>
          </w:tcPr>
          <w:p w14:paraId="0759F79C"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-16.7%</w:t>
            </w:r>
          </w:p>
        </w:tc>
        <w:tc>
          <w:tcPr>
            <w:tcW w:w="337" w:type="pct"/>
            <w:shd w:val="clear" w:color="auto" w:fill="DEEAF6" w:themeFill="accent1" w:themeFillTint="33"/>
            <w:noWrap/>
            <w:vAlign w:val="center"/>
          </w:tcPr>
          <w:p w14:paraId="217CDD50"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2.6%</w:t>
            </w:r>
          </w:p>
        </w:tc>
        <w:tc>
          <w:tcPr>
            <w:tcW w:w="314" w:type="pct"/>
            <w:shd w:val="clear" w:color="auto" w:fill="DEEAF6" w:themeFill="accent1" w:themeFillTint="33"/>
            <w:vAlign w:val="center"/>
          </w:tcPr>
          <w:p w14:paraId="4E42FE09"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-3.9%</w:t>
            </w:r>
          </w:p>
        </w:tc>
      </w:tr>
      <w:tr w:rsidR="008E7336" w:rsidRPr="004E5A6E" w14:paraId="4F19CBC1" w14:textId="77777777" w:rsidTr="00EE37A9">
        <w:trPr>
          <w:trHeight w:hRule="exact" w:val="208"/>
        </w:trPr>
        <w:tc>
          <w:tcPr>
            <w:tcW w:w="1076" w:type="pct"/>
            <w:shd w:val="clear" w:color="auto" w:fill="DEEAF6" w:themeFill="accent1" w:themeFillTint="33"/>
            <w:noWrap/>
            <w:hideMark/>
          </w:tcPr>
          <w:p w14:paraId="731C2DAA" w14:textId="77777777" w:rsidR="0066738A" w:rsidRPr="004E5A6E" w:rsidRDefault="0066738A" w:rsidP="00D6295F">
            <w:pPr>
              <w:spacing w:line="276" w:lineRule="auto"/>
              <w:rPr>
                <w:b/>
                <w:bCs/>
                <w:color w:val="auto"/>
                <w:sz w:val="16"/>
                <w:szCs w:val="16"/>
                <w:lang w:val="sq-AL"/>
              </w:rPr>
            </w:pPr>
            <w:r w:rsidRPr="004E5A6E">
              <w:rPr>
                <w:b/>
                <w:bCs/>
                <w:color w:val="auto"/>
                <w:sz w:val="16"/>
                <w:szCs w:val="16"/>
                <w:lang w:val="sq-AL"/>
              </w:rPr>
              <w:t>Kredi të reja për investime</w:t>
            </w:r>
          </w:p>
        </w:tc>
        <w:tc>
          <w:tcPr>
            <w:tcW w:w="156" w:type="pct"/>
            <w:shd w:val="clear" w:color="auto" w:fill="DEEAF6" w:themeFill="accent1" w:themeFillTint="33"/>
          </w:tcPr>
          <w:p w14:paraId="63847A92" w14:textId="77777777" w:rsidR="0066738A" w:rsidRPr="004E5A6E" w:rsidRDefault="0066738A" w:rsidP="00D6295F">
            <w:pPr>
              <w:rPr>
                <w:i/>
                <w:iCs/>
                <w:color w:val="auto"/>
                <w:sz w:val="16"/>
                <w:szCs w:val="16"/>
                <w:lang w:val="sq-AL"/>
              </w:rPr>
            </w:pPr>
          </w:p>
        </w:tc>
        <w:tc>
          <w:tcPr>
            <w:tcW w:w="979" w:type="pct"/>
            <w:shd w:val="clear" w:color="auto" w:fill="DEEAF6" w:themeFill="accent1" w:themeFillTint="33"/>
            <w:noWrap/>
            <w:hideMark/>
          </w:tcPr>
          <w:p w14:paraId="1B10B78A" w14:textId="7E001076" w:rsidR="0066738A" w:rsidRPr="004E5A6E" w:rsidRDefault="0066738A" w:rsidP="00D6295F">
            <w:pPr>
              <w:rPr>
                <w:i/>
                <w:iCs/>
                <w:color w:val="auto"/>
                <w:sz w:val="16"/>
                <w:szCs w:val="16"/>
                <w:lang w:val="sq-AL"/>
              </w:rPr>
            </w:pPr>
            <w:r w:rsidRPr="004E5A6E">
              <w:rPr>
                <w:i/>
                <w:iCs/>
                <w:color w:val="auto"/>
                <w:sz w:val="16"/>
                <w:szCs w:val="16"/>
                <w:lang w:val="sq-AL"/>
              </w:rPr>
              <w:t>Investime Private</w:t>
            </w:r>
          </w:p>
        </w:tc>
        <w:tc>
          <w:tcPr>
            <w:tcW w:w="596" w:type="pct"/>
            <w:shd w:val="clear" w:color="auto" w:fill="DEEAF6" w:themeFill="accent1" w:themeFillTint="33"/>
            <w:noWrap/>
            <w:hideMark/>
          </w:tcPr>
          <w:p w14:paraId="6B5DE872" w14:textId="77777777" w:rsidR="0066738A" w:rsidRPr="004E5A6E" w:rsidRDefault="0066738A" w:rsidP="00D6295F">
            <w:pPr>
              <w:spacing w:line="276" w:lineRule="auto"/>
              <w:rPr>
                <w:i/>
                <w:iCs/>
                <w:color w:val="auto"/>
                <w:sz w:val="16"/>
                <w:szCs w:val="16"/>
                <w:lang w:val="sq-AL"/>
              </w:rPr>
            </w:pPr>
            <w:r w:rsidRPr="004E5A6E">
              <w:rPr>
                <w:i/>
                <w:iCs/>
                <w:color w:val="auto"/>
                <w:sz w:val="16"/>
                <w:szCs w:val="16"/>
                <w:lang w:val="sq-AL"/>
              </w:rPr>
              <w:t>Kryesorë</w:t>
            </w:r>
          </w:p>
        </w:tc>
        <w:tc>
          <w:tcPr>
            <w:tcW w:w="479" w:type="pct"/>
            <w:shd w:val="clear" w:color="auto" w:fill="DEEAF6" w:themeFill="accent1" w:themeFillTint="33"/>
            <w:noWrap/>
            <w:vAlign w:val="center"/>
          </w:tcPr>
          <w:p w14:paraId="0CAB49EA"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0.9%</w:t>
            </w:r>
          </w:p>
        </w:tc>
        <w:tc>
          <w:tcPr>
            <w:tcW w:w="441" w:type="pct"/>
            <w:shd w:val="clear" w:color="auto" w:fill="DEEAF6" w:themeFill="accent1" w:themeFillTint="33"/>
            <w:noWrap/>
            <w:vAlign w:val="center"/>
          </w:tcPr>
          <w:p w14:paraId="223F4A16"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66.7%</w:t>
            </w:r>
          </w:p>
        </w:tc>
        <w:tc>
          <w:tcPr>
            <w:tcW w:w="622" w:type="pct"/>
            <w:gridSpan w:val="2"/>
            <w:shd w:val="clear" w:color="auto" w:fill="DEEAF6" w:themeFill="accent1" w:themeFillTint="33"/>
            <w:noWrap/>
            <w:vAlign w:val="center"/>
          </w:tcPr>
          <w:p w14:paraId="7109EAAE"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-33.2%</w:t>
            </w:r>
          </w:p>
        </w:tc>
        <w:tc>
          <w:tcPr>
            <w:tcW w:w="337" w:type="pct"/>
            <w:shd w:val="clear" w:color="auto" w:fill="DEEAF6" w:themeFill="accent1" w:themeFillTint="33"/>
            <w:noWrap/>
            <w:vAlign w:val="center"/>
          </w:tcPr>
          <w:p w14:paraId="247D1A5C"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57.8%</w:t>
            </w:r>
          </w:p>
        </w:tc>
        <w:tc>
          <w:tcPr>
            <w:tcW w:w="314" w:type="pct"/>
            <w:shd w:val="clear" w:color="auto" w:fill="DEEAF6" w:themeFill="accent1" w:themeFillTint="33"/>
            <w:vAlign w:val="center"/>
          </w:tcPr>
          <w:p w14:paraId="6E690CB7" w14:textId="77777777" w:rsidR="0066738A" w:rsidRPr="004E5A6E" w:rsidRDefault="0066738A" w:rsidP="00D6295F">
            <w:pPr>
              <w:spacing w:line="276" w:lineRule="auto"/>
              <w:jc w:val="center"/>
              <w:rPr>
                <w:color w:val="auto"/>
                <w:sz w:val="16"/>
                <w:szCs w:val="16"/>
                <w:lang w:val="sq-AL"/>
              </w:rPr>
            </w:pPr>
          </w:p>
        </w:tc>
      </w:tr>
      <w:tr w:rsidR="008E7336" w:rsidRPr="004E5A6E" w14:paraId="6668B3B5" w14:textId="77777777" w:rsidTr="00EE37A9">
        <w:trPr>
          <w:trHeight w:hRule="exact" w:val="208"/>
        </w:trPr>
        <w:tc>
          <w:tcPr>
            <w:tcW w:w="1076" w:type="pct"/>
            <w:shd w:val="clear" w:color="auto" w:fill="DEEAF6" w:themeFill="accent1" w:themeFillTint="33"/>
            <w:noWrap/>
            <w:hideMark/>
          </w:tcPr>
          <w:p w14:paraId="2BAA8DF2" w14:textId="77777777" w:rsidR="0066738A" w:rsidRPr="004E5A6E" w:rsidRDefault="0066738A" w:rsidP="00D6295F">
            <w:pPr>
              <w:spacing w:line="276" w:lineRule="auto"/>
              <w:rPr>
                <w:b/>
                <w:bCs/>
                <w:color w:val="auto"/>
                <w:sz w:val="16"/>
                <w:szCs w:val="16"/>
                <w:lang w:val="sq-AL"/>
              </w:rPr>
            </w:pPr>
            <w:r w:rsidRPr="004E5A6E">
              <w:rPr>
                <w:b/>
                <w:bCs/>
                <w:color w:val="auto"/>
                <w:sz w:val="16"/>
                <w:szCs w:val="16"/>
                <w:lang w:val="sq-AL"/>
              </w:rPr>
              <w:t xml:space="preserve">Investim i huaj direkt </w:t>
            </w:r>
          </w:p>
        </w:tc>
        <w:tc>
          <w:tcPr>
            <w:tcW w:w="156" w:type="pct"/>
            <w:shd w:val="clear" w:color="auto" w:fill="DEEAF6" w:themeFill="accent1" w:themeFillTint="33"/>
          </w:tcPr>
          <w:p w14:paraId="1A9CAA71" w14:textId="77777777" w:rsidR="0066738A" w:rsidRPr="004E5A6E" w:rsidRDefault="0066738A" w:rsidP="00D6295F">
            <w:pPr>
              <w:rPr>
                <w:i/>
                <w:iCs/>
                <w:color w:val="auto"/>
                <w:sz w:val="16"/>
                <w:szCs w:val="16"/>
                <w:lang w:val="sq-AL"/>
              </w:rPr>
            </w:pPr>
          </w:p>
        </w:tc>
        <w:tc>
          <w:tcPr>
            <w:tcW w:w="979" w:type="pct"/>
            <w:shd w:val="clear" w:color="auto" w:fill="DEEAF6" w:themeFill="accent1" w:themeFillTint="33"/>
            <w:noWrap/>
            <w:hideMark/>
          </w:tcPr>
          <w:p w14:paraId="491446CB" w14:textId="6C5F2F0B" w:rsidR="0066738A" w:rsidRPr="004E5A6E" w:rsidRDefault="0066738A" w:rsidP="00D6295F">
            <w:pPr>
              <w:rPr>
                <w:i/>
                <w:iCs/>
                <w:color w:val="auto"/>
                <w:sz w:val="16"/>
                <w:szCs w:val="16"/>
                <w:lang w:val="sq-AL"/>
              </w:rPr>
            </w:pPr>
            <w:r w:rsidRPr="004E5A6E">
              <w:rPr>
                <w:i/>
                <w:iCs/>
                <w:color w:val="auto"/>
                <w:sz w:val="16"/>
                <w:szCs w:val="16"/>
                <w:lang w:val="sq-AL"/>
              </w:rPr>
              <w:t>Investime Private</w:t>
            </w:r>
          </w:p>
        </w:tc>
        <w:tc>
          <w:tcPr>
            <w:tcW w:w="596" w:type="pct"/>
            <w:shd w:val="clear" w:color="auto" w:fill="DEEAF6" w:themeFill="accent1" w:themeFillTint="33"/>
            <w:noWrap/>
            <w:hideMark/>
          </w:tcPr>
          <w:p w14:paraId="29ECB755" w14:textId="77777777" w:rsidR="0066738A" w:rsidRPr="004E5A6E" w:rsidRDefault="0066738A" w:rsidP="00D6295F">
            <w:pPr>
              <w:spacing w:line="276" w:lineRule="auto"/>
              <w:rPr>
                <w:i/>
                <w:iCs/>
                <w:color w:val="auto"/>
                <w:sz w:val="16"/>
                <w:szCs w:val="16"/>
                <w:lang w:val="sq-AL"/>
              </w:rPr>
            </w:pPr>
            <w:r w:rsidRPr="004E5A6E">
              <w:rPr>
                <w:i/>
                <w:iCs/>
                <w:color w:val="auto"/>
                <w:sz w:val="16"/>
                <w:szCs w:val="16"/>
                <w:lang w:val="sq-AL"/>
              </w:rPr>
              <w:t>Të rastësisë</w:t>
            </w:r>
          </w:p>
        </w:tc>
        <w:tc>
          <w:tcPr>
            <w:tcW w:w="479" w:type="pct"/>
            <w:shd w:val="clear" w:color="auto" w:fill="DEEAF6" w:themeFill="accent1" w:themeFillTint="33"/>
            <w:noWrap/>
            <w:vAlign w:val="center"/>
          </w:tcPr>
          <w:p w14:paraId="79420CB2"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-6.4%</w:t>
            </w:r>
          </w:p>
        </w:tc>
        <w:tc>
          <w:tcPr>
            <w:tcW w:w="441" w:type="pct"/>
            <w:shd w:val="clear" w:color="auto" w:fill="DEEAF6" w:themeFill="accent1" w:themeFillTint="33"/>
            <w:noWrap/>
            <w:vAlign w:val="center"/>
          </w:tcPr>
          <w:p w14:paraId="75EDFA2D"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49.4%</w:t>
            </w:r>
          </w:p>
        </w:tc>
        <w:tc>
          <w:tcPr>
            <w:tcW w:w="622" w:type="pct"/>
            <w:gridSpan w:val="2"/>
            <w:shd w:val="clear" w:color="auto" w:fill="DEEAF6" w:themeFill="accent1" w:themeFillTint="33"/>
            <w:noWrap/>
            <w:vAlign w:val="center"/>
          </w:tcPr>
          <w:p w14:paraId="45A397BE"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69.1%</w:t>
            </w:r>
          </w:p>
        </w:tc>
        <w:tc>
          <w:tcPr>
            <w:tcW w:w="337" w:type="pct"/>
            <w:shd w:val="clear" w:color="auto" w:fill="DEEAF6" w:themeFill="accent1" w:themeFillTint="33"/>
            <w:noWrap/>
            <w:vAlign w:val="center"/>
          </w:tcPr>
          <w:p w14:paraId="3001368E" w14:textId="77777777" w:rsidR="0066738A" w:rsidRPr="004E5A6E" w:rsidRDefault="0066738A" w:rsidP="00D6295F">
            <w:pPr>
              <w:spacing w:line="276" w:lineRule="auto"/>
              <w:jc w:val="center"/>
              <w:rPr>
                <w:color w:val="auto"/>
                <w:sz w:val="16"/>
                <w:szCs w:val="16"/>
                <w:lang w:val="sq-AL"/>
              </w:rPr>
            </w:pPr>
            <w:r w:rsidRPr="004E5A6E">
              <w:rPr>
                <w:color w:val="auto"/>
                <w:sz w:val="16"/>
                <w:szCs w:val="16"/>
                <w:lang w:val="sq-AL"/>
              </w:rPr>
              <w:t>-38.5%</w:t>
            </w:r>
          </w:p>
        </w:tc>
        <w:tc>
          <w:tcPr>
            <w:tcW w:w="314" w:type="pct"/>
            <w:shd w:val="clear" w:color="auto" w:fill="DEEAF6" w:themeFill="accent1" w:themeFillTint="33"/>
            <w:vAlign w:val="center"/>
          </w:tcPr>
          <w:p w14:paraId="3996B9F5" w14:textId="77777777" w:rsidR="0066738A" w:rsidRPr="004E5A6E" w:rsidRDefault="0066738A" w:rsidP="00D6295F">
            <w:pPr>
              <w:spacing w:line="276" w:lineRule="auto"/>
              <w:jc w:val="center"/>
              <w:rPr>
                <w:color w:val="auto"/>
                <w:sz w:val="16"/>
                <w:szCs w:val="16"/>
                <w:lang w:val="sq-AL"/>
              </w:rPr>
            </w:pPr>
          </w:p>
        </w:tc>
      </w:tr>
      <w:tr w:rsidR="0066738A" w:rsidRPr="004E5A6E" w14:paraId="43AE07C0" w14:textId="77777777" w:rsidTr="00D653CE">
        <w:trPr>
          <w:trHeight w:hRule="exact" w:val="736"/>
        </w:trPr>
        <w:tc>
          <w:tcPr>
            <w:tcW w:w="5000" w:type="pct"/>
            <w:gridSpan w:val="10"/>
            <w:shd w:val="clear" w:color="auto" w:fill="F2F2F2" w:themeFill="background1" w:themeFillShade="F2"/>
          </w:tcPr>
          <w:p w14:paraId="59C32070" w14:textId="074364D4" w:rsidR="0066738A" w:rsidRPr="004E5A6E" w:rsidRDefault="0066738A" w:rsidP="00D6295F">
            <w:pPr>
              <w:spacing w:line="276" w:lineRule="auto"/>
              <w:ind w:left="-98"/>
              <w:rPr>
                <w:i/>
                <w:iCs/>
                <w:color w:val="auto"/>
                <w:sz w:val="16"/>
                <w:szCs w:val="16"/>
                <w:lang w:val="sq-AL"/>
              </w:rPr>
            </w:pPr>
            <w:r w:rsidRPr="004E5A6E">
              <w:rPr>
                <w:i/>
                <w:iCs/>
                <w:color w:val="auto"/>
                <w:sz w:val="16"/>
                <w:szCs w:val="16"/>
                <w:lang w:val="sq-AL"/>
              </w:rPr>
              <w:t>Shënim: Të dhënat në TM3 të vitit 2020 për kreditë e reja të konsumit dhe investimeve; importin dhe eksportin i mallrave dhe shërbimeve dhe për investimet direkte mbulojnë vetëm dy muaj (muajin korrik dhe gusht) ”</w:t>
            </w:r>
          </w:p>
          <w:p w14:paraId="2DC041EE" w14:textId="01DCA8C4" w:rsidR="0066738A" w:rsidRPr="004E5A6E" w:rsidRDefault="0066738A" w:rsidP="00D6295F">
            <w:pPr>
              <w:spacing w:line="276" w:lineRule="auto"/>
              <w:ind w:left="-98"/>
              <w:rPr>
                <w:color w:val="auto"/>
                <w:sz w:val="16"/>
                <w:szCs w:val="16"/>
                <w:lang w:val="sq-AL"/>
              </w:rPr>
            </w:pPr>
            <w:r w:rsidRPr="004E5A6E">
              <w:rPr>
                <w:i/>
                <w:iCs/>
                <w:color w:val="auto"/>
                <w:sz w:val="16"/>
                <w:szCs w:val="16"/>
                <w:lang w:val="sq-AL"/>
              </w:rPr>
              <w:t>Të dhënat në TM4 të vitit 2020 mbulojnë vetëm një muaj (muajin tetor)</w:t>
            </w:r>
          </w:p>
        </w:tc>
      </w:tr>
    </w:tbl>
    <w:p w14:paraId="066C24C0" w14:textId="13E90769" w:rsidR="00EA106B" w:rsidRPr="004E5A6E" w:rsidRDefault="00EA106B" w:rsidP="00EA106B">
      <w:pPr>
        <w:spacing w:before="120" w:after="240" w:line="276" w:lineRule="auto"/>
        <w:jc w:val="both"/>
        <w:rPr>
          <w:color w:val="auto"/>
          <w:lang w:val="sq-AL"/>
        </w:rPr>
      </w:pPr>
      <w:r w:rsidRPr="004E5A6E">
        <w:rPr>
          <w:b/>
          <w:color w:val="auto"/>
          <w:lang w:val="sq-AL"/>
        </w:rPr>
        <w:t xml:space="preserve">BPV-ja sipas </w:t>
      </w:r>
      <w:r w:rsidR="00BC4776" w:rsidRPr="004E5A6E">
        <w:rPr>
          <w:b/>
          <w:color w:val="auto"/>
          <w:lang w:val="sq-AL"/>
        </w:rPr>
        <w:t>metodës</w:t>
      </w:r>
      <w:r w:rsidRPr="004E5A6E">
        <w:rPr>
          <w:b/>
          <w:color w:val="auto"/>
          <w:lang w:val="sq-AL"/>
        </w:rPr>
        <w:t xml:space="preserve"> së prodhimit </w:t>
      </w:r>
      <w:r w:rsidRPr="004E5A6E">
        <w:rPr>
          <w:color w:val="auto"/>
          <w:lang w:val="sq-AL"/>
        </w:rPr>
        <w:t>tregon se aktivitetet ekonomike të cilat kishin kontributin më të lartë negativ në rritje gjatë gjysmës së parë të vitit 2020 ishin ndërtimi (-3,1 pp) dhe transporti (-1.1 pp), të cilët ishin dy sektorët e goditur më së shumti nga masa kufizuese COVID- 19. Ndërsa, aktivitetet e prodhimit kishin një kontribut pozitiv në rritjen reale prej 1.5 pp. Një sektor tjetër që pasqyron efektin e masave të kontrollit janë hotelet dhe restorantet pasi aktiviteti i tyre në gjysmën e parë të vitit ra me më shumë se 37% (kontributi negativ prej 0.4pp). Tregtia, si me pakicë ashtu edhe me shumicë, gjithashtu pati një rritje negative gjatë gjysmës së parë të vitit me rreth 4.1%, dhe kontributi i tyre në BPV ishte -0.5 pp. Shpjegimi kryesor prapa performancës së këtyre sektorëve janë masat e kufizimit të cilat kufizuan aktivitetin e tyre gjatë tremujorit të dytë të vitit 2020.</w:t>
      </w:r>
    </w:p>
    <w:p w14:paraId="7DCA7E9C" w14:textId="77777777" w:rsidR="00EA106B" w:rsidRPr="004E5A6E" w:rsidRDefault="00EA106B" w:rsidP="00EA106B">
      <w:pPr>
        <w:pStyle w:val="Caption"/>
        <w:keepNext/>
        <w:tabs>
          <w:tab w:val="left" w:pos="180"/>
        </w:tabs>
        <w:spacing w:before="120"/>
        <w:jc w:val="both"/>
        <w:rPr>
          <w:rFonts w:ascii="Times New Roman" w:eastAsia="Times New Roman" w:hAnsi="Times New Roman"/>
          <w:b/>
          <w:i w:val="0"/>
          <w:iCs w:val="0"/>
          <w:color w:val="auto"/>
          <w:sz w:val="24"/>
          <w:szCs w:val="24"/>
          <w:lang w:val="sq-AL"/>
        </w:rPr>
      </w:pPr>
      <w:r w:rsidRPr="004E5A6E">
        <w:rPr>
          <w:rFonts w:ascii="Times New Roman" w:eastAsia="Times New Roman" w:hAnsi="Times New Roman"/>
          <w:b/>
          <w:i w:val="0"/>
          <w:iCs w:val="0"/>
          <w:color w:val="auto"/>
          <w:sz w:val="24"/>
          <w:szCs w:val="24"/>
          <w:lang w:val="sq-AL"/>
        </w:rPr>
        <w:t xml:space="preserve">Sipas vlerësimeve të MF-së, ekonomia e Kosovës gjatë vitit aktual pritet të tkurret me rreth 6.7% në terma realë. Ndërsa BPV-ja nominale pritet të bjerë me 6.2% në vit. </w:t>
      </w:r>
    </w:p>
    <w:p w14:paraId="5C6834F6" w14:textId="77777777" w:rsidR="00EA106B" w:rsidRPr="004E5A6E" w:rsidRDefault="00EA106B" w:rsidP="00EA106B">
      <w:pPr>
        <w:spacing w:before="120" w:after="240" w:line="276" w:lineRule="auto"/>
        <w:jc w:val="both"/>
        <w:rPr>
          <w:color w:val="auto"/>
          <w:lang w:val="sq-AL"/>
        </w:rPr>
      </w:pPr>
      <w:r w:rsidRPr="004E5A6E">
        <w:rPr>
          <w:color w:val="auto"/>
          <w:lang w:val="sq-AL"/>
        </w:rPr>
        <w:t xml:space="preserve">Efekti negativ i pandemisë mendohet të ketë arritur kulmin në tremujorin e dytë të vitit 2020, si rezultat i mbylljes së aktiviteteve ekonomike dhe masave të tjera të distancës sociale. Megjithëse gjatë tremujorit të tretë të vitit 2020, ka pasur një lehtësim të masave për të kufizuar përhapjen e pandemisë, masat janë rivendosur në fillim të tremujorit të katërt pas ringjalljes së infeksioneve me COVID. </w:t>
      </w:r>
    </w:p>
    <w:p w14:paraId="24C498CF" w14:textId="77777777" w:rsidR="00EA106B" w:rsidRPr="004E5A6E" w:rsidRDefault="00EA106B" w:rsidP="00EA106B">
      <w:pPr>
        <w:spacing w:before="120" w:after="240" w:line="276" w:lineRule="auto"/>
        <w:jc w:val="both"/>
        <w:rPr>
          <w:color w:val="auto"/>
          <w:lang w:val="sq-AL"/>
        </w:rPr>
      </w:pPr>
      <w:r w:rsidRPr="004E5A6E">
        <w:rPr>
          <w:color w:val="auto"/>
          <w:lang w:val="sq-AL"/>
        </w:rPr>
        <w:t>Rënia me 6.7% e BPV-së reale gjatë vitit 2020 i atribuohet kryesisht rënies së investimeve private (me një kontribut negativ prej rreth 4.1 pikë përqindjeje) dhe rënies së eksporteve të mallrave dhe shërbimeve (me një kontribut negativ prej rreth 4.9 pikë përqindjeje). Kjo e fundit kryesisht i atribuohet pritjeve për një rënie të ndjeshme të eksporteve të shërbimeve, veçanërisht të udhëtimeve (gjë që reflektohet edhe në performancën e deritanishme), ndërsa eksportet e mallrave pritet ta mbyllin vitin me rritje pozitive.</w:t>
      </w:r>
    </w:p>
    <w:p w14:paraId="25271611" w14:textId="77777777" w:rsidR="00EA106B" w:rsidRPr="004E5A6E" w:rsidRDefault="00EA106B" w:rsidP="00EA106B">
      <w:pPr>
        <w:spacing w:before="120" w:after="240" w:line="276" w:lineRule="auto"/>
        <w:jc w:val="both"/>
        <w:rPr>
          <w:color w:val="auto"/>
          <w:lang w:val="sq-AL"/>
        </w:rPr>
      </w:pPr>
      <w:r w:rsidRPr="004E5A6E">
        <w:rPr>
          <w:color w:val="auto"/>
          <w:lang w:val="sq-AL"/>
        </w:rPr>
        <w:t>Konsumi privat gjithashtu pritet të ketë një kontribut negativ në rritjen reale ekonomike, me rreth 0.3 pikë përqindje, si rezultat i të ardhurave më të ulëta në dispozicion, kursime paraprake për shkak të rritjes së pasigurisë së konsumatorit për të ardhmen dhe natyrën e masave kufizuese për të parandaluar përhapjen e COVID-19. Kontributi i konsumit publik pritet të jetë lehtësisht më pozitiv (me rreth 0.18 pikë përqindje). Rritja në kategorinë "paga dhe mëditje" brenda akomodimit të një sërë masash emergjente pritet të kompensohet pjesërisht nga shpenzimet më të ulëta për mallra dhe shërbime.</w:t>
      </w:r>
    </w:p>
    <w:p w14:paraId="67864DFC" w14:textId="77777777" w:rsidR="00EA106B" w:rsidRPr="004E5A6E" w:rsidRDefault="00EA106B" w:rsidP="00EA106B">
      <w:pPr>
        <w:spacing w:before="120" w:after="240" w:line="276" w:lineRule="auto"/>
        <w:jc w:val="both"/>
        <w:rPr>
          <w:color w:val="auto"/>
          <w:lang w:val="sq-AL"/>
        </w:rPr>
      </w:pPr>
      <w:r w:rsidRPr="004E5A6E">
        <w:rPr>
          <w:color w:val="auto"/>
          <w:lang w:val="sq-AL"/>
        </w:rPr>
        <w:t>Investimet publike pritet të ngadalësohen krahasuar me vitin e kaluar (me një kontribut negativ në rritjen ekonomike prej rreth 1.7 pikë përqindjeje), si rezultat i situatës së krijuar nga COVID-19 dhe si rezultat i vitit të mëparshëm i karakterizuar me ngërçe politike, gjë që çoi në vonesa të miratimit të Ligjit të Buxhetit për vitin 2020.</w:t>
      </w:r>
    </w:p>
    <w:p w14:paraId="266AA526" w14:textId="77777777" w:rsidR="00EA106B" w:rsidRPr="004E5A6E" w:rsidRDefault="00EA106B" w:rsidP="00EA106B">
      <w:pPr>
        <w:spacing w:before="120" w:after="240" w:line="276" w:lineRule="auto"/>
        <w:jc w:val="both"/>
        <w:rPr>
          <w:color w:val="auto"/>
          <w:lang w:val="sq-AL"/>
        </w:rPr>
      </w:pPr>
      <w:r w:rsidRPr="004E5A6E">
        <w:rPr>
          <w:color w:val="auto"/>
          <w:lang w:val="sq-AL"/>
        </w:rPr>
        <w:t>Importet e mallrave dhe shërbimeve pritet të bien në krahasim me 2019 si rezultat i rënies së aktivitetit ekonomik të shkaktuar nga COVID-19 dhe pasigurive që ai ka sjellë. Si rezultat, kontributi i importeve totale në rritjen ekonomike pritet të jetë rreth 4.0 pikë përqindje.</w:t>
      </w:r>
      <w:r w:rsidRPr="004E5A6E">
        <w:rPr>
          <w:lang w:val="sq-AL"/>
        </w:rPr>
        <w:t xml:space="preserve"> </w:t>
      </w:r>
      <w:r w:rsidRPr="004E5A6E">
        <w:rPr>
          <w:color w:val="auto"/>
          <w:lang w:val="sq-AL"/>
        </w:rPr>
        <w:t>Kjo kryesisht pasqyron rënien e dy nën-përbërësve: i) rënia e mallrave në përputhje me rënien e vlerësuar të konsumit dhe investimeve; dhe ii) rënia e shërbimeve (veçanërisht të udhëtimeve) për shkak të kufizimeve të udhëtimit.</w:t>
      </w:r>
    </w:p>
    <w:p w14:paraId="644E6C28" w14:textId="77777777" w:rsidR="00EA106B" w:rsidRPr="004E5A6E" w:rsidRDefault="00EA106B" w:rsidP="00EA106B">
      <w:pPr>
        <w:spacing w:line="276" w:lineRule="auto"/>
        <w:jc w:val="both"/>
        <w:rPr>
          <w:color w:val="auto"/>
          <w:lang w:val="sq-AL"/>
        </w:rPr>
      </w:pPr>
      <w:r w:rsidRPr="004E5A6E">
        <w:rPr>
          <w:b/>
          <w:color w:val="auto"/>
          <w:lang w:val="sq-AL"/>
        </w:rPr>
        <w:t xml:space="preserve">Inflacioni i Çmimit të Konsumatorit </w:t>
      </w:r>
      <w:r w:rsidRPr="004E5A6E">
        <w:rPr>
          <w:color w:val="auto"/>
          <w:lang w:val="sq-AL"/>
        </w:rPr>
        <w:t>u rrit mesatarisht me 0.3% në periudhën janar-shtator 2020, me një trend mujor në rënie (me një normë pozitive prej 1.5% në janar dhe me një normë negative prej -0.4% në shtator). Kontributi kryesor pozitiv gjatë kësaj periudhe erdhi nga kategoria "Ushqime dhe Pije Jo-alkoolike", veçanërisht nga kategoria "bukë dhe drithëra", "mish"; dhe "fruta". Kategoria "Transport" (veçanërisht shërbimet e transportit) ka pasur një kontribut të rëndësishëm negativ në inflacion duke qenë në përputhje me zhvillimet e çmimit të naftës në tregjet ndërkombëtare gjatë kësaj periudhe dhe rënien e aktivitetit ekonomik. Presionet deflacioniste i atribuohen gjithashtu heqjes së tarifës 100% për produktet e importuara nga Serbia dhe Bosnja &amp; # 38; Hercegovina.</w:t>
      </w:r>
    </w:p>
    <w:p w14:paraId="2F983411" w14:textId="27F8048A" w:rsidR="00EA106B" w:rsidRPr="004E5A6E" w:rsidRDefault="00EA106B" w:rsidP="00EA106B">
      <w:pPr>
        <w:pStyle w:val="Caption"/>
        <w:shd w:val="clear" w:color="auto" w:fill="FFFFFF" w:themeFill="background1"/>
        <w:spacing w:before="240" w:after="0"/>
        <w:jc w:val="both"/>
        <w:rPr>
          <w:rFonts w:ascii="Times New Roman" w:hAnsi="Times New Roman"/>
          <w:i w:val="0"/>
          <w:iCs w:val="0"/>
          <w:color w:val="auto"/>
          <w:sz w:val="24"/>
          <w:szCs w:val="22"/>
          <w:highlight w:val="yellow"/>
          <w:shd w:val="clear" w:color="auto" w:fill="FFFFFF"/>
          <w:lang w:val="sq-AL"/>
        </w:rPr>
      </w:pPr>
      <w:r w:rsidRPr="004E5A6E">
        <w:rPr>
          <w:rFonts w:ascii="Times New Roman" w:hAnsi="Times New Roman"/>
          <w:i w:val="0"/>
          <w:iCs w:val="0"/>
          <w:color w:val="auto"/>
          <w:sz w:val="24"/>
          <w:szCs w:val="22"/>
          <w:shd w:val="clear" w:color="auto" w:fill="FFFFFF"/>
          <w:lang w:val="sq-AL"/>
        </w:rPr>
        <w:t>Inflacioni bazë</w:t>
      </w:r>
      <w:r w:rsidRPr="004E5A6E">
        <w:rPr>
          <w:rStyle w:val="FootnoteReference"/>
          <w:rFonts w:ascii="Times New Roman" w:hAnsi="Times New Roman"/>
          <w:i w:val="0"/>
          <w:iCs w:val="0"/>
          <w:color w:val="auto"/>
          <w:sz w:val="24"/>
          <w:szCs w:val="22"/>
          <w:shd w:val="clear" w:color="auto" w:fill="FFFFFF"/>
          <w:lang w:val="sq-AL"/>
        </w:rPr>
        <w:footnoteReference w:id="5"/>
      </w:r>
      <w:r w:rsidRPr="004E5A6E">
        <w:rPr>
          <w:rFonts w:ascii="Times New Roman" w:hAnsi="Times New Roman"/>
          <w:i w:val="0"/>
          <w:iCs w:val="0"/>
          <w:color w:val="auto"/>
          <w:sz w:val="24"/>
          <w:szCs w:val="22"/>
          <w:shd w:val="clear" w:color="auto" w:fill="FFFFFF"/>
          <w:lang w:val="sq-AL"/>
        </w:rPr>
        <w:t xml:space="preserve"> i matur në tre tremujorët e parë të vitit 2020, duke përjashtuar kategoritë e tilla si "ushqim dhe pije joalkoolike" dhe "transport", ka shënuar një rritje mesatare vjetore prej 0.7%, ndërsa kur përjashton vetëm kategorinë "transport", inflacioni bazë vlerësohet të jetë rreth 1.1%. Të dy </w:t>
      </w:r>
      <w:r w:rsidR="00BC4776" w:rsidRPr="004E5A6E">
        <w:rPr>
          <w:rFonts w:ascii="Times New Roman" w:hAnsi="Times New Roman"/>
          <w:i w:val="0"/>
          <w:iCs w:val="0"/>
          <w:color w:val="auto"/>
          <w:sz w:val="24"/>
          <w:szCs w:val="22"/>
          <w:shd w:val="clear" w:color="auto" w:fill="FFFFFF"/>
          <w:lang w:val="sq-AL"/>
        </w:rPr>
        <w:t>matjet për inflacionin bazë</w:t>
      </w:r>
      <w:r w:rsidRPr="004E5A6E">
        <w:rPr>
          <w:rFonts w:ascii="Times New Roman" w:hAnsi="Times New Roman"/>
          <w:i w:val="0"/>
          <w:iCs w:val="0"/>
          <w:color w:val="auto"/>
          <w:sz w:val="24"/>
          <w:szCs w:val="22"/>
          <w:shd w:val="clear" w:color="auto" w:fill="FFFFFF"/>
          <w:lang w:val="sq-AL"/>
        </w:rPr>
        <w:t xml:space="preserve"> janë më të larta se inflacioni total (mesatarisht 0.3%), kjo e fundit </w:t>
      </w:r>
      <w:r w:rsidR="00BC4776" w:rsidRPr="004E5A6E">
        <w:rPr>
          <w:rFonts w:ascii="Times New Roman" w:hAnsi="Times New Roman"/>
          <w:i w:val="0"/>
          <w:iCs w:val="0"/>
          <w:color w:val="auto"/>
          <w:sz w:val="24"/>
          <w:szCs w:val="22"/>
          <w:shd w:val="clear" w:color="auto" w:fill="FFFFFF"/>
          <w:lang w:val="sq-AL"/>
        </w:rPr>
        <w:t>është luhatur në</w:t>
      </w:r>
      <w:r w:rsidRPr="004E5A6E">
        <w:rPr>
          <w:rFonts w:ascii="Times New Roman" w:hAnsi="Times New Roman"/>
          <w:i w:val="0"/>
          <w:iCs w:val="0"/>
          <w:color w:val="auto"/>
          <w:sz w:val="24"/>
          <w:szCs w:val="22"/>
          <w:shd w:val="clear" w:color="auto" w:fill="FFFFFF"/>
          <w:lang w:val="sq-AL"/>
        </w:rPr>
        <w:t xml:space="preserve"> territorin negativ për shkak të rënies së madhe të çmimeve të energjisë, veçanërisht në tremujorin e dytë. </w:t>
      </w:r>
      <w:r w:rsidR="00BC4776" w:rsidRPr="004E5A6E">
        <w:rPr>
          <w:rFonts w:ascii="Times New Roman" w:hAnsi="Times New Roman"/>
          <w:i w:val="0"/>
          <w:iCs w:val="0"/>
          <w:color w:val="auto"/>
          <w:sz w:val="24"/>
          <w:szCs w:val="22"/>
          <w:shd w:val="clear" w:color="auto" w:fill="FFFFFF"/>
          <w:lang w:val="sq-AL"/>
        </w:rPr>
        <w:t>Megjithatë, n</w:t>
      </w:r>
      <w:r w:rsidRPr="004E5A6E">
        <w:rPr>
          <w:rFonts w:ascii="Times New Roman" w:hAnsi="Times New Roman"/>
          <w:i w:val="0"/>
          <w:iCs w:val="0"/>
          <w:color w:val="auto"/>
          <w:sz w:val="24"/>
          <w:szCs w:val="22"/>
          <w:shd w:val="clear" w:color="auto" w:fill="FFFFFF"/>
          <w:lang w:val="sq-AL"/>
        </w:rPr>
        <w:t>gjashëm me</w:t>
      </w:r>
      <w:r w:rsidR="00BC4776" w:rsidRPr="004E5A6E">
        <w:rPr>
          <w:rFonts w:ascii="Times New Roman" w:hAnsi="Times New Roman"/>
          <w:i w:val="0"/>
          <w:iCs w:val="0"/>
          <w:color w:val="auto"/>
          <w:sz w:val="24"/>
          <w:szCs w:val="22"/>
          <w:shd w:val="clear" w:color="auto" w:fill="FFFFFF"/>
          <w:lang w:val="sq-AL"/>
        </w:rPr>
        <w:t xml:space="preserve"> inflacionin total, të dyja matjet e </w:t>
      </w:r>
      <w:r w:rsidRPr="004E5A6E">
        <w:rPr>
          <w:rFonts w:ascii="Times New Roman" w:hAnsi="Times New Roman"/>
          <w:i w:val="0"/>
          <w:iCs w:val="0"/>
          <w:color w:val="auto"/>
          <w:sz w:val="24"/>
          <w:szCs w:val="22"/>
          <w:shd w:val="clear" w:color="auto" w:fill="FFFFFF"/>
          <w:lang w:val="sq-AL"/>
        </w:rPr>
        <w:t>inflacionit</w:t>
      </w:r>
      <w:r w:rsidR="00BC4776" w:rsidRPr="004E5A6E">
        <w:rPr>
          <w:rFonts w:ascii="Times New Roman" w:hAnsi="Times New Roman"/>
          <w:i w:val="0"/>
          <w:iCs w:val="0"/>
          <w:color w:val="auto"/>
          <w:sz w:val="24"/>
          <w:szCs w:val="22"/>
          <w:shd w:val="clear" w:color="auto" w:fill="FFFFFF"/>
          <w:lang w:val="sq-AL"/>
        </w:rPr>
        <w:t xml:space="preserve"> bazë</w:t>
      </w:r>
      <w:r w:rsidRPr="004E5A6E">
        <w:rPr>
          <w:rFonts w:ascii="Times New Roman" w:hAnsi="Times New Roman"/>
          <w:i w:val="0"/>
          <w:iCs w:val="0"/>
          <w:color w:val="auto"/>
          <w:sz w:val="24"/>
          <w:szCs w:val="22"/>
          <w:shd w:val="clear" w:color="auto" w:fill="FFFFFF"/>
          <w:lang w:val="sq-AL"/>
        </w:rPr>
        <w:t xml:space="preserve">, </w:t>
      </w:r>
      <w:r w:rsidR="00BC4776" w:rsidRPr="004E5A6E">
        <w:rPr>
          <w:rFonts w:ascii="Times New Roman" w:hAnsi="Times New Roman"/>
          <w:i w:val="0"/>
          <w:iCs w:val="0"/>
          <w:color w:val="auto"/>
          <w:sz w:val="24"/>
          <w:szCs w:val="22"/>
          <w:shd w:val="clear" w:color="auto" w:fill="FFFFFF"/>
          <w:lang w:val="sq-AL"/>
        </w:rPr>
        <w:t xml:space="preserve">shënojnë </w:t>
      </w:r>
      <w:r w:rsidRPr="004E5A6E">
        <w:rPr>
          <w:rFonts w:ascii="Times New Roman" w:hAnsi="Times New Roman"/>
          <w:i w:val="0"/>
          <w:iCs w:val="0"/>
          <w:color w:val="auto"/>
          <w:sz w:val="24"/>
          <w:szCs w:val="22"/>
          <w:shd w:val="clear" w:color="auto" w:fill="FFFFFF"/>
          <w:lang w:val="sq-AL"/>
        </w:rPr>
        <w:t>rënie krahasuar me të njëjtën periudhë të vitit të mëparshëm.</w:t>
      </w:r>
      <w:r w:rsidRPr="004E5A6E">
        <w:rPr>
          <w:rFonts w:ascii="Times New Roman" w:hAnsi="Times New Roman"/>
          <w:i w:val="0"/>
          <w:iCs w:val="0"/>
          <w:color w:val="auto"/>
          <w:sz w:val="24"/>
          <w:szCs w:val="22"/>
          <w:highlight w:val="yellow"/>
          <w:shd w:val="clear" w:color="auto" w:fill="FFFFFF"/>
          <w:lang w:val="sq-AL"/>
        </w:rPr>
        <w:t xml:space="preserve"> </w:t>
      </w:r>
    </w:p>
    <w:p w14:paraId="7D123B7A" w14:textId="0008160B" w:rsidR="00EA106B" w:rsidRPr="004E5A6E" w:rsidRDefault="00EA106B" w:rsidP="00EA106B">
      <w:pPr>
        <w:pStyle w:val="Caption"/>
        <w:shd w:val="clear" w:color="auto" w:fill="FFFFFF" w:themeFill="background1"/>
        <w:spacing w:before="240" w:after="0"/>
        <w:jc w:val="both"/>
        <w:rPr>
          <w:rFonts w:ascii="Times New Roman" w:hAnsi="Times New Roman"/>
          <w:i w:val="0"/>
          <w:iCs w:val="0"/>
          <w:color w:val="auto"/>
          <w:sz w:val="24"/>
          <w:szCs w:val="22"/>
          <w:shd w:val="clear" w:color="auto" w:fill="FFFFFF"/>
          <w:lang w:val="sq-AL"/>
        </w:rPr>
      </w:pPr>
      <w:r w:rsidRPr="004E5A6E">
        <w:rPr>
          <w:rFonts w:ascii="Times New Roman" w:hAnsi="Times New Roman"/>
          <w:i w:val="0"/>
          <w:iCs w:val="0"/>
          <w:color w:val="auto"/>
          <w:sz w:val="24"/>
          <w:szCs w:val="22"/>
          <w:shd w:val="clear" w:color="auto" w:fill="FFFFFF"/>
          <w:lang w:val="sq-AL"/>
        </w:rPr>
        <w:t>Ndryshe nga tremujorët e tjerë në vitet e mëparshme, kontributi i përbërësit të patregtueshëm në këto tre tremujorët e parë të vitit 2020 është më i lartë se kontributi i inflacionit të tregtueshëm</w:t>
      </w:r>
      <w:r w:rsidR="00025898" w:rsidRPr="004E5A6E">
        <w:rPr>
          <w:rStyle w:val="FootnoteReference"/>
          <w:rFonts w:ascii="Times New Roman" w:hAnsi="Times New Roman"/>
          <w:i w:val="0"/>
          <w:iCs w:val="0"/>
          <w:color w:val="auto"/>
          <w:sz w:val="24"/>
          <w:szCs w:val="22"/>
          <w:shd w:val="clear" w:color="auto" w:fill="FFFFFF"/>
          <w:lang w:val="sq-AL"/>
        </w:rPr>
        <w:footnoteReference w:id="6"/>
      </w:r>
      <w:r w:rsidRPr="004E5A6E">
        <w:rPr>
          <w:rFonts w:ascii="Times New Roman" w:hAnsi="Times New Roman"/>
          <w:i w:val="0"/>
          <w:iCs w:val="0"/>
          <w:color w:val="auto"/>
          <w:sz w:val="24"/>
          <w:szCs w:val="22"/>
          <w:shd w:val="clear" w:color="auto" w:fill="FFFFFF"/>
          <w:lang w:val="sq-AL"/>
        </w:rPr>
        <w:t xml:space="preserve">, duke regjistruar një kontribut pozitiv prej 0.33 pikë përqindje si rezultat i rritjes së inflacionit në kategoritë e "shëndetit" "dhe" hotele, kafene dhe restorante”. </w:t>
      </w:r>
    </w:p>
    <w:p w14:paraId="3F80A637" w14:textId="77777777" w:rsidR="00EA106B" w:rsidRPr="004E5A6E" w:rsidRDefault="00EA106B" w:rsidP="00EA106B">
      <w:pPr>
        <w:rPr>
          <w:color w:val="auto"/>
          <w:lang w:val="sq-AL"/>
        </w:rPr>
      </w:pPr>
    </w:p>
    <w:p w14:paraId="000E61C0" w14:textId="2B9B1F7D" w:rsidR="00CA51E9" w:rsidRPr="004E5A6E" w:rsidRDefault="00CA51E9" w:rsidP="00CA51E9">
      <w:pPr>
        <w:pStyle w:val="Caption"/>
        <w:keepNext/>
        <w:rPr>
          <w:rFonts w:ascii="Times New Roman" w:hAnsi="Times New Roman"/>
          <w:b/>
          <w:i w:val="0"/>
          <w:color w:val="auto"/>
          <w:sz w:val="20"/>
          <w:szCs w:val="20"/>
          <w:lang w:val="sq-AL"/>
        </w:rPr>
      </w:pPr>
      <w:bookmarkStart w:id="72" w:name="_Toc57722677"/>
      <w:r w:rsidRPr="004E5A6E">
        <w:rPr>
          <w:rFonts w:ascii="Times New Roman" w:hAnsi="Times New Roman"/>
          <w:b/>
          <w:i w:val="0"/>
          <w:color w:val="auto"/>
          <w:sz w:val="20"/>
          <w:szCs w:val="20"/>
          <w:lang w:val="sq-AL"/>
        </w:rPr>
        <w:t xml:space="preserve">Figure </w:t>
      </w:r>
      <w:r w:rsidRPr="004E5A6E">
        <w:rPr>
          <w:rFonts w:ascii="Times New Roman" w:hAnsi="Times New Roman"/>
          <w:b/>
          <w:i w:val="0"/>
          <w:color w:val="auto"/>
          <w:sz w:val="20"/>
          <w:szCs w:val="20"/>
          <w:lang w:val="sq-AL"/>
        </w:rPr>
        <w:fldChar w:fldCharType="begin"/>
      </w:r>
      <w:r w:rsidRPr="004E5A6E">
        <w:rPr>
          <w:rFonts w:ascii="Times New Roman" w:hAnsi="Times New Roman"/>
          <w:b/>
          <w:i w:val="0"/>
          <w:color w:val="auto"/>
          <w:sz w:val="20"/>
          <w:szCs w:val="20"/>
          <w:lang w:val="sq-AL"/>
        </w:rPr>
        <w:instrText xml:space="preserve"> SEQ Figure \* ARABIC </w:instrText>
      </w:r>
      <w:r w:rsidRPr="004E5A6E">
        <w:rPr>
          <w:rFonts w:ascii="Times New Roman" w:hAnsi="Times New Roman"/>
          <w:b/>
          <w:i w:val="0"/>
          <w:color w:val="auto"/>
          <w:sz w:val="20"/>
          <w:szCs w:val="20"/>
          <w:lang w:val="sq-AL"/>
        </w:rPr>
        <w:fldChar w:fldCharType="separate"/>
      </w:r>
      <w:r w:rsidR="00FA7C77" w:rsidRPr="004E5A6E">
        <w:rPr>
          <w:rFonts w:ascii="Times New Roman" w:hAnsi="Times New Roman"/>
          <w:b/>
          <w:i w:val="0"/>
          <w:noProof/>
          <w:color w:val="auto"/>
          <w:sz w:val="20"/>
          <w:szCs w:val="20"/>
          <w:lang w:val="sq-AL"/>
        </w:rPr>
        <w:t>2</w:t>
      </w:r>
      <w:r w:rsidRPr="004E5A6E">
        <w:rPr>
          <w:rFonts w:ascii="Times New Roman" w:hAnsi="Times New Roman"/>
          <w:b/>
          <w:i w:val="0"/>
          <w:color w:val="auto"/>
          <w:sz w:val="20"/>
          <w:szCs w:val="20"/>
          <w:lang w:val="sq-AL"/>
        </w:rPr>
        <w:fldChar w:fldCharType="end"/>
      </w:r>
      <w:r w:rsidRPr="004E5A6E">
        <w:rPr>
          <w:rFonts w:ascii="Times New Roman" w:hAnsi="Times New Roman"/>
          <w:b/>
          <w:i w:val="0"/>
          <w:color w:val="auto"/>
          <w:sz w:val="20"/>
          <w:szCs w:val="20"/>
          <w:lang w:val="sq-AL"/>
        </w:rPr>
        <w:t xml:space="preserve"> Kontributi i inflacionit të tregtueshëm dhe të patregtueshëm në inflacionin total</w:t>
      </w:r>
      <w:bookmarkEnd w:id="72"/>
    </w:p>
    <w:p w14:paraId="34A72261" w14:textId="71A002C9" w:rsidR="00D6295F" w:rsidRPr="004E5A6E" w:rsidRDefault="00D6295F" w:rsidP="00CA51E9">
      <w:pPr>
        <w:pStyle w:val="Caption"/>
        <w:keepNext/>
        <w:tabs>
          <w:tab w:val="left" w:pos="180"/>
        </w:tabs>
        <w:spacing w:after="0"/>
        <w:rPr>
          <w:lang w:val="sq-AL"/>
        </w:rPr>
      </w:pPr>
      <w:r w:rsidRPr="004E5A6E">
        <w:rPr>
          <w:noProof/>
          <w:lang w:val="en-US"/>
        </w:rPr>
        <w:drawing>
          <wp:inline distT="0" distB="0" distL="0" distR="0" wp14:anchorId="61D70947" wp14:editId="70C620A3">
            <wp:extent cx="5732145" cy="2642870"/>
            <wp:effectExtent l="0" t="0" r="1905" b="508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ADEB6DD" w14:textId="77777777" w:rsidR="00D6295F" w:rsidRPr="004E5A6E" w:rsidRDefault="00D6295F" w:rsidP="00EA106B">
      <w:pPr>
        <w:pStyle w:val="Caption"/>
        <w:keepNext/>
        <w:tabs>
          <w:tab w:val="left" w:pos="180"/>
        </w:tabs>
        <w:spacing w:after="0"/>
        <w:rPr>
          <w:lang w:val="sq-AL"/>
        </w:rPr>
      </w:pPr>
    </w:p>
    <w:p w14:paraId="1D19E4AD" w14:textId="77777777" w:rsidR="00EA106B" w:rsidRPr="004E5A6E" w:rsidRDefault="00EA106B" w:rsidP="00EA106B">
      <w:pPr>
        <w:pStyle w:val="Caption"/>
        <w:keepNext/>
        <w:tabs>
          <w:tab w:val="left" w:pos="180"/>
        </w:tabs>
        <w:spacing w:after="0"/>
        <w:rPr>
          <w:color w:val="auto"/>
          <w:sz w:val="20"/>
          <w:lang w:val="sq-AL"/>
        </w:rPr>
      </w:pPr>
      <w:r w:rsidRPr="004E5A6E">
        <w:rPr>
          <w:color w:val="auto"/>
          <w:sz w:val="20"/>
          <w:lang w:val="sq-AL"/>
        </w:rPr>
        <w:t>Burimi: Llogaritjet  ASK dhe Makro</w:t>
      </w:r>
    </w:p>
    <w:p w14:paraId="056670A8" w14:textId="77777777" w:rsidR="00EA106B" w:rsidRPr="004E5A6E" w:rsidRDefault="00EA106B" w:rsidP="00EA106B">
      <w:pPr>
        <w:rPr>
          <w:color w:val="auto"/>
          <w:lang w:val="sq-AL"/>
        </w:rPr>
      </w:pPr>
    </w:p>
    <w:p w14:paraId="6279CB6D" w14:textId="77777777" w:rsidR="00EA106B" w:rsidRPr="004E5A6E" w:rsidRDefault="00EA106B" w:rsidP="00EA106B">
      <w:pPr>
        <w:rPr>
          <w:color w:val="auto"/>
          <w:lang w:val="sq-AL"/>
        </w:rPr>
      </w:pPr>
    </w:p>
    <w:p w14:paraId="757E0CDB" w14:textId="77777777" w:rsidR="00EA106B" w:rsidRPr="004E5A6E" w:rsidRDefault="00EA106B" w:rsidP="00EA106B">
      <w:pPr>
        <w:rPr>
          <w:color w:val="auto"/>
          <w:lang w:val="sq-AL"/>
        </w:rPr>
      </w:pPr>
    </w:p>
    <w:tbl>
      <w:tblPr>
        <w:tblStyle w:val="TableGrid"/>
        <w:tblW w:w="0" w:type="auto"/>
        <w:shd w:val="clear" w:color="auto" w:fill="DEEAF6" w:themeFill="accent1" w:themeFillTint="33"/>
        <w:tblLook w:val="04A0" w:firstRow="1" w:lastRow="0" w:firstColumn="1" w:lastColumn="0" w:noHBand="0" w:noVBand="1"/>
      </w:tblPr>
      <w:tblGrid>
        <w:gridCol w:w="8614"/>
      </w:tblGrid>
      <w:tr w:rsidR="00EA106B" w:rsidRPr="004E5A6E" w14:paraId="07F9626D" w14:textId="77777777" w:rsidTr="00D6295F">
        <w:tc>
          <w:tcPr>
            <w:tcW w:w="9017" w:type="dxa"/>
            <w:shd w:val="clear" w:color="auto" w:fill="DEEAF6" w:themeFill="accent1" w:themeFillTint="33"/>
          </w:tcPr>
          <w:p w14:paraId="7FC01BD9" w14:textId="77777777" w:rsidR="00EA106B" w:rsidRPr="004E5A6E" w:rsidRDefault="00EA106B" w:rsidP="00D6295F">
            <w:pPr>
              <w:spacing w:after="120"/>
              <w:rPr>
                <w:b/>
                <w:color w:val="auto"/>
                <w:lang w:val="sq-AL"/>
              </w:rPr>
            </w:pPr>
            <w:r w:rsidRPr="004E5A6E">
              <w:rPr>
                <w:b/>
                <w:color w:val="auto"/>
                <w:lang w:val="sq-AL"/>
              </w:rPr>
              <w:t xml:space="preserve">Kutia </w:t>
            </w:r>
            <w:r w:rsidR="00D6295F" w:rsidRPr="004E5A6E">
              <w:rPr>
                <w:b/>
                <w:color w:val="auto"/>
                <w:lang w:val="sq-AL"/>
              </w:rPr>
              <w:t>Informuese</w:t>
            </w:r>
            <w:r w:rsidRPr="004E5A6E">
              <w:rPr>
                <w:b/>
                <w:color w:val="auto"/>
                <w:lang w:val="sq-AL"/>
              </w:rPr>
              <w:t xml:space="preserve"> 2. Dallimet midis aktualeve dhe projeksioneve për vitin 2019 dhe 2020</w:t>
            </w:r>
          </w:p>
        </w:tc>
      </w:tr>
      <w:tr w:rsidR="00EA106B" w:rsidRPr="004E5A6E" w14:paraId="04305555" w14:textId="77777777" w:rsidTr="00D6295F">
        <w:tc>
          <w:tcPr>
            <w:tcW w:w="9017" w:type="dxa"/>
            <w:shd w:val="clear" w:color="auto" w:fill="DEEAF6" w:themeFill="accent1" w:themeFillTint="33"/>
          </w:tcPr>
          <w:p w14:paraId="05419631" w14:textId="77777777" w:rsidR="00EA106B" w:rsidRPr="004E5A6E" w:rsidRDefault="00EA106B" w:rsidP="00D6295F">
            <w:pPr>
              <w:spacing w:after="120"/>
              <w:jc w:val="both"/>
              <w:rPr>
                <w:b/>
                <w:color w:val="auto"/>
                <w:u w:val="single"/>
                <w:lang w:val="sq-AL"/>
              </w:rPr>
            </w:pPr>
            <w:r w:rsidRPr="004E5A6E">
              <w:rPr>
                <w:b/>
                <w:color w:val="auto"/>
                <w:u w:val="single"/>
                <w:lang w:val="sq-AL"/>
              </w:rPr>
              <w:t>Aktualet e vitit 2019 kundrejt</w:t>
            </w:r>
            <w:r w:rsidRPr="004E5A6E">
              <w:rPr>
                <w:lang w:val="sq-AL"/>
              </w:rPr>
              <w:t xml:space="preserve"> </w:t>
            </w:r>
            <w:r w:rsidRPr="004E5A6E">
              <w:rPr>
                <w:b/>
                <w:color w:val="auto"/>
                <w:u w:val="single"/>
                <w:lang w:val="sq-AL"/>
              </w:rPr>
              <w:t>projeksioneve të vitit 2019</w:t>
            </w:r>
          </w:p>
          <w:p w14:paraId="402B77D2" w14:textId="77777777" w:rsidR="00EA106B" w:rsidRPr="004E5A6E" w:rsidRDefault="00EA106B" w:rsidP="00D6295F">
            <w:pPr>
              <w:spacing w:before="240" w:after="120"/>
              <w:jc w:val="both"/>
              <w:rPr>
                <w:color w:val="auto"/>
                <w:lang w:val="sq-AL"/>
              </w:rPr>
            </w:pPr>
            <w:r w:rsidRPr="004E5A6E">
              <w:rPr>
                <w:color w:val="auto"/>
                <w:lang w:val="sq-AL"/>
              </w:rPr>
              <w:t>Normat reale të rritjes së BPV-së në vitin 2019, bazuar në publikimin e fundit të ASK-së, rezultuan të jenë më të larta se parashikimet tona të paraqitura në paraqitjen e mëparshme të ERP-së (për vitin 2019). Sipas ASK-së, norma reale e rritjes së BPV-së për vitin 2019 është 4.9% ndërsa ishte parashikuar të luhatet rreth 4.0%. Ndërsa, shkalla aktuale e rritjes nominale të BPV-së rezultoi të ishte 5.6%, e cila është pak më e ulët se vlera e parashikuar, me rreth 5.8%.</w:t>
            </w:r>
          </w:p>
          <w:p w14:paraId="5EA07899" w14:textId="77777777" w:rsidR="00EA106B" w:rsidRPr="004E5A6E" w:rsidRDefault="00EA106B" w:rsidP="00D6295F">
            <w:pPr>
              <w:spacing w:before="240" w:after="120"/>
              <w:jc w:val="both"/>
              <w:rPr>
                <w:color w:val="auto"/>
                <w:lang w:val="sq-AL"/>
              </w:rPr>
            </w:pPr>
            <w:r w:rsidRPr="004E5A6E">
              <w:rPr>
                <w:color w:val="auto"/>
                <w:lang w:val="sq-AL"/>
              </w:rPr>
              <w:t>Diferenca midis vlerave aktuale dhe të parashikuara të BPV-së në vitin 2019 është kryesisht për shkak të pritjeve më të ulëta për investime dhe eksportin e shërbimeve dhe pritjeve më të ulëta të konsumit publik duke u bazuar kryesisht në performancën e shfaqur nga këta tregues deri në momentin kur janë realizuar parashikimet e Buxhetit 2019 ( Tetor 2019). Inflacioni për vitin 2019 ishte parashikuar mesatarisht të ketë luhatje prej rreth 2.7%, që ishte e ngjashme me vlerën aktuale.</w:t>
            </w:r>
          </w:p>
          <w:p w14:paraId="4D3F6018" w14:textId="77777777" w:rsidR="00EA106B" w:rsidRPr="004E5A6E" w:rsidRDefault="00EA106B" w:rsidP="00D6295F">
            <w:pPr>
              <w:spacing w:after="120"/>
              <w:jc w:val="both"/>
              <w:rPr>
                <w:b/>
                <w:color w:val="auto"/>
                <w:u w:val="single"/>
                <w:lang w:val="sq-AL"/>
              </w:rPr>
            </w:pPr>
            <w:r w:rsidRPr="004E5A6E">
              <w:rPr>
                <w:b/>
                <w:color w:val="auto"/>
                <w:u w:val="single"/>
                <w:lang w:val="sq-AL"/>
              </w:rPr>
              <w:t>Aktualet e mëparshme për 2020 kundrejt projeksioneve të azhurnuara për 2020</w:t>
            </w:r>
          </w:p>
          <w:p w14:paraId="135662BF" w14:textId="77777777" w:rsidR="00EA106B" w:rsidRPr="004E5A6E" w:rsidRDefault="00EA106B" w:rsidP="00D6295F">
            <w:pPr>
              <w:spacing w:after="120"/>
              <w:jc w:val="both"/>
              <w:rPr>
                <w:color w:val="auto"/>
                <w:lang w:val="sq-AL"/>
              </w:rPr>
            </w:pPr>
            <w:r w:rsidRPr="004E5A6E">
              <w:rPr>
                <w:color w:val="auto"/>
                <w:lang w:val="sq-AL"/>
              </w:rPr>
              <w:t>Për vitin 2020, shkalla e parashikuar e rritjes së BPV-së reale ka ndryshuar në</w:t>
            </w:r>
            <w:r w:rsidRPr="004E5A6E">
              <w:rPr>
                <w:lang w:val="sq-AL"/>
              </w:rPr>
              <w:t xml:space="preserve"> </w:t>
            </w:r>
            <w:r w:rsidRPr="004E5A6E">
              <w:rPr>
                <w:color w:val="auto"/>
                <w:lang w:val="sq-AL"/>
              </w:rPr>
              <w:t>ulje -6.7%, e cila është rreth 11.1 pp më e ulët se norma e mëparshme e parashikuar në paraqitjen e mëparshme të ERP. Ky ndryshim domethënës ishte kryesisht për shkak të situatës së krijuar nga pandemia COVID-19. Në kohën kur ERP-ja e mëparshme ishte përgatitur, nuk kishte asnjë informacion në lidhje me përhapjen e virusit dhe ndikimin që virusi do të kishte.</w:t>
            </w:r>
          </w:p>
          <w:p w14:paraId="7416EDAF" w14:textId="77777777" w:rsidR="00EA106B" w:rsidRPr="004E5A6E" w:rsidRDefault="00EA106B" w:rsidP="00D6295F">
            <w:pPr>
              <w:spacing w:before="240" w:after="120"/>
              <w:jc w:val="both"/>
              <w:rPr>
                <w:color w:val="auto"/>
                <w:lang w:val="sq-AL"/>
              </w:rPr>
            </w:pPr>
            <w:r w:rsidRPr="004E5A6E">
              <w:rPr>
                <w:color w:val="auto"/>
                <w:lang w:val="sq-AL"/>
              </w:rPr>
              <w:t>Konsumi privat pritet të ketë një rënie vjetore prej 0.4%, e cila është dukshëm e ndryshme nga vlera në ERP të mëparshme që parashikonte një rritje prej 2.2%. Investimi i përgjithshëm, gjithashtu, pritet të bjerë ndjeshëm kur krahasohet me parashikimin e mëparshëm, për shkak të masave kufizuese të COVID-19 dhe niveleve të pasigurisë. Sidoqoftë, eksportet e mallrave kanë ndryshuar në rritje, si rezultat i një performance më të mirë të treguar gjatë periudhës Janar-Gusht 2020. Eksportet e shërbimeve pritet të bien ndjeshëm (-25.8%), duke pasur parasysh se udhëtimi dhe transporti ishin sektorët që u goditën më së shumti nga pandemia. Ndërsa në ERP të mëparshëm, eksportet e shërbimeve pritej të kishin një ecuri pozitive me 11.4% rritje reale. Importet e mallrave dhe shërbimeve, nga ana tjetër, pritet të bien për shkak të dinamikës së ngadaltë të investimeve dhe të konsumit dhe po ashtu për shkak të kufizimeve të udhëtimit. Ndërsa në ERP të mëparshëm, ato ishin parashikuar të rriteshin me 7.8%.</w:t>
            </w:r>
          </w:p>
          <w:p w14:paraId="2EA94A89" w14:textId="77777777" w:rsidR="00EA106B" w:rsidRPr="004E5A6E" w:rsidRDefault="00EA106B" w:rsidP="00D6295F">
            <w:pPr>
              <w:jc w:val="both"/>
              <w:rPr>
                <w:color w:val="auto"/>
                <w:lang w:val="sq-AL"/>
              </w:rPr>
            </w:pPr>
            <w:r w:rsidRPr="004E5A6E">
              <w:rPr>
                <w:color w:val="auto"/>
                <w:lang w:val="sq-AL"/>
              </w:rPr>
              <w:t>Inflacioni në vitin 2020 (mesatarisht 0.2%) është shumë më i ulët sesa inflacioni i parashikuar në raundin e mëparshëm të parashikimeve (mesatarisht 1.8%). Diferenca është kryesisht për shkak të rënies së shpejtë të çmimeve ndërkombëtare (veçanërisht të naftës) dhe për shkak të uljes së kërkesës së brendshme.</w:t>
            </w:r>
          </w:p>
          <w:p w14:paraId="2F9D3C44" w14:textId="77777777" w:rsidR="00EA106B" w:rsidRPr="004E5A6E" w:rsidRDefault="00EA106B" w:rsidP="00D6295F">
            <w:pPr>
              <w:spacing w:before="240" w:after="120"/>
              <w:jc w:val="both"/>
              <w:rPr>
                <w:rFonts w:eastAsia="Cambria"/>
                <w:b/>
                <w:iCs/>
                <w:color w:val="auto"/>
                <w:sz w:val="18"/>
                <w:lang w:val="sq-AL"/>
              </w:rPr>
            </w:pPr>
            <w:r w:rsidRPr="004E5A6E">
              <w:rPr>
                <w:rFonts w:eastAsia="Cambria"/>
                <w:b/>
                <w:iCs/>
                <w:color w:val="auto"/>
                <w:sz w:val="18"/>
                <w:lang w:val="sq-AL"/>
              </w:rPr>
              <w:t xml:space="preserve">Diferencat kryesore midis aktualeve dhe projeksioneve për vitin 2019 dhe ndryshimet kryesore midis raundit të mëparshëm dhe aktual të projeksioneve për vitin 2020 </w:t>
            </w:r>
          </w:p>
          <w:tbl>
            <w:tblPr>
              <w:tblStyle w:val="TableGrid"/>
              <w:tblW w:w="5000" w:type="pct"/>
              <w:tblLook w:val="04A0" w:firstRow="1" w:lastRow="0" w:firstColumn="1" w:lastColumn="0" w:noHBand="0" w:noVBand="1"/>
            </w:tblPr>
            <w:tblGrid>
              <w:gridCol w:w="2870"/>
              <w:gridCol w:w="1406"/>
              <w:gridCol w:w="1171"/>
              <w:gridCol w:w="1322"/>
              <w:gridCol w:w="1619"/>
            </w:tblGrid>
            <w:tr w:rsidR="00EA106B" w:rsidRPr="004E5A6E" w14:paraId="6B37D357" w14:textId="77777777" w:rsidTr="00D6295F">
              <w:trPr>
                <w:trHeight w:hRule="exact" w:val="757"/>
              </w:trPr>
              <w:tc>
                <w:tcPr>
                  <w:tcW w:w="1711" w:type="pct"/>
                  <w:shd w:val="clear" w:color="auto" w:fill="auto"/>
                  <w:vAlign w:val="center"/>
                </w:tcPr>
                <w:p w14:paraId="3E1DD605" w14:textId="77777777" w:rsidR="00EA106B" w:rsidRPr="004E5A6E" w:rsidRDefault="00EA106B" w:rsidP="00D6295F">
                  <w:pPr>
                    <w:spacing w:after="120"/>
                    <w:rPr>
                      <w:b/>
                      <w:color w:val="auto"/>
                      <w:sz w:val="18"/>
                      <w:szCs w:val="18"/>
                      <w:lang w:val="sq-AL"/>
                    </w:rPr>
                  </w:pPr>
                  <w:r w:rsidRPr="004E5A6E">
                    <w:rPr>
                      <w:b/>
                      <w:color w:val="auto"/>
                      <w:sz w:val="18"/>
                      <w:szCs w:val="18"/>
                      <w:lang w:val="sq-AL"/>
                    </w:rPr>
                    <w:t>Treguesit Makroekonomikë, normat vjetore të rritjes në terma realë në%, përveç nëse përcaktohet ndryshe.</w:t>
                  </w:r>
                </w:p>
              </w:tc>
              <w:tc>
                <w:tcPr>
                  <w:tcW w:w="838" w:type="pct"/>
                  <w:shd w:val="clear" w:color="auto" w:fill="FFF2CC" w:themeFill="accent4" w:themeFillTint="33"/>
                  <w:vAlign w:val="center"/>
                </w:tcPr>
                <w:p w14:paraId="19A84513" w14:textId="77777777" w:rsidR="00EA106B" w:rsidRPr="004E5A6E" w:rsidRDefault="00EA106B" w:rsidP="00D6295F">
                  <w:pPr>
                    <w:spacing w:after="120"/>
                    <w:jc w:val="center"/>
                    <w:rPr>
                      <w:color w:val="auto"/>
                      <w:sz w:val="18"/>
                      <w:szCs w:val="18"/>
                      <w:lang w:val="sq-AL"/>
                    </w:rPr>
                  </w:pPr>
                  <w:r w:rsidRPr="004E5A6E">
                    <w:rPr>
                      <w:color w:val="auto"/>
                      <w:sz w:val="18"/>
                      <w:szCs w:val="18"/>
                      <w:lang w:val="sq-AL"/>
                    </w:rPr>
                    <w:t xml:space="preserve">Projeksionet për 2019 </w:t>
                  </w:r>
                </w:p>
              </w:tc>
              <w:tc>
                <w:tcPr>
                  <w:tcW w:w="698" w:type="pct"/>
                  <w:shd w:val="clear" w:color="auto" w:fill="FFF2CC" w:themeFill="accent4" w:themeFillTint="33"/>
                  <w:vAlign w:val="center"/>
                </w:tcPr>
                <w:p w14:paraId="676EB9C6" w14:textId="77777777" w:rsidR="00EA106B" w:rsidRPr="004E5A6E" w:rsidRDefault="00EA106B" w:rsidP="00D6295F">
                  <w:pPr>
                    <w:spacing w:after="120"/>
                    <w:jc w:val="center"/>
                    <w:rPr>
                      <w:color w:val="auto"/>
                      <w:sz w:val="18"/>
                      <w:szCs w:val="18"/>
                      <w:lang w:val="sq-AL"/>
                    </w:rPr>
                  </w:pPr>
                  <w:r w:rsidRPr="004E5A6E">
                    <w:rPr>
                      <w:color w:val="auto"/>
                      <w:sz w:val="18"/>
                      <w:szCs w:val="18"/>
                      <w:lang w:val="sq-AL"/>
                    </w:rPr>
                    <w:t xml:space="preserve">Aktualet për 2019 </w:t>
                  </w:r>
                </w:p>
              </w:tc>
              <w:tc>
                <w:tcPr>
                  <w:tcW w:w="788" w:type="pct"/>
                  <w:shd w:val="clear" w:color="auto" w:fill="DEEAF6" w:themeFill="accent1" w:themeFillTint="33"/>
                  <w:vAlign w:val="center"/>
                </w:tcPr>
                <w:p w14:paraId="1DD9D2E6" w14:textId="77777777" w:rsidR="00EA106B" w:rsidRPr="004E5A6E" w:rsidRDefault="00EA106B" w:rsidP="00D6295F">
                  <w:pPr>
                    <w:spacing w:after="120"/>
                    <w:jc w:val="center"/>
                    <w:rPr>
                      <w:color w:val="auto"/>
                      <w:sz w:val="18"/>
                      <w:szCs w:val="18"/>
                      <w:lang w:val="sq-AL"/>
                    </w:rPr>
                  </w:pPr>
                  <w:r w:rsidRPr="004E5A6E">
                    <w:rPr>
                      <w:color w:val="auto"/>
                      <w:sz w:val="18"/>
                      <w:szCs w:val="18"/>
                      <w:lang w:val="sq-AL"/>
                    </w:rPr>
                    <w:t xml:space="preserve">Projeksionet e mëparshme për 2020 </w:t>
                  </w:r>
                </w:p>
              </w:tc>
              <w:tc>
                <w:tcPr>
                  <w:tcW w:w="965" w:type="pct"/>
                  <w:shd w:val="clear" w:color="auto" w:fill="DEEAF6" w:themeFill="accent1" w:themeFillTint="33"/>
                  <w:vAlign w:val="center"/>
                </w:tcPr>
                <w:p w14:paraId="487C7F98" w14:textId="77777777" w:rsidR="00EA106B" w:rsidRPr="004E5A6E" w:rsidRDefault="00EA106B" w:rsidP="00D6295F">
                  <w:pPr>
                    <w:spacing w:after="120"/>
                    <w:jc w:val="center"/>
                    <w:rPr>
                      <w:color w:val="auto"/>
                      <w:sz w:val="18"/>
                      <w:szCs w:val="18"/>
                      <w:lang w:val="sq-AL"/>
                    </w:rPr>
                  </w:pPr>
                  <w:r w:rsidRPr="004E5A6E">
                    <w:rPr>
                      <w:color w:val="auto"/>
                      <w:sz w:val="18"/>
                      <w:szCs w:val="18"/>
                      <w:lang w:val="sq-AL"/>
                    </w:rPr>
                    <w:t xml:space="preserve">Projeksionet e azhurnuara për 2020 </w:t>
                  </w:r>
                </w:p>
              </w:tc>
            </w:tr>
            <w:tr w:rsidR="00EA106B" w:rsidRPr="004E5A6E" w14:paraId="652A0BD4" w14:textId="77777777" w:rsidTr="00D6295F">
              <w:trPr>
                <w:trHeight w:hRule="exact" w:val="227"/>
              </w:trPr>
              <w:tc>
                <w:tcPr>
                  <w:tcW w:w="1711" w:type="pct"/>
                </w:tcPr>
                <w:p w14:paraId="57B3AABD" w14:textId="77777777" w:rsidR="00EA106B" w:rsidRPr="004E5A6E" w:rsidRDefault="00EA106B" w:rsidP="00D6295F">
                  <w:pPr>
                    <w:spacing w:after="120"/>
                    <w:rPr>
                      <w:color w:val="auto"/>
                      <w:sz w:val="18"/>
                      <w:szCs w:val="18"/>
                      <w:lang w:val="sq-AL"/>
                    </w:rPr>
                  </w:pPr>
                  <w:r w:rsidRPr="004E5A6E">
                    <w:rPr>
                      <w:color w:val="auto"/>
                      <w:sz w:val="18"/>
                      <w:szCs w:val="18"/>
                      <w:lang w:val="sq-AL"/>
                    </w:rPr>
                    <w:t>BPV-të reale</w:t>
                  </w:r>
                </w:p>
              </w:tc>
              <w:tc>
                <w:tcPr>
                  <w:tcW w:w="838" w:type="pct"/>
                </w:tcPr>
                <w:p w14:paraId="22A9F180"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4.0</w:t>
                  </w:r>
                </w:p>
              </w:tc>
              <w:tc>
                <w:tcPr>
                  <w:tcW w:w="698" w:type="pct"/>
                </w:tcPr>
                <w:p w14:paraId="6CA270FF"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4.9</w:t>
                  </w:r>
                </w:p>
              </w:tc>
              <w:tc>
                <w:tcPr>
                  <w:tcW w:w="788" w:type="pct"/>
                </w:tcPr>
                <w:p w14:paraId="2ED5DB00"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4.4</w:t>
                  </w:r>
                </w:p>
              </w:tc>
              <w:tc>
                <w:tcPr>
                  <w:tcW w:w="965" w:type="pct"/>
                </w:tcPr>
                <w:p w14:paraId="5D3F6C49"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-6.7</w:t>
                  </w:r>
                </w:p>
              </w:tc>
            </w:tr>
            <w:tr w:rsidR="00EA106B" w:rsidRPr="004E5A6E" w14:paraId="68CF3281" w14:textId="77777777" w:rsidTr="00D6295F">
              <w:trPr>
                <w:trHeight w:hRule="exact" w:val="227"/>
              </w:trPr>
              <w:tc>
                <w:tcPr>
                  <w:tcW w:w="1711" w:type="pct"/>
                </w:tcPr>
                <w:p w14:paraId="19149FA8" w14:textId="77777777" w:rsidR="00EA106B" w:rsidRPr="004E5A6E" w:rsidRDefault="00EA106B" w:rsidP="00D6295F">
                  <w:pPr>
                    <w:spacing w:after="120"/>
                    <w:rPr>
                      <w:color w:val="auto"/>
                      <w:sz w:val="18"/>
                      <w:szCs w:val="18"/>
                      <w:lang w:val="sq-AL"/>
                    </w:rPr>
                  </w:pPr>
                  <w:r w:rsidRPr="004E5A6E">
                    <w:rPr>
                      <w:color w:val="auto"/>
                      <w:sz w:val="18"/>
                      <w:szCs w:val="18"/>
                      <w:lang w:val="sq-AL"/>
                    </w:rPr>
                    <w:t>BPV-të nominale</w:t>
                  </w:r>
                </w:p>
              </w:tc>
              <w:tc>
                <w:tcPr>
                  <w:tcW w:w="838" w:type="pct"/>
                </w:tcPr>
                <w:p w14:paraId="473DA920"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5.8</w:t>
                  </w:r>
                </w:p>
              </w:tc>
              <w:tc>
                <w:tcPr>
                  <w:tcW w:w="698" w:type="pct"/>
                </w:tcPr>
                <w:p w14:paraId="238E1A33"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5.6</w:t>
                  </w:r>
                </w:p>
              </w:tc>
              <w:tc>
                <w:tcPr>
                  <w:tcW w:w="788" w:type="pct"/>
                </w:tcPr>
                <w:p w14:paraId="1D8FEDBF"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5.9</w:t>
                  </w:r>
                </w:p>
              </w:tc>
              <w:tc>
                <w:tcPr>
                  <w:tcW w:w="965" w:type="pct"/>
                </w:tcPr>
                <w:p w14:paraId="35A07C59"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-6.2</w:t>
                  </w:r>
                </w:p>
              </w:tc>
            </w:tr>
            <w:tr w:rsidR="00EA106B" w:rsidRPr="004E5A6E" w14:paraId="165AD4B2" w14:textId="77777777" w:rsidTr="00D6295F">
              <w:trPr>
                <w:trHeight w:hRule="exact" w:val="227"/>
              </w:trPr>
              <w:tc>
                <w:tcPr>
                  <w:tcW w:w="1711" w:type="pct"/>
                </w:tcPr>
                <w:p w14:paraId="6FD16656" w14:textId="77777777" w:rsidR="00EA106B" w:rsidRPr="004E5A6E" w:rsidRDefault="00EA106B" w:rsidP="00D6295F">
                  <w:pPr>
                    <w:rPr>
                      <w:color w:val="auto"/>
                      <w:sz w:val="18"/>
                      <w:szCs w:val="18"/>
                      <w:lang w:val="sq-AL"/>
                    </w:rPr>
                  </w:pPr>
                  <w:r w:rsidRPr="004E5A6E">
                    <w:rPr>
                      <w:color w:val="auto"/>
                      <w:sz w:val="18"/>
                      <w:szCs w:val="18"/>
                      <w:lang w:val="sq-AL"/>
                    </w:rPr>
                    <w:t>Indeksi i Çmimeve të Konsumit</w:t>
                  </w:r>
                </w:p>
              </w:tc>
              <w:tc>
                <w:tcPr>
                  <w:tcW w:w="838" w:type="pct"/>
                </w:tcPr>
                <w:p w14:paraId="4F4FEB86"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2.7</w:t>
                  </w:r>
                </w:p>
              </w:tc>
              <w:tc>
                <w:tcPr>
                  <w:tcW w:w="698" w:type="pct"/>
                </w:tcPr>
                <w:p w14:paraId="480B5E4D"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2.7</w:t>
                  </w:r>
                </w:p>
              </w:tc>
              <w:tc>
                <w:tcPr>
                  <w:tcW w:w="788" w:type="pct"/>
                </w:tcPr>
                <w:p w14:paraId="772D9C04"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1.8</w:t>
                  </w:r>
                </w:p>
              </w:tc>
              <w:tc>
                <w:tcPr>
                  <w:tcW w:w="965" w:type="pct"/>
                </w:tcPr>
                <w:p w14:paraId="2BC742CF"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0.2</w:t>
                  </w:r>
                </w:p>
              </w:tc>
            </w:tr>
            <w:tr w:rsidR="00EA106B" w:rsidRPr="004E5A6E" w14:paraId="0288D145" w14:textId="77777777" w:rsidTr="00D6295F">
              <w:trPr>
                <w:trHeight w:hRule="exact" w:val="227"/>
              </w:trPr>
              <w:tc>
                <w:tcPr>
                  <w:tcW w:w="1711" w:type="pct"/>
                </w:tcPr>
                <w:p w14:paraId="359E6DCE" w14:textId="77777777" w:rsidR="00EA106B" w:rsidRPr="004E5A6E" w:rsidRDefault="00EA106B" w:rsidP="00D6295F">
                  <w:pPr>
                    <w:rPr>
                      <w:color w:val="auto"/>
                      <w:sz w:val="18"/>
                      <w:szCs w:val="18"/>
                      <w:lang w:val="sq-AL"/>
                    </w:rPr>
                  </w:pPr>
                  <w:r w:rsidRPr="004E5A6E">
                    <w:rPr>
                      <w:color w:val="auto"/>
                      <w:sz w:val="18"/>
                      <w:szCs w:val="18"/>
                      <w:lang w:val="sq-AL"/>
                    </w:rPr>
                    <w:t>Konsumi privat</w:t>
                  </w:r>
                </w:p>
              </w:tc>
              <w:tc>
                <w:tcPr>
                  <w:tcW w:w="838" w:type="pct"/>
                </w:tcPr>
                <w:p w14:paraId="19E75A12"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2.2</w:t>
                  </w:r>
                </w:p>
              </w:tc>
              <w:tc>
                <w:tcPr>
                  <w:tcW w:w="698" w:type="pct"/>
                </w:tcPr>
                <w:p w14:paraId="5B771D09"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0.3</w:t>
                  </w:r>
                </w:p>
              </w:tc>
              <w:tc>
                <w:tcPr>
                  <w:tcW w:w="788" w:type="pct"/>
                </w:tcPr>
                <w:p w14:paraId="03A1BA77"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3.4</w:t>
                  </w:r>
                </w:p>
              </w:tc>
              <w:tc>
                <w:tcPr>
                  <w:tcW w:w="965" w:type="pct"/>
                </w:tcPr>
                <w:p w14:paraId="6E7B12B0"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-0.4</w:t>
                  </w:r>
                </w:p>
              </w:tc>
            </w:tr>
            <w:tr w:rsidR="00EA106B" w:rsidRPr="004E5A6E" w14:paraId="1C2463CA" w14:textId="77777777" w:rsidTr="00D6295F">
              <w:trPr>
                <w:trHeight w:hRule="exact" w:val="227"/>
              </w:trPr>
              <w:tc>
                <w:tcPr>
                  <w:tcW w:w="1711" w:type="pct"/>
                </w:tcPr>
                <w:p w14:paraId="55D0E3C3" w14:textId="77777777" w:rsidR="00EA106B" w:rsidRPr="004E5A6E" w:rsidRDefault="00EA106B" w:rsidP="00D6295F">
                  <w:pPr>
                    <w:rPr>
                      <w:color w:val="auto"/>
                      <w:sz w:val="18"/>
                      <w:szCs w:val="18"/>
                      <w:lang w:val="sq-AL"/>
                    </w:rPr>
                  </w:pPr>
                  <w:r w:rsidRPr="004E5A6E">
                    <w:rPr>
                      <w:color w:val="auto"/>
                      <w:sz w:val="18"/>
                      <w:szCs w:val="18"/>
                      <w:lang w:val="sq-AL"/>
                    </w:rPr>
                    <w:t>Konsumi publik</w:t>
                  </w:r>
                </w:p>
              </w:tc>
              <w:tc>
                <w:tcPr>
                  <w:tcW w:w="838" w:type="pct"/>
                </w:tcPr>
                <w:p w14:paraId="49BE8350"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1.3</w:t>
                  </w:r>
                </w:p>
              </w:tc>
              <w:tc>
                <w:tcPr>
                  <w:tcW w:w="698" w:type="pct"/>
                </w:tcPr>
                <w:p w14:paraId="2CC06BE1"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9.6</w:t>
                  </w:r>
                </w:p>
              </w:tc>
              <w:tc>
                <w:tcPr>
                  <w:tcW w:w="788" w:type="pct"/>
                </w:tcPr>
                <w:p w14:paraId="6CF76C14"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10.5</w:t>
                  </w:r>
                </w:p>
              </w:tc>
              <w:tc>
                <w:tcPr>
                  <w:tcW w:w="965" w:type="pct"/>
                </w:tcPr>
                <w:p w14:paraId="6AFA3732"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1.3</w:t>
                  </w:r>
                </w:p>
              </w:tc>
            </w:tr>
            <w:tr w:rsidR="00EA106B" w:rsidRPr="004E5A6E" w14:paraId="54E358D9" w14:textId="77777777" w:rsidTr="00D6295F">
              <w:trPr>
                <w:trHeight w:hRule="exact" w:val="227"/>
              </w:trPr>
              <w:tc>
                <w:tcPr>
                  <w:tcW w:w="1711" w:type="pct"/>
                </w:tcPr>
                <w:p w14:paraId="3B150224" w14:textId="77777777" w:rsidR="00EA106B" w:rsidRPr="004E5A6E" w:rsidRDefault="00EA106B" w:rsidP="00D6295F">
                  <w:pPr>
                    <w:rPr>
                      <w:color w:val="auto"/>
                      <w:sz w:val="18"/>
                      <w:szCs w:val="18"/>
                      <w:lang w:val="sq-AL"/>
                    </w:rPr>
                  </w:pPr>
                  <w:r w:rsidRPr="004E5A6E">
                    <w:rPr>
                      <w:color w:val="auto"/>
                      <w:sz w:val="18"/>
                      <w:szCs w:val="18"/>
                      <w:lang w:val="sq-AL"/>
                    </w:rPr>
                    <w:t>Investimi total</w:t>
                  </w:r>
                </w:p>
              </w:tc>
              <w:tc>
                <w:tcPr>
                  <w:tcW w:w="838" w:type="pct"/>
                </w:tcPr>
                <w:p w14:paraId="2FFFFD0A"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3.3</w:t>
                  </w:r>
                </w:p>
              </w:tc>
              <w:tc>
                <w:tcPr>
                  <w:tcW w:w="698" w:type="pct"/>
                </w:tcPr>
                <w:p w14:paraId="0A9B39EF"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6.5</w:t>
                  </w:r>
                </w:p>
              </w:tc>
              <w:tc>
                <w:tcPr>
                  <w:tcW w:w="788" w:type="pct"/>
                </w:tcPr>
                <w:p w14:paraId="000A3C60"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7.1</w:t>
                  </w:r>
                </w:p>
              </w:tc>
              <w:tc>
                <w:tcPr>
                  <w:tcW w:w="965" w:type="pct"/>
                </w:tcPr>
                <w:p w14:paraId="23BAEB58"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-19.2</w:t>
                  </w:r>
                </w:p>
              </w:tc>
            </w:tr>
            <w:tr w:rsidR="00EA106B" w:rsidRPr="004E5A6E" w14:paraId="332B2489" w14:textId="77777777" w:rsidTr="00D6295F">
              <w:trPr>
                <w:trHeight w:hRule="exact" w:val="227"/>
              </w:trPr>
              <w:tc>
                <w:tcPr>
                  <w:tcW w:w="1711" w:type="pct"/>
                </w:tcPr>
                <w:p w14:paraId="30D4680E" w14:textId="77777777" w:rsidR="00EA106B" w:rsidRPr="004E5A6E" w:rsidRDefault="00EA106B" w:rsidP="00D6295F">
                  <w:pPr>
                    <w:rPr>
                      <w:color w:val="auto"/>
                      <w:sz w:val="18"/>
                      <w:szCs w:val="18"/>
                      <w:lang w:val="sq-AL"/>
                    </w:rPr>
                  </w:pPr>
                  <w:r w:rsidRPr="004E5A6E">
                    <w:rPr>
                      <w:color w:val="auto"/>
                      <w:sz w:val="18"/>
                      <w:szCs w:val="18"/>
                      <w:lang w:val="sq-AL"/>
                    </w:rPr>
                    <w:t>Eksportet totale</w:t>
                  </w:r>
                </w:p>
              </w:tc>
              <w:tc>
                <w:tcPr>
                  <w:tcW w:w="838" w:type="pct"/>
                </w:tcPr>
                <w:p w14:paraId="5FA8B827"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10.0</w:t>
                  </w:r>
                </w:p>
              </w:tc>
              <w:tc>
                <w:tcPr>
                  <w:tcW w:w="698" w:type="pct"/>
                </w:tcPr>
                <w:p w14:paraId="66AD8C8D"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17.2</w:t>
                  </w:r>
                </w:p>
              </w:tc>
              <w:tc>
                <w:tcPr>
                  <w:tcW w:w="788" w:type="pct"/>
                </w:tcPr>
                <w:p w14:paraId="2AF5FC01"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8.7</w:t>
                  </w:r>
                </w:p>
              </w:tc>
              <w:tc>
                <w:tcPr>
                  <w:tcW w:w="965" w:type="pct"/>
                </w:tcPr>
                <w:p w14:paraId="39D172BA"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-16.8</w:t>
                  </w:r>
                </w:p>
              </w:tc>
            </w:tr>
            <w:tr w:rsidR="00EA106B" w:rsidRPr="004E5A6E" w14:paraId="7F930FD0" w14:textId="77777777" w:rsidTr="00D6295F">
              <w:trPr>
                <w:trHeight w:hRule="exact" w:val="227"/>
              </w:trPr>
              <w:tc>
                <w:tcPr>
                  <w:tcW w:w="1711" w:type="pct"/>
                </w:tcPr>
                <w:p w14:paraId="192562E1" w14:textId="77777777" w:rsidR="00EA106B" w:rsidRPr="004E5A6E" w:rsidRDefault="00EA106B" w:rsidP="00D6295F">
                  <w:pPr>
                    <w:rPr>
                      <w:color w:val="auto"/>
                      <w:sz w:val="18"/>
                      <w:szCs w:val="18"/>
                      <w:lang w:val="sq-AL"/>
                    </w:rPr>
                  </w:pPr>
                  <w:r w:rsidRPr="004E5A6E">
                    <w:rPr>
                      <w:color w:val="auto"/>
                      <w:sz w:val="18"/>
                      <w:szCs w:val="18"/>
                      <w:lang w:val="sq-AL"/>
                    </w:rPr>
                    <w:t>Eksporti i Mallrave</w:t>
                  </w:r>
                </w:p>
              </w:tc>
              <w:tc>
                <w:tcPr>
                  <w:tcW w:w="838" w:type="pct"/>
                </w:tcPr>
                <w:p w14:paraId="4A4F13AD"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4.7</w:t>
                  </w:r>
                </w:p>
              </w:tc>
              <w:tc>
                <w:tcPr>
                  <w:tcW w:w="698" w:type="pct"/>
                </w:tcPr>
                <w:p w14:paraId="56B2A7B1"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3.7</w:t>
                  </w:r>
                </w:p>
              </w:tc>
              <w:tc>
                <w:tcPr>
                  <w:tcW w:w="788" w:type="pct"/>
                </w:tcPr>
                <w:p w14:paraId="1ED814F5"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5.9</w:t>
                  </w:r>
                </w:p>
              </w:tc>
              <w:tc>
                <w:tcPr>
                  <w:tcW w:w="965" w:type="pct"/>
                </w:tcPr>
                <w:p w14:paraId="62A8C4CE"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21.3</w:t>
                  </w:r>
                </w:p>
              </w:tc>
            </w:tr>
            <w:tr w:rsidR="00EA106B" w:rsidRPr="004E5A6E" w14:paraId="338B68BB" w14:textId="77777777" w:rsidTr="00D6295F">
              <w:trPr>
                <w:trHeight w:hRule="exact" w:val="227"/>
              </w:trPr>
              <w:tc>
                <w:tcPr>
                  <w:tcW w:w="1711" w:type="pct"/>
                </w:tcPr>
                <w:p w14:paraId="47D29DDE" w14:textId="77777777" w:rsidR="00EA106B" w:rsidRPr="004E5A6E" w:rsidRDefault="00EA106B" w:rsidP="00D6295F">
                  <w:pPr>
                    <w:rPr>
                      <w:color w:val="auto"/>
                      <w:sz w:val="18"/>
                      <w:szCs w:val="18"/>
                      <w:lang w:val="sq-AL"/>
                    </w:rPr>
                  </w:pPr>
                  <w:r w:rsidRPr="004E5A6E">
                    <w:rPr>
                      <w:color w:val="auto"/>
                      <w:sz w:val="18"/>
                      <w:szCs w:val="18"/>
                      <w:lang w:val="sq-AL"/>
                    </w:rPr>
                    <w:t>Eksporti i Shërbimeve</w:t>
                  </w:r>
                </w:p>
              </w:tc>
              <w:tc>
                <w:tcPr>
                  <w:tcW w:w="838" w:type="pct"/>
                </w:tcPr>
                <w:p w14:paraId="75FF1880"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11.4</w:t>
                  </w:r>
                </w:p>
              </w:tc>
              <w:tc>
                <w:tcPr>
                  <w:tcW w:w="698" w:type="pct"/>
                </w:tcPr>
                <w:p w14:paraId="565BD1F2"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20.8</w:t>
                  </w:r>
                </w:p>
              </w:tc>
              <w:tc>
                <w:tcPr>
                  <w:tcW w:w="788" w:type="pct"/>
                </w:tcPr>
                <w:p w14:paraId="1B921D0A"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9.4</w:t>
                  </w:r>
                </w:p>
              </w:tc>
              <w:tc>
                <w:tcPr>
                  <w:tcW w:w="965" w:type="pct"/>
                </w:tcPr>
                <w:p w14:paraId="4F70C03B"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-25.8</w:t>
                  </w:r>
                </w:p>
              </w:tc>
            </w:tr>
            <w:tr w:rsidR="00EA106B" w:rsidRPr="004E5A6E" w14:paraId="529D4658" w14:textId="77777777" w:rsidTr="00D6295F">
              <w:trPr>
                <w:trHeight w:hRule="exact" w:val="227"/>
              </w:trPr>
              <w:tc>
                <w:tcPr>
                  <w:tcW w:w="1711" w:type="pct"/>
                </w:tcPr>
                <w:p w14:paraId="063DAAD9" w14:textId="77777777" w:rsidR="00EA106B" w:rsidRPr="004E5A6E" w:rsidRDefault="00EA106B" w:rsidP="00D6295F">
                  <w:pPr>
                    <w:rPr>
                      <w:color w:val="auto"/>
                      <w:sz w:val="18"/>
                      <w:szCs w:val="18"/>
                      <w:lang w:val="sq-AL"/>
                    </w:rPr>
                  </w:pPr>
                  <w:r w:rsidRPr="004E5A6E">
                    <w:rPr>
                      <w:color w:val="auto"/>
                      <w:sz w:val="18"/>
                      <w:szCs w:val="18"/>
                      <w:lang w:val="sq-AL"/>
                    </w:rPr>
                    <w:t>Importet totale</w:t>
                  </w:r>
                </w:p>
              </w:tc>
              <w:tc>
                <w:tcPr>
                  <w:tcW w:w="838" w:type="pct"/>
                </w:tcPr>
                <w:p w14:paraId="06D0034E"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3.1</w:t>
                  </w:r>
                </w:p>
              </w:tc>
              <w:tc>
                <w:tcPr>
                  <w:tcW w:w="698" w:type="pct"/>
                </w:tcPr>
                <w:p w14:paraId="751B6AD9"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5.6</w:t>
                  </w:r>
                </w:p>
              </w:tc>
              <w:tc>
                <w:tcPr>
                  <w:tcW w:w="788" w:type="pct"/>
                </w:tcPr>
                <w:p w14:paraId="37DF0AC8"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7.8</w:t>
                  </w:r>
                </w:p>
              </w:tc>
              <w:tc>
                <w:tcPr>
                  <w:tcW w:w="965" w:type="pct"/>
                </w:tcPr>
                <w:p w14:paraId="02AD6F8E"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-7.2</w:t>
                  </w:r>
                </w:p>
              </w:tc>
            </w:tr>
            <w:tr w:rsidR="00EA106B" w:rsidRPr="004E5A6E" w14:paraId="4BC1EE62" w14:textId="77777777" w:rsidTr="00D6295F">
              <w:trPr>
                <w:trHeight w:hRule="exact" w:val="227"/>
              </w:trPr>
              <w:tc>
                <w:tcPr>
                  <w:tcW w:w="1711" w:type="pct"/>
                </w:tcPr>
                <w:p w14:paraId="76A07ACE" w14:textId="77777777" w:rsidR="00EA106B" w:rsidRPr="004E5A6E" w:rsidRDefault="00EA106B" w:rsidP="00D6295F">
                  <w:pPr>
                    <w:rPr>
                      <w:color w:val="auto"/>
                      <w:sz w:val="18"/>
                      <w:szCs w:val="18"/>
                      <w:lang w:val="sq-AL"/>
                    </w:rPr>
                  </w:pPr>
                  <w:r w:rsidRPr="004E5A6E">
                    <w:rPr>
                      <w:color w:val="auto"/>
                      <w:sz w:val="18"/>
                      <w:szCs w:val="18"/>
                      <w:lang w:val="sq-AL"/>
                    </w:rPr>
                    <w:t>Importi i Mallrave</w:t>
                  </w:r>
                </w:p>
              </w:tc>
              <w:tc>
                <w:tcPr>
                  <w:tcW w:w="838" w:type="pct"/>
                </w:tcPr>
                <w:p w14:paraId="059423B4"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2.9</w:t>
                  </w:r>
                </w:p>
              </w:tc>
              <w:tc>
                <w:tcPr>
                  <w:tcW w:w="698" w:type="pct"/>
                </w:tcPr>
                <w:p w14:paraId="1F2A7567"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2.8</w:t>
                  </w:r>
                </w:p>
              </w:tc>
              <w:tc>
                <w:tcPr>
                  <w:tcW w:w="788" w:type="pct"/>
                </w:tcPr>
                <w:p w14:paraId="3AE6AF0F"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8.2</w:t>
                  </w:r>
                </w:p>
              </w:tc>
              <w:tc>
                <w:tcPr>
                  <w:tcW w:w="965" w:type="pct"/>
                </w:tcPr>
                <w:p w14:paraId="3ED6A698"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-3.8</w:t>
                  </w:r>
                </w:p>
              </w:tc>
            </w:tr>
            <w:tr w:rsidR="00EA106B" w:rsidRPr="004E5A6E" w14:paraId="111E2A1D" w14:textId="77777777" w:rsidTr="00D6295F">
              <w:trPr>
                <w:trHeight w:hRule="exact" w:val="227"/>
              </w:trPr>
              <w:tc>
                <w:tcPr>
                  <w:tcW w:w="1711" w:type="pct"/>
                </w:tcPr>
                <w:p w14:paraId="69E30548" w14:textId="77777777" w:rsidR="00EA106B" w:rsidRPr="004E5A6E" w:rsidRDefault="00EA106B" w:rsidP="00D6295F">
                  <w:pPr>
                    <w:rPr>
                      <w:color w:val="auto"/>
                      <w:sz w:val="18"/>
                      <w:szCs w:val="18"/>
                      <w:lang w:val="sq-AL"/>
                    </w:rPr>
                  </w:pPr>
                  <w:r w:rsidRPr="004E5A6E">
                    <w:rPr>
                      <w:color w:val="auto"/>
                      <w:sz w:val="18"/>
                      <w:szCs w:val="18"/>
                      <w:lang w:val="sq-AL"/>
                    </w:rPr>
                    <w:t>Importi i Shërbimeve</w:t>
                  </w:r>
                </w:p>
              </w:tc>
              <w:tc>
                <w:tcPr>
                  <w:tcW w:w="838" w:type="pct"/>
                </w:tcPr>
                <w:p w14:paraId="454E99A3"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4.3</w:t>
                  </w:r>
                </w:p>
                <w:p w14:paraId="7368CD11" w14:textId="77777777" w:rsidR="00EA106B" w:rsidRPr="004E5A6E" w:rsidRDefault="00EA106B" w:rsidP="00D6295F">
                  <w:pPr>
                    <w:pStyle w:val="NoSpacing"/>
                    <w:jc w:val="center"/>
                    <w:rPr>
                      <w:rFonts w:ascii="Times New Roman" w:hAnsi="Times New Roman"/>
                      <w:sz w:val="18"/>
                      <w:szCs w:val="18"/>
                      <w:lang w:val="sq-AL"/>
                    </w:rPr>
                  </w:pPr>
                </w:p>
              </w:tc>
              <w:tc>
                <w:tcPr>
                  <w:tcW w:w="698" w:type="pct"/>
                </w:tcPr>
                <w:p w14:paraId="168FF0A0"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19.0</w:t>
                  </w:r>
                </w:p>
              </w:tc>
              <w:tc>
                <w:tcPr>
                  <w:tcW w:w="788" w:type="pct"/>
                </w:tcPr>
                <w:p w14:paraId="2B0EEFE3"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6.3</w:t>
                  </w:r>
                </w:p>
              </w:tc>
              <w:tc>
                <w:tcPr>
                  <w:tcW w:w="965" w:type="pct"/>
                </w:tcPr>
                <w:p w14:paraId="77158F0F" w14:textId="77777777" w:rsidR="00EA106B" w:rsidRPr="004E5A6E" w:rsidRDefault="00EA106B" w:rsidP="00D6295F">
                  <w:pPr>
                    <w:pStyle w:val="NoSpacing"/>
                    <w:jc w:val="center"/>
                    <w:rPr>
                      <w:rFonts w:ascii="Times New Roman" w:hAnsi="Times New Roman"/>
                      <w:sz w:val="18"/>
                      <w:szCs w:val="18"/>
                      <w:lang w:val="sq-AL"/>
                    </w:rPr>
                  </w:pPr>
                  <w:r w:rsidRPr="004E5A6E">
                    <w:rPr>
                      <w:rFonts w:ascii="Times New Roman" w:hAnsi="Times New Roman"/>
                      <w:sz w:val="18"/>
                      <w:szCs w:val="18"/>
                      <w:lang w:val="sq-AL"/>
                    </w:rPr>
                    <w:t>-21.7</w:t>
                  </w:r>
                </w:p>
              </w:tc>
            </w:tr>
          </w:tbl>
          <w:p w14:paraId="4D425128" w14:textId="77777777" w:rsidR="00EA106B" w:rsidRPr="004E5A6E" w:rsidRDefault="00EA106B" w:rsidP="00D6295F">
            <w:pPr>
              <w:spacing w:after="120"/>
              <w:jc w:val="both"/>
              <w:rPr>
                <w:color w:val="auto"/>
                <w:lang w:val="sq-AL"/>
              </w:rPr>
            </w:pPr>
          </w:p>
        </w:tc>
      </w:tr>
    </w:tbl>
    <w:p w14:paraId="4D4663A3" w14:textId="77777777" w:rsidR="00EA106B" w:rsidRPr="004E5A6E" w:rsidRDefault="00EA106B" w:rsidP="00EA106B">
      <w:pPr>
        <w:pStyle w:val="ERPL3"/>
        <w:rPr>
          <w:rFonts w:ascii="Times New Roman" w:hAnsi="Times New Roman"/>
          <w:lang w:val="sq-AL"/>
        </w:rPr>
      </w:pPr>
      <w:bookmarkStart w:id="73" w:name="_Toc57198254"/>
      <w:bookmarkStart w:id="74" w:name="_Toc57720368"/>
      <w:r w:rsidRPr="004E5A6E">
        <w:rPr>
          <w:rFonts w:ascii="Times New Roman" w:hAnsi="Times New Roman"/>
          <w:lang w:val="sq-AL"/>
        </w:rPr>
        <w:t>Treguesit kryesorë të tregut të punës</w:t>
      </w:r>
      <w:bookmarkEnd w:id="73"/>
      <w:bookmarkEnd w:id="74"/>
    </w:p>
    <w:p w14:paraId="2069422D" w14:textId="77777777" w:rsidR="00EA106B" w:rsidRPr="004E5A6E" w:rsidRDefault="00EA106B" w:rsidP="00EA106B">
      <w:pPr>
        <w:spacing w:before="240" w:after="120" w:line="276" w:lineRule="auto"/>
        <w:jc w:val="both"/>
        <w:rPr>
          <w:color w:val="auto"/>
          <w:lang w:val="sq-AL"/>
        </w:rPr>
      </w:pPr>
      <w:r w:rsidRPr="004E5A6E">
        <w:rPr>
          <w:color w:val="auto"/>
          <w:lang w:val="sq-AL"/>
        </w:rPr>
        <w:t>Sipas Anketës së Fuqisë Punëtore për tremujorin e parë të vitit 2020, popullsia në moshë për punë në Kosovë ishte 1.2 milion njerëz. Shkalla e punësimit në tremujorin e parë të vitit 2020 ishte 29.1%, duke shënuar një përmirësim prej 0.9 p.p. krahasuar me TM1 të vitit 2019. Shkalla e pjesëmarrjes në fuqinë punëtore ka mbetur pothuajse në të njëjtat nivele si në vitet e mëparshme, në rreth 38.8% (ku ajo e meshkujve ishte 57.1% dhe ajo e femrave 20.3%). Ndërsa, shkalla e papunësisë u ul me 1.9 p.p. në terma vjetorë duke arritur 25.0%.</w:t>
      </w:r>
    </w:p>
    <w:p w14:paraId="011C89A6" w14:textId="3CAABD06" w:rsidR="00EA106B" w:rsidRDefault="00EA106B" w:rsidP="00EA106B">
      <w:pPr>
        <w:spacing w:before="240" w:after="120" w:line="276" w:lineRule="auto"/>
        <w:jc w:val="both"/>
        <w:rPr>
          <w:color w:val="auto"/>
          <w:lang w:val="sq-AL"/>
        </w:rPr>
      </w:pPr>
      <w:r w:rsidRPr="004E5A6E">
        <w:rPr>
          <w:color w:val="auto"/>
          <w:lang w:val="sq-AL"/>
        </w:rPr>
        <w:t>Sektorët me punësim më të lartë vazhdojnë të jenë: tregtia me 17.1%; prodhimi me 12.0%, arsimi me 10.7%, dhe ndërtimi me 10.6%.; ndërsa sektorët e tjerë marrin pjesë me një përqindje më të ulët në punësim. Punësimi i meshkujve ishte më i lartë në sektorët e ndërtimit dhe prodhimit, ndërsa punësimi i femrave ishte më i lartë në sektorët e arsimit, kujdesit shëndetësor dhe tregtisë.</w:t>
      </w:r>
    </w:p>
    <w:p w14:paraId="7D227381" w14:textId="77777777" w:rsidR="00CE4035" w:rsidRPr="004E5A6E" w:rsidRDefault="00CE4035" w:rsidP="00EA106B">
      <w:pPr>
        <w:spacing w:before="240" w:after="120" w:line="276" w:lineRule="auto"/>
        <w:jc w:val="both"/>
        <w:rPr>
          <w:color w:val="auto"/>
          <w:lang w:val="sq-AL"/>
        </w:rPr>
      </w:pPr>
    </w:p>
    <w:p w14:paraId="291BB14A" w14:textId="77777777" w:rsidR="00EE37A9" w:rsidRPr="004E5A6E" w:rsidRDefault="00EE37A9" w:rsidP="00EE37A9">
      <w:pPr>
        <w:pStyle w:val="Caption"/>
        <w:keepNext/>
        <w:spacing w:after="0"/>
        <w:rPr>
          <w:rFonts w:ascii="Times New Roman" w:hAnsi="Times New Roman"/>
          <w:b/>
          <w:i w:val="0"/>
          <w:color w:val="auto"/>
          <w:lang w:val="sq-AL"/>
        </w:rPr>
      </w:pPr>
    </w:p>
    <w:p w14:paraId="290B97E7" w14:textId="4E406573" w:rsidR="00EE37A9" w:rsidRPr="004E5A6E" w:rsidRDefault="00EE37A9" w:rsidP="00EE37A9">
      <w:pPr>
        <w:pStyle w:val="Caption"/>
        <w:keepNext/>
        <w:spacing w:after="0" w:line="276" w:lineRule="auto"/>
        <w:jc w:val="both"/>
        <w:rPr>
          <w:rFonts w:ascii="Times New Roman" w:hAnsi="Times New Roman"/>
          <w:b/>
          <w:i w:val="0"/>
          <w:color w:val="auto"/>
          <w:lang w:val="sq-AL"/>
        </w:rPr>
      </w:pPr>
      <w:r w:rsidRPr="004E5A6E">
        <w:rPr>
          <w:rFonts w:ascii="Times New Roman" w:hAnsi="Times New Roman"/>
          <w:b/>
          <w:i w:val="0"/>
          <w:color w:val="auto"/>
          <w:lang w:val="sq-AL"/>
        </w:rPr>
        <w:t>Tabela 3 Treguesit kryesorë të tregut të punës</w:t>
      </w:r>
    </w:p>
    <w:tbl>
      <w:tblPr>
        <w:tblW w:w="9027" w:type="dxa"/>
        <w:shd w:val="clear" w:color="auto" w:fill="DEEAF6" w:themeFill="accent1" w:themeFillTint="33"/>
        <w:tblLayout w:type="fixed"/>
        <w:tblLook w:val="04A0" w:firstRow="1" w:lastRow="0" w:firstColumn="1" w:lastColumn="0" w:noHBand="0" w:noVBand="1"/>
      </w:tblPr>
      <w:tblGrid>
        <w:gridCol w:w="2897"/>
        <w:gridCol w:w="1101"/>
        <w:gridCol w:w="1001"/>
        <w:gridCol w:w="1001"/>
        <w:gridCol w:w="1001"/>
        <w:gridCol w:w="1001"/>
        <w:gridCol w:w="1025"/>
      </w:tblGrid>
      <w:tr w:rsidR="00EA106B" w:rsidRPr="004E5A6E" w14:paraId="7401FE90" w14:textId="77777777" w:rsidTr="00D6295F">
        <w:trPr>
          <w:trHeight w:val="75"/>
        </w:trPr>
        <w:tc>
          <w:tcPr>
            <w:tcW w:w="2897" w:type="dxa"/>
            <w:tcBorders>
              <w:top w:val="single" w:sz="4" w:space="0" w:color="auto"/>
              <w:left w:val="single" w:sz="4" w:space="0" w:color="auto"/>
              <w:bottom w:val="single" w:sz="4" w:space="0" w:color="auto"/>
            </w:tcBorders>
            <w:shd w:val="clear" w:color="auto" w:fill="DEEAF6" w:themeFill="accent1" w:themeFillTint="33"/>
            <w:noWrap/>
            <w:vAlign w:val="center"/>
            <w:hideMark/>
          </w:tcPr>
          <w:p w14:paraId="33A59D07" w14:textId="77777777" w:rsidR="00EA106B" w:rsidRPr="004E5A6E" w:rsidRDefault="00EA106B" w:rsidP="00D6295F">
            <w:pPr>
              <w:spacing w:line="276" w:lineRule="auto"/>
              <w:rPr>
                <w:rFonts w:eastAsia="Cambria"/>
                <w:b/>
                <w:bCs/>
                <w:color w:val="auto"/>
                <w:sz w:val="16"/>
                <w:szCs w:val="16"/>
                <w:lang w:val="sq-AL"/>
              </w:rPr>
            </w:pPr>
            <w:r w:rsidRPr="004E5A6E">
              <w:rPr>
                <w:rFonts w:eastAsia="Cambria"/>
                <w:b/>
                <w:bCs/>
                <w:color w:val="auto"/>
                <w:sz w:val="16"/>
                <w:szCs w:val="16"/>
                <w:lang w:val="sq-AL"/>
              </w:rPr>
              <w:t>Treguesi</w:t>
            </w:r>
          </w:p>
        </w:tc>
        <w:tc>
          <w:tcPr>
            <w:tcW w:w="1101" w:type="dxa"/>
            <w:tcBorders>
              <w:top w:val="single" w:sz="4" w:space="0" w:color="auto"/>
              <w:left w:val="nil"/>
              <w:bottom w:val="single" w:sz="4" w:space="0" w:color="auto"/>
            </w:tcBorders>
            <w:shd w:val="clear" w:color="auto" w:fill="DEEAF6" w:themeFill="accent1" w:themeFillTint="33"/>
            <w:noWrap/>
            <w:vAlign w:val="center"/>
            <w:hideMark/>
          </w:tcPr>
          <w:p w14:paraId="7385EAE2" w14:textId="77777777" w:rsidR="00EA106B" w:rsidRPr="004E5A6E" w:rsidRDefault="00EA106B" w:rsidP="00D6295F">
            <w:pPr>
              <w:spacing w:line="276" w:lineRule="auto"/>
              <w:jc w:val="center"/>
              <w:rPr>
                <w:rFonts w:eastAsia="Cambria"/>
                <w:b/>
                <w:bCs/>
                <w:color w:val="auto"/>
                <w:sz w:val="16"/>
                <w:szCs w:val="16"/>
                <w:lang w:val="sq-AL"/>
              </w:rPr>
            </w:pPr>
            <w:r w:rsidRPr="004E5A6E">
              <w:rPr>
                <w:rFonts w:eastAsia="Cambria"/>
                <w:b/>
                <w:bCs/>
                <w:color w:val="auto"/>
                <w:sz w:val="16"/>
                <w:szCs w:val="16"/>
                <w:lang w:val="sq-AL"/>
              </w:rPr>
              <w:t>2016</w:t>
            </w:r>
          </w:p>
        </w:tc>
        <w:tc>
          <w:tcPr>
            <w:tcW w:w="1001" w:type="dxa"/>
            <w:tcBorders>
              <w:top w:val="single" w:sz="4" w:space="0" w:color="auto"/>
              <w:bottom w:val="single" w:sz="4" w:space="0" w:color="auto"/>
            </w:tcBorders>
            <w:shd w:val="clear" w:color="auto" w:fill="DEEAF6" w:themeFill="accent1" w:themeFillTint="33"/>
            <w:noWrap/>
            <w:vAlign w:val="center"/>
            <w:hideMark/>
          </w:tcPr>
          <w:p w14:paraId="7390DC08" w14:textId="77777777" w:rsidR="00EA106B" w:rsidRPr="004E5A6E" w:rsidRDefault="00EA106B" w:rsidP="00D6295F">
            <w:pPr>
              <w:spacing w:line="276" w:lineRule="auto"/>
              <w:jc w:val="center"/>
              <w:rPr>
                <w:rFonts w:eastAsia="Cambria"/>
                <w:b/>
                <w:bCs/>
                <w:color w:val="auto"/>
                <w:sz w:val="16"/>
                <w:szCs w:val="16"/>
                <w:lang w:val="sq-AL"/>
              </w:rPr>
            </w:pPr>
            <w:r w:rsidRPr="004E5A6E">
              <w:rPr>
                <w:rFonts w:eastAsia="Cambria"/>
                <w:b/>
                <w:bCs/>
                <w:color w:val="auto"/>
                <w:sz w:val="16"/>
                <w:szCs w:val="16"/>
                <w:lang w:val="sq-AL"/>
              </w:rPr>
              <w:t>2017</w:t>
            </w:r>
          </w:p>
        </w:tc>
        <w:tc>
          <w:tcPr>
            <w:tcW w:w="1001" w:type="dxa"/>
            <w:tcBorders>
              <w:top w:val="single" w:sz="4" w:space="0" w:color="auto"/>
              <w:bottom w:val="single" w:sz="4" w:space="0" w:color="auto"/>
            </w:tcBorders>
            <w:shd w:val="clear" w:color="auto" w:fill="DEEAF6" w:themeFill="accent1" w:themeFillTint="33"/>
            <w:vAlign w:val="center"/>
          </w:tcPr>
          <w:p w14:paraId="17560988" w14:textId="77777777" w:rsidR="00EA106B" w:rsidRPr="004E5A6E" w:rsidRDefault="00EA106B" w:rsidP="00D6295F">
            <w:pPr>
              <w:spacing w:line="276" w:lineRule="auto"/>
              <w:jc w:val="center"/>
              <w:rPr>
                <w:rFonts w:eastAsia="Cambria"/>
                <w:b/>
                <w:bCs/>
                <w:color w:val="auto"/>
                <w:sz w:val="16"/>
                <w:szCs w:val="16"/>
                <w:lang w:val="sq-AL"/>
              </w:rPr>
            </w:pPr>
            <w:r w:rsidRPr="004E5A6E">
              <w:rPr>
                <w:rFonts w:eastAsia="Cambria"/>
                <w:b/>
                <w:bCs/>
                <w:color w:val="auto"/>
                <w:sz w:val="16"/>
                <w:szCs w:val="16"/>
                <w:lang w:val="sq-AL"/>
              </w:rPr>
              <w:t>2018</w:t>
            </w:r>
          </w:p>
        </w:tc>
        <w:tc>
          <w:tcPr>
            <w:tcW w:w="1001" w:type="dxa"/>
            <w:tcBorders>
              <w:top w:val="single" w:sz="4" w:space="0" w:color="auto"/>
              <w:bottom w:val="single" w:sz="4" w:space="0" w:color="auto"/>
            </w:tcBorders>
            <w:shd w:val="clear" w:color="auto" w:fill="DEEAF6" w:themeFill="accent1" w:themeFillTint="33"/>
            <w:vAlign w:val="center"/>
          </w:tcPr>
          <w:p w14:paraId="5AB86C2A" w14:textId="77777777" w:rsidR="00EA106B" w:rsidRPr="004E5A6E" w:rsidRDefault="00EA106B" w:rsidP="00D6295F">
            <w:pPr>
              <w:spacing w:line="276" w:lineRule="auto"/>
              <w:jc w:val="center"/>
              <w:rPr>
                <w:rFonts w:eastAsia="Cambria"/>
                <w:b/>
                <w:bCs/>
                <w:color w:val="auto"/>
                <w:sz w:val="16"/>
                <w:szCs w:val="16"/>
                <w:lang w:val="sq-AL"/>
              </w:rPr>
            </w:pPr>
            <w:r w:rsidRPr="004E5A6E">
              <w:rPr>
                <w:rFonts w:eastAsia="Cambria"/>
                <w:b/>
                <w:bCs/>
                <w:color w:val="auto"/>
                <w:sz w:val="16"/>
                <w:szCs w:val="16"/>
                <w:lang w:val="sq-AL"/>
              </w:rPr>
              <w:t>2019</w:t>
            </w:r>
          </w:p>
        </w:tc>
        <w:tc>
          <w:tcPr>
            <w:tcW w:w="1001" w:type="dxa"/>
            <w:tcBorders>
              <w:top w:val="single" w:sz="4" w:space="0" w:color="auto"/>
              <w:bottom w:val="single" w:sz="4" w:space="0" w:color="auto"/>
            </w:tcBorders>
            <w:shd w:val="clear" w:color="auto" w:fill="DEEAF6" w:themeFill="accent1" w:themeFillTint="33"/>
            <w:vAlign w:val="center"/>
          </w:tcPr>
          <w:p w14:paraId="701A6537" w14:textId="77777777" w:rsidR="00EA106B" w:rsidRPr="004E5A6E" w:rsidRDefault="00EA106B" w:rsidP="00D6295F">
            <w:pPr>
              <w:spacing w:line="276" w:lineRule="auto"/>
              <w:rPr>
                <w:rFonts w:eastAsia="Cambria"/>
                <w:b/>
                <w:bCs/>
                <w:color w:val="auto"/>
                <w:sz w:val="16"/>
                <w:szCs w:val="16"/>
                <w:lang w:val="sq-AL"/>
              </w:rPr>
            </w:pPr>
            <w:r w:rsidRPr="004E5A6E">
              <w:rPr>
                <w:rFonts w:eastAsia="Cambria"/>
                <w:b/>
                <w:bCs/>
                <w:color w:val="auto"/>
                <w:sz w:val="16"/>
                <w:szCs w:val="16"/>
                <w:lang w:val="sq-AL"/>
              </w:rPr>
              <w:t>Q1 2019</w:t>
            </w:r>
          </w:p>
        </w:tc>
        <w:tc>
          <w:tcPr>
            <w:tcW w:w="1025" w:type="dxa"/>
            <w:tcBorders>
              <w:top w:val="single" w:sz="4" w:space="0" w:color="auto"/>
              <w:bottom w:val="single" w:sz="4" w:space="0" w:color="auto"/>
              <w:right w:val="single" w:sz="4" w:space="0" w:color="auto"/>
            </w:tcBorders>
            <w:shd w:val="clear" w:color="auto" w:fill="DEEAF6" w:themeFill="accent1" w:themeFillTint="33"/>
          </w:tcPr>
          <w:p w14:paraId="3FA9E6A4" w14:textId="77777777" w:rsidR="00EA106B" w:rsidRPr="004E5A6E" w:rsidRDefault="00EA106B" w:rsidP="00D6295F">
            <w:pPr>
              <w:spacing w:line="276" w:lineRule="auto"/>
              <w:rPr>
                <w:rFonts w:eastAsia="Cambria"/>
                <w:b/>
                <w:bCs/>
                <w:color w:val="auto"/>
                <w:sz w:val="16"/>
                <w:szCs w:val="16"/>
                <w:lang w:val="sq-AL"/>
              </w:rPr>
            </w:pPr>
            <w:r w:rsidRPr="004E5A6E">
              <w:rPr>
                <w:rFonts w:eastAsia="Cambria"/>
                <w:b/>
                <w:bCs/>
                <w:color w:val="auto"/>
                <w:sz w:val="16"/>
                <w:szCs w:val="16"/>
                <w:lang w:val="sq-AL"/>
              </w:rPr>
              <w:t>Q1 2020</w:t>
            </w:r>
          </w:p>
        </w:tc>
      </w:tr>
      <w:tr w:rsidR="00EA106B" w:rsidRPr="004E5A6E" w14:paraId="6F292E6D" w14:textId="77777777" w:rsidTr="00D6295F">
        <w:trPr>
          <w:trHeight w:val="134"/>
        </w:trPr>
        <w:tc>
          <w:tcPr>
            <w:tcW w:w="2897" w:type="dxa"/>
            <w:tcBorders>
              <w:top w:val="single" w:sz="4" w:space="0" w:color="auto"/>
              <w:left w:val="single" w:sz="4" w:space="0" w:color="auto"/>
              <w:right w:val="single" w:sz="4" w:space="0" w:color="auto"/>
            </w:tcBorders>
            <w:shd w:val="clear" w:color="auto" w:fill="DEEAF6" w:themeFill="accent1" w:themeFillTint="33"/>
            <w:noWrap/>
            <w:vAlign w:val="bottom"/>
            <w:hideMark/>
          </w:tcPr>
          <w:p w14:paraId="0B8FC41D" w14:textId="77777777" w:rsidR="00EA106B" w:rsidRPr="004E5A6E" w:rsidRDefault="00EA106B" w:rsidP="00D6295F">
            <w:pPr>
              <w:spacing w:line="276" w:lineRule="auto"/>
              <w:rPr>
                <w:rFonts w:eastAsia="Cambria"/>
                <w:b/>
                <w:bCs/>
                <w:color w:val="auto"/>
                <w:sz w:val="16"/>
                <w:szCs w:val="16"/>
                <w:lang w:val="sq-AL"/>
              </w:rPr>
            </w:pPr>
            <w:r w:rsidRPr="004E5A6E">
              <w:rPr>
                <w:rFonts w:eastAsia="Cambria"/>
                <w:b/>
                <w:bCs/>
                <w:color w:val="auto"/>
                <w:sz w:val="16"/>
                <w:szCs w:val="16"/>
                <w:lang w:val="sq-AL"/>
              </w:rPr>
              <w:t>Popullsia totale</w:t>
            </w:r>
          </w:p>
        </w:tc>
        <w:tc>
          <w:tcPr>
            <w:tcW w:w="1101" w:type="dxa"/>
            <w:tcBorders>
              <w:top w:val="single" w:sz="4" w:space="0" w:color="auto"/>
              <w:left w:val="single" w:sz="4" w:space="0" w:color="auto"/>
            </w:tcBorders>
            <w:shd w:val="clear" w:color="auto" w:fill="DEEAF6" w:themeFill="accent1" w:themeFillTint="33"/>
            <w:noWrap/>
            <w:vAlign w:val="bottom"/>
            <w:hideMark/>
          </w:tcPr>
          <w:p w14:paraId="2563524C" w14:textId="77777777" w:rsidR="00EA106B" w:rsidRPr="004E5A6E" w:rsidRDefault="00EA106B" w:rsidP="00D6295F">
            <w:pPr>
              <w:spacing w:line="276" w:lineRule="auto"/>
              <w:jc w:val="right"/>
              <w:rPr>
                <w:rFonts w:eastAsia="Cambria"/>
                <w:b/>
                <w:bCs/>
                <w:color w:val="auto"/>
                <w:sz w:val="16"/>
                <w:szCs w:val="16"/>
                <w:lang w:val="sq-AL"/>
              </w:rPr>
            </w:pPr>
            <w:r w:rsidRPr="004E5A6E">
              <w:rPr>
                <w:rFonts w:eastAsia="Cambria"/>
                <w:b/>
                <w:bCs/>
                <w:color w:val="auto"/>
                <w:sz w:val="16"/>
                <w:szCs w:val="16"/>
                <w:lang w:val="sq-AL"/>
              </w:rPr>
              <w:t>1,771,604</w:t>
            </w:r>
          </w:p>
        </w:tc>
        <w:tc>
          <w:tcPr>
            <w:tcW w:w="1001" w:type="dxa"/>
            <w:tcBorders>
              <w:top w:val="single" w:sz="4" w:space="0" w:color="auto"/>
            </w:tcBorders>
            <w:shd w:val="clear" w:color="auto" w:fill="DEEAF6" w:themeFill="accent1" w:themeFillTint="33"/>
            <w:noWrap/>
            <w:vAlign w:val="bottom"/>
            <w:hideMark/>
          </w:tcPr>
          <w:p w14:paraId="6E58E534" w14:textId="77777777" w:rsidR="00EA106B" w:rsidRPr="004E5A6E" w:rsidRDefault="00EA106B" w:rsidP="00D6295F">
            <w:pPr>
              <w:spacing w:line="276" w:lineRule="auto"/>
              <w:jc w:val="right"/>
              <w:rPr>
                <w:rFonts w:eastAsia="Cambria"/>
                <w:b/>
                <w:bCs/>
                <w:color w:val="auto"/>
                <w:sz w:val="16"/>
                <w:szCs w:val="16"/>
                <w:lang w:val="sq-AL"/>
              </w:rPr>
            </w:pPr>
            <w:r w:rsidRPr="004E5A6E">
              <w:rPr>
                <w:rFonts w:eastAsia="Cambria"/>
                <w:b/>
                <w:bCs/>
                <w:color w:val="auto"/>
                <w:sz w:val="16"/>
                <w:szCs w:val="16"/>
                <w:lang w:val="sq-AL"/>
              </w:rPr>
              <w:t>1,793,466</w:t>
            </w:r>
          </w:p>
        </w:tc>
        <w:tc>
          <w:tcPr>
            <w:tcW w:w="1001" w:type="dxa"/>
            <w:tcBorders>
              <w:top w:val="single" w:sz="4" w:space="0" w:color="auto"/>
            </w:tcBorders>
            <w:shd w:val="clear" w:color="auto" w:fill="DEEAF6" w:themeFill="accent1" w:themeFillTint="33"/>
          </w:tcPr>
          <w:p w14:paraId="635DF38D" w14:textId="77777777" w:rsidR="00EA106B" w:rsidRPr="004E5A6E" w:rsidRDefault="00EA106B" w:rsidP="00D6295F">
            <w:pPr>
              <w:spacing w:line="276" w:lineRule="auto"/>
              <w:jc w:val="right"/>
              <w:rPr>
                <w:rFonts w:eastAsia="Cambria"/>
                <w:b/>
                <w:bCs/>
                <w:color w:val="auto"/>
                <w:sz w:val="16"/>
                <w:szCs w:val="16"/>
                <w:lang w:val="sq-AL"/>
              </w:rPr>
            </w:pPr>
            <w:r w:rsidRPr="004E5A6E">
              <w:rPr>
                <w:rFonts w:eastAsia="Cambria"/>
                <w:b/>
                <w:bCs/>
                <w:color w:val="auto"/>
                <w:sz w:val="16"/>
                <w:szCs w:val="16"/>
                <w:lang w:val="sq-AL"/>
              </w:rPr>
              <w:t>1,793,467</w:t>
            </w:r>
          </w:p>
        </w:tc>
        <w:tc>
          <w:tcPr>
            <w:tcW w:w="1001" w:type="dxa"/>
            <w:tcBorders>
              <w:top w:val="single" w:sz="4" w:space="0" w:color="auto"/>
            </w:tcBorders>
            <w:shd w:val="clear" w:color="auto" w:fill="DEEAF6" w:themeFill="accent1" w:themeFillTint="33"/>
          </w:tcPr>
          <w:p w14:paraId="26554536" w14:textId="77777777" w:rsidR="00EA106B" w:rsidRPr="004E5A6E" w:rsidRDefault="00EA106B" w:rsidP="00D6295F">
            <w:pPr>
              <w:spacing w:line="276" w:lineRule="auto"/>
              <w:jc w:val="right"/>
              <w:rPr>
                <w:rFonts w:eastAsia="Cambria"/>
                <w:b/>
                <w:bCs/>
                <w:color w:val="auto"/>
                <w:sz w:val="16"/>
                <w:szCs w:val="16"/>
                <w:lang w:val="sq-AL"/>
              </w:rPr>
            </w:pPr>
            <w:r w:rsidRPr="004E5A6E">
              <w:rPr>
                <w:rFonts w:eastAsia="Cambria"/>
                <w:b/>
                <w:bCs/>
                <w:color w:val="auto"/>
                <w:sz w:val="16"/>
                <w:szCs w:val="16"/>
                <w:lang w:val="sq-AL"/>
              </w:rPr>
              <w:t>1,796,376</w:t>
            </w:r>
          </w:p>
        </w:tc>
        <w:tc>
          <w:tcPr>
            <w:tcW w:w="1001" w:type="dxa"/>
            <w:tcBorders>
              <w:top w:val="single" w:sz="4" w:space="0" w:color="auto"/>
            </w:tcBorders>
            <w:shd w:val="clear" w:color="auto" w:fill="DEEAF6" w:themeFill="accent1" w:themeFillTint="33"/>
          </w:tcPr>
          <w:p w14:paraId="304CEC0E" w14:textId="77777777" w:rsidR="00EA106B" w:rsidRPr="004E5A6E" w:rsidRDefault="00EA106B" w:rsidP="00D6295F">
            <w:pPr>
              <w:spacing w:line="276" w:lineRule="auto"/>
              <w:jc w:val="right"/>
              <w:rPr>
                <w:rFonts w:eastAsia="Cambria"/>
                <w:b/>
                <w:bCs/>
                <w:color w:val="auto"/>
                <w:sz w:val="16"/>
                <w:szCs w:val="16"/>
                <w:lang w:val="sq-AL"/>
              </w:rPr>
            </w:pPr>
            <w:r w:rsidRPr="004E5A6E">
              <w:rPr>
                <w:rFonts w:eastAsia="Cambria"/>
                <w:b/>
                <w:bCs/>
                <w:color w:val="auto"/>
                <w:sz w:val="16"/>
                <w:szCs w:val="16"/>
                <w:lang w:val="sq-AL"/>
              </w:rPr>
              <w:t>1,798,506</w:t>
            </w:r>
          </w:p>
        </w:tc>
        <w:tc>
          <w:tcPr>
            <w:tcW w:w="1025" w:type="dxa"/>
            <w:tcBorders>
              <w:top w:val="single" w:sz="4" w:space="0" w:color="auto"/>
              <w:right w:val="single" w:sz="4" w:space="0" w:color="auto"/>
            </w:tcBorders>
            <w:shd w:val="clear" w:color="auto" w:fill="DEEAF6" w:themeFill="accent1" w:themeFillTint="33"/>
          </w:tcPr>
          <w:p w14:paraId="12089AD9" w14:textId="77777777" w:rsidR="00EA106B" w:rsidRPr="004E5A6E" w:rsidRDefault="00EA106B" w:rsidP="00D6295F">
            <w:pPr>
              <w:spacing w:line="276" w:lineRule="auto"/>
              <w:jc w:val="right"/>
              <w:rPr>
                <w:rFonts w:eastAsia="Cambria"/>
                <w:b/>
                <w:bCs/>
                <w:color w:val="auto"/>
                <w:sz w:val="16"/>
                <w:szCs w:val="16"/>
                <w:lang w:val="sq-AL"/>
              </w:rPr>
            </w:pPr>
            <w:r w:rsidRPr="004E5A6E">
              <w:rPr>
                <w:rFonts w:eastAsia="Cambria"/>
                <w:b/>
                <w:bCs/>
                <w:color w:val="auto"/>
                <w:sz w:val="16"/>
                <w:szCs w:val="16"/>
                <w:lang w:val="sq-AL"/>
              </w:rPr>
              <w:t>1,795,666</w:t>
            </w:r>
          </w:p>
        </w:tc>
      </w:tr>
      <w:tr w:rsidR="00EA106B" w:rsidRPr="004E5A6E" w14:paraId="136E7759" w14:textId="77777777" w:rsidTr="00D6295F">
        <w:trPr>
          <w:trHeight w:val="144"/>
        </w:trPr>
        <w:tc>
          <w:tcPr>
            <w:tcW w:w="2897" w:type="dxa"/>
            <w:tcBorders>
              <w:left w:val="single" w:sz="4" w:space="0" w:color="auto"/>
              <w:right w:val="single" w:sz="4" w:space="0" w:color="auto"/>
            </w:tcBorders>
            <w:shd w:val="clear" w:color="auto" w:fill="DEEAF6" w:themeFill="accent1" w:themeFillTint="33"/>
            <w:noWrap/>
            <w:vAlign w:val="bottom"/>
            <w:hideMark/>
          </w:tcPr>
          <w:p w14:paraId="19E70343"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Mashkull</w:t>
            </w:r>
          </w:p>
        </w:tc>
        <w:tc>
          <w:tcPr>
            <w:tcW w:w="1101" w:type="dxa"/>
            <w:tcBorders>
              <w:left w:val="single" w:sz="4" w:space="0" w:color="auto"/>
            </w:tcBorders>
            <w:shd w:val="clear" w:color="auto" w:fill="DEEAF6" w:themeFill="accent1" w:themeFillTint="33"/>
            <w:noWrap/>
            <w:vAlign w:val="bottom"/>
            <w:hideMark/>
          </w:tcPr>
          <w:p w14:paraId="4E74D7F6"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896,466</w:t>
            </w:r>
          </w:p>
        </w:tc>
        <w:tc>
          <w:tcPr>
            <w:tcW w:w="1001" w:type="dxa"/>
            <w:shd w:val="clear" w:color="auto" w:fill="DEEAF6" w:themeFill="accent1" w:themeFillTint="33"/>
            <w:noWrap/>
            <w:vAlign w:val="bottom"/>
            <w:hideMark/>
          </w:tcPr>
          <w:p w14:paraId="738DE22A"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900,827</w:t>
            </w:r>
          </w:p>
        </w:tc>
        <w:tc>
          <w:tcPr>
            <w:tcW w:w="1001" w:type="dxa"/>
            <w:shd w:val="clear" w:color="auto" w:fill="DEEAF6" w:themeFill="accent1" w:themeFillTint="33"/>
          </w:tcPr>
          <w:p w14:paraId="252A5162"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903,959</w:t>
            </w:r>
          </w:p>
        </w:tc>
        <w:tc>
          <w:tcPr>
            <w:tcW w:w="1001" w:type="dxa"/>
            <w:shd w:val="clear" w:color="auto" w:fill="DEEAF6" w:themeFill="accent1" w:themeFillTint="33"/>
          </w:tcPr>
          <w:p w14:paraId="6380D445"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903,430</w:t>
            </w:r>
          </w:p>
        </w:tc>
        <w:tc>
          <w:tcPr>
            <w:tcW w:w="1001" w:type="dxa"/>
            <w:shd w:val="clear" w:color="auto" w:fill="DEEAF6" w:themeFill="accent1" w:themeFillTint="33"/>
          </w:tcPr>
          <w:p w14:paraId="605C59B2"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908,499</w:t>
            </w:r>
          </w:p>
        </w:tc>
        <w:tc>
          <w:tcPr>
            <w:tcW w:w="1025" w:type="dxa"/>
            <w:tcBorders>
              <w:right w:val="single" w:sz="4" w:space="0" w:color="auto"/>
            </w:tcBorders>
            <w:shd w:val="clear" w:color="auto" w:fill="DEEAF6" w:themeFill="accent1" w:themeFillTint="33"/>
          </w:tcPr>
          <w:p w14:paraId="51E9DA74"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908,434</w:t>
            </w:r>
          </w:p>
        </w:tc>
      </w:tr>
      <w:tr w:rsidR="00EA106B" w:rsidRPr="004E5A6E" w14:paraId="6089C387" w14:textId="77777777" w:rsidTr="00D6295F">
        <w:trPr>
          <w:trHeight w:val="100"/>
        </w:trPr>
        <w:tc>
          <w:tcPr>
            <w:tcW w:w="2897" w:type="dxa"/>
            <w:tcBorders>
              <w:left w:val="single" w:sz="4" w:space="0" w:color="auto"/>
              <w:right w:val="single" w:sz="4" w:space="0" w:color="auto"/>
            </w:tcBorders>
            <w:shd w:val="clear" w:color="auto" w:fill="DEEAF6" w:themeFill="accent1" w:themeFillTint="33"/>
            <w:noWrap/>
            <w:vAlign w:val="bottom"/>
            <w:hideMark/>
          </w:tcPr>
          <w:p w14:paraId="0FE557B1"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Femër</w:t>
            </w:r>
          </w:p>
        </w:tc>
        <w:tc>
          <w:tcPr>
            <w:tcW w:w="1101" w:type="dxa"/>
            <w:tcBorders>
              <w:left w:val="single" w:sz="4" w:space="0" w:color="auto"/>
            </w:tcBorders>
            <w:shd w:val="clear" w:color="auto" w:fill="DEEAF6" w:themeFill="accent1" w:themeFillTint="33"/>
            <w:noWrap/>
            <w:vAlign w:val="bottom"/>
            <w:hideMark/>
          </w:tcPr>
          <w:p w14:paraId="6C61EA47"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875,138</w:t>
            </w:r>
          </w:p>
        </w:tc>
        <w:tc>
          <w:tcPr>
            <w:tcW w:w="1001" w:type="dxa"/>
            <w:shd w:val="clear" w:color="auto" w:fill="DEEAF6" w:themeFill="accent1" w:themeFillTint="33"/>
            <w:noWrap/>
            <w:vAlign w:val="bottom"/>
            <w:hideMark/>
          </w:tcPr>
          <w:p w14:paraId="0365A2DA"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892,639</w:t>
            </w:r>
          </w:p>
        </w:tc>
        <w:tc>
          <w:tcPr>
            <w:tcW w:w="1001" w:type="dxa"/>
            <w:shd w:val="clear" w:color="auto" w:fill="DEEAF6" w:themeFill="accent1" w:themeFillTint="33"/>
          </w:tcPr>
          <w:p w14:paraId="6D253ED0"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889,508</w:t>
            </w:r>
          </w:p>
        </w:tc>
        <w:tc>
          <w:tcPr>
            <w:tcW w:w="1001" w:type="dxa"/>
            <w:shd w:val="clear" w:color="auto" w:fill="DEEAF6" w:themeFill="accent1" w:themeFillTint="33"/>
          </w:tcPr>
          <w:p w14:paraId="48E7A58D"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892,946</w:t>
            </w:r>
          </w:p>
        </w:tc>
        <w:tc>
          <w:tcPr>
            <w:tcW w:w="1001" w:type="dxa"/>
            <w:shd w:val="clear" w:color="auto" w:fill="DEEAF6" w:themeFill="accent1" w:themeFillTint="33"/>
          </w:tcPr>
          <w:p w14:paraId="79C6F2F4"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890,007</w:t>
            </w:r>
          </w:p>
        </w:tc>
        <w:tc>
          <w:tcPr>
            <w:tcW w:w="1025" w:type="dxa"/>
            <w:tcBorders>
              <w:right w:val="single" w:sz="4" w:space="0" w:color="auto"/>
            </w:tcBorders>
            <w:shd w:val="clear" w:color="auto" w:fill="DEEAF6" w:themeFill="accent1" w:themeFillTint="33"/>
          </w:tcPr>
          <w:p w14:paraId="60636796"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887,232</w:t>
            </w:r>
          </w:p>
        </w:tc>
      </w:tr>
      <w:tr w:rsidR="00EA106B" w:rsidRPr="004E5A6E" w14:paraId="01FB1590" w14:textId="77777777" w:rsidTr="00D6295F">
        <w:trPr>
          <w:trHeight w:val="88"/>
        </w:trPr>
        <w:tc>
          <w:tcPr>
            <w:tcW w:w="2897" w:type="dxa"/>
            <w:tcBorders>
              <w:left w:val="single" w:sz="4" w:space="0" w:color="auto"/>
              <w:right w:val="single" w:sz="4" w:space="0" w:color="auto"/>
            </w:tcBorders>
            <w:shd w:val="clear" w:color="auto" w:fill="DEEAF6" w:themeFill="accent1" w:themeFillTint="33"/>
            <w:noWrap/>
            <w:vAlign w:val="bottom"/>
            <w:hideMark/>
          </w:tcPr>
          <w:p w14:paraId="201EEA50" w14:textId="77777777" w:rsidR="00EA106B" w:rsidRPr="004E5A6E" w:rsidRDefault="00EA106B" w:rsidP="00D6295F">
            <w:pPr>
              <w:spacing w:line="276" w:lineRule="auto"/>
              <w:rPr>
                <w:rFonts w:eastAsia="Cambria"/>
                <w:b/>
                <w:bCs/>
                <w:color w:val="auto"/>
                <w:sz w:val="16"/>
                <w:szCs w:val="16"/>
                <w:lang w:val="sq-AL"/>
              </w:rPr>
            </w:pPr>
            <w:r w:rsidRPr="004E5A6E">
              <w:rPr>
                <w:rFonts w:eastAsia="Cambria"/>
                <w:b/>
                <w:bCs/>
                <w:color w:val="auto"/>
                <w:sz w:val="16"/>
                <w:szCs w:val="16"/>
                <w:lang w:val="sq-AL"/>
              </w:rPr>
              <w:t>Popullsia në moshë pune</w:t>
            </w:r>
          </w:p>
        </w:tc>
        <w:tc>
          <w:tcPr>
            <w:tcW w:w="1101" w:type="dxa"/>
            <w:tcBorders>
              <w:left w:val="single" w:sz="4" w:space="0" w:color="auto"/>
            </w:tcBorders>
            <w:shd w:val="clear" w:color="auto" w:fill="DEEAF6" w:themeFill="accent1" w:themeFillTint="33"/>
            <w:noWrap/>
            <w:vAlign w:val="bottom"/>
            <w:hideMark/>
          </w:tcPr>
          <w:p w14:paraId="5D0FB17D" w14:textId="77777777" w:rsidR="00EA106B" w:rsidRPr="004E5A6E" w:rsidRDefault="00EA106B" w:rsidP="00D6295F">
            <w:pPr>
              <w:spacing w:line="276" w:lineRule="auto"/>
              <w:jc w:val="right"/>
              <w:rPr>
                <w:rFonts w:eastAsia="Cambria"/>
                <w:b/>
                <w:color w:val="auto"/>
                <w:sz w:val="16"/>
                <w:szCs w:val="16"/>
                <w:lang w:val="sq-AL"/>
              </w:rPr>
            </w:pPr>
            <w:r w:rsidRPr="004E5A6E">
              <w:rPr>
                <w:rFonts w:eastAsia="Cambria"/>
                <w:b/>
                <w:color w:val="auto"/>
                <w:sz w:val="16"/>
                <w:szCs w:val="16"/>
                <w:lang w:val="sq-AL"/>
              </w:rPr>
              <w:t>1,184,529</w:t>
            </w:r>
          </w:p>
        </w:tc>
        <w:tc>
          <w:tcPr>
            <w:tcW w:w="1001" w:type="dxa"/>
            <w:shd w:val="clear" w:color="auto" w:fill="DEEAF6" w:themeFill="accent1" w:themeFillTint="33"/>
            <w:noWrap/>
            <w:vAlign w:val="bottom"/>
            <w:hideMark/>
          </w:tcPr>
          <w:p w14:paraId="3E18EB9E" w14:textId="77777777" w:rsidR="00EA106B" w:rsidRPr="004E5A6E" w:rsidRDefault="00EA106B" w:rsidP="00D6295F">
            <w:pPr>
              <w:spacing w:line="276" w:lineRule="auto"/>
              <w:jc w:val="right"/>
              <w:rPr>
                <w:rFonts w:eastAsia="Cambria"/>
                <w:b/>
                <w:color w:val="auto"/>
                <w:sz w:val="16"/>
                <w:szCs w:val="16"/>
                <w:lang w:val="sq-AL"/>
              </w:rPr>
            </w:pPr>
            <w:r w:rsidRPr="004E5A6E">
              <w:rPr>
                <w:rFonts w:eastAsia="Cambria"/>
                <w:b/>
                <w:color w:val="auto"/>
                <w:sz w:val="16"/>
                <w:szCs w:val="16"/>
                <w:lang w:val="sq-AL"/>
              </w:rPr>
              <w:t>1,200,165</w:t>
            </w:r>
          </w:p>
        </w:tc>
        <w:tc>
          <w:tcPr>
            <w:tcW w:w="1001" w:type="dxa"/>
            <w:shd w:val="clear" w:color="auto" w:fill="DEEAF6" w:themeFill="accent1" w:themeFillTint="33"/>
          </w:tcPr>
          <w:p w14:paraId="5D13D2C1" w14:textId="77777777" w:rsidR="00EA106B" w:rsidRPr="004E5A6E" w:rsidRDefault="00EA106B" w:rsidP="00D6295F">
            <w:pPr>
              <w:spacing w:line="276" w:lineRule="auto"/>
              <w:jc w:val="right"/>
              <w:rPr>
                <w:rFonts w:eastAsia="Cambria"/>
                <w:b/>
                <w:color w:val="auto"/>
                <w:sz w:val="16"/>
                <w:szCs w:val="16"/>
                <w:lang w:val="sq-AL"/>
              </w:rPr>
            </w:pPr>
            <w:r w:rsidRPr="004E5A6E">
              <w:rPr>
                <w:rFonts w:eastAsia="Cambria"/>
                <w:b/>
                <w:color w:val="auto"/>
                <w:sz w:val="16"/>
                <w:szCs w:val="16"/>
                <w:lang w:val="sq-AL"/>
              </w:rPr>
              <w:t>1,198,273</w:t>
            </w:r>
          </w:p>
        </w:tc>
        <w:tc>
          <w:tcPr>
            <w:tcW w:w="1001" w:type="dxa"/>
            <w:shd w:val="clear" w:color="auto" w:fill="DEEAF6" w:themeFill="accent1" w:themeFillTint="33"/>
          </w:tcPr>
          <w:p w14:paraId="5C892575" w14:textId="77777777" w:rsidR="00EA106B" w:rsidRPr="004E5A6E" w:rsidRDefault="00EA106B" w:rsidP="00D6295F">
            <w:pPr>
              <w:spacing w:line="276" w:lineRule="auto"/>
              <w:jc w:val="right"/>
              <w:rPr>
                <w:rFonts w:eastAsia="Cambria"/>
                <w:b/>
                <w:color w:val="auto"/>
                <w:sz w:val="16"/>
                <w:szCs w:val="16"/>
                <w:lang w:val="sq-AL"/>
              </w:rPr>
            </w:pPr>
            <w:r w:rsidRPr="004E5A6E">
              <w:rPr>
                <w:rFonts w:eastAsia="Cambria"/>
                <w:b/>
                <w:color w:val="auto"/>
                <w:sz w:val="16"/>
                <w:szCs w:val="16"/>
                <w:lang w:val="sq-AL"/>
              </w:rPr>
              <w:t>1,206,806</w:t>
            </w:r>
          </w:p>
        </w:tc>
        <w:tc>
          <w:tcPr>
            <w:tcW w:w="1001" w:type="dxa"/>
            <w:shd w:val="clear" w:color="auto" w:fill="DEEAF6" w:themeFill="accent1" w:themeFillTint="33"/>
          </w:tcPr>
          <w:p w14:paraId="146ED033" w14:textId="77777777" w:rsidR="00EA106B" w:rsidRPr="004E5A6E" w:rsidRDefault="00EA106B" w:rsidP="00D6295F">
            <w:pPr>
              <w:spacing w:line="276" w:lineRule="auto"/>
              <w:jc w:val="right"/>
              <w:rPr>
                <w:rFonts w:eastAsia="Cambria"/>
                <w:b/>
                <w:color w:val="auto"/>
                <w:sz w:val="16"/>
                <w:szCs w:val="16"/>
                <w:lang w:val="sq-AL"/>
              </w:rPr>
            </w:pPr>
            <w:r w:rsidRPr="004E5A6E">
              <w:rPr>
                <w:rFonts w:eastAsia="Cambria"/>
                <w:b/>
                <w:color w:val="auto"/>
                <w:sz w:val="16"/>
                <w:szCs w:val="16"/>
                <w:lang w:val="sq-AL"/>
              </w:rPr>
              <w:t>1,207,216</w:t>
            </w:r>
          </w:p>
        </w:tc>
        <w:tc>
          <w:tcPr>
            <w:tcW w:w="1025" w:type="dxa"/>
            <w:tcBorders>
              <w:right w:val="single" w:sz="4" w:space="0" w:color="auto"/>
            </w:tcBorders>
            <w:shd w:val="clear" w:color="auto" w:fill="DEEAF6" w:themeFill="accent1" w:themeFillTint="33"/>
          </w:tcPr>
          <w:p w14:paraId="7A35EE12" w14:textId="77777777" w:rsidR="00EA106B" w:rsidRPr="004E5A6E" w:rsidRDefault="00EA106B" w:rsidP="00D6295F">
            <w:pPr>
              <w:spacing w:line="276" w:lineRule="auto"/>
              <w:jc w:val="right"/>
              <w:rPr>
                <w:rFonts w:eastAsia="Cambria"/>
                <w:b/>
                <w:color w:val="auto"/>
                <w:sz w:val="16"/>
                <w:szCs w:val="16"/>
                <w:lang w:val="sq-AL"/>
              </w:rPr>
            </w:pPr>
            <w:r w:rsidRPr="004E5A6E">
              <w:rPr>
                <w:rFonts w:eastAsia="Cambria"/>
                <w:b/>
                <w:color w:val="auto"/>
                <w:sz w:val="16"/>
                <w:szCs w:val="16"/>
                <w:lang w:val="sq-AL"/>
              </w:rPr>
              <w:t>1,218,112</w:t>
            </w:r>
          </w:p>
        </w:tc>
      </w:tr>
      <w:tr w:rsidR="00EA106B" w:rsidRPr="004E5A6E" w14:paraId="60C98486" w14:textId="77777777" w:rsidTr="00D6295F">
        <w:trPr>
          <w:trHeight w:val="171"/>
        </w:trPr>
        <w:tc>
          <w:tcPr>
            <w:tcW w:w="2897" w:type="dxa"/>
            <w:tcBorders>
              <w:left w:val="single" w:sz="4" w:space="0" w:color="auto"/>
              <w:right w:val="single" w:sz="4" w:space="0" w:color="auto"/>
            </w:tcBorders>
            <w:shd w:val="clear" w:color="auto" w:fill="DEEAF6" w:themeFill="accent1" w:themeFillTint="33"/>
            <w:noWrap/>
            <w:vAlign w:val="bottom"/>
            <w:hideMark/>
          </w:tcPr>
          <w:p w14:paraId="1876F3E1"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Mashkull</w:t>
            </w:r>
          </w:p>
        </w:tc>
        <w:tc>
          <w:tcPr>
            <w:tcW w:w="1101" w:type="dxa"/>
            <w:tcBorders>
              <w:left w:val="single" w:sz="4" w:space="0" w:color="auto"/>
            </w:tcBorders>
            <w:shd w:val="clear" w:color="auto" w:fill="DEEAF6" w:themeFill="accent1" w:themeFillTint="33"/>
            <w:noWrap/>
            <w:vAlign w:val="bottom"/>
            <w:hideMark/>
          </w:tcPr>
          <w:p w14:paraId="2676CBEB"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598,639</w:t>
            </w:r>
          </w:p>
        </w:tc>
        <w:tc>
          <w:tcPr>
            <w:tcW w:w="1001" w:type="dxa"/>
            <w:shd w:val="clear" w:color="auto" w:fill="DEEAF6" w:themeFill="accent1" w:themeFillTint="33"/>
            <w:noWrap/>
            <w:vAlign w:val="bottom"/>
            <w:hideMark/>
          </w:tcPr>
          <w:p w14:paraId="3679C44C"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604,443</w:t>
            </w:r>
          </w:p>
        </w:tc>
        <w:tc>
          <w:tcPr>
            <w:tcW w:w="1001" w:type="dxa"/>
            <w:shd w:val="clear" w:color="auto" w:fill="DEEAF6" w:themeFill="accent1" w:themeFillTint="33"/>
          </w:tcPr>
          <w:p w14:paraId="786C6DD9"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600,092</w:t>
            </w:r>
          </w:p>
        </w:tc>
        <w:tc>
          <w:tcPr>
            <w:tcW w:w="1001" w:type="dxa"/>
            <w:shd w:val="clear" w:color="auto" w:fill="DEEAF6" w:themeFill="accent1" w:themeFillTint="33"/>
          </w:tcPr>
          <w:p w14:paraId="72BF20A7"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605,877</w:t>
            </w:r>
          </w:p>
        </w:tc>
        <w:tc>
          <w:tcPr>
            <w:tcW w:w="1001" w:type="dxa"/>
            <w:shd w:val="clear" w:color="auto" w:fill="DEEAF6" w:themeFill="accent1" w:themeFillTint="33"/>
          </w:tcPr>
          <w:p w14:paraId="2954AC91"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607,921</w:t>
            </w:r>
          </w:p>
        </w:tc>
        <w:tc>
          <w:tcPr>
            <w:tcW w:w="1025" w:type="dxa"/>
            <w:tcBorders>
              <w:right w:val="single" w:sz="4" w:space="0" w:color="auto"/>
            </w:tcBorders>
            <w:shd w:val="clear" w:color="auto" w:fill="DEEAF6" w:themeFill="accent1" w:themeFillTint="33"/>
          </w:tcPr>
          <w:p w14:paraId="306D00EE"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611,511</w:t>
            </w:r>
          </w:p>
        </w:tc>
      </w:tr>
      <w:tr w:rsidR="00EA106B" w:rsidRPr="004E5A6E" w14:paraId="6F43A23E" w14:textId="77777777" w:rsidTr="00D6295F">
        <w:trPr>
          <w:trHeight w:val="100"/>
        </w:trPr>
        <w:tc>
          <w:tcPr>
            <w:tcW w:w="2897" w:type="dxa"/>
            <w:tcBorders>
              <w:left w:val="single" w:sz="4" w:space="0" w:color="auto"/>
              <w:right w:val="single" w:sz="4" w:space="0" w:color="auto"/>
            </w:tcBorders>
            <w:shd w:val="clear" w:color="auto" w:fill="DEEAF6" w:themeFill="accent1" w:themeFillTint="33"/>
            <w:noWrap/>
            <w:vAlign w:val="bottom"/>
            <w:hideMark/>
          </w:tcPr>
          <w:p w14:paraId="2DEDEF42"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Femër</w:t>
            </w:r>
          </w:p>
        </w:tc>
        <w:tc>
          <w:tcPr>
            <w:tcW w:w="1101" w:type="dxa"/>
            <w:tcBorders>
              <w:left w:val="single" w:sz="4" w:space="0" w:color="auto"/>
            </w:tcBorders>
            <w:shd w:val="clear" w:color="auto" w:fill="DEEAF6" w:themeFill="accent1" w:themeFillTint="33"/>
            <w:noWrap/>
            <w:vAlign w:val="bottom"/>
            <w:hideMark/>
          </w:tcPr>
          <w:p w14:paraId="1C008401"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585,890</w:t>
            </w:r>
          </w:p>
        </w:tc>
        <w:tc>
          <w:tcPr>
            <w:tcW w:w="1001" w:type="dxa"/>
            <w:shd w:val="clear" w:color="auto" w:fill="DEEAF6" w:themeFill="accent1" w:themeFillTint="33"/>
            <w:noWrap/>
            <w:vAlign w:val="bottom"/>
            <w:hideMark/>
          </w:tcPr>
          <w:p w14:paraId="5AD4E9B6"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595,722</w:t>
            </w:r>
          </w:p>
        </w:tc>
        <w:tc>
          <w:tcPr>
            <w:tcW w:w="1001" w:type="dxa"/>
            <w:shd w:val="clear" w:color="auto" w:fill="DEEAF6" w:themeFill="accent1" w:themeFillTint="33"/>
          </w:tcPr>
          <w:p w14:paraId="3516D2AB"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590,180</w:t>
            </w:r>
          </w:p>
        </w:tc>
        <w:tc>
          <w:tcPr>
            <w:tcW w:w="1001" w:type="dxa"/>
            <w:shd w:val="clear" w:color="auto" w:fill="DEEAF6" w:themeFill="accent1" w:themeFillTint="33"/>
          </w:tcPr>
          <w:p w14:paraId="479CC502"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600,929</w:t>
            </w:r>
          </w:p>
        </w:tc>
        <w:tc>
          <w:tcPr>
            <w:tcW w:w="1001" w:type="dxa"/>
            <w:shd w:val="clear" w:color="auto" w:fill="DEEAF6" w:themeFill="accent1" w:themeFillTint="33"/>
          </w:tcPr>
          <w:p w14:paraId="643EC43A"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599,295</w:t>
            </w:r>
          </w:p>
        </w:tc>
        <w:tc>
          <w:tcPr>
            <w:tcW w:w="1025" w:type="dxa"/>
            <w:tcBorders>
              <w:right w:val="single" w:sz="4" w:space="0" w:color="auto"/>
            </w:tcBorders>
            <w:shd w:val="clear" w:color="auto" w:fill="DEEAF6" w:themeFill="accent1" w:themeFillTint="33"/>
          </w:tcPr>
          <w:p w14:paraId="56FAD17E"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606,601</w:t>
            </w:r>
          </w:p>
        </w:tc>
      </w:tr>
      <w:tr w:rsidR="00EA106B" w:rsidRPr="004E5A6E" w14:paraId="03B09A60" w14:textId="77777777" w:rsidTr="00D6295F">
        <w:trPr>
          <w:trHeight w:val="88"/>
        </w:trPr>
        <w:tc>
          <w:tcPr>
            <w:tcW w:w="2897" w:type="dxa"/>
            <w:tcBorders>
              <w:left w:val="single" w:sz="4" w:space="0" w:color="auto"/>
              <w:right w:val="single" w:sz="4" w:space="0" w:color="auto"/>
            </w:tcBorders>
            <w:shd w:val="clear" w:color="auto" w:fill="DEEAF6" w:themeFill="accent1" w:themeFillTint="33"/>
            <w:noWrap/>
            <w:vAlign w:val="bottom"/>
            <w:hideMark/>
          </w:tcPr>
          <w:p w14:paraId="10B40BB4" w14:textId="77777777" w:rsidR="00EA106B" w:rsidRPr="004E5A6E" w:rsidRDefault="00EA106B" w:rsidP="00D6295F">
            <w:pPr>
              <w:spacing w:line="276" w:lineRule="auto"/>
              <w:rPr>
                <w:rFonts w:eastAsia="Cambria"/>
                <w:b/>
                <w:bCs/>
                <w:color w:val="auto"/>
                <w:sz w:val="16"/>
                <w:szCs w:val="16"/>
                <w:lang w:val="sq-AL"/>
              </w:rPr>
            </w:pPr>
            <w:r w:rsidRPr="004E5A6E">
              <w:rPr>
                <w:rFonts w:eastAsia="Cambria"/>
                <w:b/>
                <w:bCs/>
                <w:color w:val="auto"/>
                <w:sz w:val="16"/>
                <w:szCs w:val="16"/>
                <w:lang w:val="sq-AL"/>
              </w:rPr>
              <w:t>fuqia punëtore</w:t>
            </w:r>
          </w:p>
        </w:tc>
        <w:tc>
          <w:tcPr>
            <w:tcW w:w="1101" w:type="dxa"/>
            <w:tcBorders>
              <w:left w:val="single" w:sz="4" w:space="0" w:color="auto"/>
            </w:tcBorders>
            <w:shd w:val="clear" w:color="auto" w:fill="DEEAF6" w:themeFill="accent1" w:themeFillTint="33"/>
            <w:noWrap/>
            <w:vAlign w:val="bottom"/>
            <w:hideMark/>
          </w:tcPr>
          <w:p w14:paraId="6631B083" w14:textId="77777777" w:rsidR="00EA106B" w:rsidRPr="004E5A6E" w:rsidRDefault="00EA106B" w:rsidP="00D6295F">
            <w:pPr>
              <w:spacing w:line="276" w:lineRule="auto"/>
              <w:jc w:val="right"/>
              <w:rPr>
                <w:rFonts w:eastAsia="Cambria"/>
                <w:b/>
                <w:color w:val="auto"/>
                <w:sz w:val="16"/>
                <w:szCs w:val="16"/>
                <w:lang w:val="sq-AL"/>
              </w:rPr>
            </w:pPr>
            <w:r w:rsidRPr="004E5A6E">
              <w:rPr>
                <w:rFonts w:eastAsia="Cambria"/>
                <w:b/>
                <w:color w:val="auto"/>
                <w:sz w:val="16"/>
                <w:szCs w:val="16"/>
                <w:lang w:val="sq-AL"/>
              </w:rPr>
              <w:t>457,831</w:t>
            </w:r>
          </w:p>
        </w:tc>
        <w:tc>
          <w:tcPr>
            <w:tcW w:w="1001" w:type="dxa"/>
            <w:shd w:val="clear" w:color="auto" w:fill="DEEAF6" w:themeFill="accent1" w:themeFillTint="33"/>
            <w:noWrap/>
            <w:vAlign w:val="bottom"/>
            <w:hideMark/>
          </w:tcPr>
          <w:p w14:paraId="1B4D6D4E" w14:textId="77777777" w:rsidR="00EA106B" w:rsidRPr="004E5A6E" w:rsidRDefault="00EA106B" w:rsidP="00D6295F">
            <w:pPr>
              <w:spacing w:line="276" w:lineRule="auto"/>
              <w:jc w:val="right"/>
              <w:rPr>
                <w:rFonts w:eastAsia="Cambria"/>
                <w:b/>
                <w:color w:val="auto"/>
                <w:sz w:val="16"/>
                <w:szCs w:val="16"/>
                <w:lang w:val="sq-AL"/>
              </w:rPr>
            </w:pPr>
            <w:r w:rsidRPr="004E5A6E">
              <w:rPr>
                <w:rFonts w:eastAsia="Cambria"/>
                <w:b/>
                <w:color w:val="auto"/>
                <w:sz w:val="16"/>
                <w:szCs w:val="16"/>
                <w:lang w:val="sq-AL"/>
              </w:rPr>
              <w:t>513,678</w:t>
            </w:r>
          </w:p>
        </w:tc>
        <w:tc>
          <w:tcPr>
            <w:tcW w:w="1001" w:type="dxa"/>
            <w:shd w:val="clear" w:color="auto" w:fill="DEEAF6" w:themeFill="accent1" w:themeFillTint="33"/>
          </w:tcPr>
          <w:p w14:paraId="04670967" w14:textId="77777777" w:rsidR="00EA106B" w:rsidRPr="004E5A6E" w:rsidRDefault="00EA106B" w:rsidP="00D6295F">
            <w:pPr>
              <w:spacing w:line="276" w:lineRule="auto"/>
              <w:jc w:val="right"/>
              <w:rPr>
                <w:rFonts w:eastAsia="Cambria"/>
                <w:b/>
                <w:color w:val="auto"/>
                <w:sz w:val="16"/>
                <w:szCs w:val="16"/>
                <w:lang w:val="sq-AL"/>
              </w:rPr>
            </w:pPr>
            <w:r w:rsidRPr="004E5A6E">
              <w:rPr>
                <w:rFonts w:eastAsia="Cambria"/>
                <w:b/>
                <w:color w:val="auto"/>
                <w:sz w:val="16"/>
                <w:szCs w:val="16"/>
                <w:lang w:val="sq-AL"/>
              </w:rPr>
              <w:t>490,103</w:t>
            </w:r>
          </w:p>
        </w:tc>
        <w:tc>
          <w:tcPr>
            <w:tcW w:w="1001" w:type="dxa"/>
            <w:shd w:val="clear" w:color="auto" w:fill="DEEAF6" w:themeFill="accent1" w:themeFillTint="33"/>
          </w:tcPr>
          <w:p w14:paraId="7FE07381" w14:textId="77777777" w:rsidR="00EA106B" w:rsidRPr="004E5A6E" w:rsidRDefault="00EA106B" w:rsidP="00D6295F">
            <w:pPr>
              <w:spacing w:line="276" w:lineRule="auto"/>
              <w:jc w:val="right"/>
              <w:rPr>
                <w:rFonts w:eastAsia="Cambria"/>
                <w:b/>
                <w:color w:val="auto"/>
                <w:sz w:val="16"/>
                <w:szCs w:val="16"/>
                <w:lang w:val="sq-AL"/>
              </w:rPr>
            </w:pPr>
            <w:r w:rsidRPr="004E5A6E">
              <w:rPr>
                <w:rFonts w:eastAsia="Cambria"/>
                <w:b/>
                <w:color w:val="auto"/>
                <w:sz w:val="16"/>
                <w:szCs w:val="16"/>
                <w:lang w:val="sq-AL"/>
              </w:rPr>
              <w:t>488,485</w:t>
            </w:r>
          </w:p>
        </w:tc>
        <w:tc>
          <w:tcPr>
            <w:tcW w:w="1001" w:type="dxa"/>
            <w:shd w:val="clear" w:color="auto" w:fill="DEEAF6" w:themeFill="accent1" w:themeFillTint="33"/>
          </w:tcPr>
          <w:p w14:paraId="60BC19D1" w14:textId="77777777" w:rsidR="00EA106B" w:rsidRPr="004E5A6E" w:rsidRDefault="00EA106B" w:rsidP="00D6295F">
            <w:pPr>
              <w:spacing w:line="276" w:lineRule="auto"/>
              <w:jc w:val="right"/>
              <w:rPr>
                <w:rFonts w:eastAsia="Cambria"/>
                <w:b/>
                <w:color w:val="auto"/>
                <w:sz w:val="16"/>
                <w:szCs w:val="16"/>
                <w:lang w:val="sq-AL"/>
              </w:rPr>
            </w:pPr>
            <w:r w:rsidRPr="004E5A6E">
              <w:rPr>
                <w:rFonts w:eastAsia="Cambria"/>
                <w:b/>
                <w:color w:val="auto"/>
                <w:sz w:val="16"/>
                <w:szCs w:val="16"/>
                <w:lang w:val="sq-AL"/>
              </w:rPr>
              <w:t>466,731</w:t>
            </w:r>
          </w:p>
        </w:tc>
        <w:tc>
          <w:tcPr>
            <w:tcW w:w="1025" w:type="dxa"/>
            <w:tcBorders>
              <w:right w:val="single" w:sz="4" w:space="0" w:color="auto"/>
            </w:tcBorders>
            <w:shd w:val="clear" w:color="auto" w:fill="DEEAF6" w:themeFill="accent1" w:themeFillTint="33"/>
          </w:tcPr>
          <w:p w14:paraId="2B374DCE" w14:textId="77777777" w:rsidR="00EA106B" w:rsidRPr="004E5A6E" w:rsidRDefault="00EA106B" w:rsidP="00D6295F">
            <w:pPr>
              <w:spacing w:line="276" w:lineRule="auto"/>
              <w:jc w:val="right"/>
              <w:rPr>
                <w:rFonts w:eastAsia="Cambria"/>
                <w:b/>
                <w:color w:val="auto"/>
                <w:sz w:val="16"/>
                <w:szCs w:val="16"/>
                <w:lang w:val="sq-AL"/>
              </w:rPr>
            </w:pPr>
            <w:r w:rsidRPr="004E5A6E">
              <w:rPr>
                <w:rFonts w:eastAsia="Cambria"/>
                <w:b/>
                <w:color w:val="auto"/>
                <w:sz w:val="16"/>
                <w:szCs w:val="16"/>
                <w:lang w:val="sq-AL"/>
              </w:rPr>
              <w:t>472,669</w:t>
            </w:r>
          </w:p>
        </w:tc>
      </w:tr>
      <w:tr w:rsidR="00EA106B" w:rsidRPr="004E5A6E" w14:paraId="63A4B8FD" w14:textId="77777777" w:rsidTr="00D6295F">
        <w:trPr>
          <w:trHeight w:val="171"/>
        </w:trPr>
        <w:tc>
          <w:tcPr>
            <w:tcW w:w="2897" w:type="dxa"/>
            <w:tcBorders>
              <w:left w:val="single" w:sz="4" w:space="0" w:color="auto"/>
              <w:right w:val="single" w:sz="4" w:space="0" w:color="auto"/>
            </w:tcBorders>
            <w:shd w:val="clear" w:color="auto" w:fill="DEEAF6" w:themeFill="accent1" w:themeFillTint="33"/>
            <w:noWrap/>
            <w:vAlign w:val="bottom"/>
            <w:hideMark/>
          </w:tcPr>
          <w:p w14:paraId="291F13BE"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Mashkull</w:t>
            </w:r>
          </w:p>
        </w:tc>
        <w:tc>
          <w:tcPr>
            <w:tcW w:w="1101" w:type="dxa"/>
            <w:tcBorders>
              <w:left w:val="single" w:sz="4" w:space="0" w:color="auto"/>
            </w:tcBorders>
            <w:shd w:val="clear" w:color="auto" w:fill="DEEAF6" w:themeFill="accent1" w:themeFillTint="33"/>
            <w:noWrap/>
            <w:vAlign w:val="bottom"/>
            <w:hideMark/>
          </w:tcPr>
          <w:p w14:paraId="284522B6"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348,764</w:t>
            </w:r>
          </w:p>
        </w:tc>
        <w:tc>
          <w:tcPr>
            <w:tcW w:w="1001" w:type="dxa"/>
            <w:shd w:val="clear" w:color="auto" w:fill="DEEAF6" w:themeFill="accent1" w:themeFillTint="33"/>
            <w:noWrap/>
            <w:vAlign w:val="bottom"/>
            <w:hideMark/>
          </w:tcPr>
          <w:p w14:paraId="7F516CEA"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394,651</w:t>
            </w:r>
          </w:p>
        </w:tc>
        <w:tc>
          <w:tcPr>
            <w:tcW w:w="1001" w:type="dxa"/>
            <w:shd w:val="clear" w:color="auto" w:fill="DEEAF6" w:themeFill="accent1" w:themeFillTint="33"/>
          </w:tcPr>
          <w:p w14:paraId="71CC542D"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379,763</w:t>
            </w:r>
          </w:p>
        </w:tc>
        <w:tc>
          <w:tcPr>
            <w:tcW w:w="1001" w:type="dxa"/>
            <w:shd w:val="clear" w:color="auto" w:fill="DEEAF6" w:themeFill="accent1" w:themeFillTint="33"/>
          </w:tcPr>
          <w:p w14:paraId="46C63643"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361,514</w:t>
            </w:r>
          </w:p>
        </w:tc>
        <w:tc>
          <w:tcPr>
            <w:tcW w:w="1001" w:type="dxa"/>
            <w:shd w:val="clear" w:color="auto" w:fill="DEEAF6" w:themeFill="accent1" w:themeFillTint="33"/>
          </w:tcPr>
          <w:p w14:paraId="3D1C822E"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350,095</w:t>
            </w:r>
          </w:p>
        </w:tc>
        <w:tc>
          <w:tcPr>
            <w:tcW w:w="1025" w:type="dxa"/>
            <w:tcBorders>
              <w:right w:val="single" w:sz="4" w:space="0" w:color="auto"/>
            </w:tcBorders>
            <w:shd w:val="clear" w:color="auto" w:fill="DEEAF6" w:themeFill="accent1" w:themeFillTint="33"/>
          </w:tcPr>
          <w:p w14:paraId="09BAF063"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349,319</w:t>
            </w:r>
          </w:p>
        </w:tc>
      </w:tr>
      <w:tr w:rsidR="00EA106B" w:rsidRPr="004E5A6E" w14:paraId="2A3659B5" w14:textId="77777777" w:rsidTr="00D6295F">
        <w:trPr>
          <w:trHeight w:val="100"/>
        </w:trPr>
        <w:tc>
          <w:tcPr>
            <w:tcW w:w="2897" w:type="dxa"/>
            <w:tcBorders>
              <w:left w:val="single" w:sz="4" w:space="0" w:color="auto"/>
              <w:right w:val="single" w:sz="4" w:space="0" w:color="auto"/>
            </w:tcBorders>
            <w:shd w:val="clear" w:color="auto" w:fill="DEEAF6" w:themeFill="accent1" w:themeFillTint="33"/>
            <w:noWrap/>
            <w:vAlign w:val="bottom"/>
            <w:hideMark/>
          </w:tcPr>
          <w:p w14:paraId="4159B680"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Femër</w:t>
            </w:r>
          </w:p>
        </w:tc>
        <w:tc>
          <w:tcPr>
            <w:tcW w:w="1101" w:type="dxa"/>
            <w:tcBorders>
              <w:left w:val="single" w:sz="4" w:space="0" w:color="auto"/>
            </w:tcBorders>
            <w:shd w:val="clear" w:color="auto" w:fill="DEEAF6" w:themeFill="accent1" w:themeFillTint="33"/>
            <w:noWrap/>
            <w:vAlign w:val="bottom"/>
            <w:hideMark/>
          </w:tcPr>
          <w:p w14:paraId="29BB1841"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109,067</w:t>
            </w:r>
          </w:p>
        </w:tc>
        <w:tc>
          <w:tcPr>
            <w:tcW w:w="1001" w:type="dxa"/>
            <w:shd w:val="clear" w:color="auto" w:fill="DEEAF6" w:themeFill="accent1" w:themeFillTint="33"/>
            <w:noWrap/>
            <w:vAlign w:val="bottom"/>
            <w:hideMark/>
          </w:tcPr>
          <w:p w14:paraId="099E4198"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119,027</w:t>
            </w:r>
          </w:p>
        </w:tc>
        <w:tc>
          <w:tcPr>
            <w:tcW w:w="1001" w:type="dxa"/>
            <w:shd w:val="clear" w:color="auto" w:fill="DEEAF6" w:themeFill="accent1" w:themeFillTint="33"/>
          </w:tcPr>
          <w:p w14:paraId="17471EBE"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110,340</w:t>
            </w:r>
          </w:p>
        </w:tc>
        <w:tc>
          <w:tcPr>
            <w:tcW w:w="1001" w:type="dxa"/>
            <w:shd w:val="clear" w:color="auto" w:fill="DEEAF6" w:themeFill="accent1" w:themeFillTint="33"/>
          </w:tcPr>
          <w:p w14:paraId="1E730D2F"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126,971</w:t>
            </w:r>
          </w:p>
        </w:tc>
        <w:tc>
          <w:tcPr>
            <w:tcW w:w="1001" w:type="dxa"/>
            <w:shd w:val="clear" w:color="auto" w:fill="DEEAF6" w:themeFill="accent1" w:themeFillTint="33"/>
          </w:tcPr>
          <w:p w14:paraId="3ECD735B"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116,636</w:t>
            </w:r>
          </w:p>
        </w:tc>
        <w:tc>
          <w:tcPr>
            <w:tcW w:w="1025" w:type="dxa"/>
            <w:tcBorders>
              <w:right w:val="single" w:sz="4" w:space="0" w:color="auto"/>
            </w:tcBorders>
            <w:shd w:val="clear" w:color="auto" w:fill="DEEAF6" w:themeFill="accent1" w:themeFillTint="33"/>
          </w:tcPr>
          <w:p w14:paraId="6ACF3522"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123,350</w:t>
            </w:r>
          </w:p>
        </w:tc>
      </w:tr>
      <w:tr w:rsidR="00EA106B" w:rsidRPr="004E5A6E" w14:paraId="18D2A588" w14:textId="77777777" w:rsidTr="00D6295F">
        <w:trPr>
          <w:trHeight w:val="100"/>
        </w:trPr>
        <w:tc>
          <w:tcPr>
            <w:tcW w:w="2897" w:type="dxa"/>
            <w:tcBorders>
              <w:left w:val="single" w:sz="4" w:space="0" w:color="auto"/>
              <w:right w:val="single" w:sz="4" w:space="0" w:color="auto"/>
            </w:tcBorders>
            <w:shd w:val="clear" w:color="auto" w:fill="DEEAF6" w:themeFill="accent1" w:themeFillTint="33"/>
            <w:noWrap/>
            <w:vAlign w:val="bottom"/>
            <w:hideMark/>
          </w:tcPr>
          <w:p w14:paraId="021C2E14" w14:textId="77777777" w:rsidR="00EA106B" w:rsidRPr="004E5A6E" w:rsidRDefault="00EA106B" w:rsidP="00D6295F">
            <w:pPr>
              <w:spacing w:line="276" w:lineRule="auto"/>
              <w:rPr>
                <w:rFonts w:eastAsia="Cambria"/>
                <w:b/>
                <w:bCs/>
                <w:color w:val="auto"/>
                <w:sz w:val="16"/>
                <w:szCs w:val="16"/>
                <w:lang w:val="sq-AL"/>
              </w:rPr>
            </w:pPr>
            <w:r w:rsidRPr="004E5A6E">
              <w:rPr>
                <w:rFonts w:eastAsia="Cambria"/>
                <w:b/>
                <w:bCs/>
                <w:color w:val="auto"/>
                <w:sz w:val="16"/>
                <w:szCs w:val="16"/>
                <w:lang w:val="sq-AL"/>
              </w:rPr>
              <w:t>Të punësuar</w:t>
            </w:r>
          </w:p>
        </w:tc>
        <w:tc>
          <w:tcPr>
            <w:tcW w:w="1101" w:type="dxa"/>
            <w:tcBorders>
              <w:left w:val="single" w:sz="4" w:space="0" w:color="auto"/>
            </w:tcBorders>
            <w:shd w:val="clear" w:color="auto" w:fill="DEEAF6" w:themeFill="accent1" w:themeFillTint="33"/>
            <w:noWrap/>
            <w:vAlign w:val="bottom"/>
            <w:hideMark/>
          </w:tcPr>
          <w:p w14:paraId="0E206705" w14:textId="77777777" w:rsidR="00EA106B" w:rsidRPr="004E5A6E" w:rsidRDefault="00EA106B" w:rsidP="00D6295F">
            <w:pPr>
              <w:spacing w:line="276" w:lineRule="auto"/>
              <w:jc w:val="right"/>
              <w:rPr>
                <w:rFonts w:eastAsia="Cambria"/>
                <w:b/>
                <w:color w:val="auto"/>
                <w:sz w:val="16"/>
                <w:szCs w:val="16"/>
                <w:lang w:val="sq-AL"/>
              </w:rPr>
            </w:pPr>
            <w:r w:rsidRPr="004E5A6E">
              <w:rPr>
                <w:rFonts w:eastAsia="Cambria"/>
                <w:b/>
                <w:color w:val="auto"/>
                <w:sz w:val="16"/>
                <w:szCs w:val="16"/>
                <w:lang w:val="sq-AL"/>
              </w:rPr>
              <w:t>331,761</w:t>
            </w:r>
          </w:p>
        </w:tc>
        <w:tc>
          <w:tcPr>
            <w:tcW w:w="1001" w:type="dxa"/>
            <w:shd w:val="clear" w:color="auto" w:fill="DEEAF6" w:themeFill="accent1" w:themeFillTint="33"/>
            <w:noWrap/>
            <w:vAlign w:val="bottom"/>
            <w:hideMark/>
          </w:tcPr>
          <w:p w14:paraId="0C1CF5AD" w14:textId="77777777" w:rsidR="00EA106B" w:rsidRPr="004E5A6E" w:rsidRDefault="00EA106B" w:rsidP="00D6295F">
            <w:pPr>
              <w:spacing w:line="276" w:lineRule="auto"/>
              <w:jc w:val="right"/>
              <w:rPr>
                <w:rFonts w:eastAsia="Cambria"/>
                <w:b/>
                <w:color w:val="auto"/>
                <w:sz w:val="16"/>
                <w:szCs w:val="16"/>
                <w:lang w:val="sq-AL"/>
              </w:rPr>
            </w:pPr>
            <w:r w:rsidRPr="004E5A6E">
              <w:rPr>
                <w:rFonts w:eastAsia="Cambria"/>
                <w:b/>
                <w:color w:val="auto"/>
                <w:sz w:val="16"/>
                <w:szCs w:val="16"/>
                <w:lang w:val="sq-AL"/>
              </w:rPr>
              <w:t>357,095</w:t>
            </w:r>
          </w:p>
        </w:tc>
        <w:tc>
          <w:tcPr>
            <w:tcW w:w="1001" w:type="dxa"/>
            <w:shd w:val="clear" w:color="auto" w:fill="DEEAF6" w:themeFill="accent1" w:themeFillTint="33"/>
          </w:tcPr>
          <w:p w14:paraId="4E09A392" w14:textId="77777777" w:rsidR="00EA106B" w:rsidRPr="004E5A6E" w:rsidRDefault="00EA106B" w:rsidP="00D6295F">
            <w:pPr>
              <w:spacing w:line="276" w:lineRule="auto"/>
              <w:jc w:val="right"/>
              <w:rPr>
                <w:rFonts w:eastAsia="Cambria"/>
                <w:b/>
                <w:color w:val="auto"/>
                <w:sz w:val="16"/>
                <w:szCs w:val="16"/>
                <w:lang w:val="sq-AL"/>
              </w:rPr>
            </w:pPr>
            <w:r w:rsidRPr="004E5A6E">
              <w:rPr>
                <w:rFonts w:eastAsia="Cambria"/>
                <w:b/>
                <w:color w:val="auto"/>
                <w:sz w:val="16"/>
                <w:szCs w:val="16"/>
                <w:lang w:val="sq-AL"/>
              </w:rPr>
              <w:t>345,131</w:t>
            </w:r>
          </w:p>
        </w:tc>
        <w:tc>
          <w:tcPr>
            <w:tcW w:w="1001" w:type="dxa"/>
            <w:shd w:val="clear" w:color="auto" w:fill="DEEAF6" w:themeFill="accent1" w:themeFillTint="33"/>
          </w:tcPr>
          <w:p w14:paraId="62D4FAF1" w14:textId="77777777" w:rsidR="00EA106B" w:rsidRPr="004E5A6E" w:rsidRDefault="00EA106B" w:rsidP="00D6295F">
            <w:pPr>
              <w:spacing w:line="276" w:lineRule="auto"/>
              <w:jc w:val="right"/>
              <w:rPr>
                <w:rFonts w:eastAsia="Cambria"/>
                <w:b/>
                <w:color w:val="auto"/>
                <w:sz w:val="16"/>
                <w:szCs w:val="16"/>
                <w:lang w:val="sq-AL"/>
              </w:rPr>
            </w:pPr>
            <w:r w:rsidRPr="004E5A6E">
              <w:rPr>
                <w:rFonts w:eastAsia="Cambria"/>
                <w:b/>
                <w:color w:val="auto"/>
                <w:sz w:val="16"/>
                <w:szCs w:val="16"/>
                <w:lang w:val="sq-AL"/>
              </w:rPr>
              <w:t>363,180</w:t>
            </w:r>
          </w:p>
        </w:tc>
        <w:tc>
          <w:tcPr>
            <w:tcW w:w="1001" w:type="dxa"/>
            <w:shd w:val="clear" w:color="auto" w:fill="DEEAF6" w:themeFill="accent1" w:themeFillTint="33"/>
          </w:tcPr>
          <w:p w14:paraId="1FABE6C4" w14:textId="77777777" w:rsidR="00EA106B" w:rsidRPr="004E5A6E" w:rsidRDefault="00EA106B" w:rsidP="00D6295F">
            <w:pPr>
              <w:spacing w:line="276" w:lineRule="auto"/>
              <w:jc w:val="right"/>
              <w:rPr>
                <w:rFonts w:eastAsia="Cambria"/>
                <w:b/>
                <w:color w:val="auto"/>
                <w:sz w:val="16"/>
                <w:szCs w:val="16"/>
                <w:lang w:val="sq-AL"/>
              </w:rPr>
            </w:pPr>
            <w:r w:rsidRPr="004E5A6E">
              <w:rPr>
                <w:rFonts w:eastAsia="Cambria"/>
                <w:b/>
                <w:color w:val="auto"/>
                <w:sz w:val="16"/>
                <w:szCs w:val="16"/>
                <w:lang w:val="sq-AL"/>
              </w:rPr>
              <w:t>341,014</w:t>
            </w:r>
          </w:p>
        </w:tc>
        <w:tc>
          <w:tcPr>
            <w:tcW w:w="1025" w:type="dxa"/>
            <w:tcBorders>
              <w:right w:val="single" w:sz="4" w:space="0" w:color="auto"/>
            </w:tcBorders>
            <w:shd w:val="clear" w:color="auto" w:fill="DEEAF6" w:themeFill="accent1" w:themeFillTint="33"/>
          </w:tcPr>
          <w:p w14:paraId="20C0A04E" w14:textId="77777777" w:rsidR="00EA106B" w:rsidRPr="004E5A6E" w:rsidRDefault="00EA106B" w:rsidP="00D6295F">
            <w:pPr>
              <w:spacing w:line="276" w:lineRule="auto"/>
              <w:jc w:val="right"/>
              <w:rPr>
                <w:rFonts w:eastAsia="Cambria"/>
                <w:b/>
                <w:color w:val="auto"/>
                <w:sz w:val="16"/>
                <w:szCs w:val="16"/>
                <w:lang w:val="sq-AL"/>
              </w:rPr>
            </w:pPr>
            <w:r w:rsidRPr="004E5A6E">
              <w:rPr>
                <w:rFonts w:eastAsia="Cambria"/>
                <w:b/>
                <w:color w:val="auto"/>
                <w:sz w:val="16"/>
                <w:szCs w:val="16"/>
                <w:lang w:val="sq-AL"/>
              </w:rPr>
              <w:t>354,672</w:t>
            </w:r>
          </w:p>
        </w:tc>
      </w:tr>
      <w:tr w:rsidR="00EA106B" w:rsidRPr="004E5A6E" w14:paraId="10D11A34" w14:textId="77777777" w:rsidTr="00D6295F">
        <w:trPr>
          <w:trHeight w:val="162"/>
        </w:trPr>
        <w:tc>
          <w:tcPr>
            <w:tcW w:w="2897" w:type="dxa"/>
            <w:tcBorders>
              <w:left w:val="single" w:sz="4" w:space="0" w:color="auto"/>
              <w:right w:val="single" w:sz="4" w:space="0" w:color="auto"/>
            </w:tcBorders>
            <w:shd w:val="clear" w:color="auto" w:fill="DEEAF6" w:themeFill="accent1" w:themeFillTint="33"/>
            <w:noWrap/>
            <w:vAlign w:val="bottom"/>
            <w:hideMark/>
          </w:tcPr>
          <w:p w14:paraId="64251A09"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Mashkull</w:t>
            </w:r>
          </w:p>
        </w:tc>
        <w:tc>
          <w:tcPr>
            <w:tcW w:w="1101" w:type="dxa"/>
            <w:tcBorders>
              <w:left w:val="single" w:sz="4" w:space="0" w:color="auto"/>
            </w:tcBorders>
            <w:shd w:val="clear" w:color="auto" w:fill="DEEAF6" w:themeFill="accent1" w:themeFillTint="33"/>
            <w:noWrap/>
            <w:vAlign w:val="bottom"/>
            <w:hideMark/>
          </w:tcPr>
          <w:p w14:paraId="7E64BDFB"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257,398</w:t>
            </w:r>
          </w:p>
        </w:tc>
        <w:tc>
          <w:tcPr>
            <w:tcW w:w="1001" w:type="dxa"/>
            <w:shd w:val="clear" w:color="auto" w:fill="DEEAF6" w:themeFill="accent1" w:themeFillTint="33"/>
            <w:noWrap/>
            <w:vAlign w:val="bottom"/>
            <w:hideMark/>
          </w:tcPr>
          <w:p w14:paraId="79D949E8"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281,581</w:t>
            </w:r>
          </w:p>
        </w:tc>
        <w:tc>
          <w:tcPr>
            <w:tcW w:w="1001" w:type="dxa"/>
            <w:shd w:val="clear" w:color="auto" w:fill="DEEAF6" w:themeFill="accent1" w:themeFillTint="33"/>
          </w:tcPr>
          <w:p w14:paraId="1FF52FB6"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271,623</w:t>
            </w:r>
          </w:p>
        </w:tc>
        <w:tc>
          <w:tcPr>
            <w:tcW w:w="1001" w:type="dxa"/>
            <w:shd w:val="clear" w:color="auto" w:fill="DEEAF6" w:themeFill="accent1" w:themeFillTint="33"/>
          </w:tcPr>
          <w:p w14:paraId="1C341849"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279,938</w:t>
            </w:r>
          </w:p>
        </w:tc>
        <w:tc>
          <w:tcPr>
            <w:tcW w:w="1001" w:type="dxa"/>
            <w:shd w:val="clear" w:color="auto" w:fill="DEEAF6" w:themeFill="accent1" w:themeFillTint="33"/>
          </w:tcPr>
          <w:p w14:paraId="159460B8"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261,180</w:t>
            </w:r>
          </w:p>
        </w:tc>
        <w:tc>
          <w:tcPr>
            <w:tcW w:w="1025" w:type="dxa"/>
            <w:tcBorders>
              <w:right w:val="single" w:sz="4" w:space="0" w:color="auto"/>
            </w:tcBorders>
            <w:shd w:val="clear" w:color="auto" w:fill="DEEAF6" w:themeFill="accent1" w:themeFillTint="33"/>
          </w:tcPr>
          <w:p w14:paraId="784F2F28"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269,071</w:t>
            </w:r>
          </w:p>
        </w:tc>
      </w:tr>
      <w:tr w:rsidR="00EA106B" w:rsidRPr="004E5A6E" w14:paraId="1E7BD256" w14:textId="77777777" w:rsidTr="00D6295F">
        <w:trPr>
          <w:trHeight w:val="100"/>
        </w:trPr>
        <w:tc>
          <w:tcPr>
            <w:tcW w:w="2897" w:type="dxa"/>
            <w:tcBorders>
              <w:left w:val="single" w:sz="4" w:space="0" w:color="auto"/>
              <w:bottom w:val="single" w:sz="4" w:space="0" w:color="auto"/>
              <w:right w:val="single" w:sz="4" w:space="0" w:color="auto"/>
            </w:tcBorders>
            <w:shd w:val="clear" w:color="auto" w:fill="DEEAF6" w:themeFill="accent1" w:themeFillTint="33"/>
            <w:noWrap/>
            <w:vAlign w:val="bottom"/>
            <w:hideMark/>
          </w:tcPr>
          <w:p w14:paraId="40E6FC5B"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Femër</w:t>
            </w:r>
          </w:p>
        </w:tc>
        <w:tc>
          <w:tcPr>
            <w:tcW w:w="1101" w:type="dxa"/>
            <w:tcBorders>
              <w:left w:val="single" w:sz="4" w:space="0" w:color="auto"/>
              <w:bottom w:val="single" w:sz="4" w:space="0" w:color="auto"/>
            </w:tcBorders>
            <w:shd w:val="clear" w:color="auto" w:fill="DEEAF6" w:themeFill="accent1" w:themeFillTint="33"/>
            <w:noWrap/>
            <w:vAlign w:val="bottom"/>
            <w:hideMark/>
          </w:tcPr>
          <w:p w14:paraId="786C0320"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74,363</w:t>
            </w:r>
          </w:p>
        </w:tc>
        <w:tc>
          <w:tcPr>
            <w:tcW w:w="1001" w:type="dxa"/>
            <w:tcBorders>
              <w:bottom w:val="single" w:sz="4" w:space="0" w:color="auto"/>
            </w:tcBorders>
            <w:shd w:val="clear" w:color="auto" w:fill="DEEAF6" w:themeFill="accent1" w:themeFillTint="33"/>
            <w:noWrap/>
            <w:vAlign w:val="bottom"/>
            <w:hideMark/>
          </w:tcPr>
          <w:p w14:paraId="62C0DB2F"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75,514</w:t>
            </w:r>
          </w:p>
        </w:tc>
        <w:tc>
          <w:tcPr>
            <w:tcW w:w="1001" w:type="dxa"/>
            <w:tcBorders>
              <w:bottom w:val="single" w:sz="4" w:space="0" w:color="auto"/>
            </w:tcBorders>
            <w:shd w:val="clear" w:color="auto" w:fill="DEEAF6" w:themeFill="accent1" w:themeFillTint="33"/>
          </w:tcPr>
          <w:p w14:paraId="1BA57DF5"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73,508</w:t>
            </w:r>
          </w:p>
        </w:tc>
        <w:tc>
          <w:tcPr>
            <w:tcW w:w="1001" w:type="dxa"/>
            <w:tcBorders>
              <w:bottom w:val="single" w:sz="4" w:space="0" w:color="auto"/>
            </w:tcBorders>
            <w:shd w:val="clear" w:color="auto" w:fill="DEEAF6" w:themeFill="accent1" w:themeFillTint="33"/>
          </w:tcPr>
          <w:p w14:paraId="36DDD85A"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83,242</w:t>
            </w:r>
          </w:p>
        </w:tc>
        <w:tc>
          <w:tcPr>
            <w:tcW w:w="1001" w:type="dxa"/>
            <w:tcBorders>
              <w:bottom w:val="single" w:sz="4" w:space="0" w:color="auto"/>
            </w:tcBorders>
            <w:shd w:val="clear" w:color="auto" w:fill="DEEAF6" w:themeFill="accent1" w:themeFillTint="33"/>
          </w:tcPr>
          <w:p w14:paraId="77C1BEF2"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79,834</w:t>
            </w:r>
          </w:p>
        </w:tc>
        <w:tc>
          <w:tcPr>
            <w:tcW w:w="1025" w:type="dxa"/>
            <w:tcBorders>
              <w:bottom w:val="single" w:sz="4" w:space="0" w:color="auto"/>
              <w:right w:val="single" w:sz="4" w:space="0" w:color="auto"/>
            </w:tcBorders>
            <w:shd w:val="clear" w:color="auto" w:fill="DEEAF6" w:themeFill="accent1" w:themeFillTint="33"/>
          </w:tcPr>
          <w:p w14:paraId="5EC74A57"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85,601</w:t>
            </w:r>
          </w:p>
        </w:tc>
      </w:tr>
      <w:tr w:rsidR="00EA106B" w:rsidRPr="004E5A6E" w14:paraId="299D3140" w14:textId="77777777" w:rsidTr="00D6295F">
        <w:trPr>
          <w:trHeight w:val="88"/>
        </w:trPr>
        <w:tc>
          <w:tcPr>
            <w:tcW w:w="2897" w:type="dxa"/>
            <w:tcBorders>
              <w:top w:val="single" w:sz="4" w:space="0" w:color="auto"/>
              <w:left w:val="single" w:sz="4" w:space="0" w:color="auto"/>
              <w:right w:val="single" w:sz="4" w:space="0" w:color="auto"/>
            </w:tcBorders>
            <w:shd w:val="clear" w:color="auto" w:fill="DEEAF6" w:themeFill="accent1" w:themeFillTint="33"/>
            <w:noWrap/>
            <w:vAlign w:val="bottom"/>
            <w:hideMark/>
          </w:tcPr>
          <w:p w14:paraId="0F40E1D8" w14:textId="77777777" w:rsidR="00EA106B" w:rsidRPr="004E5A6E" w:rsidRDefault="00EA106B" w:rsidP="00D6295F">
            <w:pPr>
              <w:spacing w:line="276" w:lineRule="auto"/>
              <w:rPr>
                <w:rFonts w:eastAsia="Cambria"/>
                <w:b/>
                <w:bCs/>
                <w:color w:val="auto"/>
                <w:sz w:val="16"/>
                <w:szCs w:val="16"/>
                <w:lang w:val="sq-AL"/>
              </w:rPr>
            </w:pPr>
            <w:r w:rsidRPr="004E5A6E">
              <w:rPr>
                <w:rFonts w:eastAsia="Cambria"/>
                <w:b/>
                <w:bCs/>
                <w:color w:val="auto"/>
                <w:sz w:val="16"/>
                <w:szCs w:val="16"/>
                <w:lang w:val="sq-AL"/>
              </w:rPr>
              <w:t>Shkalla e Pjesëmarrjes në Forcën e Punës (LFPR)</w:t>
            </w:r>
          </w:p>
        </w:tc>
        <w:tc>
          <w:tcPr>
            <w:tcW w:w="1101" w:type="dxa"/>
            <w:tcBorders>
              <w:top w:val="single" w:sz="4" w:space="0" w:color="auto"/>
              <w:left w:val="single" w:sz="4" w:space="0" w:color="auto"/>
            </w:tcBorders>
            <w:shd w:val="clear" w:color="auto" w:fill="DEEAF6" w:themeFill="accent1" w:themeFillTint="33"/>
            <w:noWrap/>
            <w:vAlign w:val="bottom"/>
            <w:hideMark/>
          </w:tcPr>
          <w:p w14:paraId="4724E293" w14:textId="77777777" w:rsidR="00EA106B" w:rsidRPr="004E5A6E" w:rsidRDefault="00EA106B" w:rsidP="00D6295F">
            <w:pPr>
              <w:spacing w:line="276" w:lineRule="auto"/>
              <w:jc w:val="right"/>
              <w:rPr>
                <w:rFonts w:eastAsia="Cambria"/>
                <w:b/>
                <w:bCs/>
                <w:color w:val="auto"/>
                <w:sz w:val="16"/>
                <w:szCs w:val="16"/>
                <w:lang w:val="sq-AL"/>
              </w:rPr>
            </w:pPr>
            <w:r w:rsidRPr="004E5A6E">
              <w:rPr>
                <w:rFonts w:eastAsia="Cambria"/>
                <w:b/>
                <w:bCs/>
                <w:color w:val="auto"/>
                <w:sz w:val="16"/>
                <w:szCs w:val="16"/>
                <w:lang w:val="sq-AL"/>
              </w:rPr>
              <w:t>38.7%</w:t>
            </w:r>
          </w:p>
        </w:tc>
        <w:tc>
          <w:tcPr>
            <w:tcW w:w="1001" w:type="dxa"/>
            <w:tcBorders>
              <w:top w:val="single" w:sz="4" w:space="0" w:color="auto"/>
            </w:tcBorders>
            <w:shd w:val="clear" w:color="auto" w:fill="DEEAF6" w:themeFill="accent1" w:themeFillTint="33"/>
            <w:noWrap/>
            <w:vAlign w:val="bottom"/>
            <w:hideMark/>
          </w:tcPr>
          <w:p w14:paraId="6D1509B3" w14:textId="77777777" w:rsidR="00EA106B" w:rsidRPr="004E5A6E" w:rsidRDefault="00EA106B" w:rsidP="00D6295F">
            <w:pPr>
              <w:spacing w:line="276" w:lineRule="auto"/>
              <w:jc w:val="right"/>
              <w:rPr>
                <w:rFonts w:eastAsia="Cambria"/>
                <w:b/>
                <w:bCs/>
                <w:color w:val="auto"/>
                <w:sz w:val="16"/>
                <w:szCs w:val="16"/>
                <w:lang w:val="sq-AL"/>
              </w:rPr>
            </w:pPr>
          </w:p>
          <w:p w14:paraId="5B22123C" w14:textId="77777777" w:rsidR="00EA106B" w:rsidRPr="004E5A6E" w:rsidRDefault="00EA106B" w:rsidP="00D6295F">
            <w:pPr>
              <w:spacing w:line="276" w:lineRule="auto"/>
              <w:jc w:val="right"/>
              <w:rPr>
                <w:rFonts w:eastAsia="Cambria"/>
                <w:b/>
                <w:bCs/>
                <w:color w:val="auto"/>
                <w:sz w:val="16"/>
                <w:szCs w:val="16"/>
                <w:lang w:val="sq-AL"/>
              </w:rPr>
            </w:pPr>
            <w:r w:rsidRPr="004E5A6E">
              <w:rPr>
                <w:rFonts w:eastAsia="Cambria"/>
                <w:b/>
                <w:bCs/>
                <w:color w:val="auto"/>
                <w:sz w:val="16"/>
                <w:szCs w:val="16"/>
                <w:lang w:val="sq-AL"/>
              </w:rPr>
              <w:t>42.8%</w:t>
            </w:r>
          </w:p>
        </w:tc>
        <w:tc>
          <w:tcPr>
            <w:tcW w:w="1001" w:type="dxa"/>
            <w:tcBorders>
              <w:top w:val="single" w:sz="4" w:space="0" w:color="auto"/>
            </w:tcBorders>
            <w:shd w:val="clear" w:color="auto" w:fill="DEEAF6" w:themeFill="accent1" w:themeFillTint="33"/>
          </w:tcPr>
          <w:p w14:paraId="45226B87" w14:textId="77777777" w:rsidR="00EA106B" w:rsidRPr="004E5A6E" w:rsidRDefault="00EA106B" w:rsidP="00D6295F">
            <w:pPr>
              <w:spacing w:line="276" w:lineRule="auto"/>
              <w:jc w:val="right"/>
              <w:rPr>
                <w:rFonts w:eastAsia="Cambria"/>
                <w:b/>
                <w:bCs/>
                <w:color w:val="auto"/>
                <w:sz w:val="16"/>
                <w:szCs w:val="16"/>
                <w:lang w:val="sq-AL"/>
              </w:rPr>
            </w:pPr>
          </w:p>
          <w:p w14:paraId="5483EAD1" w14:textId="77777777" w:rsidR="00EA106B" w:rsidRPr="004E5A6E" w:rsidRDefault="00EA106B" w:rsidP="00D6295F">
            <w:pPr>
              <w:spacing w:line="276" w:lineRule="auto"/>
              <w:jc w:val="right"/>
              <w:rPr>
                <w:rFonts w:eastAsia="Cambria"/>
                <w:b/>
                <w:bCs/>
                <w:color w:val="auto"/>
                <w:sz w:val="16"/>
                <w:szCs w:val="16"/>
                <w:lang w:val="sq-AL"/>
              </w:rPr>
            </w:pPr>
            <w:r w:rsidRPr="004E5A6E">
              <w:rPr>
                <w:rFonts w:eastAsia="Cambria"/>
                <w:b/>
                <w:bCs/>
                <w:color w:val="auto"/>
                <w:sz w:val="16"/>
                <w:szCs w:val="16"/>
                <w:lang w:val="sq-AL"/>
              </w:rPr>
              <w:t>40.9%</w:t>
            </w:r>
          </w:p>
        </w:tc>
        <w:tc>
          <w:tcPr>
            <w:tcW w:w="1001" w:type="dxa"/>
            <w:tcBorders>
              <w:top w:val="single" w:sz="4" w:space="0" w:color="auto"/>
            </w:tcBorders>
            <w:shd w:val="clear" w:color="auto" w:fill="DEEAF6" w:themeFill="accent1" w:themeFillTint="33"/>
          </w:tcPr>
          <w:p w14:paraId="63D4266C" w14:textId="77777777" w:rsidR="00EA106B" w:rsidRPr="004E5A6E" w:rsidRDefault="00EA106B" w:rsidP="00D6295F">
            <w:pPr>
              <w:spacing w:line="276" w:lineRule="auto"/>
              <w:jc w:val="right"/>
              <w:rPr>
                <w:rFonts w:eastAsia="Cambria"/>
                <w:b/>
                <w:bCs/>
                <w:color w:val="auto"/>
                <w:sz w:val="16"/>
                <w:szCs w:val="16"/>
                <w:lang w:val="sq-AL"/>
              </w:rPr>
            </w:pPr>
          </w:p>
          <w:p w14:paraId="5CD2D68C" w14:textId="77777777" w:rsidR="00EA106B" w:rsidRPr="004E5A6E" w:rsidRDefault="00EA106B" w:rsidP="00D6295F">
            <w:pPr>
              <w:spacing w:line="276" w:lineRule="auto"/>
              <w:jc w:val="right"/>
              <w:rPr>
                <w:rFonts w:eastAsia="Cambria"/>
                <w:b/>
                <w:bCs/>
                <w:color w:val="auto"/>
                <w:sz w:val="16"/>
                <w:szCs w:val="16"/>
                <w:lang w:val="sq-AL"/>
              </w:rPr>
            </w:pPr>
            <w:r w:rsidRPr="004E5A6E">
              <w:rPr>
                <w:rFonts w:eastAsia="Cambria"/>
                <w:b/>
                <w:bCs/>
                <w:color w:val="auto"/>
                <w:sz w:val="16"/>
                <w:szCs w:val="16"/>
                <w:lang w:val="sq-AL"/>
              </w:rPr>
              <w:t>40.5%</w:t>
            </w:r>
          </w:p>
        </w:tc>
        <w:tc>
          <w:tcPr>
            <w:tcW w:w="1001" w:type="dxa"/>
            <w:tcBorders>
              <w:top w:val="single" w:sz="4" w:space="0" w:color="auto"/>
            </w:tcBorders>
            <w:shd w:val="clear" w:color="auto" w:fill="DEEAF6" w:themeFill="accent1" w:themeFillTint="33"/>
          </w:tcPr>
          <w:p w14:paraId="1F7DA67B" w14:textId="77777777" w:rsidR="00EA106B" w:rsidRPr="004E5A6E" w:rsidRDefault="00EA106B" w:rsidP="00D6295F">
            <w:pPr>
              <w:spacing w:line="276" w:lineRule="auto"/>
              <w:jc w:val="right"/>
              <w:rPr>
                <w:rFonts w:eastAsia="Cambria"/>
                <w:b/>
                <w:bCs/>
                <w:color w:val="auto"/>
                <w:sz w:val="16"/>
                <w:szCs w:val="16"/>
                <w:lang w:val="sq-AL"/>
              </w:rPr>
            </w:pPr>
          </w:p>
          <w:p w14:paraId="32688C8F" w14:textId="77777777" w:rsidR="00EA106B" w:rsidRPr="004E5A6E" w:rsidRDefault="00EA106B" w:rsidP="00D6295F">
            <w:pPr>
              <w:spacing w:line="276" w:lineRule="auto"/>
              <w:jc w:val="right"/>
              <w:rPr>
                <w:rFonts w:eastAsia="Cambria"/>
                <w:b/>
                <w:bCs/>
                <w:color w:val="auto"/>
                <w:sz w:val="16"/>
                <w:szCs w:val="16"/>
                <w:lang w:val="sq-AL"/>
              </w:rPr>
            </w:pPr>
            <w:r w:rsidRPr="004E5A6E">
              <w:rPr>
                <w:rFonts w:eastAsia="Cambria"/>
                <w:b/>
                <w:bCs/>
                <w:color w:val="auto"/>
                <w:sz w:val="16"/>
                <w:szCs w:val="16"/>
                <w:lang w:val="sq-AL"/>
              </w:rPr>
              <w:t>38.7%</w:t>
            </w:r>
          </w:p>
        </w:tc>
        <w:tc>
          <w:tcPr>
            <w:tcW w:w="1025" w:type="dxa"/>
            <w:tcBorders>
              <w:top w:val="single" w:sz="4" w:space="0" w:color="auto"/>
              <w:right w:val="single" w:sz="4" w:space="0" w:color="auto"/>
            </w:tcBorders>
            <w:shd w:val="clear" w:color="auto" w:fill="DEEAF6" w:themeFill="accent1" w:themeFillTint="33"/>
          </w:tcPr>
          <w:p w14:paraId="6FE5158D" w14:textId="77777777" w:rsidR="00EA106B" w:rsidRPr="004E5A6E" w:rsidRDefault="00EA106B" w:rsidP="00D6295F">
            <w:pPr>
              <w:spacing w:line="276" w:lineRule="auto"/>
              <w:jc w:val="right"/>
              <w:rPr>
                <w:rFonts w:eastAsia="Cambria"/>
                <w:b/>
                <w:bCs/>
                <w:color w:val="auto"/>
                <w:sz w:val="16"/>
                <w:szCs w:val="16"/>
                <w:lang w:val="sq-AL"/>
              </w:rPr>
            </w:pPr>
          </w:p>
          <w:p w14:paraId="4278A6A0" w14:textId="77777777" w:rsidR="00EA106B" w:rsidRPr="004E5A6E" w:rsidRDefault="00EA106B" w:rsidP="00D6295F">
            <w:pPr>
              <w:spacing w:line="276" w:lineRule="auto"/>
              <w:jc w:val="right"/>
              <w:rPr>
                <w:rFonts w:eastAsia="Cambria"/>
                <w:b/>
                <w:bCs/>
                <w:color w:val="auto"/>
                <w:sz w:val="16"/>
                <w:szCs w:val="16"/>
                <w:lang w:val="sq-AL"/>
              </w:rPr>
            </w:pPr>
            <w:r w:rsidRPr="004E5A6E">
              <w:rPr>
                <w:rFonts w:eastAsia="Cambria"/>
                <w:b/>
                <w:bCs/>
                <w:color w:val="auto"/>
                <w:sz w:val="16"/>
                <w:szCs w:val="16"/>
                <w:lang w:val="sq-AL"/>
              </w:rPr>
              <w:t>38.8%</w:t>
            </w:r>
          </w:p>
        </w:tc>
      </w:tr>
      <w:tr w:rsidR="00EA106B" w:rsidRPr="004E5A6E" w14:paraId="2CF87B74" w14:textId="77777777" w:rsidTr="00D6295F">
        <w:trPr>
          <w:trHeight w:val="88"/>
        </w:trPr>
        <w:tc>
          <w:tcPr>
            <w:tcW w:w="2897" w:type="dxa"/>
            <w:tcBorders>
              <w:left w:val="single" w:sz="4" w:space="0" w:color="auto"/>
              <w:right w:val="single" w:sz="4" w:space="0" w:color="auto"/>
            </w:tcBorders>
            <w:shd w:val="clear" w:color="auto" w:fill="DEEAF6" w:themeFill="accent1" w:themeFillTint="33"/>
            <w:noWrap/>
            <w:hideMark/>
          </w:tcPr>
          <w:p w14:paraId="0E773806"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Shkalla e Punësimit</w:t>
            </w:r>
          </w:p>
        </w:tc>
        <w:tc>
          <w:tcPr>
            <w:tcW w:w="1101" w:type="dxa"/>
            <w:tcBorders>
              <w:left w:val="single" w:sz="4" w:space="0" w:color="auto"/>
            </w:tcBorders>
            <w:shd w:val="clear" w:color="auto" w:fill="DEEAF6" w:themeFill="accent1" w:themeFillTint="33"/>
            <w:noWrap/>
            <w:vAlign w:val="bottom"/>
            <w:hideMark/>
          </w:tcPr>
          <w:p w14:paraId="0EACF482" w14:textId="77777777" w:rsidR="00EA106B" w:rsidRPr="004E5A6E" w:rsidRDefault="00EA106B" w:rsidP="00D6295F">
            <w:pPr>
              <w:spacing w:line="276" w:lineRule="auto"/>
              <w:jc w:val="right"/>
              <w:rPr>
                <w:rFonts w:eastAsia="Cambria"/>
                <w:b/>
                <w:bCs/>
                <w:color w:val="auto"/>
                <w:sz w:val="16"/>
                <w:szCs w:val="16"/>
                <w:lang w:val="sq-AL"/>
              </w:rPr>
            </w:pPr>
            <w:r w:rsidRPr="004E5A6E">
              <w:rPr>
                <w:rFonts w:eastAsia="Cambria"/>
                <w:b/>
                <w:bCs/>
                <w:color w:val="auto"/>
                <w:sz w:val="16"/>
                <w:szCs w:val="16"/>
                <w:lang w:val="sq-AL"/>
              </w:rPr>
              <w:t>28.0%</w:t>
            </w:r>
          </w:p>
        </w:tc>
        <w:tc>
          <w:tcPr>
            <w:tcW w:w="1001" w:type="dxa"/>
            <w:shd w:val="clear" w:color="auto" w:fill="DEEAF6" w:themeFill="accent1" w:themeFillTint="33"/>
            <w:noWrap/>
            <w:vAlign w:val="bottom"/>
            <w:hideMark/>
          </w:tcPr>
          <w:p w14:paraId="1C2CC6CB" w14:textId="77777777" w:rsidR="00EA106B" w:rsidRPr="004E5A6E" w:rsidRDefault="00EA106B" w:rsidP="00D6295F">
            <w:pPr>
              <w:spacing w:line="276" w:lineRule="auto"/>
              <w:jc w:val="right"/>
              <w:rPr>
                <w:rFonts w:eastAsia="Cambria"/>
                <w:b/>
                <w:bCs/>
                <w:color w:val="auto"/>
                <w:sz w:val="16"/>
                <w:szCs w:val="16"/>
                <w:lang w:val="sq-AL"/>
              </w:rPr>
            </w:pPr>
            <w:r w:rsidRPr="004E5A6E">
              <w:rPr>
                <w:rFonts w:eastAsia="Cambria"/>
                <w:b/>
                <w:bCs/>
                <w:color w:val="auto"/>
                <w:sz w:val="16"/>
                <w:szCs w:val="16"/>
                <w:lang w:val="sq-AL"/>
              </w:rPr>
              <w:t>29.8%</w:t>
            </w:r>
          </w:p>
        </w:tc>
        <w:tc>
          <w:tcPr>
            <w:tcW w:w="1001" w:type="dxa"/>
            <w:shd w:val="clear" w:color="auto" w:fill="DEEAF6" w:themeFill="accent1" w:themeFillTint="33"/>
          </w:tcPr>
          <w:p w14:paraId="7CD3099F" w14:textId="77777777" w:rsidR="00EA106B" w:rsidRPr="004E5A6E" w:rsidRDefault="00EA106B" w:rsidP="00D6295F">
            <w:pPr>
              <w:spacing w:line="276" w:lineRule="auto"/>
              <w:jc w:val="right"/>
              <w:rPr>
                <w:rFonts w:eastAsia="Cambria"/>
                <w:b/>
                <w:bCs/>
                <w:color w:val="auto"/>
                <w:sz w:val="16"/>
                <w:szCs w:val="16"/>
                <w:lang w:val="sq-AL"/>
              </w:rPr>
            </w:pPr>
            <w:r w:rsidRPr="004E5A6E">
              <w:rPr>
                <w:rFonts w:eastAsia="Cambria"/>
                <w:b/>
                <w:bCs/>
                <w:color w:val="auto"/>
                <w:sz w:val="16"/>
                <w:szCs w:val="16"/>
                <w:lang w:val="sq-AL"/>
              </w:rPr>
              <w:t>28.8%</w:t>
            </w:r>
          </w:p>
        </w:tc>
        <w:tc>
          <w:tcPr>
            <w:tcW w:w="1001" w:type="dxa"/>
            <w:shd w:val="clear" w:color="auto" w:fill="DEEAF6" w:themeFill="accent1" w:themeFillTint="33"/>
          </w:tcPr>
          <w:p w14:paraId="47251B96" w14:textId="77777777" w:rsidR="00EA106B" w:rsidRPr="004E5A6E" w:rsidRDefault="00EA106B" w:rsidP="00D6295F">
            <w:pPr>
              <w:spacing w:line="276" w:lineRule="auto"/>
              <w:jc w:val="right"/>
              <w:rPr>
                <w:rFonts w:eastAsia="Cambria"/>
                <w:b/>
                <w:bCs/>
                <w:color w:val="auto"/>
                <w:sz w:val="16"/>
                <w:szCs w:val="16"/>
                <w:lang w:val="sq-AL"/>
              </w:rPr>
            </w:pPr>
            <w:r w:rsidRPr="004E5A6E">
              <w:rPr>
                <w:rFonts w:eastAsia="Cambria"/>
                <w:b/>
                <w:bCs/>
                <w:color w:val="auto"/>
                <w:sz w:val="16"/>
                <w:szCs w:val="16"/>
                <w:lang w:val="sq-AL"/>
              </w:rPr>
              <w:t>30.1%</w:t>
            </w:r>
          </w:p>
        </w:tc>
        <w:tc>
          <w:tcPr>
            <w:tcW w:w="1001" w:type="dxa"/>
            <w:shd w:val="clear" w:color="auto" w:fill="DEEAF6" w:themeFill="accent1" w:themeFillTint="33"/>
          </w:tcPr>
          <w:p w14:paraId="75A02906" w14:textId="77777777" w:rsidR="00EA106B" w:rsidRPr="004E5A6E" w:rsidRDefault="00EA106B" w:rsidP="00D6295F">
            <w:pPr>
              <w:spacing w:line="276" w:lineRule="auto"/>
              <w:jc w:val="right"/>
              <w:rPr>
                <w:rFonts w:eastAsia="Cambria"/>
                <w:b/>
                <w:bCs/>
                <w:color w:val="auto"/>
                <w:sz w:val="16"/>
                <w:szCs w:val="16"/>
                <w:lang w:val="sq-AL"/>
              </w:rPr>
            </w:pPr>
            <w:r w:rsidRPr="004E5A6E">
              <w:rPr>
                <w:rFonts w:eastAsia="Cambria"/>
                <w:b/>
                <w:bCs/>
                <w:color w:val="auto"/>
                <w:sz w:val="16"/>
                <w:szCs w:val="16"/>
                <w:lang w:val="sq-AL"/>
              </w:rPr>
              <w:t>28.2%</w:t>
            </w:r>
          </w:p>
        </w:tc>
        <w:tc>
          <w:tcPr>
            <w:tcW w:w="1025" w:type="dxa"/>
            <w:tcBorders>
              <w:right w:val="single" w:sz="4" w:space="0" w:color="auto"/>
            </w:tcBorders>
            <w:shd w:val="clear" w:color="auto" w:fill="DEEAF6" w:themeFill="accent1" w:themeFillTint="33"/>
          </w:tcPr>
          <w:p w14:paraId="1C52BBB9" w14:textId="77777777" w:rsidR="00EA106B" w:rsidRPr="004E5A6E" w:rsidRDefault="00EA106B" w:rsidP="00D6295F">
            <w:pPr>
              <w:spacing w:line="276" w:lineRule="auto"/>
              <w:jc w:val="right"/>
              <w:rPr>
                <w:rFonts w:eastAsia="Cambria"/>
                <w:b/>
                <w:bCs/>
                <w:color w:val="auto"/>
                <w:sz w:val="16"/>
                <w:szCs w:val="16"/>
                <w:lang w:val="sq-AL"/>
              </w:rPr>
            </w:pPr>
            <w:r w:rsidRPr="004E5A6E">
              <w:rPr>
                <w:rFonts w:eastAsia="Cambria"/>
                <w:b/>
                <w:bCs/>
                <w:color w:val="auto"/>
                <w:sz w:val="16"/>
                <w:szCs w:val="16"/>
                <w:lang w:val="sq-AL"/>
              </w:rPr>
              <w:t>29.1%</w:t>
            </w:r>
          </w:p>
        </w:tc>
      </w:tr>
      <w:tr w:rsidR="00EA106B" w:rsidRPr="004E5A6E" w14:paraId="1FDE69DC" w14:textId="77777777" w:rsidTr="00D6295F">
        <w:trPr>
          <w:trHeight w:val="88"/>
        </w:trPr>
        <w:tc>
          <w:tcPr>
            <w:tcW w:w="2897" w:type="dxa"/>
            <w:tcBorders>
              <w:left w:val="single" w:sz="4" w:space="0" w:color="auto"/>
              <w:bottom w:val="single" w:sz="4" w:space="0" w:color="auto"/>
              <w:right w:val="single" w:sz="4" w:space="0" w:color="auto"/>
            </w:tcBorders>
            <w:shd w:val="clear" w:color="auto" w:fill="DEEAF6" w:themeFill="accent1" w:themeFillTint="33"/>
            <w:noWrap/>
            <w:hideMark/>
          </w:tcPr>
          <w:p w14:paraId="53A4E369" w14:textId="77777777" w:rsidR="00EA106B" w:rsidRPr="004E5A6E" w:rsidRDefault="00EA106B" w:rsidP="00D6295F">
            <w:pPr>
              <w:spacing w:line="276" w:lineRule="auto"/>
              <w:jc w:val="right"/>
              <w:rPr>
                <w:rFonts w:eastAsia="Cambria"/>
                <w:color w:val="auto"/>
                <w:sz w:val="16"/>
                <w:szCs w:val="16"/>
                <w:lang w:val="sq-AL"/>
              </w:rPr>
            </w:pPr>
            <w:r w:rsidRPr="004E5A6E">
              <w:rPr>
                <w:rFonts w:eastAsia="Cambria"/>
                <w:color w:val="auto"/>
                <w:sz w:val="16"/>
                <w:szCs w:val="16"/>
                <w:lang w:val="sq-AL"/>
              </w:rPr>
              <w:t>Shkalla e papunësisë</w:t>
            </w:r>
          </w:p>
        </w:tc>
        <w:tc>
          <w:tcPr>
            <w:tcW w:w="1101" w:type="dxa"/>
            <w:tcBorders>
              <w:left w:val="single" w:sz="4" w:space="0" w:color="auto"/>
              <w:bottom w:val="single" w:sz="4" w:space="0" w:color="auto"/>
            </w:tcBorders>
            <w:shd w:val="clear" w:color="auto" w:fill="DEEAF6" w:themeFill="accent1" w:themeFillTint="33"/>
            <w:noWrap/>
            <w:vAlign w:val="bottom"/>
            <w:hideMark/>
          </w:tcPr>
          <w:p w14:paraId="77B51DEA" w14:textId="77777777" w:rsidR="00EA106B" w:rsidRPr="004E5A6E" w:rsidRDefault="00EA106B" w:rsidP="00D6295F">
            <w:pPr>
              <w:spacing w:line="276" w:lineRule="auto"/>
              <w:jc w:val="right"/>
              <w:rPr>
                <w:rFonts w:eastAsia="Cambria"/>
                <w:b/>
                <w:bCs/>
                <w:color w:val="auto"/>
                <w:sz w:val="16"/>
                <w:szCs w:val="16"/>
                <w:lang w:val="sq-AL"/>
              </w:rPr>
            </w:pPr>
            <w:r w:rsidRPr="004E5A6E">
              <w:rPr>
                <w:rFonts w:eastAsia="Cambria"/>
                <w:b/>
                <w:bCs/>
                <w:color w:val="auto"/>
                <w:sz w:val="16"/>
                <w:szCs w:val="16"/>
                <w:lang w:val="sq-AL"/>
              </w:rPr>
              <w:t>27.5%</w:t>
            </w:r>
          </w:p>
        </w:tc>
        <w:tc>
          <w:tcPr>
            <w:tcW w:w="1001" w:type="dxa"/>
            <w:tcBorders>
              <w:bottom w:val="single" w:sz="4" w:space="0" w:color="auto"/>
            </w:tcBorders>
            <w:shd w:val="clear" w:color="auto" w:fill="DEEAF6" w:themeFill="accent1" w:themeFillTint="33"/>
            <w:noWrap/>
            <w:vAlign w:val="bottom"/>
            <w:hideMark/>
          </w:tcPr>
          <w:p w14:paraId="7A4993FD" w14:textId="77777777" w:rsidR="00EA106B" w:rsidRPr="004E5A6E" w:rsidRDefault="00EA106B" w:rsidP="00D6295F">
            <w:pPr>
              <w:spacing w:line="276" w:lineRule="auto"/>
              <w:jc w:val="right"/>
              <w:rPr>
                <w:rFonts w:eastAsia="Cambria"/>
                <w:b/>
                <w:bCs/>
                <w:color w:val="auto"/>
                <w:sz w:val="16"/>
                <w:szCs w:val="16"/>
                <w:lang w:val="sq-AL"/>
              </w:rPr>
            </w:pPr>
            <w:r w:rsidRPr="004E5A6E">
              <w:rPr>
                <w:rFonts w:eastAsia="Cambria"/>
                <w:b/>
                <w:bCs/>
                <w:color w:val="auto"/>
                <w:sz w:val="16"/>
                <w:szCs w:val="16"/>
                <w:lang w:val="sq-AL"/>
              </w:rPr>
              <w:t>30.5%</w:t>
            </w:r>
          </w:p>
        </w:tc>
        <w:tc>
          <w:tcPr>
            <w:tcW w:w="1001" w:type="dxa"/>
            <w:tcBorders>
              <w:bottom w:val="single" w:sz="4" w:space="0" w:color="auto"/>
            </w:tcBorders>
            <w:shd w:val="clear" w:color="auto" w:fill="DEEAF6" w:themeFill="accent1" w:themeFillTint="33"/>
          </w:tcPr>
          <w:p w14:paraId="73BF4605" w14:textId="77777777" w:rsidR="00EA106B" w:rsidRPr="004E5A6E" w:rsidRDefault="00EA106B" w:rsidP="00D6295F">
            <w:pPr>
              <w:spacing w:line="276" w:lineRule="auto"/>
              <w:jc w:val="right"/>
              <w:rPr>
                <w:rFonts w:eastAsia="Cambria"/>
                <w:b/>
                <w:bCs/>
                <w:color w:val="auto"/>
                <w:sz w:val="16"/>
                <w:szCs w:val="16"/>
                <w:lang w:val="sq-AL"/>
              </w:rPr>
            </w:pPr>
            <w:r w:rsidRPr="004E5A6E">
              <w:rPr>
                <w:rFonts w:eastAsia="Cambria"/>
                <w:b/>
                <w:bCs/>
                <w:color w:val="auto"/>
                <w:sz w:val="16"/>
                <w:szCs w:val="16"/>
                <w:lang w:val="sq-AL"/>
              </w:rPr>
              <w:t>29.6%</w:t>
            </w:r>
          </w:p>
        </w:tc>
        <w:tc>
          <w:tcPr>
            <w:tcW w:w="1001" w:type="dxa"/>
            <w:tcBorders>
              <w:bottom w:val="single" w:sz="4" w:space="0" w:color="auto"/>
            </w:tcBorders>
            <w:shd w:val="clear" w:color="auto" w:fill="DEEAF6" w:themeFill="accent1" w:themeFillTint="33"/>
          </w:tcPr>
          <w:p w14:paraId="0BEE2A6D" w14:textId="77777777" w:rsidR="00EA106B" w:rsidRPr="004E5A6E" w:rsidRDefault="00EA106B" w:rsidP="00D6295F">
            <w:pPr>
              <w:spacing w:line="276" w:lineRule="auto"/>
              <w:jc w:val="right"/>
              <w:rPr>
                <w:rFonts w:eastAsia="Cambria"/>
                <w:b/>
                <w:bCs/>
                <w:color w:val="auto"/>
                <w:sz w:val="16"/>
                <w:szCs w:val="16"/>
                <w:lang w:val="sq-AL"/>
              </w:rPr>
            </w:pPr>
            <w:r w:rsidRPr="004E5A6E">
              <w:rPr>
                <w:rFonts w:eastAsia="Cambria"/>
                <w:b/>
                <w:bCs/>
                <w:color w:val="auto"/>
                <w:sz w:val="16"/>
                <w:szCs w:val="16"/>
                <w:lang w:val="sq-AL"/>
              </w:rPr>
              <w:t>25.7%</w:t>
            </w:r>
          </w:p>
        </w:tc>
        <w:tc>
          <w:tcPr>
            <w:tcW w:w="1001" w:type="dxa"/>
            <w:tcBorders>
              <w:bottom w:val="single" w:sz="4" w:space="0" w:color="auto"/>
            </w:tcBorders>
            <w:shd w:val="clear" w:color="auto" w:fill="DEEAF6" w:themeFill="accent1" w:themeFillTint="33"/>
          </w:tcPr>
          <w:p w14:paraId="4ADE4DC5" w14:textId="77777777" w:rsidR="00EA106B" w:rsidRPr="004E5A6E" w:rsidRDefault="00EA106B" w:rsidP="00D6295F">
            <w:pPr>
              <w:spacing w:line="276" w:lineRule="auto"/>
              <w:jc w:val="right"/>
              <w:rPr>
                <w:rFonts w:eastAsia="Cambria"/>
                <w:b/>
                <w:bCs/>
                <w:color w:val="auto"/>
                <w:sz w:val="16"/>
                <w:szCs w:val="16"/>
                <w:lang w:val="sq-AL"/>
              </w:rPr>
            </w:pPr>
            <w:r w:rsidRPr="004E5A6E">
              <w:rPr>
                <w:rFonts w:eastAsia="Cambria"/>
                <w:b/>
                <w:bCs/>
                <w:color w:val="auto"/>
                <w:sz w:val="16"/>
                <w:szCs w:val="16"/>
                <w:lang w:val="sq-AL"/>
              </w:rPr>
              <w:t>26.9%</w:t>
            </w:r>
          </w:p>
        </w:tc>
        <w:tc>
          <w:tcPr>
            <w:tcW w:w="1025" w:type="dxa"/>
            <w:tcBorders>
              <w:bottom w:val="single" w:sz="4" w:space="0" w:color="auto"/>
              <w:right w:val="single" w:sz="4" w:space="0" w:color="auto"/>
            </w:tcBorders>
            <w:shd w:val="clear" w:color="auto" w:fill="DEEAF6" w:themeFill="accent1" w:themeFillTint="33"/>
          </w:tcPr>
          <w:p w14:paraId="4D5A64EB" w14:textId="77777777" w:rsidR="00EA106B" w:rsidRPr="004E5A6E" w:rsidRDefault="00EA106B" w:rsidP="00D6295F">
            <w:pPr>
              <w:spacing w:line="276" w:lineRule="auto"/>
              <w:jc w:val="right"/>
              <w:rPr>
                <w:rFonts w:eastAsia="Cambria"/>
                <w:b/>
                <w:bCs/>
                <w:color w:val="auto"/>
                <w:sz w:val="16"/>
                <w:szCs w:val="16"/>
                <w:lang w:val="sq-AL"/>
              </w:rPr>
            </w:pPr>
            <w:r w:rsidRPr="004E5A6E">
              <w:rPr>
                <w:rFonts w:eastAsia="Cambria"/>
                <w:b/>
                <w:bCs/>
                <w:color w:val="auto"/>
                <w:sz w:val="16"/>
                <w:szCs w:val="16"/>
                <w:lang w:val="sq-AL"/>
              </w:rPr>
              <w:t>25.0%</w:t>
            </w:r>
          </w:p>
        </w:tc>
      </w:tr>
    </w:tbl>
    <w:p w14:paraId="328FD246" w14:textId="77777777" w:rsidR="00EA106B" w:rsidRPr="004E5A6E" w:rsidRDefault="00EA106B" w:rsidP="00EA106B">
      <w:pPr>
        <w:spacing w:after="240" w:line="276" w:lineRule="auto"/>
        <w:jc w:val="both"/>
        <w:rPr>
          <w:color w:val="auto"/>
          <w:sz w:val="16"/>
          <w:szCs w:val="16"/>
          <w:lang w:val="sq-AL"/>
        </w:rPr>
      </w:pPr>
      <w:bookmarkStart w:id="75" w:name="_Toc504074784"/>
      <w:bookmarkStart w:id="76" w:name="_Toc536201051"/>
      <w:r w:rsidRPr="004E5A6E">
        <w:rPr>
          <w:color w:val="auto"/>
          <w:sz w:val="16"/>
          <w:szCs w:val="16"/>
          <w:lang w:val="sq-AL"/>
        </w:rPr>
        <w:t>Burimi: Publikimet vjetore dhe tremujore të Anketës së Fuqisë Punëtore të ASK-së</w:t>
      </w:r>
    </w:p>
    <w:p w14:paraId="5282877E" w14:textId="77777777" w:rsidR="00EA106B" w:rsidRPr="004E5A6E" w:rsidRDefault="00EA106B" w:rsidP="00EA106B">
      <w:pPr>
        <w:spacing w:before="240" w:after="120" w:line="276" w:lineRule="auto"/>
        <w:jc w:val="both"/>
        <w:rPr>
          <w:color w:val="auto"/>
          <w:lang w:val="sq-AL"/>
        </w:rPr>
      </w:pPr>
      <w:r w:rsidRPr="004E5A6E">
        <w:rPr>
          <w:color w:val="auto"/>
          <w:lang w:val="sq-AL"/>
        </w:rPr>
        <w:t>Për shkak të pandemive, të dhënat e fuqisë punëtore për tremujorin e dytë dhe të tretë do të publikohen me vonesë. Në mungesë të këtyre të dhënave, të vetmet në dispozicion janë të dhënat administrative të marra nga Administrata Tatimore.</w:t>
      </w:r>
    </w:p>
    <w:p w14:paraId="7494D239" w14:textId="043C44AE" w:rsidR="00EA106B" w:rsidRPr="004E5A6E" w:rsidRDefault="00EA106B" w:rsidP="00EA106B">
      <w:pPr>
        <w:spacing w:before="240" w:after="120" w:line="276" w:lineRule="auto"/>
        <w:jc w:val="both"/>
        <w:rPr>
          <w:color w:val="auto"/>
          <w:lang w:val="sq-AL"/>
        </w:rPr>
      </w:pPr>
      <w:r w:rsidRPr="004E5A6E">
        <w:rPr>
          <w:color w:val="auto"/>
          <w:lang w:val="sq-AL"/>
        </w:rPr>
        <w:t xml:space="preserve">Të dhënat administrative nga ATK-ja në lidhje me punësimin për vitin 2020 nuk na japin një pasqyrë të mirë në lidhje me punësimin, pasi ato janë prekur nga masat qeveritare. Masat që synonin të zbusnin ndikimin negativ të COVID kërkonin që të gjithë punëtorët të ishin në sektorin zyrtar. Kështu, një rritje prej rreth 4.9% e punësimit, siç tregohet nga të dhënat administrative nuk pasqyron situatën aktuale të tregut të punës dhe nuk janë në përputhje me zhvillimet ekonomike. </w:t>
      </w:r>
    </w:p>
    <w:p w14:paraId="03371352" w14:textId="77777777" w:rsidR="00CA51E9" w:rsidRPr="004E5A6E" w:rsidRDefault="00CA51E9" w:rsidP="00D562BB">
      <w:pPr>
        <w:spacing w:before="240" w:after="120" w:line="276" w:lineRule="auto"/>
        <w:jc w:val="both"/>
        <w:rPr>
          <w:color w:val="auto"/>
          <w:lang w:val="sq-AL"/>
        </w:rPr>
      </w:pPr>
      <w:bookmarkStart w:id="77" w:name="_Toc504075960"/>
      <w:bookmarkStart w:id="78" w:name="_Toc536201033"/>
      <w:bookmarkEnd w:id="75"/>
      <w:bookmarkEnd w:id="76"/>
      <w:r w:rsidRPr="004E5A6E">
        <w:rPr>
          <w:noProof/>
          <w:lang w:val="en-US"/>
        </w:rPr>
        <w:drawing>
          <wp:anchor distT="0" distB="0" distL="114300" distR="114300" simplePos="0" relativeHeight="251675648" behindDoc="1" locked="0" layoutInCell="1" allowOverlap="1" wp14:anchorId="2DA854EC" wp14:editId="0616B14F">
            <wp:simplePos x="0" y="0"/>
            <wp:positionH relativeFrom="margin">
              <wp:align>left</wp:align>
            </wp:positionH>
            <wp:positionV relativeFrom="paragraph">
              <wp:posOffset>292735</wp:posOffset>
            </wp:positionV>
            <wp:extent cx="3495675" cy="2278380"/>
            <wp:effectExtent l="0" t="0" r="0" b="7620"/>
            <wp:wrapTight wrapText="bothSides">
              <wp:wrapPolygon edited="0">
                <wp:start x="0" y="0"/>
                <wp:lineTo x="0" y="21492"/>
                <wp:lineTo x="21423" y="21492"/>
                <wp:lineTo x="21423" y="0"/>
                <wp:lineTo x="0" y="0"/>
              </wp:wrapPolygon>
            </wp:wrapTight>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Pr="004E5A6E">
        <w:rPr>
          <w:noProof/>
          <w:lang w:val="en-US"/>
        </w:rPr>
        <mc:AlternateContent>
          <mc:Choice Requires="wps">
            <w:drawing>
              <wp:anchor distT="0" distB="0" distL="114300" distR="114300" simplePos="0" relativeHeight="251794944" behindDoc="1" locked="0" layoutInCell="1" allowOverlap="1" wp14:anchorId="7997E8DE" wp14:editId="692A662C">
                <wp:simplePos x="0" y="0"/>
                <wp:positionH relativeFrom="margin">
                  <wp:posOffset>29845</wp:posOffset>
                </wp:positionH>
                <wp:positionV relativeFrom="paragraph">
                  <wp:posOffset>140335</wp:posOffset>
                </wp:positionV>
                <wp:extent cx="3381375" cy="133350"/>
                <wp:effectExtent l="0" t="0" r="9525" b="0"/>
                <wp:wrapTight wrapText="bothSides">
                  <wp:wrapPolygon edited="0">
                    <wp:start x="0" y="0"/>
                    <wp:lineTo x="0" y="18514"/>
                    <wp:lineTo x="21539" y="18514"/>
                    <wp:lineTo x="21539"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3381375" cy="133350"/>
                        </a:xfrm>
                        <a:prstGeom prst="rect">
                          <a:avLst/>
                        </a:prstGeom>
                        <a:solidFill>
                          <a:prstClr val="white"/>
                        </a:solidFill>
                        <a:ln>
                          <a:noFill/>
                        </a:ln>
                        <a:effectLst/>
                      </wps:spPr>
                      <wps:txbx>
                        <w:txbxContent>
                          <w:p w14:paraId="4A56FC49" w14:textId="79AD14D4" w:rsidR="00713DEA" w:rsidRPr="00CA51E9" w:rsidRDefault="00713DEA" w:rsidP="00CA51E9">
                            <w:pPr>
                              <w:pStyle w:val="Caption"/>
                              <w:keepNext/>
                              <w:tabs>
                                <w:tab w:val="left" w:pos="180"/>
                              </w:tabs>
                              <w:spacing w:after="0"/>
                              <w:rPr>
                                <w:rFonts w:ascii="Times New Roman" w:hAnsi="Times New Roman"/>
                                <w:b/>
                                <w:i w:val="0"/>
                                <w:color w:val="auto"/>
                                <w:sz w:val="20"/>
                                <w:szCs w:val="20"/>
                                <w:lang w:val="sq-AL"/>
                              </w:rPr>
                            </w:pPr>
                            <w:bookmarkStart w:id="79" w:name="_Toc57722678"/>
                            <w:r>
                              <w:rPr>
                                <w:rFonts w:ascii="Times New Roman" w:hAnsi="Times New Roman"/>
                                <w:b/>
                                <w:i w:val="0"/>
                                <w:color w:val="auto"/>
                                <w:sz w:val="20"/>
                                <w:szCs w:val="20"/>
                                <w:lang w:val="sq-AL"/>
                              </w:rPr>
                              <w:t>Figura</w:t>
                            </w:r>
                            <w:r w:rsidRPr="00CA51E9">
                              <w:rPr>
                                <w:rFonts w:ascii="Times New Roman" w:hAnsi="Times New Roman"/>
                                <w:b/>
                                <w:i w:val="0"/>
                                <w:color w:val="auto"/>
                                <w:sz w:val="20"/>
                                <w:szCs w:val="20"/>
                                <w:lang w:val="sq-AL"/>
                              </w:rPr>
                              <w:t xml:space="preserve"> </w:t>
                            </w:r>
                            <w:r w:rsidRPr="00CA51E9">
                              <w:rPr>
                                <w:rFonts w:ascii="Times New Roman" w:hAnsi="Times New Roman"/>
                                <w:b/>
                                <w:i w:val="0"/>
                                <w:color w:val="auto"/>
                                <w:sz w:val="20"/>
                                <w:szCs w:val="20"/>
                                <w:lang w:val="sq-AL"/>
                              </w:rPr>
                              <w:fldChar w:fldCharType="begin"/>
                            </w:r>
                            <w:r w:rsidRPr="00CA51E9">
                              <w:rPr>
                                <w:rFonts w:ascii="Times New Roman" w:hAnsi="Times New Roman"/>
                                <w:b/>
                                <w:i w:val="0"/>
                                <w:color w:val="auto"/>
                                <w:sz w:val="20"/>
                                <w:szCs w:val="20"/>
                                <w:lang w:val="sq-AL"/>
                              </w:rPr>
                              <w:instrText xml:space="preserve"> SEQ Figure \* ARABIC </w:instrText>
                            </w:r>
                            <w:r w:rsidRPr="00CA51E9">
                              <w:rPr>
                                <w:rFonts w:ascii="Times New Roman" w:hAnsi="Times New Roman"/>
                                <w:b/>
                                <w:i w:val="0"/>
                                <w:color w:val="auto"/>
                                <w:sz w:val="20"/>
                                <w:szCs w:val="20"/>
                                <w:lang w:val="sq-AL"/>
                              </w:rPr>
                              <w:fldChar w:fldCharType="separate"/>
                            </w:r>
                            <w:r>
                              <w:rPr>
                                <w:rFonts w:ascii="Times New Roman" w:hAnsi="Times New Roman"/>
                                <w:b/>
                                <w:i w:val="0"/>
                                <w:noProof/>
                                <w:color w:val="auto"/>
                                <w:sz w:val="20"/>
                                <w:szCs w:val="20"/>
                                <w:lang w:val="sq-AL"/>
                              </w:rPr>
                              <w:t>3</w:t>
                            </w:r>
                            <w:r w:rsidRPr="00CA51E9">
                              <w:rPr>
                                <w:rFonts w:ascii="Times New Roman" w:hAnsi="Times New Roman"/>
                                <w:b/>
                                <w:i w:val="0"/>
                                <w:color w:val="auto"/>
                                <w:sz w:val="20"/>
                                <w:szCs w:val="20"/>
                                <w:lang w:val="sq-AL"/>
                              </w:rPr>
                              <w:fldChar w:fldCharType="end"/>
                            </w:r>
                            <w:r w:rsidRPr="00CA51E9">
                              <w:rPr>
                                <w:rFonts w:ascii="Times New Roman" w:hAnsi="Times New Roman"/>
                                <w:b/>
                                <w:i w:val="0"/>
                                <w:color w:val="auto"/>
                                <w:sz w:val="20"/>
                                <w:szCs w:val="20"/>
                                <w:lang w:val="sq-AL"/>
                              </w:rPr>
                              <w:t xml:space="preserve"> Paga mesatare bruto në ATK, në Euro</w:t>
                            </w:r>
                            <w:bookmarkEnd w:id="79"/>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7E8DE" id="_x0000_t202" coordsize="21600,21600" o:spt="202" path="m,l,21600r21600,l21600,xe">
                <v:stroke joinstyle="miter"/>
                <v:path gradientshapeok="t" o:connecttype="rect"/>
              </v:shapetype>
              <v:shape id="Text Box 3" o:spid="_x0000_s1026" type="#_x0000_t202" style="position:absolute;left:0;text-align:left;margin-left:2.35pt;margin-top:11.05pt;width:266.25pt;height:10.5pt;z-index:-25152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" stroked="f">
                <v:textbox inset="0,0,0,0">
                  <w:txbxContent>
                    <w:p w14:paraId="4A56FC49" w14:textId="79AD14D4" w:rsidR="00713DEA" w:rsidRPr="00CA51E9" w:rsidRDefault="00713DEA" w:rsidP="00CA51E9">
                      <w:pPr>
                        <w:pStyle w:val="Caption"/>
                        <w:keepNext/>
                        <w:tabs>
                          <w:tab w:val="left" w:pos="180"/>
                        </w:tabs>
                        <w:spacing w:after="0"/>
                        <w:rPr>
                          <w:rFonts w:ascii="Times New Roman" w:hAnsi="Times New Roman"/>
                          <w:b/>
                          <w:i w:val="0"/>
                          <w:color w:val="auto"/>
                          <w:sz w:val="20"/>
                          <w:szCs w:val="20"/>
                          <w:lang w:val="sq-AL"/>
                        </w:rPr>
                      </w:pPr>
                      <w:bookmarkStart w:id="80" w:name="_Toc57722678"/>
                      <w:r>
                        <w:rPr>
                          <w:rFonts w:ascii="Times New Roman" w:hAnsi="Times New Roman"/>
                          <w:b/>
                          <w:i w:val="0"/>
                          <w:color w:val="auto"/>
                          <w:sz w:val="20"/>
                          <w:szCs w:val="20"/>
                          <w:lang w:val="sq-AL"/>
                        </w:rPr>
                        <w:t>Figura</w:t>
                      </w:r>
                      <w:r w:rsidRPr="00CA51E9">
                        <w:rPr>
                          <w:rFonts w:ascii="Times New Roman" w:hAnsi="Times New Roman"/>
                          <w:b/>
                          <w:i w:val="0"/>
                          <w:color w:val="auto"/>
                          <w:sz w:val="20"/>
                          <w:szCs w:val="20"/>
                          <w:lang w:val="sq-AL"/>
                        </w:rPr>
                        <w:t xml:space="preserve"> </w:t>
                      </w:r>
                      <w:r w:rsidRPr="00CA51E9">
                        <w:rPr>
                          <w:rFonts w:ascii="Times New Roman" w:hAnsi="Times New Roman"/>
                          <w:b/>
                          <w:i w:val="0"/>
                          <w:color w:val="auto"/>
                          <w:sz w:val="20"/>
                          <w:szCs w:val="20"/>
                          <w:lang w:val="sq-AL"/>
                        </w:rPr>
                        <w:fldChar w:fldCharType="begin"/>
                      </w:r>
                      <w:r w:rsidRPr="00CA51E9">
                        <w:rPr>
                          <w:rFonts w:ascii="Times New Roman" w:hAnsi="Times New Roman"/>
                          <w:b/>
                          <w:i w:val="0"/>
                          <w:color w:val="auto"/>
                          <w:sz w:val="20"/>
                          <w:szCs w:val="20"/>
                          <w:lang w:val="sq-AL"/>
                        </w:rPr>
                        <w:instrText xml:space="preserve"> SEQ Figure \* ARABIC </w:instrText>
                      </w:r>
                      <w:r w:rsidRPr="00CA51E9">
                        <w:rPr>
                          <w:rFonts w:ascii="Times New Roman" w:hAnsi="Times New Roman"/>
                          <w:b/>
                          <w:i w:val="0"/>
                          <w:color w:val="auto"/>
                          <w:sz w:val="20"/>
                          <w:szCs w:val="20"/>
                          <w:lang w:val="sq-AL"/>
                        </w:rPr>
                        <w:fldChar w:fldCharType="separate"/>
                      </w:r>
                      <w:r>
                        <w:rPr>
                          <w:rFonts w:ascii="Times New Roman" w:hAnsi="Times New Roman"/>
                          <w:b/>
                          <w:i w:val="0"/>
                          <w:noProof/>
                          <w:color w:val="auto"/>
                          <w:sz w:val="20"/>
                          <w:szCs w:val="20"/>
                          <w:lang w:val="sq-AL"/>
                        </w:rPr>
                        <w:t>3</w:t>
                      </w:r>
                      <w:r w:rsidRPr="00CA51E9">
                        <w:rPr>
                          <w:rFonts w:ascii="Times New Roman" w:hAnsi="Times New Roman"/>
                          <w:b/>
                          <w:i w:val="0"/>
                          <w:color w:val="auto"/>
                          <w:sz w:val="20"/>
                          <w:szCs w:val="20"/>
                          <w:lang w:val="sq-AL"/>
                        </w:rPr>
                        <w:fldChar w:fldCharType="end"/>
                      </w:r>
                      <w:r w:rsidRPr="00CA51E9">
                        <w:rPr>
                          <w:rFonts w:ascii="Times New Roman" w:hAnsi="Times New Roman"/>
                          <w:b/>
                          <w:i w:val="0"/>
                          <w:color w:val="auto"/>
                          <w:sz w:val="20"/>
                          <w:szCs w:val="20"/>
                          <w:lang w:val="sq-AL"/>
                        </w:rPr>
                        <w:t xml:space="preserve"> Paga mesatare bruto në ATK, në Euro</w:t>
                      </w:r>
                      <w:bookmarkEnd w:id="80"/>
                    </w:p>
                  </w:txbxContent>
                </v:textbox>
                <w10:wrap type="tight" anchorx="margin"/>
              </v:shape>
            </w:pict>
          </mc:Fallback>
        </mc:AlternateContent>
      </w:r>
      <w:r w:rsidR="00EA106B" w:rsidRPr="004E5A6E">
        <w:rPr>
          <w:color w:val="auto"/>
          <w:lang w:val="sq-AL"/>
        </w:rPr>
        <w:t xml:space="preserve">                </w:t>
      </w:r>
    </w:p>
    <w:p w14:paraId="175999F6" w14:textId="72ECE9FE" w:rsidR="00D562BB" w:rsidRPr="004E5A6E" w:rsidRDefault="00EA106B" w:rsidP="00D562BB">
      <w:pPr>
        <w:spacing w:before="240" w:after="120" w:line="276" w:lineRule="auto"/>
        <w:jc w:val="both"/>
        <w:rPr>
          <w:color w:val="auto"/>
          <w:lang w:val="sq-AL"/>
        </w:rPr>
      </w:pPr>
      <w:r w:rsidRPr="004E5A6E">
        <w:rPr>
          <w:color w:val="auto"/>
          <w:lang w:val="sq-AL"/>
        </w:rPr>
        <w:t xml:space="preserve">Sipas të dhënave administrative, paga mesatare bruto mujore u rrit me 1% në vitin 2020 (TM1-TM3). Dinamika në rritje e pagës mesatare sipas sektorëve mbetet lehtësisht më e shpejtë në sektorin publik sesa në sektorin privat.. Paga mesatare mujore në sektorin privat gjatë vitit 2020 ka rënë lehtësisht në1.4%, gjë që shpjegohet me rënien e ndjeshme të aktivitetit ekonomik gjatë pandemisë. Ndërkohë, në sektorin publik, ky tregues u rrit me 6.5%. </w:t>
      </w:r>
      <w:bookmarkEnd w:id="77"/>
      <w:bookmarkEnd w:id="78"/>
      <w:r w:rsidR="00D562BB" w:rsidRPr="004E5A6E">
        <w:rPr>
          <w:color w:val="auto"/>
          <w:lang w:val="sq-AL"/>
        </w:rPr>
        <w:t>Sidoqoftë, kjo e fundit përfshin shtesa të tjera për punonjësit e sektorit shëndetësor në kohën e pandemive dhe punëtorëve që ishin në rrezik për infeksione në vendet e tyre të punës. Sidoqoftë, duhet të theksohet se të dhënat në dispozicion për pagat nga të dy institucionet ASK dhe ATK nuk lejojnë një analizë e cila merr parasysh ndryshimet në grupet e aftësive, duke kompensuar performancën e sektorit privat ose nën-raportimin e mundshëm të fitimeve në sektorin privat.</w:t>
      </w:r>
    </w:p>
    <w:p w14:paraId="66EBF908" w14:textId="77777777" w:rsidR="00D562BB" w:rsidRPr="004E5A6E" w:rsidRDefault="00D562BB" w:rsidP="00EA106B">
      <w:pPr>
        <w:spacing w:before="240" w:after="120" w:line="276" w:lineRule="auto"/>
        <w:jc w:val="both"/>
        <w:rPr>
          <w:color w:val="auto"/>
          <w:lang w:val="sq-AL"/>
        </w:rPr>
      </w:pPr>
    </w:p>
    <w:p w14:paraId="3A0B8446" w14:textId="77777777" w:rsidR="00EA106B" w:rsidRPr="004E5A6E" w:rsidRDefault="00EA106B" w:rsidP="00EA106B">
      <w:pPr>
        <w:pStyle w:val="ERPL2"/>
        <w:rPr>
          <w:rFonts w:ascii="Times New Roman" w:hAnsi="Times New Roman"/>
          <w:lang w:val="sq-AL"/>
        </w:rPr>
      </w:pPr>
      <w:bookmarkStart w:id="81" w:name="_Toc305488916"/>
      <w:bookmarkStart w:id="82" w:name="_Toc440290474"/>
      <w:bookmarkStart w:id="83" w:name="_Toc440290524"/>
      <w:bookmarkStart w:id="84" w:name="_Toc440290577"/>
      <w:bookmarkStart w:id="85" w:name="_Toc440290716"/>
      <w:bookmarkStart w:id="86" w:name="_Toc57198255"/>
      <w:bookmarkStart w:id="87" w:name="_Toc57720369"/>
      <w:r w:rsidRPr="004E5A6E">
        <w:rPr>
          <w:rFonts w:ascii="Times New Roman" w:hAnsi="Times New Roman"/>
          <w:lang w:val="sq-AL"/>
        </w:rPr>
        <w:t>Skenari makroekonomik afatmesëm</w:t>
      </w:r>
      <w:bookmarkStart w:id="88" w:name="_Toc499840100"/>
      <w:bookmarkStart w:id="89" w:name="_Toc503555384"/>
      <w:bookmarkStart w:id="90" w:name="_Toc503556879"/>
      <w:bookmarkStart w:id="91" w:name="_Toc503557443"/>
      <w:bookmarkStart w:id="92" w:name="_Toc504051209"/>
      <w:bookmarkStart w:id="93" w:name="_Toc504051406"/>
      <w:bookmarkStart w:id="94" w:name="_Toc504338911"/>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66DE33F7" w14:textId="77777777" w:rsidR="00EA106B" w:rsidRPr="004E5A6E" w:rsidRDefault="00EA106B" w:rsidP="00EA106B">
      <w:pPr>
        <w:pStyle w:val="ERPL3"/>
        <w:rPr>
          <w:rFonts w:ascii="Times New Roman" w:hAnsi="Times New Roman"/>
          <w:lang w:val="sq-AL"/>
        </w:rPr>
      </w:pPr>
      <w:bookmarkStart w:id="95" w:name="_Toc504051210"/>
      <w:bookmarkStart w:id="96" w:name="_Toc504051407"/>
      <w:bookmarkStart w:id="97" w:name="_Toc504338912"/>
      <w:bookmarkStart w:id="98" w:name="_Toc57198256"/>
      <w:bookmarkStart w:id="99" w:name="_Toc57720370"/>
      <w:r w:rsidRPr="004E5A6E">
        <w:rPr>
          <w:rFonts w:ascii="Times New Roman" w:hAnsi="Times New Roman"/>
          <w:lang w:val="sq-AL"/>
        </w:rPr>
        <w:t>Projeksionet e sektorit real</w:t>
      </w:r>
      <w:bookmarkEnd w:id="95"/>
      <w:bookmarkEnd w:id="96"/>
      <w:bookmarkEnd w:id="97"/>
      <w:bookmarkEnd w:id="98"/>
      <w:bookmarkEnd w:id="99"/>
    </w:p>
    <w:p w14:paraId="757C6FF5" w14:textId="77777777" w:rsidR="00EA106B" w:rsidRPr="004E5A6E" w:rsidRDefault="00EA106B" w:rsidP="00EA106B">
      <w:pPr>
        <w:spacing w:after="120" w:line="276" w:lineRule="auto"/>
        <w:jc w:val="both"/>
        <w:rPr>
          <w:color w:val="auto"/>
          <w:lang w:val="sq-AL"/>
        </w:rPr>
      </w:pPr>
      <w:bookmarkStart w:id="100" w:name="_Toc23846876"/>
      <w:r w:rsidRPr="004E5A6E">
        <w:rPr>
          <w:color w:val="auto"/>
          <w:lang w:val="sq-AL"/>
        </w:rPr>
        <w:t xml:space="preserve">Gjatë vitit 2021, ekonomia e Kosovës pritet të rritet me një normë reale, me rreth 5.2%, duke u kthyer në nivelin e ngjashëm të regjistruar para krizës COVID-19 (viti 2019). Sidoqoftë, parashikimet paraqiten me pasiguri të larta pasi skenari bazë varet nga faktorë që lidhen me shëndetin publik dhe faktorë të tjerë ekonomikë që në këtë periudhë janë vështirë të parashikueshëm. Së pari, dinamika e pandemisë, nevoja për të rivendosur masat kufizuese dhe zhvillimet në aktivitetin ekonomik të sektorëve të karakterizuar me një intensitet më të lartë të kontaktit fizik paraqesin shumë pasiguri në projeksionet për vitin 2021 dhe ato afatmesme. Së dyti, pasiguritë vijnë gjithashtu nga sektori i jashtëm i cili mund të kontribuojë në uljen e turizmit ose në uljen e dërgesave të parave. </w:t>
      </w:r>
    </w:p>
    <w:p w14:paraId="41DFF30E" w14:textId="77777777" w:rsidR="00EA106B" w:rsidRPr="004E5A6E" w:rsidRDefault="00EA106B" w:rsidP="00EA106B">
      <w:pPr>
        <w:spacing w:after="120" w:line="276" w:lineRule="auto"/>
        <w:jc w:val="both"/>
        <w:rPr>
          <w:color w:val="auto"/>
          <w:lang w:val="sq-AL"/>
        </w:rPr>
      </w:pPr>
      <w:r w:rsidRPr="004E5A6E">
        <w:rPr>
          <w:color w:val="auto"/>
          <w:lang w:val="sq-AL"/>
        </w:rPr>
        <w:t>Në dy vitet e ardhshme (2022 dhe 2023), rritja reale ekonomike do të luhatet rreth nivelit të saj historik prej 4.1%. Është e rëndësishme të theksohet se vlerësimi për perspektivën afatmesme të ekonomisë varet ndjeshëm nga mënyra se si do të përfundojë viti 2020 dhe nëse rimëkëmbja në 2021 do të jetë e ngadaltë dhe e pjesshme ose anasjelltas.</w:t>
      </w:r>
    </w:p>
    <w:p w14:paraId="477C2D0A" w14:textId="77777777" w:rsidR="00EA106B" w:rsidRPr="004E5A6E" w:rsidRDefault="00EA106B" w:rsidP="00EA106B">
      <w:pPr>
        <w:spacing w:after="120" w:line="276" w:lineRule="auto"/>
        <w:jc w:val="both"/>
        <w:rPr>
          <w:color w:val="auto"/>
          <w:lang w:val="sq-AL"/>
        </w:rPr>
      </w:pPr>
      <w:r w:rsidRPr="004E5A6E">
        <w:rPr>
          <w:b/>
          <w:color w:val="auto"/>
          <w:lang w:val="sq-AL"/>
        </w:rPr>
        <w:t xml:space="preserve">Konsumi </w:t>
      </w:r>
      <w:r w:rsidRPr="004E5A6E">
        <w:rPr>
          <w:color w:val="auto"/>
          <w:lang w:val="sq-AL"/>
        </w:rPr>
        <w:t>në 2021 në terma realë pritet të rritet me 1.4% dhe të ketë një kontribut prej 1.4 pp në rritje</w:t>
      </w:r>
      <w:r w:rsidRPr="004E5A6E">
        <w:rPr>
          <w:b/>
          <w:color w:val="auto"/>
          <w:lang w:val="sq-AL"/>
        </w:rPr>
        <w:t xml:space="preserve">. Konsumi privat është </w:t>
      </w:r>
      <w:r w:rsidRPr="004E5A6E">
        <w:rPr>
          <w:color w:val="auto"/>
          <w:lang w:val="sq-AL"/>
        </w:rPr>
        <w:t xml:space="preserve">parashikuar të rritet me 1.4% i nxitur kryesisht nga pasiguria më e ulët në mjedisin ekonomik dhe kthimi i burimeve kryesore të financimit të konsumit. Sidoqoftë, kjo rritje është e moderuar duke marrë parasysh që efektet e frikës nga pandemia që mund të vazhdojë edhe më tutje. Remitancat do të vazhdojnë të jenë një burim i rëndësishëm i financimit për konsumin shtëpiak, megjithëse në vitin 2021 remitancat pritet të ulen si pasojë e rënies ekonomike në Gjermani dhe Zvicër, prej nga vijnë rreth 60% e remitencave në Kosovë. </w:t>
      </w:r>
      <w:r w:rsidRPr="004E5A6E">
        <w:rPr>
          <w:b/>
          <w:color w:val="auto"/>
          <w:lang w:val="sq-AL"/>
        </w:rPr>
        <w:t>Konsumi publik</w:t>
      </w:r>
      <w:r w:rsidRPr="004E5A6E">
        <w:rPr>
          <w:color w:val="auto"/>
          <w:lang w:val="sq-AL"/>
        </w:rPr>
        <w:t xml:space="preserve"> në 2021 pritet të rritet deri në 1.5% vit pas viti. Kjo rritje është rezultat i shpenzimeve më të larta të planifikuara në kategoritë e mallrave dhe shërbimeve (brenda kësaj kategorie janë akomoduar shpenzimet për zgjedhjet komunale dhe regjistrimin në vitin 2021). Konsumi </w:t>
      </w:r>
      <w:r w:rsidRPr="004E5A6E">
        <w:rPr>
          <w:i/>
          <w:color w:val="auto"/>
          <w:u w:val="single"/>
          <w:lang w:val="sq-AL"/>
        </w:rPr>
        <w:t>total në vitin 2022 dhe 2023</w:t>
      </w:r>
      <w:r w:rsidRPr="004E5A6E">
        <w:rPr>
          <w:color w:val="auto"/>
          <w:u w:val="single"/>
          <w:lang w:val="sq-AL"/>
        </w:rPr>
        <w:t>,</w:t>
      </w:r>
      <w:r w:rsidRPr="004E5A6E">
        <w:rPr>
          <w:color w:val="auto"/>
          <w:lang w:val="sq-AL"/>
        </w:rPr>
        <w:t xml:space="preserve"> pritet të rritet me një mesatare prej 3.0% në terma realë dhe të ketë një kontribut prej 3.3 pp në rritje për 2022 dhe 2.6 pp për 2023, përkatësisht. Konsumi privat vlerësohet të rritet me 3.0% mesatarisht, ndërsa konsumi publik me 2.8%.</w:t>
      </w:r>
    </w:p>
    <w:p w14:paraId="01D8A105" w14:textId="7914C52B" w:rsidR="00EA106B" w:rsidRPr="004E5A6E" w:rsidRDefault="00EA106B" w:rsidP="00EA106B">
      <w:pPr>
        <w:spacing w:after="120" w:line="276" w:lineRule="auto"/>
        <w:jc w:val="both"/>
        <w:rPr>
          <w:i/>
          <w:color w:val="auto"/>
          <w:lang w:val="sq-AL"/>
        </w:rPr>
      </w:pPr>
      <w:r w:rsidRPr="004E5A6E">
        <w:rPr>
          <w:b/>
          <w:color w:val="auto"/>
          <w:lang w:val="sq-AL"/>
        </w:rPr>
        <w:t xml:space="preserve">Investimet </w:t>
      </w:r>
      <w:r w:rsidRPr="004E5A6E">
        <w:rPr>
          <w:color w:val="auto"/>
          <w:lang w:val="sq-AL"/>
        </w:rPr>
        <w:t>në 2021 pritet të rriten me 16% në terma realë dhe të kenë një kontribut prej 4.0 pp në rritjen reale. Qasje më e mirë në financa dhe kostoja më e ulët e kredisë për sektorin privat mbështetur nga kapitalizimi shtesë i Fondi</w:t>
      </w:r>
      <w:r w:rsidR="00D562BB" w:rsidRPr="004E5A6E">
        <w:rPr>
          <w:color w:val="auto"/>
          <w:lang w:val="sq-AL"/>
        </w:rPr>
        <w:t>t të Garancisë së Kredisë (me 60</w:t>
      </w:r>
      <w:r w:rsidRPr="004E5A6E">
        <w:rPr>
          <w:color w:val="auto"/>
          <w:lang w:val="sq-AL"/>
        </w:rPr>
        <w:t xml:space="preserve"> milion Euro) së bashku me pasiguri më të ulët pritet të sigurojë një stimul të rëndësishëm për </w:t>
      </w:r>
      <w:r w:rsidRPr="004E5A6E">
        <w:rPr>
          <w:b/>
          <w:color w:val="auto"/>
          <w:lang w:val="sq-AL"/>
        </w:rPr>
        <w:t xml:space="preserve">investimet private. </w:t>
      </w:r>
      <w:r w:rsidRPr="004E5A6E">
        <w:rPr>
          <w:color w:val="auto"/>
          <w:lang w:val="sq-AL"/>
        </w:rPr>
        <w:t>Sidoqoftë,</w:t>
      </w:r>
      <w:r w:rsidR="00EF7F7F" w:rsidRPr="004E5A6E">
        <w:rPr>
          <w:color w:val="auto"/>
          <w:lang w:val="sq-AL"/>
        </w:rPr>
        <w:t xml:space="preserve"> investimet private nuk do t’i kthehen niveleve të para pandemisë deri në fund të periudhës afatmesme. </w:t>
      </w:r>
      <w:r w:rsidRPr="004E5A6E">
        <w:rPr>
          <w:color w:val="auto"/>
          <w:lang w:val="sq-AL"/>
        </w:rPr>
        <w:t>Për më tepër, investimi i ulët në vitin 2020 theksoi efektin bazë në këtë rritje. Në të njëjtën kohë, rritja e kapitalit të Fondit të Garantimit të Kredisë pritet të lehtësojë qasjen në financa. Si rezultat i këtyre zhvillimeve, investimet private parashikohet të rriten me 10.4% në 2021. Nga ana tjetër,</w:t>
      </w:r>
      <w:r w:rsidRPr="004E5A6E">
        <w:rPr>
          <w:b/>
          <w:color w:val="auto"/>
          <w:lang w:val="sq-AL"/>
        </w:rPr>
        <w:t xml:space="preserve"> investimet publike</w:t>
      </w:r>
      <w:r w:rsidRPr="004E5A6E">
        <w:rPr>
          <w:color w:val="auto"/>
          <w:lang w:val="sq-AL"/>
        </w:rPr>
        <w:t xml:space="preserve"> pritet të kenë një dinamikë më të shpejtë ekzekutimi dhe gjatë vitit pritet të rriten me 33.7%</w:t>
      </w:r>
      <w:r w:rsidR="00D562BB" w:rsidRPr="004E5A6E">
        <w:rPr>
          <w:color w:val="auto"/>
          <w:lang w:val="sq-AL"/>
        </w:rPr>
        <w:t>, duke konvergjuar drejt nivelit</w:t>
      </w:r>
      <w:r w:rsidRPr="004E5A6E">
        <w:rPr>
          <w:color w:val="auto"/>
          <w:lang w:val="sq-AL"/>
        </w:rPr>
        <w:t xml:space="preserve"> </w:t>
      </w:r>
      <w:r w:rsidR="00D562BB" w:rsidRPr="004E5A6E">
        <w:rPr>
          <w:color w:val="auto"/>
          <w:lang w:val="sq-AL"/>
        </w:rPr>
        <w:t>të regjistruar në periudhën para-pandemisë</w:t>
      </w:r>
      <w:r w:rsidRPr="004E5A6E">
        <w:rPr>
          <w:color w:val="auto"/>
          <w:lang w:val="sq-AL"/>
        </w:rPr>
        <w:t>. Rreth 36% e shpenzimeve kapitale publike pritet të financohen përmes klauzolës së investimeve dhe fondeve të likuidimit. Këto investime publike pritet të përmirësojnë infrastrukturën publike dhe të adresojnë pengesat strukturore të energjisë, shëndetit, etj.</w:t>
      </w:r>
      <w:r w:rsidRPr="004E5A6E">
        <w:rPr>
          <w:i/>
          <w:color w:val="auto"/>
          <w:u w:val="single"/>
          <w:lang w:val="sq-AL"/>
        </w:rPr>
        <w:t xml:space="preserve"> Në (2022 dhe 2023) investimet </w:t>
      </w:r>
      <w:r w:rsidRPr="004E5A6E">
        <w:rPr>
          <w:color w:val="auto"/>
          <w:lang w:val="sq-AL"/>
        </w:rPr>
        <w:t xml:space="preserve">pritet të kenë një rritje reale prej 8.1%, me investime private që pritet të rriten me 7.1% në përputhje me pritjet për qasje në financa. Nga ana tjetër, investimet publike pritet të rriten me 10.8% mesatarisht gjatë kësaj periudhe. </w:t>
      </w:r>
    </w:p>
    <w:p w14:paraId="6EA5DBC2" w14:textId="77777777" w:rsidR="00EA106B" w:rsidRPr="004E5A6E" w:rsidRDefault="00EA106B" w:rsidP="00EA106B">
      <w:pPr>
        <w:spacing w:after="120" w:line="276" w:lineRule="auto"/>
        <w:jc w:val="both"/>
        <w:rPr>
          <w:color w:val="auto"/>
          <w:lang w:val="sq-AL"/>
        </w:rPr>
      </w:pPr>
      <w:r w:rsidRPr="004E5A6E">
        <w:rPr>
          <w:b/>
          <w:color w:val="auto"/>
          <w:lang w:val="sq-AL"/>
        </w:rPr>
        <w:t xml:space="preserve">Eksporti i mallrave dhe shërbimeve </w:t>
      </w:r>
      <w:r w:rsidRPr="004E5A6E">
        <w:rPr>
          <w:color w:val="auto"/>
          <w:lang w:val="sq-AL"/>
        </w:rPr>
        <w:t>gjatë vitit 2021, pritet të regjistrojë një rritje reale prej 14.5% dhe të kontribuojë me 3.7 pp rritje reale</w:t>
      </w:r>
      <w:r w:rsidRPr="004E5A6E">
        <w:rPr>
          <w:b/>
          <w:color w:val="auto"/>
          <w:lang w:val="sq-AL"/>
        </w:rPr>
        <w:t xml:space="preserve">. Eksporti i mallrave </w:t>
      </w:r>
      <w:r w:rsidRPr="004E5A6E">
        <w:rPr>
          <w:color w:val="auto"/>
          <w:lang w:val="sq-AL"/>
        </w:rPr>
        <w:t xml:space="preserve">pritet të ulet me 1.2% si rezultat i zhvillimeve në mjedisin e jashtëm ekonomik, skemave qeveritare për të mbështetur sektorin e prodhimit dhe zbatimit të mëtejshëm të MSA-së. Nga ana tjetër, </w:t>
      </w:r>
      <w:r w:rsidRPr="004E5A6E">
        <w:rPr>
          <w:b/>
          <w:color w:val="auto"/>
          <w:lang w:val="sq-AL"/>
        </w:rPr>
        <w:t>eksporti i shërbimeve</w:t>
      </w:r>
      <w:r w:rsidRPr="004E5A6E">
        <w:rPr>
          <w:color w:val="auto"/>
          <w:lang w:val="sq-AL"/>
        </w:rPr>
        <w:t xml:space="preserve"> pritet të rritet me rreth 20.0% në terma realë. Kjo rritje ndjek trendin historik të eksportit të shërbimeve para pandemisë dhe është si rezultat i efektit bazë nga viti 2020. Kjo rritje do të mbështetet kryesisht nga eksporti i shërbimeve të udhëtimit dhe shërbimeve telekomunikuese. </w:t>
      </w:r>
      <w:r w:rsidRPr="004E5A6E">
        <w:rPr>
          <w:i/>
          <w:color w:val="auto"/>
          <w:u w:val="single"/>
          <w:lang w:val="sq-AL"/>
        </w:rPr>
        <w:t>Në vitin 2022 dhe 2023</w:t>
      </w:r>
      <w:r w:rsidRPr="004E5A6E">
        <w:rPr>
          <w:color w:val="auto"/>
          <w:u w:val="single"/>
          <w:lang w:val="sq-AL"/>
        </w:rPr>
        <w:t xml:space="preserve">, </w:t>
      </w:r>
      <w:r w:rsidRPr="004E5A6E">
        <w:rPr>
          <w:color w:val="auto"/>
          <w:lang w:val="sq-AL"/>
        </w:rPr>
        <w:t>eksporti i mallrave dhe shërbimeve pritet të rritet me një mesatare prej 5.7% të drejtuar kryesisht nga eksporti i mallrave i cili pritet të rritet me 7.7%. Nga ana tjetër, eksporti i shërbimeve pritet të ketë një rritje prej 5.1%</w:t>
      </w:r>
    </w:p>
    <w:p w14:paraId="6BECA25A" w14:textId="6A291C36" w:rsidR="00EA106B" w:rsidRPr="004E5A6E" w:rsidRDefault="00EA106B" w:rsidP="00EA106B">
      <w:pPr>
        <w:spacing w:after="120" w:line="276" w:lineRule="auto"/>
        <w:jc w:val="both"/>
        <w:rPr>
          <w:color w:val="auto"/>
          <w:lang w:val="sq-AL"/>
        </w:rPr>
      </w:pPr>
      <w:r w:rsidRPr="004E5A6E">
        <w:rPr>
          <w:b/>
          <w:color w:val="auto"/>
          <w:lang w:val="sq-AL"/>
        </w:rPr>
        <w:t xml:space="preserve">Importi i mallrave dhe shërbimeve </w:t>
      </w:r>
      <w:r w:rsidRPr="004E5A6E">
        <w:rPr>
          <w:color w:val="auto"/>
          <w:lang w:val="sq-AL"/>
        </w:rPr>
        <w:t xml:space="preserve">pritet të rritet me 7.2% në terma realë për 2021 dhe të ketë një kontribut negativ në rritjen reale prej 3.9 pp. </w:t>
      </w:r>
      <w:r w:rsidRPr="004E5A6E">
        <w:rPr>
          <w:b/>
          <w:color w:val="auto"/>
          <w:lang w:val="sq-AL"/>
        </w:rPr>
        <w:t xml:space="preserve">Importi i mallrave </w:t>
      </w:r>
      <w:r w:rsidRPr="004E5A6E">
        <w:rPr>
          <w:color w:val="auto"/>
          <w:lang w:val="sq-AL"/>
        </w:rPr>
        <w:t xml:space="preserve">parashikohet të rritet me 6.3% duke ndjekur dinamikën e investimeve dhe konsumit. Nga ana tjetër, </w:t>
      </w:r>
      <w:r w:rsidRPr="004E5A6E">
        <w:rPr>
          <w:b/>
          <w:color w:val="auto"/>
          <w:lang w:val="sq-AL"/>
        </w:rPr>
        <w:t>importi i shërbimeve</w:t>
      </w:r>
      <w:r w:rsidRPr="004E5A6E">
        <w:rPr>
          <w:color w:val="auto"/>
          <w:lang w:val="sq-AL"/>
        </w:rPr>
        <w:t xml:space="preserve"> pritet</w:t>
      </w:r>
      <w:r w:rsidR="00D562BB" w:rsidRPr="004E5A6E">
        <w:rPr>
          <w:color w:val="auto"/>
          <w:lang w:val="sq-AL"/>
        </w:rPr>
        <w:t xml:space="preserve"> të rritet me 12.2%, bazuar në heqjen e kufizimeve të udhëtimit dhe efektit bazë</w:t>
      </w:r>
      <w:r w:rsidRPr="004E5A6E">
        <w:rPr>
          <w:color w:val="auto"/>
          <w:lang w:val="sq-AL"/>
        </w:rPr>
        <w:t xml:space="preserve">. </w:t>
      </w:r>
      <w:r w:rsidR="00D562BB" w:rsidRPr="004E5A6E">
        <w:rPr>
          <w:i/>
          <w:color w:val="auto"/>
          <w:u w:val="single"/>
          <w:lang w:val="sq-AL"/>
        </w:rPr>
        <w:t>Në vitet 2022 dhe 2023</w:t>
      </w:r>
      <w:r w:rsidRPr="004E5A6E">
        <w:rPr>
          <w:i/>
          <w:color w:val="auto"/>
          <w:u w:val="single"/>
          <w:lang w:val="sq-AL"/>
        </w:rPr>
        <w:t>,</w:t>
      </w:r>
      <w:r w:rsidRPr="004E5A6E">
        <w:rPr>
          <w:color w:val="auto"/>
          <w:lang w:val="sq-AL"/>
        </w:rPr>
        <w:t xml:space="preserve"> importi i mallrave dhe shërbimeve parashikohet të rritet me 4.9%. Importi i mallrave pritet të rritet me 4.7% ndërsa importi i shërbimeve me 5.7%. Importi i mallrave pritet të ndjekë dinamikën e investimeve dhe konsumit, ndërsa ai i shërbimeve pritet të ndjekë trendin historik. </w:t>
      </w:r>
    </w:p>
    <w:p w14:paraId="3EB69352" w14:textId="51A1C5B9" w:rsidR="00CA51E9" w:rsidRPr="004E5A6E" w:rsidRDefault="00CA51E9" w:rsidP="00CA51E9">
      <w:pPr>
        <w:pStyle w:val="Caption"/>
        <w:keepNext/>
        <w:tabs>
          <w:tab w:val="left" w:pos="180"/>
        </w:tabs>
        <w:spacing w:after="0"/>
        <w:rPr>
          <w:rFonts w:ascii="Times New Roman" w:hAnsi="Times New Roman"/>
          <w:b/>
          <w:i w:val="0"/>
          <w:color w:val="auto"/>
          <w:sz w:val="20"/>
          <w:szCs w:val="20"/>
          <w:lang w:val="sq-AL"/>
        </w:rPr>
      </w:pPr>
      <w:bookmarkStart w:id="101" w:name="_Toc57722679"/>
      <w:bookmarkEnd w:id="100"/>
      <w:r w:rsidRPr="004E5A6E">
        <w:rPr>
          <w:rFonts w:ascii="Times New Roman" w:hAnsi="Times New Roman"/>
          <w:b/>
          <w:i w:val="0"/>
          <w:color w:val="auto"/>
          <w:sz w:val="20"/>
          <w:szCs w:val="20"/>
          <w:lang w:val="sq-AL"/>
        </w:rPr>
        <w:t xml:space="preserve">Figura </w:t>
      </w:r>
      <w:r w:rsidRPr="004E5A6E">
        <w:rPr>
          <w:rFonts w:ascii="Times New Roman" w:hAnsi="Times New Roman"/>
          <w:b/>
          <w:i w:val="0"/>
          <w:color w:val="auto"/>
          <w:sz w:val="20"/>
          <w:szCs w:val="20"/>
          <w:lang w:val="sq-AL"/>
        </w:rPr>
        <w:fldChar w:fldCharType="begin"/>
      </w:r>
      <w:r w:rsidRPr="004E5A6E">
        <w:rPr>
          <w:rFonts w:ascii="Times New Roman" w:hAnsi="Times New Roman"/>
          <w:b/>
          <w:i w:val="0"/>
          <w:color w:val="auto"/>
          <w:sz w:val="20"/>
          <w:szCs w:val="20"/>
          <w:lang w:val="sq-AL"/>
        </w:rPr>
        <w:instrText xml:space="preserve"> SEQ Figure \* ARABIC </w:instrText>
      </w:r>
      <w:r w:rsidRPr="004E5A6E">
        <w:rPr>
          <w:rFonts w:ascii="Times New Roman" w:hAnsi="Times New Roman"/>
          <w:b/>
          <w:i w:val="0"/>
          <w:color w:val="auto"/>
          <w:sz w:val="20"/>
          <w:szCs w:val="20"/>
          <w:lang w:val="sq-AL"/>
        </w:rPr>
        <w:fldChar w:fldCharType="separate"/>
      </w:r>
      <w:r w:rsidR="00FA7C77" w:rsidRPr="004E5A6E">
        <w:rPr>
          <w:rFonts w:ascii="Times New Roman" w:hAnsi="Times New Roman"/>
          <w:b/>
          <w:i w:val="0"/>
          <w:noProof/>
          <w:color w:val="auto"/>
          <w:sz w:val="20"/>
          <w:szCs w:val="20"/>
          <w:lang w:val="sq-AL"/>
        </w:rPr>
        <w:t>4</w:t>
      </w:r>
      <w:r w:rsidRPr="004E5A6E">
        <w:rPr>
          <w:rFonts w:ascii="Times New Roman" w:hAnsi="Times New Roman"/>
          <w:b/>
          <w:i w:val="0"/>
          <w:color w:val="auto"/>
          <w:sz w:val="20"/>
          <w:szCs w:val="20"/>
          <w:lang w:val="sq-AL"/>
        </w:rPr>
        <w:fldChar w:fldCharType="end"/>
      </w:r>
      <w:r w:rsidRPr="004E5A6E">
        <w:rPr>
          <w:rFonts w:ascii="Times New Roman" w:hAnsi="Times New Roman"/>
          <w:b/>
          <w:i w:val="0"/>
          <w:color w:val="auto"/>
          <w:sz w:val="20"/>
          <w:szCs w:val="20"/>
          <w:lang w:val="sq-AL"/>
        </w:rPr>
        <w:t xml:space="preserve"> BPV-ja reale dhe përbërësit e saj</w:t>
      </w:r>
      <w:bookmarkEnd w:id="101"/>
    </w:p>
    <w:p w14:paraId="30BE05C0" w14:textId="77777777" w:rsidR="00EA106B" w:rsidRPr="004E5A6E" w:rsidRDefault="005C6FD7" w:rsidP="00EA106B">
      <w:pPr>
        <w:rPr>
          <w:color w:val="auto"/>
          <w:lang w:val="sq-AL"/>
        </w:rPr>
      </w:pPr>
      <w:r w:rsidRPr="004E5A6E">
        <w:rPr>
          <w:noProof/>
          <w:lang w:val="en-US"/>
        </w:rPr>
        <w:drawing>
          <wp:inline distT="0" distB="0" distL="0" distR="0" wp14:anchorId="31C38FE0" wp14:editId="36734497">
            <wp:extent cx="5732145" cy="2144395"/>
            <wp:effectExtent l="0" t="0" r="1905" b="825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4EF6C19" w14:textId="77777777" w:rsidR="00EA106B" w:rsidRPr="004E5A6E" w:rsidRDefault="00EA106B" w:rsidP="00EA106B">
      <w:pPr>
        <w:pStyle w:val="ERPL3"/>
        <w:tabs>
          <w:tab w:val="left" w:pos="900"/>
        </w:tabs>
        <w:ind w:hanging="1080"/>
        <w:rPr>
          <w:rFonts w:ascii="Times New Roman" w:hAnsi="Times New Roman"/>
          <w:lang w:val="sq-AL"/>
        </w:rPr>
      </w:pPr>
      <w:bookmarkStart w:id="102" w:name="_Toc57720371"/>
      <w:bookmarkStart w:id="103" w:name="_Toc57198257"/>
      <w:bookmarkStart w:id="104" w:name="_Toc504051211"/>
      <w:bookmarkStart w:id="105" w:name="_Toc504051408"/>
      <w:bookmarkStart w:id="106" w:name="_Toc504338913"/>
      <w:bookmarkStart w:id="107" w:name="_Toc472500774"/>
      <w:bookmarkStart w:id="108" w:name="_Toc504075963"/>
      <w:r w:rsidRPr="004E5A6E">
        <w:rPr>
          <w:rFonts w:ascii="Times New Roman" w:hAnsi="Times New Roman"/>
          <w:lang w:val="sq-AL"/>
        </w:rPr>
        <w:t>Politika monetare dhe e kursit të këmbimit dhe inflacioni</w:t>
      </w:r>
      <w:bookmarkEnd w:id="102"/>
      <w:r w:rsidRPr="004E5A6E">
        <w:rPr>
          <w:rFonts w:ascii="Times New Roman" w:hAnsi="Times New Roman"/>
          <w:lang w:val="sq-AL"/>
        </w:rPr>
        <w:t xml:space="preserve"> </w:t>
      </w:r>
      <w:bookmarkEnd w:id="103"/>
      <w:r w:rsidRPr="004E5A6E">
        <w:rPr>
          <w:rFonts w:ascii="Times New Roman" w:hAnsi="Times New Roman"/>
          <w:lang w:val="sq-AL"/>
        </w:rPr>
        <w:t xml:space="preserve"> </w:t>
      </w:r>
      <w:bookmarkEnd w:id="104"/>
      <w:bookmarkEnd w:id="105"/>
      <w:bookmarkEnd w:id="106"/>
    </w:p>
    <w:p w14:paraId="171B9CFF" w14:textId="2B2A015A" w:rsidR="00EA106B" w:rsidRPr="004E5A6E" w:rsidRDefault="00EA106B" w:rsidP="00D562BB">
      <w:pPr>
        <w:spacing w:before="120" w:line="276" w:lineRule="auto"/>
        <w:jc w:val="both"/>
        <w:rPr>
          <w:color w:val="auto"/>
          <w:lang w:val="sq-AL"/>
        </w:rPr>
      </w:pPr>
      <w:r w:rsidRPr="004E5A6E">
        <w:rPr>
          <w:color w:val="auto"/>
          <w:lang w:val="sq-AL"/>
        </w:rPr>
        <w:t>Në vitin 1999, Kosova miratoi unanimisht Markën Gjermane dhe më vonë (në fillim të vitit 2002) monedhën Euro si monedhën e saj zyrtare. Si pasojë, vendi është i kufizuar në disponueshmërinë e instrumenteve tradicionale të politikës monetare për të kontrolluar zhvillimet e inflacionit në ekonominë e tij ose për të sinjalizuar ndryshime në sjelljen aktuale të konsumit drejt konsumit të ardhshëm. Sidoqoftë, kjo nuk do të thotë që Banka Qendrore e Kosovës (BQK) nuk ka m</w:t>
      </w:r>
      <w:r w:rsidR="00D562BB" w:rsidRPr="004E5A6E">
        <w:rPr>
          <w:color w:val="auto"/>
          <w:lang w:val="sq-AL"/>
        </w:rPr>
        <w:t>jete për të ndikuar në ekonomi.</w:t>
      </w:r>
    </w:p>
    <w:p w14:paraId="76CC60B4" w14:textId="7E37AE17" w:rsidR="00EA106B" w:rsidRPr="004E5A6E" w:rsidRDefault="00EA106B" w:rsidP="00D562BB">
      <w:pPr>
        <w:spacing w:before="120" w:line="276" w:lineRule="auto"/>
        <w:jc w:val="both"/>
        <w:rPr>
          <w:color w:val="auto"/>
          <w:lang w:val="sq-AL"/>
        </w:rPr>
      </w:pPr>
      <w:r w:rsidRPr="004E5A6E">
        <w:rPr>
          <w:color w:val="auto"/>
          <w:lang w:val="sq-AL"/>
        </w:rPr>
        <w:t>Së pari, zbatimi i shëndoshë i politikave makroprudenciale mund të zbusë rreziqet financiare sistemike dhe të shmangë akumulimin e tepërt të kredisë gjatë periudhave ekspansioniste ose kontraktimin e tepërt të kredisë gjatë periudhave recesionare, gjë që do të ndihmonte në moderimin e inflacionit ose luhatjet e ku</w:t>
      </w:r>
      <w:r w:rsidR="00D562BB" w:rsidRPr="004E5A6E">
        <w:rPr>
          <w:color w:val="auto"/>
          <w:lang w:val="sq-AL"/>
        </w:rPr>
        <w:t>rsit real të këmbimit.</w:t>
      </w:r>
    </w:p>
    <w:p w14:paraId="2F91FE01" w14:textId="67AE2DB3" w:rsidR="00EA106B" w:rsidRPr="004E5A6E" w:rsidRDefault="00EA106B" w:rsidP="00D562BB">
      <w:pPr>
        <w:spacing w:before="120" w:line="276" w:lineRule="auto"/>
        <w:jc w:val="both"/>
        <w:rPr>
          <w:color w:val="auto"/>
          <w:lang w:val="sq-AL"/>
        </w:rPr>
      </w:pPr>
      <w:r w:rsidRPr="004E5A6E">
        <w:rPr>
          <w:color w:val="auto"/>
          <w:lang w:val="sq-AL"/>
        </w:rPr>
        <w:t>Së dyti, Banka Qendrore përpiqet të promovojë dhe mirëmbajë një sektor financiar të qëndrueshëm dhe efikas në Kosovë përmes licencimit, rregullimit dhe mbikëqyrjes së bankave, kompanive të sigurimeve dhe organizatave të mikrokrediti</w:t>
      </w:r>
      <w:r w:rsidR="00D562BB" w:rsidRPr="004E5A6E">
        <w:rPr>
          <w:color w:val="auto"/>
          <w:lang w:val="sq-AL"/>
        </w:rPr>
        <w:t>t.</w:t>
      </w:r>
    </w:p>
    <w:p w14:paraId="7E05CC50" w14:textId="6E5084DC" w:rsidR="00EA106B" w:rsidRPr="004E5A6E" w:rsidRDefault="00EA106B" w:rsidP="00D562BB">
      <w:pPr>
        <w:spacing w:before="120" w:line="276" w:lineRule="auto"/>
        <w:jc w:val="both"/>
        <w:rPr>
          <w:color w:val="auto"/>
          <w:lang w:val="sq-AL"/>
        </w:rPr>
      </w:pPr>
      <w:r w:rsidRPr="004E5A6E">
        <w:rPr>
          <w:color w:val="auto"/>
          <w:lang w:val="sq-AL"/>
        </w:rPr>
        <w:t>Së treti, BQK-ja mund të ndikojë në rritjen e kredisë së bankave tregtare duke përcaktuar nivelin e kërkesës për rezerva ose përmes rregulloreve të tjera për operacionet bankare. Më 25 Prill 2019 Bordi i Bankës Qendrore të Republikës së Kosovës miratoi Rregulloren për Riplerjen e Letrave me Vlerë me Bankën Qendrore të Republikës së Kosovës, e cila autorizon BQK-në të kryejë operacione kredie me bankat komerciale në rolin e huamarrësit të mbështetur në letra me vlerë si kolateral. Kjo rregullore do t'u ofrojë bankave një alternativë për të menaxhuar likuiditetin</w:t>
      </w:r>
      <w:r w:rsidR="00D562BB" w:rsidRPr="004E5A6E">
        <w:rPr>
          <w:color w:val="auto"/>
          <w:lang w:val="sq-AL"/>
        </w:rPr>
        <w:t xml:space="preserve"> dhe financimin afatshkurtër.  </w:t>
      </w:r>
    </w:p>
    <w:p w14:paraId="170775B2" w14:textId="57F2BCCA" w:rsidR="00EA106B" w:rsidRPr="004E5A6E" w:rsidRDefault="00EA106B" w:rsidP="00D562BB">
      <w:pPr>
        <w:spacing w:before="120" w:line="276" w:lineRule="auto"/>
        <w:jc w:val="both"/>
        <w:rPr>
          <w:color w:val="auto"/>
          <w:lang w:val="sq-AL"/>
        </w:rPr>
      </w:pPr>
      <w:r w:rsidRPr="004E5A6E">
        <w:rPr>
          <w:color w:val="auto"/>
          <w:lang w:val="sq-AL"/>
        </w:rPr>
        <w:t>Gjatë pandemive, Banka Qendrore, me gjithë mungesën e politikës monetare, kontribuoi me sukses në zbutjen e ndikimit të goditjes me Covid-19 mbi huamarrësit dhe bankat përmes shtyrjes së ripagimeve të kredisë dhe lejimit të riprogramimit të kredisë deri në 1 vit. Gjithashtu, BQK-ja po planifikon të ndërmarrë një masë të re, të ngjashme me masat e ndërmarra nga Banka Qendrore Evropiane, duke ulur përkohësisht kërkesën rregullatore për kapitalin e bankave, e cila pritet të lirojë një pjesë të konsiderueshme të kapitalit që mund të përdoret për huadhënia e ekonomisë. Kërkesa rregullatore për kapital do të rivendoset në nivelin e kërkuar në kushtet normale, në përputhje me ritm</w:t>
      </w:r>
      <w:r w:rsidR="00D562BB" w:rsidRPr="004E5A6E">
        <w:rPr>
          <w:color w:val="auto"/>
          <w:lang w:val="sq-AL"/>
        </w:rPr>
        <w:t xml:space="preserve">in e ekonomisë në normalitet.  </w:t>
      </w:r>
    </w:p>
    <w:p w14:paraId="3542EC91" w14:textId="661762C0" w:rsidR="00EA106B" w:rsidRPr="004E5A6E" w:rsidRDefault="00EA106B" w:rsidP="00D562BB">
      <w:pPr>
        <w:spacing w:before="120" w:line="276" w:lineRule="auto"/>
        <w:jc w:val="both"/>
        <w:rPr>
          <w:color w:val="auto"/>
          <w:lang w:val="sq-AL"/>
        </w:rPr>
      </w:pPr>
      <w:r w:rsidRPr="004E5A6E">
        <w:rPr>
          <w:color w:val="auto"/>
          <w:lang w:val="sq-AL"/>
        </w:rPr>
        <w:t xml:space="preserve">Përkundër kufizimeve të politikës monetare, me kalimin e kohës, inflacioni në Kosovë ka qenë relativisht i qëndrueshëm. Indeksi i Çmimeve të Konsumit (CPI) në 2021 pritet të rritet me 1.8% dhe drejtohet kryesisht nga rritja e çmimeve të energjisë në tregjet ndërkombëtare dhe marrja e aktivitetit ekonomik në Kosovë dhe në vendet partnere, pas një rënieje drastike të kërkesa totale këtë vit. Në dy vitet në vijim (2022 dhe 2023), inflacioni pritet të arrijë nivelin e tij </w:t>
      </w:r>
      <w:r w:rsidR="00D562BB" w:rsidRPr="004E5A6E">
        <w:rPr>
          <w:color w:val="auto"/>
          <w:lang w:val="sq-AL"/>
        </w:rPr>
        <w:t xml:space="preserve">historik prej rreth 1%. </w:t>
      </w:r>
    </w:p>
    <w:p w14:paraId="637A3B02" w14:textId="77777777" w:rsidR="00EA106B" w:rsidRPr="004E5A6E" w:rsidRDefault="00EA106B" w:rsidP="00D562BB">
      <w:pPr>
        <w:spacing w:before="120" w:line="276" w:lineRule="auto"/>
        <w:jc w:val="both"/>
        <w:rPr>
          <w:color w:val="auto"/>
          <w:lang w:val="sq-AL"/>
        </w:rPr>
      </w:pPr>
      <w:r w:rsidRPr="004E5A6E">
        <w:rPr>
          <w:color w:val="auto"/>
          <w:lang w:val="sq-AL"/>
        </w:rPr>
        <w:t>Sa i përket zhvillimeve të kursit të këmbimit, Kosova nuk është shumë e ekspozuar ndaj luhatjeve të kursit të këmbimit. Kjo për faktin se shumica e partnerëve tregtarë janë nga vendet e Eurozonës dhe një pjesë e konsiderueshme e burimeve të tjera të financimit janë në monedhën Euro (p.sh. huazimi bankar ose remitancat). Gjatë vitit 2020 (janar - gusht), Euroja është vlerësuar me rreth 0.6% krahasuar me shportën e valutave të partnerëve kryesorë tregtarë ndërkombëtarë (NEER). Ky vlerësim është kryesisht për shkak të vlerësimit të euros ndaj Lirës Turke (rreth 18.8%). Së fundmi, kursi real i këmbimit efektiv ishte i ngjashëm me nivelin e regjistruar vitin e kaluar.</w:t>
      </w:r>
    </w:p>
    <w:bookmarkEnd w:id="107"/>
    <w:bookmarkEnd w:id="108"/>
    <w:p w14:paraId="6336AEBD" w14:textId="77777777" w:rsidR="00EA106B" w:rsidRPr="004E5A6E" w:rsidRDefault="00EA106B" w:rsidP="00EA106B">
      <w:pPr>
        <w:spacing w:after="160" w:line="276" w:lineRule="auto"/>
        <w:rPr>
          <w:vanish/>
          <w:color w:val="auto"/>
          <w:lang w:val="sq-AL"/>
          <w:specVanish/>
        </w:rPr>
      </w:pPr>
    </w:p>
    <w:p w14:paraId="43DA81E5" w14:textId="77777777" w:rsidR="00EA106B" w:rsidRPr="004E5A6E" w:rsidRDefault="00EA106B" w:rsidP="00EA106B">
      <w:pPr>
        <w:pStyle w:val="ERPL3"/>
        <w:ind w:left="630" w:hanging="630"/>
        <w:rPr>
          <w:rFonts w:ascii="Times New Roman" w:hAnsi="Times New Roman"/>
          <w:lang w:val="sq-AL"/>
        </w:rPr>
      </w:pPr>
      <w:bookmarkStart w:id="109" w:name="_Toc504051212"/>
      <w:bookmarkStart w:id="110" w:name="_Toc504051409"/>
      <w:bookmarkStart w:id="111" w:name="_Toc504338914"/>
      <w:bookmarkStart w:id="112" w:name="_Toc57198258"/>
      <w:bookmarkStart w:id="113" w:name="_Toc57720372"/>
      <w:r w:rsidRPr="004E5A6E">
        <w:rPr>
          <w:rFonts w:ascii="Times New Roman" w:hAnsi="Times New Roman"/>
          <w:lang w:val="sq-AL"/>
        </w:rPr>
        <w:t>Sektori i jashtëm dhe qëndrueshmëria e tij afatmesme</w:t>
      </w:r>
      <w:bookmarkEnd w:id="109"/>
      <w:bookmarkEnd w:id="110"/>
      <w:bookmarkEnd w:id="111"/>
      <w:bookmarkEnd w:id="112"/>
      <w:bookmarkEnd w:id="113"/>
      <w:r w:rsidRPr="004E5A6E">
        <w:rPr>
          <w:rFonts w:ascii="Times New Roman" w:hAnsi="Times New Roman"/>
          <w:lang w:val="sq-AL"/>
        </w:rPr>
        <w:t xml:space="preserve"> </w:t>
      </w:r>
    </w:p>
    <w:p w14:paraId="30B603FC" w14:textId="77777777" w:rsidR="00EA106B" w:rsidRPr="004E5A6E" w:rsidRDefault="00EA106B" w:rsidP="0068706C">
      <w:pPr>
        <w:pStyle w:val="ERPL3"/>
        <w:numPr>
          <w:ilvl w:val="3"/>
          <w:numId w:val="3"/>
        </w:numPr>
        <w:ind w:left="709"/>
        <w:rPr>
          <w:rFonts w:ascii="Times New Roman" w:hAnsi="Times New Roman"/>
          <w:lang w:val="sq-AL"/>
        </w:rPr>
      </w:pPr>
      <w:r w:rsidRPr="004E5A6E">
        <w:rPr>
          <w:rFonts w:ascii="Times New Roman" w:hAnsi="Times New Roman"/>
          <w:lang w:val="sq-AL"/>
        </w:rPr>
        <w:t xml:space="preserve"> </w:t>
      </w:r>
      <w:bookmarkStart w:id="114" w:name="_Toc57720373"/>
      <w:r w:rsidRPr="004E5A6E">
        <w:rPr>
          <w:rFonts w:ascii="Times New Roman" w:hAnsi="Times New Roman"/>
          <w:lang w:val="sq-AL"/>
        </w:rPr>
        <w:t>Llogaria rrjedhëse</w:t>
      </w:r>
      <w:bookmarkEnd w:id="114"/>
    </w:p>
    <w:p w14:paraId="51C3B390" w14:textId="77777777" w:rsidR="00EA106B" w:rsidRPr="004E5A6E" w:rsidRDefault="00EA106B" w:rsidP="00EA106B">
      <w:pPr>
        <w:pStyle w:val="Caption"/>
        <w:keepNext/>
        <w:spacing w:before="240"/>
        <w:jc w:val="both"/>
        <w:rPr>
          <w:rFonts w:ascii="Times New Roman" w:eastAsia="Times New Roman" w:hAnsi="Times New Roman"/>
          <w:i w:val="0"/>
          <w:iCs w:val="0"/>
          <w:color w:val="auto"/>
          <w:sz w:val="24"/>
          <w:szCs w:val="24"/>
          <w:lang w:val="sq-AL"/>
        </w:rPr>
      </w:pPr>
      <w:r w:rsidRPr="004E5A6E">
        <w:rPr>
          <w:rFonts w:ascii="Times New Roman" w:eastAsia="Times New Roman" w:hAnsi="Times New Roman"/>
          <w:i w:val="0"/>
          <w:iCs w:val="0"/>
          <w:color w:val="auto"/>
          <w:sz w:val="24"/>
          <w:szCs w:val="24"/>
          <w:lang w:val="sq-AL"/>
        </w:rPr>
        <w:t>Bilanci i llogarisë rrjedhëse gjatë periudhës janar-gusht 2020 arriti në -218 milion euro dhe përfaqëson një zgjerim të ndjeshëm të deficitit të llogarisë rrjedhëse krahasuar me të njëjtën periudhë të vitit të kaluar.</w:t>
      </w:r>
    </w:p>
    <w:p w14:paraId="5BCC6D0F" w14:textId="77777777" w:rsidR="00EA106B" w:rsidRPr="004E5A6E" w:rsidRDefault="00EA106B" w:rsidP="00EA106B">
      <w:pPr>
        <w:pStyle w:val="Caption"/>
        <w:keepNext/>
        <w:spacing w:before="240"/>
        <w:jc w:val="both"/>
        <w:rPr>
          <w:rFonts w:ascii="Times New Roman" w:eastAsia="Times New Roman" w:hAnsi="Times New Roman"/>
          <w:i w:val="0"/>
          <w:iCs w:val="0"/>
          <w:color w:val="auto"/>
          <w:sz w:val="24"/>
          <w:szCs w:val="24"/>
          <w:lang w:val="sq-AL"/>
        </w:rPr>
      </w:pPr>
      <w:r w:rsidRPr="004E5A6E">
        <w:rPr>
          <w:rFonts w:ascii="Times New Roman" w:eastAsia="Times New Roman" w:hAnsi="Times New Roman"/>
          <w:b/>
          <w:i w:val="0"/>
          <w:iCs w:val="0"/>
          <w:color w:val="auto"/>
          <w:sz w:val="24"/>
          <w:szCs w:val="24"/>
          <w:lang w:val="sq-AL"/>
        </w:rPr>
        <w:t xml:space="preserve">Eksportet e mallrave </w:t>
      </w:r>
      <w:r w:rsidRPr="004E5A6E">
        <w:rPr>
          <w:rFonts w:ascii="Times New Roman" w:eastAsia="Times New Roman" w:hAnsi="Times New Roman"/>
          <w:bCs/>
          <w:i w:val="0"/>
          <w:iCs w:val="0"/>
          <w:color w:val="auto"/>
          <w:sz w:val="24"/>
          <w:szCs w:val="24"/>
          <w:lang w:val="sq-AL"/>
        </w:rPr>
        <w:t>u rritën me rreth 12.1% ndërsa eksportet e shërbimeve shënuan një rënie të ndjeshme vjetore prej 48.3%. Eksportet e mallrave janë një nga treguesit e vetëm ekonomikë që ka regjistruar performancë pozitive gjatë pandemisë (përveç muajit prill). Sidoqoftë, struktura e eksportit të Kosovës aktualisht mbetet e përqendruar në eksportin e metaleve bazë, të cilat zënë rreth 39.5% të të gjitha eksporteve të mallrave. Sektorë të tjerë të rëndësishëm vazhdojnë të jenë kategoria e produkteve plastike me një pjesëmarrje prej 12.1% në eksportet totale, sektori i ushqimit i përgatitur i cili zë rreth 9.1% të të gjitha eksporteve dhe produkteve të perimeve me një pjesëmarrje prej 5.7% në eksportet totale</w:t>
      </w:r>
      <w:r w:rsidRPr="004E5A6E">
        <w:rPr>
          <w:rFonts w:ascii="Times New Roman" w:eastAsia="Times New Roman" w:hAnsi="Times New Roman"/>
          <w:i w:val="0"/>
          <w:iCs w:val="0"/>
          <w:color w:val="auto"/>
          <w:sz w:val="24"/>
          <w:szCs w:val="24"/>
          <w:lang w:val="sq-AL"/>
        </w:rPr>
        <w:t>. Gjithashtu, analiza e përbërjes së eksporteve sipas 20 eksportuesve më të mëdhenj tregon se rritja e eksporteve ka ardhur kryesisht nga një eksportues i madh, Newco Ferronikeli.</w:t>
      </w:r>
    </w:p>
    <w:p w14:paraId="4C80B8CE" w14:textId="77777777" w:rsidR="00EA106B" w:rsidRPr="004E5A6E" w:rsidRDefault="00EA106B" w:rsidP="005C6FD7">
      <w:pPr>
        <w:spacing w:before="120" w:line="276" w:lineRule="auto"/>
        <w:jc w:val="both"/>
        <w:rPr>
          <w:color w:val="auto"/>
          <w:lang w:val="sq-AL"/>
        </w:rPr>
      </w:pPr>
      <w:r w:rsidRPr="004E5A6E">
        <w:rPr>
          <w:b/>
          <w:color w:val="auto"/>
          <w:lang w:val="sq-AL"/>
        </w:rPr>
        <w:t xml:space="preserve">Eksporti i shërbimeve </w:t>
      </w:r>
      <w:r w:rsidRPr="004E5A6E">
        <w:rPr>
          <w:bCs/>
          <w:color w:val="auto"/>
          <w:lang w:val="sq-AL"/>
        </w:rPr>
        <w:t>për periudhën janar-gusht ishte 48.3% më i ulët krahasuar me të njëjtën periudhë të vitit 2019, kryesisht për shkak të shërbimeve më të ulëta të udhëtimit mes masave kufizuese COVID-19. Shërbimet e udhëtimit kontribuan me -47.7 pp dhe patën një rënie vjetore prej 58.5%; transporti kontribuoi me -1.4 pp dhe u ul me 38.3% nga viti në vit</w:t>
      </w:r>
      <w:r w:rsidRPr="004E5A6E">
        <w:rPr>
          <w:color w:val="auto"/>
          <w:lang w:val="sq-AL"/>
        </w:rPr>
        <w:t>. Eksporti i shërbimeve për vitin 2020 pritet të arrijë në 1,246 milion Euro dhe të regjistrojë një rënie vjetore prej 25.7%. Gjatë periudhës afatmesme, eksporti i shërbimeve pritet të rritet me 11.6%. Kjo rritje, e cila ndjek trendin historik të eksportit të shërbimeve, do të mbështetet kryesisht nga eksporti i shërbimeve të teknologjisë së udhëtimit, infor</w:t>
      </w:r>
      <w:r w:rsidR="005C6FD7" w:rsidRPr="004E5A6E">
        <w:rPr>
          <w:color w:val="auto"/>
          <w:lang w:val="sq-AL"/>
        </w:rPr>
        <w:t>macionit dhe komunikimit (TIK).</w:t>
      </w:r>
    </w:p>
    <w:p w14:paraId="013EA74F" w14:textId="70B649C2" w:rsidR="00EA106B" w:rsidRPr="004E5A6E" w:rsidRDefault="00CA51E9" w:rsidP="00EA106B">
      <w:pPr>
        <w:spacing w:before="120" w:after="240" w:line="276" w:lineRule="auto"/>
        <w:jc w:val="both"/>
        <w:rPr>
          <w:color w:val="auto"/>
          <w:lang w:val="sq-AL"/>
        </w:rPr>
      </w:pPr>
      <w:r w:rsidRPr="004E5A6E">
        <w:rPr>
          <w:noProof/>
          <w:lang w:val="en-US"/>
        </w:rPr>
        <mc:AlternateContent>
          <mc:Choice Requires="wps">
            <w:drawing>
              <wp:anchor distT="0" distB="0" distL="114300" distR="114300" simplePos="0" relativeHeight="251796992" behindDoc="1" locked="0" layoutInCell="1" allowOverlap="1" wp14:anchorId="3A257026" wp14:editId="2ADF3CD8">
                <wp:simplePos x="0" y="0"/>
                <wp:positionH relativeFrom="margin">
                  <wp:align>left</wp:align>
                </wp:positionH>
                <wp:positionV relativeFrom="paragraph">
                  <wp:posOffset>572135</wp:posOffset>
                </wp:positionV>
                <wp:extent cx="3596640" cy="152400"/>
                <wp:effectExtent l="0" t="0" r="3810" b="0"/>
                <wp:wrapTight wrapText="bothSides">
                  <wp:wrapPolygon edited="0">
                    <wp:start x="0" y="0"/>
                    <wp:lineTo x="0" y="18900"/>
                    <wp:lineTo x="21508" y="18900"/>
                    <wp:lineTo x="21508"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3596640" cy="152400"/>
                        </a:xfrm>
                        <a:prstGeom prst="rect">
                          <a:avLst/>
                        </a:prstGeom>
                        <a:solidFill>
                          <a:prstClr val="white"/>
                        </a:solidFill>
                        <a:ln>
                          <a:noFill/>
                        </a:ln>
                        <a:effectLst/>
                      </wps:spPr>
                      <wps:txbx>
                        <w:txbxContent>
                          <w:p w14:paraId="3F4D355F" w14:textId="6DCCB7D8" w:rsidR="00713DEA" w:rsidRPr="00CA51E9" w:rsidRDefault="00713DEA" w:rsidP="00CA51E9">
                            <w:pPr>
                              <w:pStyle w:val="Caption"/>
                              <w:keepNext/>
                              <w:tabs>
                                <w:tab w:val="left" w:pos="180"/>
                              </w:tabs>
                              <w:spacing w:after="0"/>
                              <w:rPr>
                                <w:rFonts w:ascii="Times New Roman" w:hAnsi="Times New Roman"/>
                                <w:b/>
                                <w:i w:val="0"/>
                                <w:color w:val="auto"/>
                                <w:sz w:val="20"/>
                                <w:szCs w:val="20"/>
                                <w:lang w:val="sq-AL"/>
                              </w:rPr>
                            </w:pPr>
                            <w:bookmarkStart w:id="115" w:name="_Toc57722680"/>
                            <w:r>
                              <w:rPr>
                                <w:rFonts w:ascii="Times New Roman" w:hAnsi="Times New Roman"/>
                                <w:b/>
                                <w:i w:val="0"/>
                                <w:color w:val="auto"/>
                                <w:sz w:val="20"/>
                                <w:szCs w:val="20"/>
                                <w:lang w:val="sq-AL"/>
                              </w:rPr>
                              <w:t>Figura</w:t>
                            </w:r>
                            <w:r w:rsidRPr="00CA51E9">
                              <w:rPr>
                                <w:rFonts w:ascii="Times New Roman" w:hAnsi="Times New Roman"/>
                                <w:b/>
                                <w:i w:val="0"/>
                                <w:color w:val="auto"/>
                                <w:sz w:val="20"/>
                                <w:szCs w:val="20"/>
                                <w:lang w:val="sq-AL"/>
                              </w:rPr>
                              <w:t xml:space="preserve"> </w:t>
                            </w:r>
                            <w:r w:rsidRPr="00CA51E9">
                              <w:rPr>
                                <w:rFonts w:ascii="Times New Roman" w:hAnsi="Times New Roman"/>
                                <w:b/>
                                <w:i w:val="0"/>
                                <w:color w:val="auto"/>
                                <w:sz w:val="20"/>
                                <w:szCs w:val="20"/>
                                <w:lang w:val="sq-AL"/>
                              </w:rPr>
                              <w:fldChar w:fldCharType="begin"/>
                            </w:r>
                            <w:r w:rsidRPr="00CA51E9">
                              <w:rPr>
                                <w:rFonts w:ascii="Times New Roman" w:hAnsi="Times New Roman"/>
                                <w:b/>
                                <w:i w:val="0"/>
                                <w:color w:val="auto"/>
                                <w:sz w:val="20"/>
                                <w:szCs w:val="20"/>
                                <w:lang w:val="sq-AL"/>
                              </w:rPr>
                              <w:instrText xml:space="preserve"> SEQ Figure \* ARABIC </w:instrText>
                            </w:r>
                            <w:r w:rsidRPr="00CA51E9">
                              <w:rPr>
                                <w:rFonts w:ascii="Times New Roman" w:hAnsi="Times New Roman"/>
                                <w:b/>
                                <w:i w:val="0"/>
                                <w:color w:val="auto"/>
                                <w:sz w:val="20"/>
                                <w:szCs w:val="20"/>
                                <w:lang w:val="sq-AL"/>
                              </w:rPr>
                              <w:fldChar w:fldCharType="separate"/>
                            </w:r>
                            <w:r>
                              <w:rPr>
                                <w:rFonts w:ascii="Times New Roman" w:hAnsi="Times New Roman"/>
                                <w:b/>
                                <w:i w:val="0"/>
                                <w:noProof/>
                                <w:color w:val="auto"/>
                                <w:sz w:val="20"/>
                                <w:szCs w:val="20"/>
                                <w:lang w:val="sq-AL"/>
                              </w:rPr>
                              <w:t>5</w:t>
                            </w:r>
                            <w:r w:rsidRPr="00CA51E9">
                              <w:rPr>
                                <w:rFonts w:ascii="Times New Roman" w:hAnsi="Times New Roman"/>
                                <w:b/>
                                <w:i w:val="0"/>
                                <w:color w:val="auto"/>
                                <w:sz w:val="20"/>
                                <w:szCs w:val="20"/>
                                <w:lang w:val="sq-AL"/>
                              </w:rPr>
                              <w:fldChar w:fldCharType="end"/>
                            </w:r>
                            <w:r w:rsidRPr="00CA51E9">
                              <w:rPr>
                                <w:rFonts w:ascii="Times New Roman" w:hAnsi="Times New Roman"/>
                                <w:b/>
                                <w:i w:val="0"/>
                                <w:color w:val="auto"/>
                                <w:sz w:val="20"/>
                                <w:szCs w:val="20"/>
                                <w:lang w:val="sq-AL"/>
                              </w:rPr>
                              <w:t xml:space="preserve"> Indeksi Herfindahl Hierchman</w:t>
                            </w:r>
                            <w:bookmarkEnd w:id="11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257026" id="Text Box 4" o:spid="_x0000_s1027" type="#_x0000_t202" style="position:absolute;left:0;text-align:left;margin-left:0;margin-top:45.05pt;width:283.2pt;height:12pt;z-index:-2515194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" stroked="f">
                <v:textbox inset="0,0,0,0">
                  <w:txbxContent>
                    <w:p w14:paraId="3F4D355F" w14:textId="6DCCB7D8" w:rsidR="00713DEA" w:rsidRPr="00CA51E9" w:rsidRDefault="00713DEA" w:rsidP="00CA51E9">
                      <w:pPr>
                        <w:pStyle w:val="Caption"/>
                        <w:keepNext/>
                        <w:tabs>
                          <w:tab w:val="left" w:pos="180"/>
                        </w:tabs>
                        <w:spacing w:after="0"/>
                        <w:rPr>
                          <w:rFonts w:ascii="Times New Roman" w:hAnsi="Times New Roman"/>
                          <w:b/>
                          <w:i w:val="0"/>
                          <w:color w:val="auto"/>
                          <w:sz w:val="20"/>
                          <w:szCs w:val="20"/>
                          <w:lang w:val="sq-AL"/>
                        </w:rPr>
                      </w:pPr>
                      <w:bookmarkStart w:id="116" w:name="_Toc57722680"/>
                      <w:r>
                        <w:rPr>
                          <w:rFonts w:ascii="Times New Roman" w:hAnsi="Times New Roman"/>
                          <w:b/>
                          <w:i w:val="0"/>
                          <w:color w:val="auto"/>
                          <w:sz w:val="20"/>
                          <w:szCs w:val="20"/>
                          <w:lang w:val="sq-AL"/>
                        </w:rPr>
                        <w:t>Figura</w:t>
                      </w:r>
                      <w:r w:rsidRPr="00CA51E9">
                        <w:rPr>
                          <w:rFonts w:ascii="Times New Roman" w:hAnsi="Times New Roman"/>
                          <w:b/>
                          <w:i w:val="0"/>
                          <w:color w:val="auto"/>
                          <w:sz w:val="20"/>
                          <w:szCs w:val="20"/>
                          <w:lang w:val="sq-AL"/>
                        </w:rPr>
                        <w:t xml:space="preserve"> </w:t>
                      </w:r>
                      <w:r w:rsidRPr="00CA51E9">
                        <w:rPr>
                          <w:rFonts w:ascii="Times New Roman" w:hAnsi="Times New Roman"/>
                          <w:b/>
                          <w:i w:val="0"/>
                          <w:color w:val="auto"/>
                          <w:sz w:val="20"/>
                          <w:szCs w:val="20"/>
                          <w:lang w:val="sq-AL"/>
                        </w:rPr>
                        <w:fldChar w:fldCharType="begin"/>
                      </w:r>
                      <w:r w:rsidRPr="00CA51E9">
                        <w:rPr>
                          <w:rFonts w:ascii="Times New Roman" w:hAnsi="Times New Roman"/>
                          <w:b/>
                          <w:i w:val="0"/>
                          <w:color w:val="auto"/>
                          <w:sz w:val="20"/>
                          <w:szCs w:val="20"/>
                          <w:lang w:val="sq-AL"/>
                        </w:rPr>
                        <w:instrText xml:space="preserve"> SEQ Figure \* ARABIC </w:instrText>
                      </w:r>
                      <w:r w:rsidRPr="00CA51E9">
                        <w:rPr>
                          <w:rFonts w:ascii="Times New Roman" w:hAnsi="Times New Roman"/>
                          <w:b/>
                          <w:i w:val="0"/>
                          <w:color w:val="auto"/>
                          <w:sz w:val="20"/>
                          <w:szCs w:val="20"/>
                          <w:lang w:val="sq-AL"/>
                        </w:rPr>
                        <w:fldChar w:fldCharType="separate"/>
                      </w:r>
                      <w:r>
                        <w:rPr>
                          <w:rFonts w:ascii="Times New Roman" w:hAnsi="Times New Roman"/>
                          <w:b/>
                          <w:i w:val="0"/>
                          <w:noProof/>
                          <w:color w:val="auto"/>
                          <w:sz w:val="20"/>
                          <w:szCs w:val="20"/>
                          <w:lang w:val="sq-AL"/>
                        </w:rPr>
                        <w:t>5</w:t>
                      </w:r>
                      <w:r w:rsidRPr="00CA51E9">
                        <w:rPr>
                          <w:rFonts w:ascii="Times New Roman" w:hAnsi="Times New Roman"/>
                          <w:b/>
                          <w:i w:val="0"/>
                          <w:color w:val="auto"/>
                          <w:sz w:val="20"/>
                          <w:szCs w:val="20"/>
                          <w:lang w:val="sq-AL"/>
                        </w:rPr>
                        <w:fldChar w:fldCharType="end"/>
                      </w:r>
                      <w:r w:rsidRPr="00CA51E9">
                        <w:rPr>
                          <w:rFonts w:ascii="Times New Roman" w:hAnsi="Times New Roman"/>
                          <w:b/>
                          <w:i w:val="0"/>
                          <w:color w:val="auto"/>
                          <w:sz w:val="20"/>
                          <w:szCs w:val="20"/>
                          <w:lang w:val="sq-AL"/>
                        </w:rPr>
                        <w:t xml:space="preserve"> Indeksi Herfindahl Hierchman</w:t>
                      </w:r>
                      <w:bookmarkEnd w:id="116"/>
                    </w:p>
                  </w:txbxContent>
                </v:textbox>
                <w10:wrap type="tight" anchorx="margin"/>
              </v:shape>
            </w:pict>
          </mc:Fallback>
        </mc:AlternateContent>
      </w:r>
      <w:r w:rsidR="005C6FD7" w:rsidRPr="004E5A6E">
        <w:rPr>
          <w:noProof/>
          <w:color w:val="auto"/>
          <w:lang w:val="en-US"/>
        </w:rPr>
        <mc:AlternateContent>
          <mc:Choice Requires="wps">
            <w:drawing>
              <wp:anchor distT="0" distB="0" distL="114300" distR="114300" simplePos="0" relativeHeight="251626496" behindDoc="1" locked="0" layoutInCell="1" allowOverlap="1" wp14:anchorId="1A0650B9" wp14:editId="61C93BDA">
                <wp:simplePos x="0" y="0"/>
                <wp:positionH relativeFrom="margin">
                  <wp:posOffset>173355</wp:posOffset>
                </wp:positionH>
                <wp:positionV relativeFrom="paragraph">
                  <wp:posOffset>2592705</wp:posOffset>
                </wp:positionV>
                <wp:extent cx="3143250" cy="182880"/>
                <wp:effectExtent l="0" t="0" r="0" b="7620"/>
                <wp:wrapTight wrapText="bothSides">
                  <wp:wrapPolygon edited="0">
                    <wp:start x="0" y="0"/>
                    <wp:lineTo x="0" y="20250"/>
                    <wp:lineTo x="21469" y="20250"/>
                    <wp:lineTo x="21469" y="0"/>
                    <wp:lineTo x="0" y="0"/>
                  </wp:wrapPolygon>
                </wp:wrapTight>
                <wp:docPr id="44" name="Text Box 44"/>
                <wp:cNvGraphicFramePr/>
                <a:graphic xmlns:a="http://schemas.openxmlformats.org/drawingml/2006/main">
                  <a:graphicData uri="http://schemas.microsoft.com/office/word/2010/wordprocessingShape">
                    <wps:wsp>
                      <wps:cNvSpPr txBox="1"/>
                      <wps:spPr>
                        <a:xfrm>
                          <a:off x="0" y="0"/>
                          <a:ext cx="3143250" cy="182880"/>
                        </a:xfrm>
                        <a:prstGeom prst="rect">
                          <a:avLst/>
                        </a:prstGeom>
                        <a:solidFill>
                          <a:prstClr val="white"/>
                        </a:solidFill>
                        <a:ln>
                          <a:noFill/>
                        </a:ln>
                      </wps:spPr>
                      <wps:txbx>
                        <w:txbxContent>
                          <w:p w14:paraId="5DE45710" w14:textId="2398E870" w:rsidR="00713DEA" w:rsidRPr="00770F42" w:rsidRDefault="00713DEA" w:rsidP="00EA106B">
                            <w:pPr>
                              <w:pStyle w:val="Caption"/>
                              <w:rPr>
                                <w:rFonts w:eastAsiaTheme="minorHAnsi"/>
                                <w:noProof/>
                                <w:color w:val="auto"/>
                                <w:lang w:val="en-US"/>
                              </w:rPr>
                            </w:pPr>
                            <w:r>
                              <w:rPr>
                                <w:rFonts w:eastAsiaTheme="minorHAnsi"/>
                                <w:noProof/>
                                <w:color w:val="auto"/>
                                <w:lang w:val="en-US"/>
                              </w:rPr>
                              <w:t>Burimi</w:t>
                            </w:r>
                            <w:r w:rsidRPr="00770F42">
                              <w:rPr>
                                <w:rFonts w:eastAsiaTheme="minorHAnsi"/>
                                <w:noProof/>
                                <w:color w:val="auto"/>
                                <w:lang w:val="en-US"/>
                              </w:rPr>
                              <w:t xml:space="preserve"> </w:t>
                            </w:r>
                            <w:r>
                              <w:rPr>
                                <w:rFonts w:eastAsiaTheme="minorHAnsi"/>
                                <w:noProof/>
                                <w:color w:val="auto"/>
                                <w:lang w:val="en-US"/>
                              </w:rPr>
                              <w:t xml:space="preserve">KAS </w:t>
                            </w:r>
                            <w:r w:rsidRPr="00770F42">
                              <w:rPr>
                                <w:rFonts w:eastAsiaTheme="minorHAnsi"/>
                                <w:noProof/>
                                <w:color w:val="auto"/>
                                <w:lang w:val="en-US"/>
                              </w:rPr>
                              <w:t>20</w:t>
                            </w:r>
                            <w:r>
                              <w:rPr>
                                <w:rFonts w:eastAsiaTheme="minorHAnsi"/>
                                <w:noProof/>
                                <w:color w:val="auto"/>
                                <w:lang w:val="en-US"/>
                              </w:rPr>
                              <w:t>20</w:t>
                            </w:r>
                            <w:r w:rsidRPr="00770F42">
                              <w:rPr>
                                <w:rFonts w:eastAsiaTheme="minorHAnsi"/>
                                <w:noProof/>
                                <w:color w:val="auto"/>
                                <w:lang w:val="en-US"/>
                              </w:rPr>
                              <w:t>*</w:t>
                            </w:r>
                            <w:r>
                              <w:rPr>
                                <w:rFonts w:eastAsiaTheme="minorHAnsi"/>
                                <w:noProof/>
                                <w:color w:val="auto"/>
                                <w:lang w:val="en-US"/>
                              </w:rPr>
                              <w:t>T1-T3</w:t>
                            </w:r>
                            <w:r w:rsidRPr="00770F42">
                              <w:rPr>
                                <w:rFonts w:eastAsiaTheme="minorHAnsi"/>
                                <w:noProof/>
                                <w:color w:val="auto"/>
                                <w:lang w:val="en-US"/>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650B9" id="Text Box 44" o:spid="_x0000_s1028" type="#_x0000_t202" style="position:absolute;left:0;text-align:left;margin-left:13.65pt;margin-top:204.15pt;width:247.5pt;height:14.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" stroked="f">
                <v:textbox inset="0,0,0,0">
                  <w:txbxContent>
                    <w:p w14:paraId="5DE45710" w14:textId="2398E870" w:rsidR="00713DEA" w:rsidRPr="00770F42" w:rsidRDefault="00713DEA" w:rsidP="00EA106B">
                      <w:pPr>
                        <w:pStyle w:val="Caption"/>
                        <w:rPr>
                          <w:rFonts w:eastAsiaTheme="minorHAnsi"/>
                          <w:noProof/>
                          <w:color w:val="auto"/>
                          <w:lang w:val="en-US"/>
                        </w:rPr>
                      </w:pPr>
                      <w:r>
                        <w:rPr>
                          <w:rFonts w:eastAsiaTheme="minorHAnsi"/>
                          <w:noProof/>
                          <w:color w:val="auto"/>
                          <w:lang w:val="en-US"/>
                        </w:rPr>
                        <w:t>Burimi</w:t>
                      </w:r>
                      <w:r w:rsidRPr="00770F42">
                        <w:rPr>
                          <w:rFonts w:eastAsiaTheme="minorHAnsi"/>
                          <w:noProof/>
                          <w:color w:val="auto"/>
                          <w:lang w:val="en-US"/>
                        </w:rPr>
                        <w:t xml:space="preserve"> </w:t>
                      </w:r>
                      <w:r>
                        <w:rPr>
                          <w:rFonts w:eastAsiaTheme="minorHAnsi"/>
                          <w:noProof/>
                          <w:color w:val="auto"/>
                          <w:lang w:val="en-US"/>
                        </w:rPr>
                        <w:t xml:space="preserve">KAS </w:t>
                      </w:r>
                      <w:r w:rsidRPr="00770F42">
                        <w:rPr>
                          <w:rFonts w:eastAsiaTheme="minorHAnsi"/>
                          <w:noProof/>
                          <w:color w:val="auto"/>
                          <w:lang w:val="en-US"/>
                        </w:rPr>
                        <w:t>20</w:t>
                      </w:r>
                      <w:r>
                        <w:rPr>
                          <w:rFonts w:eastAsiaTheme="minorHAnsi"/>
                          <w:noProof/>
                          <w:color w:val="auto"/>
                          <w:lang w:val="en-US"/>
                        </w:rPr>
                        <w:t>20</w:t>
                      </w:r>
                      <w:r w:rsidRPr="00770F42">
                        <w:rPr>
                          <w:rFonts w:eastAsiaTheme="minorHAnsi"/>
                          <w:noProof/>
                          <w:color w:val="auto"/>
                          <w:lang w:val="en-US"/>
                        </w:rPr>
                        <w:t>*</w:t>
                      </w:r>
                      <w:r>
                        <w:rPr>
                          <w:rFonts w:eastAsiaTheme="minorHAnsi"/>
                          <w:noProof/>
                          <w:color w:val="auto"/>
                          <w:lang w:val="en-US"/>
                        </w:rPr>
                        <w:t>T1-T3</w:t>
                      </w:r>
                      <w:r w:rsidRPr="00770F42">
                        <w:rPr>
                          <w:rFonts w:eastAsiaTheme="minorHAnsi"/>
                          <w:noProof/>
                          <w:color w:val="auto"/>
                          <w:lang w:val="en-US"/>
                        </w:rPr>
                        <w:t xml:space="preserve"> </w:t>
                      </w:r>
                    </w:p>
                  </w:txbxContent>
                </v:textbox>
                <w10:wrap type="tight" anchorx="margin"/>
              </v:shape>
            </w:pict>
          </mc:Fallback>
        </mc:AlternateContent>
      </w:r>
      <w:r w:rsidR="005C6FD7" w:rsidRPr="004E5A6E">
        <w:rPr>
          <w:noProof/>
          <w:lang w:val="en-US"/>
        </w:rPr>
        <w:drawing>
          <wp:anchor distT="0" distB="0" distL="114300" distR="114300" simplePos="0" relativeHeight="251683840" behindDoc="1" locked="0" layoutInCell="1" allowOverlap="1" wp14:anchorId="0B45C0DC" wp14:editId="0E04640F">
            <wp:simplePos x="0" y="0"/>
            <wp:positionH relativeFrom="column">
              <wp:posOffset>0</wp:posOffset>
            </wp:positionH>
            <wp:positionV relativeFrom="paragraph">
              <wp:posOffset>755015</wp:posOffset>
            </wp:positionV>
            <wp:extent cx="3596640" cy="1836420"/>
            <wp:effectExtent l="0" t="0" r="3810" b="0"/>
            <wp:wrapTight wrapText="bothSides">
              <wp:wrapPolygon edited="0">
                <wp:start x="0" y="0"/>
                <wp:lineTo x="0" y="21286"/>
                <wp:lineTo x="21508" y="21286"/>
                <wp:lineTo x="21508"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00EA106B" w:rsidRPr="004E5A6E">
        <w:rPr>
          <w:color w:val="auto"/>
          <w:lang w:val="sq-AL"/>
        </w:rPr>
        <w:t>Është inkurajuese të theksohet se vendi ka përjetuar ndryshime në strukturën e eksportit të mallrave gjatë viteve të fundit. Diversifikimi është një zhvillim pozitiv për një ekonomi të tillë si Kosova sepse ndryshimet në përzierjen primare të eksportit ndihmojnë në krijimin e hapësirave mbrojtëse në ekonomi që do të zvogëlojë efektin e ndryshueshmërisë së çmimeve botërore të mallrave. Kjo zvogëlon varësinë nga disa sektorë dhe dobësitë e mundshme që lidhen me ato. Për të matur diversifikimin e eksportit, është përdorur Indeksi</w:t>
      </w:r>
      <w:r w:rsidR="00EA106B" w:rsidRPr="004E5A6E">
        <w:rPr>
          <w:rStyle w:val="FootnoteReference"/>
          <w:color w:val="auto"/>
          <w:lang w:val="sq-AL"/>
        </w:rPr>
        <w:footnoteReference w:id="7"/>
      </w:r>
      <w:r w:rsidR="00EA106B" w:rsidRPr="004E5A6E">
        <w:rPr>
          <w:color w:val="auto"/>
          <w:lang w:val="sq-AL"/>
        </w:rPr>
        <w:t xml:space="preserve"> Hirschman Herfindahl.</w:t>
      </w:r>
      <w:r w:rsidR="005C6FD7" w:rsidRPr="004E5A6E">
        <w:rPr>
          <w:color w:val="auto"/>
          <w:lang w:val="sq-AL"/>
        </w:rPr>
        <w:t xml:space="preserve"> </w:t>
      </w:r>
      <w:r w:rsidR="00EA106B" w:rsidRPr="004E5A6E">
        <w:rPr>
          <w:color w:val="auto"/>
          <w:lang w:val="sq-AL"/>
        </w:rPr>
        <w:t xml:space="preserve">Kosova ka përjetuar diversifikim të eksportit në vitet e fundit. MSA-ja dhe masat e politikave për të stimuluar sektorin e prodhimit kanë luajtur një rol në këtë proces dhe pritet që ky efekt pozitiv të vazhdojë. Sidoqoftë, në vitin 2020, diversifikimi është ulur në terma të seksioneve, kapitujve dhe vendeve. Struktura e eksportit të Kosovës ende peshon drejt eksportit të metaleve bazë, të cilat gjatë vitit 2020 Janar-Shtator përbënin 38% të eksporteve totale, më të larta se në 2019 dhe 2018 (35% dhe 34%, përkatësisht). Kategoritë e mallrave që kanë rritur pjesëmarrjen e tyre në eksportet totale janë artikuj ushqimorë të përgatitur dhe produkte plastike. Në anën tjetër, përbërja gjeografike e eksporteve të mallrave, duke u përqendruar në vendet dhe grupet e vendeve që përbëjnë më shumë se 80% të destinacioneve totale të eksportit të Kosovës gjithashtu reflekton ndryshimet përgjatë viteve. Pjesa e eksporteve të mallrave në BE ka vazhduar të rritet gjatë gjithë viteve, me një rritje më të ndjeshme në vitin 2020. Ndërsa, eksportet në vendet e CEFTA-s si pjesë e eksporteve totale kanë mbetur në nivele të ngjashme. Pritet që diversifikimi i përgjithshëm i strukturës së eksportit të përfitojë nga ekonomia lokale në periudhën afatmesme dhe afatgjatë duke i bërë eksportet më të qëndrueshme. Diversifikimi më i ulët në vitin 2020, shpjegohet nga situata e krijuar nga COVID-19, e cila ka prishur aktivitetin ekonomik dhe rritja pozitive e eksportit të mallrave u nxit kryesisht nga eksporti i metaleve bazë në këtë periudhë janar-gusht. </w:t>
      </w:r>
    </w:p>
    <w:p w14:paraId="5BA52776" w14:textId="77777777" w:rsidR="00EA106B" w:rsidRPr="004E5A6E" w:rsidRDefault="00EA106B" w:rsidP="00EA106B">
      <w:pPr>
        <w:spacing w:before="120" w:after="240" w:line="276" w:lineRule="auto"/>
        <w:jc w:val="both"/>
        <w:rPr>
          <w:color w:val="auto"/>
          <w:lang w:val="sq-AL"/>
        </w:rPr>
      </w:pPr>
      <w:r w:rsidRPr="004E5A6E">
        <w:rPr>
          <w:b/>
          <w:color w:val="auto"/>
          <w:lang w:val="sq-AL"/>
        </w:rPr>
        <w:t xml:space="preserve">Importi i mallrave </w:t>
      </w:r>
      <w:r w:rsidRPr="004E5A6E">
        <w:rPr>
          <w:bCs/>
          <w:color w:val="auto"/>
          <w:lang w:val="sq-AL"/>
        </w:rPr>
        <w:t>gjatë periudhës janar-gusht 2020 është ulur për 9.9% nga viti në vit. Kategoritë e mëposhtme kanë kontributin më së shumti në këtë rënie; produktet minerale (-5.3 pp) të cilat ranë me 35% nga viti në vit dhe mjetet e transportit (-1.4 pp) të cilat ranë me 15.7 vit pas viti</w:t>
      </w:r>
      <w:r w:rsidRPr="004E5A6E">
        <w:rPr>
          <w:color w:val="auto"/>
          <w:lang w:val="sq-AL"/>
        </w:rPr>
        <w:t>. Struktura e importeve të mallrave nga vende dhe grupe të ndryshme të vendeve ka qenë relativisht konstante gjatë gjithë viteve me partnerët kryesorë të BE-së dhe shteteve anëtare të CEFTA-s. Sidoqoftë, pjesa e importit të mallrave nga vendet e BE është rritur në vitet e fundit. Këto zhvillime janë pjesërisht për shkak të efektit të MSA-së. Importi i mallrave për vitin 2020 pritet të arrijë në 3,009 milion Euro dhe të ketë një rritje prej -7.0% në terma vjetorë. Importi i mallrave në periudhën afatmesme parashikohet të rritet me 6.9% pas dinamikës së investimeve dhe konsumit.</w:t>
      </w:r>
    </w:p>
    <w:p w14:paraId="286A06DD" w14:textId="403D19BB" w:rsidR="008D7ED4" w:rsidRPr="004E5A6E" w:rsidRDefault="00EA106B" w:rsidP="008D7ED4">
      <w:pPr>
        <w:spacing w:before="120" w:after="240" w:line="276" w:lineRule="auto"/>
        <w:jc w:val="both"/>
        <w:rPr>
          <w:color w:val="auto"/>
          <w:lang w:val="sq-AL"/>
        </w:rPr>
      </w:pPr>
      <w:r w:rsidRPr="004E5A6E">
        <w:rPr>
          <w:b/>
          <w:color w:val="auto"/>
          <w:lang w:val="sq-AL"/>
        </w:rPr>
        <w:t xml:space="preserve">Importi i shërbimeve </w:t>
      </w:r>
      <w:r w:rsidRPr="004E5A6E">
        <w:rPr>
          <w:bCs/>
          <w:color w:val="auto"/>
          <w:lang w:val="sq-AL"/>
        </w:rPr>
        <w:t>nga ana tjetër, ishte 26.7% më i ulët se ai i regjistruar në të njëjtën periudhë të vitit 2019</w:t>
      </w:r>
      <w:r w:rsidRPr="004E5A6E">
        <w:rPr>
          <w:color w:val="auto"/>
          <w:lang w:val="sq-AL"/>
        </w:rPr>
        <w:t xml:space="preserve">Importet e shërbimeve të udhëtimit kontribuan (-21.9 pp) dhe patën një rënie prej 45.5% nga viti në vit, dhe importi i shërbimeve të teknologjisë së informacionit dhe komunikimit u ul me 28.1% nga viti në vit duke kontribuar negativisht me 1.7 pp. Importi i shërbimeve për 2020 pritet të arrijë 599 milion Euro dhe të regjistrojë </w:t>
      </w:r>
      <w:r w:rsidR="008D7ED4" w:rsidRPr="004E5A6E">
        <w:rPr>
          <w:color w:val="auto"/>
          <w:lang w:val="sq-AL"/>
        </w:rPr>
        <w:t>20.1% rënie në terma vjetorë. Gjatë periudhës afatmesme, importi i shërbimeve pritet të rritet me 9.7%.</w:t>
      </w:r>
    </w:p>
    <w:p w14:paraId="45141B68" w14:textId="77777777" w:rsidR="008D7ED4" w:rsidRPr="004E5A6E" w:rsidRDefault="008D7ED4" w:rsidP="008D7ED4">
      <w:pPr>
        <w:spacing w:before="120" w:after="240" w:line="276" w:lineRule="auto"/>
        <w:jc w:val="both"/>
        <w:rPr>
          <w:color w:val="auto"/>
          <w:lang w:val="sq-AL"/>
        </w:rPr>
      </w:pPr>
    </w:p>
    <w:p w14:paraId="77F113DE" w14:textId="088DA1B5" w:rsidR="008D7ED4" w:rsidRPr="004E5A6E" w:rsidRDefault="008D7ED4" w:rsidP="008D7ED4">
      <w:pPr>
        <w:pStyle w:val="Caption"/>
        <w:keepNext/>
        <w:tabs>
          <w:tab w:val="left" w:pos="180"/>
        </w:tabs>
        <w:spacing w:after="0"/>
        <w:rPr>
          <w:rFonts w:ascii="Times New Roman" w:hAnsi="Times New Roman"/>
          <w:b/>
          <w:i w:val="0"/>
          <w:color w:val="auto"/>
          <w:sz w:val="20"/>
          <w:szCs w:val="20"/>
          <w:lang w:val="sq-AL"/>
        </w:rPr>
      </w:pPr>
      <w:bookmarkStart w:id="117" w:name="_Toc57722681"/>
      <w:r w:rsidRPr="004E5A6E">
        <w:rPr>
          <w:rFonts w:ascii="Times New Roman" w:hAnsi="Times New Roman"/>
          <w:b/>
          <w:i w:val="0"/>
          <w:color w:val="auto"/>
          <w:sz w:val="20"/>
          <w:szCs w:val="20"/>
          <w:lang w:val="sq-AL"/>
        </w:rPr>
        <w:t xml:space="preserve">Figure </w:t>
      </w:r>
      <w:r w:rsidRPr="004E5A6E">
        <w:rPr>
          <w:rFonts w:ascii="Times New Roman" w:hAnsi="Times New Roman"/>
          <w:b/>
          <w:i w:val="0"/>
          <w:color w:val="auto"/>
          <w:sz w:val="20"/>
          <w:szCs w:val="20"/>
          <w:lang w:val="sq-AL"/>
        </w:rPr>
        <w:fldChar w:fldCharType="begin"/>
      </w:r>
      <w:r w:rsidRPr="004E5A6E">
        <w:rPr>
          <w:rFonts w:ascii="Times New Roman" w:hAnsi="Times New Roman"/>
          <w:b/>
          <w:i w:val="0"/>
          <w:color w:val="auto"/>
          <w:sz w:val="20"/>
          <w:szCs w:val="20"/>
          <w:lang w:val="sq-AL"/>
        </w:rPr>
        <w:instrText xml:space="preserve"> SEQ Figure \* ARABIC </w:instrText>
      </w:r>
      <w:r w:rsidRPr="004E5A6E">
        <w:rPr>
          <w:rFonts w:ascii="Times New Roman" w:hAnsi="Times New Roman"/>
          <w:b/>
          <w:i w:val="0"/>
          <w:color w:val="auto"/>
          <w:sz w:val="20"/>
          <w:szCs w:val="20"/>
          <w:lang w:val="sq-AL"/>
        </w:rPr>
        <w:fldChar w:fldCharType="separate"/>
      </w:r>
      <w:r w:rsidR="00FA7C77" w:rsidRPr="004E5A6E">
        <w:rPr>
          <w:rFonts w:ascii="Times New Roman" w:hAnsi="Times New Roman"/>
          <w:b/>
          <w:i w:val="0"/>
          <w:noProof/>
          <w:color w:val="auto"/>
          <w:sz w:val="20"/>
          <w:szCs w:val="20"/>
          <w:lang w:val="sq-AL"/>
        </w:rPr>
        <w:t>6</w:t>
      </w:r>
      <w:r w:rsidRPr="004E5A6E">
        <w:rPr>
          <w:rFonts w:ascii="Times New Roman" w:hAnsi="Times New Roman"/>
          <w:b/>
          <w:i w:val="0"/>
          <w:color w:val="auto"/>
          <w:sz w:val="20"/>
          <w:szCs w:val="20"/>
          <w:lang w:val="sq-AL"/>
        </w:rPr>
        <w:fldChar w:fldCharType="end"/>
      </w:r>
      <w:r w:rsidRPr="004E5A6E">
        <w:rPr>
          <w:rFonts w:ascii="Times New Roman" w:hAnsi="Times New Roman"/>
          <w:b/>
          <w:i w:val="0"/>
          <w:color w:val="auto"/>
          <w:sz w:val="20"/>
          <w:szCs w:val="20"/>
          <w:lang w:val="sq-AL"/>
        </w:rPr>
        <w:t xml:space="preserve"> Indeksi i hapjes së tregtisë</w:t>
      </w:r>
      <w:bookmarkEnd w:id="117"/>
    </w:p>
    <w:p w14:paraId="09D52856" w14:textId="1ED3D91E" w:rsidR="00EA106B" w:rsidRPr="004E5A6E" w:rsidRDefault="008D7ED4" w:rsidP="008D7ED4">
      <w:pPr>
        <w:spacing w:before="120" w:after="240" w:line="276" w:lineRule="auto"/>
        <w:jc w:val="both"/>
        <w:rPr>
          <w:color w:val="auto"/>
          <w:lang w:val="sq-AL"/>
        </w:rPr>
      </w:pPr>
      <w:r w:rsidRPr="004E5A6E">
        <w:rPr>
          <w:noProof/>
          <w:lang w:val="en-US"/>
        </w:rPr>
        <w:drawing>
          <wp:inline distT="0" distB="0" distL="0" distR="0" wp14:anchorId="62F0675D" wp14:editId="37A97F60">
            <wp:extent cx="5429250" cy="21621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EA106B" w:rsidRPr="004E5A6E">
        <w:rPr>
          <w:color w:val="auto"/>
          <w:lang w:val="sq-AL"/>
        </w:rPr>
        <w:t xml:space="preserve"> </w:t>
      </w:r>
    </w:p>
    <w:p w14:paraId="5179168D" w14:textId="45740286" w:rsidR="00EA106B" w:rsidRPr="004E5A6E" w:rsidRDefault="008D7ED4" w:rsidP="00EA106B">
      <w:pPr>
        <w:spacing w:before="240" w:after="120" w:line="276" w:lineRule="auto"/>
        <w:jc w:val="both"/>
        <w:rPr>
          <w:color w:val="auto"/>
          <w:lang w:val="sq-AL"/>
        </w:rPr>
      </w:pPr>
      <w:r w:rsidRPr="004E5A6E">
        <w:rPr>
          <w:noProof/>
          <w:color w:val="auto"/>
          <w:lang w:val="en-US"/>
        </w:rPr>
        <mc:AlternateContent>
          <mc:Choice Requires="wps">
            <w:drawing>
              <wp:anchor distT="0" distB="0" distL="114300" distR="114300" simplePos="0" relativeHeight="251636736" behindDoc="1" locked="0" layoutInCell="1" allowOverlap="1" wp14:anchorId="39C39C53" wp14:editId="4D98C8DF">
                <wp:simplePos x="0" y="0"/>
                <wp:positionH relativeFrom="margin">
                  <wp:align>left</wp:align>
                </wp:positionH>
                <wp:positionV relativeFrom="paragraph">
                  <wp:posOffset>633730</wp:posOffset>
                </wp:positionV>
                <wp:extent cx="3143250" cy="182880"/>
                <wp:effectExtent l="0" t="0" r="0" b="7620"/>
                <wp:wrapTight wrapText="bothSides">
                  <wp:wrapPolygon edited="0">
                    <wp:start x="0" y="0"/>
                    <wp:lineTo x="0" y="20250"/>
                    <wp:lineTo x="21469" y="20250"/>
                    <wp:lineTo x="21469"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3143250" cy="182880"/>
                        </a:xfrm>
                        <a:prstGeom prst="rect">
                          <a:avLst/>
                        </a:prstGeom>
                        <a:solidFill>
                          <a:prstClr val="white"/>
                        </a:solidFill>
                        <a:ln>
                          <a:noFill/>
                        </a:ln>
                      </wps:spPr>
                      <wps:txbx>
                        <w:txbxContent>
                          <w:p w14:paraId="04B47E7A" w14:textId="77777777" w:rsidR="00713DEA" w:rsidRPr="00770F42" w:rsidRDefault="00713DEA" w:rsidP="00EA106B">
                            <w:pPr>
                              <w:pStyle w:val="Caption"/>
                              <w:rPr>
                                <w:rFonts w:eastAsiaTheme="minorHAnsi"/>
                                <w:noProof/>
                                <w:color w:val="auto"/>
                                <w:lang w:val="en-US"/>
                              </w:rPr>
                            </w:pPr>
                            <w:r w:rsidRPr="00C57B9B">
                              <w:rPr>
                                <w:rFonts w:eastAsiaTheme="minorHAnsi"/>
                                <w:noProof/>
                                <w:color w:val="auto"/>
                                <w:lang w:val="en-US"/>
                              </w:rPr>
                              <w:t>Burimi, të dhënat e Bankës Botërore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39C53" id="Text Box 8" o:spid="_x0000_s1029" type="#_x0000_t202" style="position:absolute;left:0;text-align:left;margin-left:0;margin-top:49.9pt;width:247.5pt;height:14.4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" stroked="f">
                <v:textbox inset="0,0,0,0">
                  <w:txbxContent>
                    <w:p w14:paraId="04B47E7A" w14:textId="77777777" w:rsidR="00713DEA" w:rsidRPr="00770F42" w:rsidRDefault="00713DEA" w:rsidP="00EA106B">
                      <w:pPr>
                        <w:pStyle w:val="Caption"/>
                        <w:rPr>
                          <w:rFonts w:eastAsiaTheme="minorHAnsi"/>
                          <w:noProof/>
                          <w:color w:val="auto"/>
                          <w:lang w:val="en-US"/>
                        </w:rPr>
                      </w:pPr>
                      <w:r w:rsidRPr="00C57B9B">
                        <w:rPr>
                          <w:rFonts w:eastAsiaTheme="minorHAnsi"/>
                          <w:noProof/>
                          <w:color w:val="auto"/>
                          <w:lang w:val="en-US"/>
                        </w:rPr>
                        <w:t>Burimi, të dhënat e Bankës Botërore</w:t>
                      </w:r>
                    </w:p>
                  </w:txbxContent>
                </v:textbox>
                <w10:wrap type="tight" anchorx="margin"/>
              </v:shape>
            </w:pict>
          </mc:Fallback>
        </mc:AlternateContent>
      </w:r>
      <w:r w:rsidR="00EA106B" w:rsidRPr="004E5A6E">
        <w:rPr>
          <w:color w:val="auto"/>
          <w:lang w:val="sq-AL"/>
        </w:rPr>
        <w:t xml:space="preserve"> Në përgjithësi, pavarësisht se është një ekonomi e vogël e hapur (land-locked) me një regjim tregtar liberal, Kosova karakterizohet me një </w:t>
      </w:r>
      <w:r w:rsidR="00EA106B" w:rsidRPr="004E5A6E">
        <w:rPr>
          <w:b/>
          <w:color w:val="auto"/>
          <w:lang w:val="sq-AL"/>
        </w:rPr>
        <w:t xml:space="preserve">hapje </w:t>
      </w:r>
      <w:r w:rsidR="00EA106B" w:rsidRPr="004E5A6E">
        <w:rPr>
          <w:b/>
          <w:bCs/>
          <w:color w:val="auto"/>
          <w:lang w:val="sq-AL"/>
        </w:rPr>
        <w:t>tregtare</w:t>
      </w:r>
      <w:r w:rsidR="00EA106B" w:rsidRPr="004E5A6E">
        <w:rPr>
          <w:color w:val="auto"/>
          <w:lang w:val="sq-AL"/>
        </w:rPr>
        <w:t xml:space="preserve"> </w:t>
      </w:r>
      <w:r w:rsidR="00EA106B" w:rsidRPr="004E5A6E">
        <w:rPr>
          <w:rStyle w:val="FootnoteReference"/>
          <w:bCs/>
          <w:color w:val="auto"/>
          <w:lang w:val="sq-AL"/>
        </w:rPr>
        <w:footnoteReference w:id="8"/>
      </w:r>
      <w:r w:rsidR="00EA106B" w:rsidRPr="004E5A6E">
        <w:rPr>
          <w:b/>
          <w:bCs/>
          <w:color w:val="auto"/>
          <w:lang w:val="sq-AL"/>
        </w:rPr>
        <w:t xml:space="preserve"> </w:t>
      </w:r>
      <w:r w:rsidR="00EA106B" w:rsidRPr="004E5A6E">
        <w:rPr>
          <w:color w:val="auto"/>
          <w:lang w:val="sq-AL"/>
        </w:rPr>
        <w:t xml:space="preserve">më e </w:t>
      </w:r>
      <w:r w:rsidR="00EA106B" w:rsidRPr="004E5A6E">
        <w:rPr>
          <w:bCs/>
          <w:color w:val="auto"/>
          <w:lang w:val="sq-AL"/>
        </w:rPr>
        <w:t>ulët</w:t>
      </w:r>
      <w:r w:rsidR="00EA106B" w:rsidRPr="004E5A6E">
        <w:rPr>
          <w:b/>
          <w:bCs/>
          <w:color w:val="auto"/>
          <w:lang w:val="sq-AL"/>
        </w:rPr>
        <w:t xml:space="preserve"> </w:t>
      </w:r>
      <w:r w:rsidR="00EA106B" w:rsidRPr="004E5A6E">
        <w:rPr>
          <w:color w:val="auto"/>
          <w:lang w:val="sq-AL"/>
        </w:rPr>
        <w:t xml:space="preserve">në krahasim me shumicën e vendeve fqinje. Arsyet prapa këtij pretendimi janë si më poshtë: ndërsa niveli i importit vazhdon të jetë i lartë, eksporti mbetet i ulët, që paraqet një nga sfidat kryesore strukturore me të cilat po përballet ekonomia e Kosovës. Sidoqoftë, gjatë tre viteve të fundit ekonomia e Kosovës ka përjetuar një nivel më të lartë të hapjes së tregtisë. Ndryshimet e fundit të politikës fiskale për të stimuluar prodhimin e brendshëm dhe zbatimin e mëtejshëm të MSA pritet të rrisin eksportet dhe të heqin më tej pengesat tregtare.  </w:t>
      </w:r>
    </w:p>
    <w:p w14:paraId="2D62F89D" w14:textId="77777777" w:rsidR="00F0069A" w:rsidRPr="004E5A6E" w:rsidRDefault="00EA106B" w:rsidP="00EA106B">
      <w:pPr>
        <w:spacing w:before="240" w:after="120" w:line="276" w:lineRule="auto"/>
        <w:jc w:val="both"/>
        <w:rPr>
          <w:i/>
          <w:iCs/>
          <w:color w:val="auto"/>
          <w:lang w:val="sq-AL"/>
        </w:rPr>
      </w:pPr>
      <w:r w:rsidRPr="004E5A6E">
        <w:rPr>
          <w:color w:val="auto"/>
          <w:lang w:val="sq-AL"/>
        </w:rPr>
        <w:t>Deficiti i mallrave gjatë periudhës janar-gusht 2020 u ngushtua me rreth 13%, ndërsa teprica e shërbimeve gjatë kësaj periudhe shënoi një rënie me 62.2%. Kjo rënie e bilancit të shërbimeve reflektohet kryesisht në kategorinë e udhëtimit dhe transportit</w:t>
      </w:r>
      <w:r w:rsidR="00F0069A" w:rsidRPr="004E5A6E">
        <w:rPr>
          <w:color w:val="auto"/>
          <w:lang w:val="sq-AL"/>
        </w:rPr>
        <w:t>.</w:t>
      </w:r>
    </w:p>
    <w:bookmarkEnd w:id="69"/>
    <w:p w14:paraId="48E86D43" w14:textId="77777777" w:rsidR="00F010B4" w:rsidRPr="004E5A6E" w:rsidRDefault="00F010B4" w:rsidP="00F010B4">
      <w:pPr>
        <w:jc w:val="both"/>
        <w:rPr>
          <w:color w:val="auto"/>
          <w:lang w:val="sq-AL"/>
        </w:rPr>
      </w:pPr>
      <w:r w:rsidRPr="004E5A6E">
        <w:rPr>
          <w:b/>
          <w:color w:val="auto"/>
          <w:lang w:val="sq-AL"/>
        </w:rPr>
        <w:t xml:space="preserve">Në periudhën afatmesme, </w:t>
      </w:r>
      <w:r w:rsidRPr="004E5A6E">
        <w:rPr>
          <w:color w:val="auto"/>
          <w:lang w:val="sq-AL"/>
        </w:rPr>
        <w:t>pritet që eksporti dhe importi të kthehen në nivelet e tyre historike, në përputhje me zhvillimet e jashtme dhe parashikimet e kërkesës agregate. Parashikimet kanë pasiguri të madhe, që vjen për shkak të situatës së krijuar me pandeminë COVID-19, megjithatë parashikohet një kthim në normalitet në periudhën afatmesme.</w:t>
      </w:r>
    </w:p>
    <w:p w14:paraId="36E57136" w14:textId="77777777" w:rsidR="00EE37A9" w:rsidRPr="004E5A6E" w:rsidRDefault="00EE37A9" w:rsidP="00EE37A9">
      <w:pPr>
        <w:pStyle w:val="Caption"/>
        <w:keepNext/>
        <w:spacing w:after="0" w:line="276" w:lineRule="auto"/>
        <w:jc w:val="both"/>
        <w:rPr>
          <w:rFonts w:ascii="Times New Roman" w:hAnsi="Times New Roman"/>
          <w:b/>
          <w:i w:val="0"/>
          <w:color w:val="auto"/>
          <w:lang w:val="sq-AL"/>
        </w:rPr>
      </w:pPr>
    </w:p>
    <w:p w14:paraId="17B46F18" w14:textId="77777777" w:rsidR="00F010B4" w:rsidRPr="004E5A6E" w:rsidRDefault="00F010B4" w:rsidP="00EE37A9">
      <w:pPr>
        <w:pStyle w:val="Caption"/>
        <w:keepNext/>
        <w:spacing w:after="0" w:line="276" w:lineRule="auto"/>
        <w:jc w:val="both"/>
        <w:rPr>
          <w:rFonts w:ascii="Times New Roman" w:hAnsi="Times New Roman"/>
          <w:b/>
          <w:i w:val="0"/>
          <w:color w:val="auto"/>
          <w:lang w:val="sq-AL"/>
        </w:rPr>
      </w:pPr>
      <w:bookmarkStart w:id="118" w:name="_Toc57724399"/>
      <w:r w:rsidRPr="004E5A6E">
        <w:rPr>
          <w:rFonts w:ascii="Times New Roman" w:hAnsi="Times New Roman"/>
          <w:b/>
          <w:i w:val="0"/>
          <w:color w:val="auto"/>
          <w:lang w:val="sq-AL"/>
        </w:rPr>
        <w:t xml:space="preserve">Tabela </w:t>
      </w:r>
      <w:r w:rsidRPr="004E5A6E">
        <w:rPr>
          <w:rFonts w:ascii="Times New Roman" w:hAnsi="Times New Roman"/>
          <w:b/>
          <w:i w:val="0"/>
          <w:color w:val="auto"/>
          <w:lang w:val="sq-AL"/>
        </w:rPr>
        <w:fldChar w:fldCharType="begin"/>
      </w:r>
      <w:r w:rsidRPr="004E5A6E">
        <w:rPr>
          <w:rFonts w:ascii="Times New Roman" w:hAnsi="Times New Roman"/>
          <w:b/>
          <w:i w:val="0"/>
          <w:color w:val="auto"/>
          <w:lang w:val="sq-AL"/>
        </w:rPr>
        <w:instrText xml:space="preserve"> SEQ Table \* ARABIC </w:instrText>
      </w:r>
      <w:r w:rsidRPr="004E5A6E">
        <w:rPr>
          <w:rFonts w:ascii="Times New Roman" w:hAnsi="Times New Roman"/>
          <w:b/>
          <w:i w:val="0"/>
          <w:color w:val="auto"/>
          <w:lang w:val="sq-AL"/>
        </w:rPr>
        <w:fldChar w:fldCharType="separate"/>
      </w:r>
      <w:r w:rsidRPr="004E5A6E">
        <w:rPr>
          <w:rFonts w:ascii="Times New Roman" w:hAnsi="Times New Roman"/>
          <w:b/>
          <w:i w:val="0"/>
          <w:color w:val="auto"/>
          <w:lang w:val="sq-AL"/>
        </w:rPr>
        <w:t>5</w:t>
      </w:r>
      <w:r w:rsidRPr="004E5A6E">
        <w:rPr>
          <w:rFonts w:ascii="Times New Roman" w:hAnsi="Times New Roman"/>
          <w:b/>
          <w:i w:val="0"/>
          <w:color w:val="auto"/>
          <w:lang w:val="sq-AL"/>
        </w:rPr>
        <w:fldChar w:fldCharType="end"/>
      </w:r>
      <w:r w:rsidRPr="004E5A6E">
        <w:rPr>
          <w:rFonts w:ascii="Times New Roman" w:hAnsi="Times New Roman"/>
          <w:b/>
          <w:i w:val="0"/>
          <w:color w:val="auto"/>
          <w:lang w:val="sq-AL"/>
        </w:rPr>
        <w:t xml:space="preserve"> Eksporti dhe Importi i mallrave dhe shërbimeve</w:t>
      </w:r>
      <w:bookmarkEnd w:id="1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3670"/>
        <w:gridCol w:w="990"/>
        <w:gridCol w:w="990"/>
        <w:gridCol w:w="991"/>
        <w:gridCol w:w="989"/>
        <w:gridCol w:w="984"/>
      </w:tblGrid>
      <w:tr w:rsidR="00F010B4" w:rsidRPr="004E5A6E" w14:paraId="2A258B21" w14:textId="77777777" w:rsidTr="00D6295F">
        <w:trPr>
          <w:trHeight w:val="242"/>
        </w:trPr>
        <w:tc>
          <w:tcPr>
            <w:tcW w:w="1985" w:type="pct"/>
            <w:shd w:val="clear" w:color="auto" w:fill="DEEAF6" w:themeFill="accent1" w:themeFillTint="33"/>
            <w:noWrap/>
            <w:vAlign w:val="bottom"/>
            <w:hideMark/>
          </w:tcPr>
          <w:p w14:paraId="0016B7B3" w14:textId="77777777" w:rsidR="00F010B4" w:rsidRPr="004E5A6E" w:rsidRDefault="00F010B4" w:rsidP="00D6295F">
            <w:pPr>
              <w:tabs>
                <w:tab w:val="left" w:pos="180"/>
              </w:tabs>
              <w:rPr>
                <w:color w:val="auto"/>
                <w:sz w:val="18"/>
                <w:lang w:val="sq-AL"/>
              </w:rPr>
            </w:pPr>
            <w:r w:rsidRPr="004E5A6E">
              <w:rPr>
                <w:color w:val="auto"/>
                <w:sz w:val="18"/>
                <w:lang w:val="sq-AL"/>
              </w:rPr>
              <w:t>% e ndryshimeve, përveç nëse shprehet ndryshe</w:t>
            </w:r>
          </w:p>
        </w:tc>
        <w:tc>
          <w:tcPr>
            <w:tcW w:w="604" w:type="pct"/>
            <w:tcBorders>
              <w:bottom w:val="single" w:sz="4" w:space="0" w:color="auto"/>
            </w:tcBorders>
            <w:shd w:val="clear" w:color="auto" w:fill="DEEAF6" w:themeFill="accent1" w:themeFillTint="33"/>
            <w:noWrap/>
            <w:vAlign w:val="bottom"/>
            <w:hideMark/>
          </w:tcPr>
          <w:p w14:paraId="0292088D" w14:textId="77777777" w:rsidR="00F010B4" w:rsidRPr="004E5A6E" w:rsidRDefault="00F010B4" w:rsidP="00D562BB">
            <w:pPr>
              <w:tabs>
                <w:tab w:val="left" w:pos="180"/>
              </w:tabs>
              <w:jc w:val="center"/>
              <w:rPr>
                <w:b/>
                <w:bCs/>
                <w:color w:val="auto"/>
                <w:sz w:val="18"/>
                <w:lang w:val="sq-AL"/>
              </w:rPr>
            </w:pPr>
            <w:r w:rsidRPr="004E5A6E">
              <w:rPr>
                <w:b/>
                <w:bCs/>
                <w:color w:val="auto"/>
                <w:sz w:val="18"/>
                <w:lang w:val="sq-AL"/>
              </w:rPr>
              <w:t>2019</w:t>
            </w:r>
          </w:p>
        </w:tc>
        <w:tc>
          <w:tcPr>
            <w:tcW w:w="604" w:type="pct"/>
            <w:tcBorders>
              <w:bottom w:val="single" w:sz="4" w:space="0" w:color="auto"/>
            </w:tcBorders>
            <w:shd w:val="clear" w:color="auto" w:fill="DEEAF6" w:themeFill="accent1" w:themeFillTint="33"/>
            <w:noWrap/>
            <w:vAlign w:val="bottom"/>
            <w:hideMark/>
          </w:tcPr>
          <w:p w14:paraId="375EB761" w14:textId="77777777" w:rsidR="00F010B4" w:rsidRPr="004E5A6E" w:rsidRDefault="00F010B4" w:rsidP="00D562BB">
            <w:pPr>
              <w:tabs>
                <w:tab w:val="left" w:pos="180"/>
              </w:tabs>
              <w:jc w:val="center"/>
              <w:rPr>
                <w:b/>
                <w:bCs/>
                <w:color w:val="auto"/>
                <w:sz w:val="18"/>
                <w:lang w:val="sq-AL"/>
              </w:rPr>
            </w:pPr>
            <w:r w:rsidRPr="004E5A6E">
              <w:rPr>
                <w:b/>
                <w:bCs/>
                <w:color w:val="auto"/>
                <w:sz w:val="18"/>
                <w:lang w:val="sq-AL"/>
              </w:rPr>
              <w:t>2020</w:t>
            </w:r>
          </w:p>
        </w:tc>
        <w:tc>
          <w:tcPr>
            <w:tcW w:w="604" w:type="pct"/>
            <w:tcBorders>
              <w:bottom w:val="single" w:sz="4" w:space="0" w:color="auto"/>
            </w:tcBorders>
            <w:shd w:val="clear" w:color="auto" w:fill="DEEAF6" w:themeFill="accent1" w:themeFillTint="33"/>
            <w:noWrap/>
            <w:vAlign w:val="bottom"/>
            <w:hideMark/>
          </w:tcPr>
          <w:p w14:paraId="47ADE789" w14:textId="77777777" w:rsidR="00F010B4" w:rsidRPr="004E5A6E" w:rsidRDefault="00F010B4" w:rsidP="00D562BB">
            <w:pPr>
              <w:tabs>
                <w:tab w:val="left" w:pos="180"/>
              </w:tabs>
              <w:jc w:val="center"/>
              <w:rPr>
                <w:b/>
                <w:bCs/>
                <w:color w:val="auto"/>
                <w:sz w:val="18"/>
                <w:lang w:val="sq-AL"/>
              </w:rPr>
            </w:pPr>
            <w:r w:rsidRPr="004E5A6E">
              <w:rPr>
                <w:b/>
                <w:bCs/>
                <w:color w:val="auto"/>
                <w:sz w:val="18"/>
                <w:lang w:val="sq-AL"/>
              </w:rPr>
              <w:t>2021</w:t>
            </w:r>
          </w:p>
        </w:tc>
        <w:tc>
          <w:tcPr>
            <w:tcW w:w="603" w:type="pct"/>
            <w:tcBorders>
              <w:bottom w:val="single" w:sz="4" w:space="0" w:color="auto"/>
            </w:tcBorders>
            <w:shd w:val="clear" w:color="auto" w:fill="DEEAF6" w:themeFill="accent1" w:themeFillTint="33"/>
            <w:noWrap/>
            <w:vAlign w:val="bottom"/>
            <w:hideMark/>
          </w:tcPr>
          <w:p w14:paraId="75985E97" w14:textId="77777777" w:rsidR="00F010B4" w:rsidRPr="004E5A6E" w:rsidRDefault="00F010B4" w:rsidP="00D562BB">
            <w:pPr>
              <w:tabs>
                <w:tab w:val="left" w:pos="180"/>
              </w:tabs>
              <w:jc w:val="center"/>
              <w:rPr>
                <w:b/>
                <w:bCs/>
                <w:color w:val="auto"/>
                <w:sz w:val="18"/>
                <w:lang w:val="sq-AL"/>
              </w:rPr>
            </w:pPr>
            <w:r w:rsidRPr="004E5A6E">
              <w:rPr>
                <w:b/>
                <w:bCs/>
                <w:color w:val="auto"/>
                <w:sz w:val="18"/>
                <w:lang w:val="sq-AL"/>
              </w:rPr>
              <w:t>2022</w:t>
            </w:r>
          </w:p>
        </w:tc>
        <w:tc>
          <w:tcPr>
            <w:tcW w:w="600" w:type="pct"/>
            <w:tcBorders>
              <w:bottom w:val="single" w:sz="4" w:space="0" w:color="auto"/>
            </w:tcBorders>
            <w:shd w:val="clear" w:color="auto" w:fill="DEEAF6" w:themeFill="accent1" w:themeFillTint="33"/>
          </w:tcPr>
          <w:p w14:paraId="7171AF4E" w14:textId="77777777" w:rsidR="00F010B4" w:rsidRPr="004E5A6E" w:rsidRDefault="00F010B4" w:rsidP="00D562BB">
            <w:pPr>
              <w:tabs>
                <w:tab w:val="left" w:pos="180"/>
              </w:tabs>
              <w:jc w:val="center"/>
              <w:rPr>
                <w:b/>
                <w:bCs/>
                <w:color w:val="auto"/>
                <w:sz w:val="18"/>
                <w:lang w:val="sq-AL"/>
              </w:rPr>
            </w:pPr>
          </w:p>
          <w:p w14:paraId="315F2545" w14:textId="77777777" w:rsidR="00F010B4" w:rsidRPr="004E5A6E" w:rsidRDefault="00F010B4" w:rsidP="00D562BB">
            <w:pPr>
              <w:tabs>
                <w:tab w:val="left" w:pos="180"/>
              </w:tabs>
              <w:jc w:val="center"/>
              <w:rPr>
                <w:b/>
                <w:bCs/>
                <w:color w:val="auto"/>
                <w:sz w:val="18"/>
                <w:lang w:val="sq-AL"/>
              </w:rPr>
            </w:pPr>
            <w:r w:rsidRPr="004E5A6E">
              <w:rPr>
                <w:b/>
                <w:bCs/>
                <w:color w:val="auto"/>
                <w:sz w:val="18"/>
                <w:lang w:val="sq-AL"/>
              </w:rPr>
              <w:t>2023</w:t>
            </w:r>
          </w:p>
        </w:tc>
      </w:tr>
      <w:tr w:rsidR="00F010B4" w:rsidRPr="004E5A6E" w14:paraId="6C008C55" w14:textId="77777777" w:rsidTr="00D6295F">
        <w:trPr>
          <w:trHeight w:val="269"/>
        </w:trPr>
        <w:tc>
          <w:tcPr>
            <w:tcW w:w="1985" w:type="pct"/>
            <w:shd w:val="clear" w:color="auto" w:fill="DEEAF6" w:themeFill="accent1" w:themeFillTint="33"/>
            <w:noWrap/>
            <w:vAlign w:val="bottom"/>
            <w:hideMark/>
          </w:tcPr>
          <w:p w14:paraId="7D573A44" w14:textId="77777777" w:rsidR="00F010B4" w:rsidRPr="004E5A6E" w:rsidRDefault="00F010B4" w:rsidP="00D6295F">
            <w:pPr>
              <w:tabs>
                <w:tab w:val="left" w:pos="180"/>
              </w:tabs>
              <w:rPr>
                <w:b/>
                <w:bCs/>
                <w:color w:val="auto"/>
                <w:sz w:val="18"/>
                <w:lang w:val="sq-AL"/>
              </w:rPr>
            </w:pPr>
            <w:r w:rsidRPr="004E5A6E">
              <w:rPr>
                <w:b/>
                <w:bCs/>
                <w:color w:val="auto"/>
                <w:sz w:val="18"/>
                <w:lang w:val="sq-AL"/>
              </w:rPr>
              <w:t>Eksportet (nominale në milion euro)</w:t>
            </w:r>
          </w:p>
        </w:tc>
        <w:tc>
          <w:tcPr>
            <w:tcW w:w="604" w:type="pct"/>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16633545" w14:textId="77777777" w:rsidR="00F010B4" w:rsidRPr="004E5A6E" w:rsidRDefault="00F010B4" w:rsidP="00D562BB">
            <w:pPr>
              <w:tabs>
                <w:tab w:val="left" w:pos="180"/>
              </w:tabs>
              <w:jc w:val="center"/>
              <w:rPr>
                <w:color w:val="auto"/>
                <w:sz w:val="18"/>
                <w:lang w:val="sq-AL"/>
              </w:rPr>
            </w:pPr>
            <w:r w:rsidRPr="004E5A6E">
              <w:rPr>
                <w:color w:val="auto"/>
                <w:sz w:val="18"/>
                <w:lang w:val="sq-AL"/>
              </w:rPr>
              <w:t>2,070</w:t>
            </w:r>
          </w:p>
        </w:tc>
        <w:tc>
          <w:tcPr>
            <w:tcW w:w="604"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76FF6790" w14:textId="77777777" w:rsidR="00F010B4" w:rsidRPr="004E5A6E" w:rsidRDefault="00F010B4" w:rsidP="00D562BB">
            <w:pPr>
              <w:tabs>
                <w:tab w:val="left" w:pos="180"/>
              </w:tabs>
              <w:jc w:val="center"/>
              <w:rPr>
                <w:color w:val="auto"/>
                <w:sz w:val="18"/>
                <w:lang w:val="sq-AL"/>
              </w:rPr>
            </w:pPr>
            <w:r w:rsidRPr="004E5A6E">
              <w:rPr>
                <w:color w:val="auto"/>
                <w:sz w:val="18"/>
                <w:lang w:val="sq-AL"/>
              </w:rPr>
              <w:t>1,689</w:t>
            </w:r>
          </w:p>
        </w:tc>
        <w:tc>
          <w:tcPr>
            <w:tcW w:w="604"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3F34F4CD" w14:textId="77777777" w:rsidR="00F010B4" w:rsidRPr="004E5A6E" w:rsidRDefault="00F010B4" w:rsidP="00D562BB">
            <w:pPr>
              <w:tabs>
                <w:tab w:val="left" w:pos="180"/>
              </w:tabs>
              <w:jc w:val="center"/>
              <w:rPr>
                <w:color w:val="auto"/>
                <w:sz w:val="18"/>
                <w:lang w:val="sq-AL"/>
              </w:rPr>
            </w:pPr>
            <w:r w:rsidRPr="004E5A6E">
              <w:rPr>
                <w:color w:val="auto"/>
                <w:sz w:val="18"/>
                <w:lang w:val="sq-AL"/>
              </w:rPr>
              <w:t>1,979</w:t>
            </w:r>
          </w:p>
        </w:tc>
        <w:tc>
          <w:tcPr>
            <w:tcW w:w="60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6DA02F1E" w14:textId="77777777" w:rsidR="00F010B4" w:rsidRPr="004E5A6E" w:rsidRDefault="00F010B4" w:rsidP="00D562BB">
            <w:pPr>
              <w:tabs>
                <w:tab w:val="left" w:pos="180"/>
              </w:tabs>
              <w:jc w:val="center"/>
              <w:rPr>
                <w:color w:val="auto"/>
                <w:sz w:val="18"/>
                <w:lang w:val="sq-AL"/>
              </w:rPr>
            </w:pPr>
            <w:r w:rsidRPr="004E5A6E">
              <w:rPr>
                <w:color w:val="auto"/>
                <w:sz w:val="18"/>
                <w:lang w:val="sq-AL"/>
              </w:rPr>
              <w:t>2,124</w:t>
            </w:r>
          </w:p>
        </w:tc>
        <w:tc>
          <w:tcPr>
            <w:tcW w:w="60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53C7927" w14:textId="77777777" w:rsidR="00F010B4" w:rsidRPr="004E5A6E" w:rsidRDefault="00F010B4" w:rsidP="00D562BB">
            <w:pPr>
              <w:tabs>
                <w:tab w:val="left" w:pos="180"/>
              </w:tabs>
              <w:jc w:val="center"/>
              <w:rPr>
                <w:color w:val="auto"/>
                <w:sz w:val="18"/>
                <w:lang w:val="sq-AL"/>
              </w:rPr>
            </w:pPr>
            <w:r w:rsidRPr="004E5A6E">
              <w:rPr>
                <w:color w:val="auto"/>
                <w:sz w:val="18"/>
                <w:lang w:val="sq-AL"/>
              </w:rPr>
              <w:t>2,280</w:t>
            </w:r>
          </w:p>
        </w:tc>
      </w:tr>
      <w:tr w:rsidR="00F010B4" w:rsidRPr="004E5A6E" w14:paraId="72286320" w14:textId="77777777" w:rsidTr="00D6295F">
        <w:trPr>
          <w:trHeight w:val="80"/>
        </w:trPr>
        <w:tc>
          <w:tcPr>
            <w:tcW w:w="1985" w:type="pct"/>
            <w:shd w:val="clear" w:color="auto" w:fill="DEEAF6" w:themeFill="accent1" w:themeFillTint="33"/>
            <w:noWrap/>
            <w:vAlign w:val="bottom"/>
            <w:hideMark/>
          </w:tcPr>
          <w:p w14:paraId="6C147770" w14:textId="77777777" w:rsidR="00F010B4" w:rsidRPr="004E5A6E" w:rsidRDefault="00F010B4" w:rsidP="00D6295F">
            <w:pPr>
              <w:tabs>
                <w:tab w:val="left" w:pos="180"/>
              </w:tabs>
              <w:rPr>
                <w:b/>
                <w:bCs/>
                <w:color w:val="auto"/>
                <w:sz w:val="18"/>
                <w:lang w:val="sq-AL"/>
              </w:rPr>
            </w:pPr>
            <w:r w:rsidRPr="004E5A6E">
              <w:rPr>
                <w:b/>
                <w:bCs/>
                <w:color w:val="auto"/>
                <w:sz w:val="18"/>
                <w:lang w:val="sq-AL"/>
              </w:rPr>
              <w:t>Eksportet</w:t>
            </w:r>
          </w:p>
        </w:tc>
        <w:tc>
          <w:tcPr>
            <w:tcW w:w="604" w:type="pct"/>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6836E684" w14:textId="77777777" w:rsidR="00F010B4" w:rsidRPr="004E5A6E" w:rsidRDefault="00F010B4" w:rsidP="00D562BB">
            <w:pPr>
              <w:tabs>
                <w:tab w:val="left" w:pos="180"/>
              </w:tabs>
              <w:jc w:val="center"/>
              <w:rPr>
                <w:color w:val="auto"/>
                <w:sz w:val="18"/>
                <w:lang w:val="sq-AL"/>
              </w:rPr>
            </w:pPr>
            <w:r w:rsidRPr="004E5A6E">
              <w:rPr>
                <w:color w:val="auto"/>
                <w:sz w:val="18"/>
                <w:lang w:val="sq-AL"/>
              </w:rPr>
              <w:t>16.4</w:t>
            </w:r>
          </w:p>
        </w:tc>
        <w:tc>
          <w:tcPr>
            <w:tcW w:w="604"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1D364646" w14:textId="77777777" w:rsidR="00F010B4" w:rsidRPr="004E5A6E" w:rsidRDefault="00F010B4" w:rsidP="00D562BB">
            <w:pPr>
              <w:tabs>
                <w:tab w:val="left" w:pos="180"/>
              </w:tabs>
              <w:jc w:val="center"/>
              <w:rPr>
                <w:color w:val="auto"/>
                <w:sz w:val="18"/>
                <w:lang w:val="sq-AL"/>
              </w:rPr>
            </w:pPr>
            <w:r w:rsidRPr="004E5A6E">
              <w:rPr>
                <w:color w:val="auto"/>
                <w:sz w:val="18"/>
                <w:lang w:val="sq-AL"/>
              </w:rPr>
              <w:t>-18.4</w:t>
            </w:r>
          </w:p>
        </w:tc>
        <w:tc>
          <w:tcPr>
            <w:tcW w:w="604"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4632A99F" w14:textId="77777777" w:rsidR="00F010B4" w:rsidRPr="004E5A6E" w:rsidRDefault="00F010B4" w:rsidP="00D562BB">
            <w:pPr>
              <w:tabs>
                <w:tab w:val="left" w:pos="180"/>
              </w:tabs>
              <w:jc w:val="center"/>
              <w:rPr>
                <w:color w:val="auto"/>
                <w:sz w:val="18"/>
                <w:lang w:val="sq-AL"/>
              </w:rPr>
            </w:pPr>
            <w:r w:rsidRPr="004E5A6E">
              <w:rPr>
                <w:color w:val="auto"/>
                <w:sz w:val="18"/>
                <w:lang w:val="sq-AL"/>
              </w:rPr>
              <w:t>17.2</w:t>
            </w:r>
          </w:p>
        </w:tc>
        <w:tc>
          <w:tcPr>
            <w:tcW w:w="60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20A20976" w14:textId="77777777" w:rsidR="00F010B4" w:rsidRPr="004E5A6E" w:rsidRDefault="00F010B4" w:rsidP="00D562BB">
            <w:pPr>
              <w:tabs>
                <w:tab w:val="left" w:pos="180"/>
              </w:tabs>
              <w:jc w:val="center"/>
              <w:rPr>
                <w:color w:val="auto"/>
                <w:sz w:val="18"/>
                <w:lang w:val="sq-AL"/>
              </w:rPr>
            </w:pPr>
            <w:r w:rsidRPr="004E5A6E">
              <w:rPr>
                <w:color w:val="auto"/>
                <w:sz w:val="18"/>
                <w:lang w:val="sq-AL"/>
              </w:rPr>
              <w:t>7.3</w:t>
            </w:r>
          </w:p>
        </w:tc>
        <w:tc>
          <w:tcPr>
            <w:tcW w:w="60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351BF66" w14:textId="77777777" w:rsidR="00F010B4" w:rsidRPr="004E5A6E" w:rsidRDefault="00F010B4" w:rsidP="00D562BB">
            <w:pPr>
              <w:tabs>
                <w:tab w:val="left" w:pos="180"/>
              </w:tabs>
              <w:jc w:val="center"/>
              <w:rPr>
                <w:color w:val="auto"/>
                <w:sz w:val="18"/>
                <w:lang w:val="sq-AL"/>
              </w:rPr>
            </w:pPr>
            <w:r w:rsidRPr="004E5A6E">
              <w:rPr>
                <w:color w:val="auto"/>
                <w:sz w:val="18"/>
                <w:lang w:val="sq-AL"/>
              </w:rPr>
              <w:t>7.3</w:t>
            </w:r>
          </w:p>
        </w:tc>
      </w:tr>
      <w:tr w:rsidR="00F010B4" w:rsidRPr="004E5A6E" w14:paraId="66B9A6CB" w14:textId="77777777" w:rsidTr="00D6295F">
        <w:trPr>
          <w:trHeight w:val="63"/>
        </w:trPr>
        <w:tc>
          <w:tcPr>
            <w:tcW w:w="1985" w:type="pct"/>
            <w:shd w:val="clear" w:color="auto" w:fill="DEEAF6" w:themeFill="accent1" w:themeFillTint="33"/>
            <w:noWrap/>
            <w:vAlign w:val="bottom"/>
            <w:hideMark/>
          </w:tcPr>
          <w:p w14:paraId="126FAFE0" w14:textId="77777777" w:rsidR="00F010B4" w:rsidRPr="004E5A6E" w:rsidRDefault="00F010B4" w:rsidP="00D6295F">
            <w:pPr>
              <w:tabs>
                <w:tab w:val="left" w:pos="180"/>
              </w:tabs>
              <w:rPr>
                <w:color w:val="auto"/>
                <w:sz w:val="18"/>
                <w:lang w:val="sq-AL"/>
              </w:rPr>
            </w:pPr>
            <w:r w:rsidRPr="004E5A6E">
              <w:rPr>
                <w:color w:val="auto"/>
                <w:sz w:val="18"/>
                <w:lang w:val="sq-AL"/>
              </w:rPr>
              <w:t>Mallrat</w:t>
            </w:r>
          </w:p>
        </w:tc>
        <w:tc>
          <w:tcPr>
            <w:tcW w:w="604" w:type="pct"/>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61BAE87C" w14:textId="77777777" w:rsidR="00F010B4" w:rsidRPr="004E5A6E" w:rsidRDefault="00F010B4" w:rsidP="00D562BB">
            <w:pPr>
              <w:tabs>
                <w:tab w:val="left" w:pos="180"/>
              </w:tabs>
              <w:jc w:val="center"/>
              <w:rPr>
                <w:color w:val="auto"/>
                <w:sz w:val="18"/>
                <w:lang w:val="sq-AL"/>
              </w:rPr>
            </w:pPr>
            <w:r w:rsidRPr="004E5A6E">
              <w:rPr>
                <w:color w:val="auto"/>
                <w:sz w:val="18"/>
                <w:lang w:val="sq-AL"/>
              </w:rPr>
              <w:t>4.6</w:t>
            </w:r>
          </w:p>
        </w:tc>
        <w:tc>
          <w:tcPr>
            <w:tcW w:w="604"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5A75BB28" w14:textId="77777777" w:rsidR="00F010B4" w:rsidRPr="004E5A6E" w:rsidRDefault="00F010B4" w:rsidP="00D562BB">
            <w:pPr>
              <w:tabs>
                <w:tab w:val="left" w:pos="180"/>
              </w:tabs>
              <w:jc w:val="center"/>
              <w:rPr>
                <w:color w:val="auto"/>
                <w:sz w:val="18"/>
                <w:lang w:val="sq-AL"/>
              </w:rPr>
            </w:pPr>
            <w:r w:rsidRPr="004E5A6E">
              <w:rPr>
                <w:color w:val="auto"/>
                <w:sz w:val="18"/>
                <w:lang w:val="sq-AL"/>
              </w:rPr>
              <w:t>12.6</w:t>
            </w:r>
          </w:p>
        </w:tc>
        <w:tc>
          <w:tcPr>
            <w:tcW w:w="604"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7199CCC3" w14:textId="77777777" w:rsidR="00F010B4" w:rsidRPr="004E5A6E" w:rsidRDefault="00F010B4" w:rsidP="00D562BB">
            <w:pPr>
              <w:tabs>
                <w:tab w:val="left" w:pos="180"/>
              </w:tabs>
              <w:jc w:val="center"/>
              <w:rPr>
                <w:color w:val="auto"/>
                <w:sz w:val="18"/>
                <w:lang w:val="sq-AL"/>
              </w:rPr>
            </w:pPr>
            <w:r w:rsidRPr="004E5A6E">
              <w:rPr>
                <w:color w:val="auto"/>
                <w:sz w:val="18"/>
                <w:lang w:val="sq-AL"/>
              </w:rPr>
              <w:t>2.4</w:t>
            </w:r>
          </w:p>
        </w:tc>
        <w:tc>
          <w:tcPr>
            <w:tcW w:w="60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34514FE0" w14:textId="77777777" w:rsidR="00F010B4" w:rsidRPr="004E5A6E" w:rsidRDefault="00F010B4" w:rsidP="00D562BB">
            <w:pPr>
              <w:tabs>
                <w:tab w:val="left" w:pos="180"/>
              </w:tabs>
              <w:jc w:val="center"/>
              <w:rPr>
                <w:color w:val="auto"/>
                <w:sz w:val="18"/>
                <w:lang w:val="sq-AL"/>
              </w:rPr>
            </w:pPr>
            <w:r w:rsidRPr="004E5A6E">
              <w:rPr>
                <w:color w:val="auto"/>
                <w:sz w:val="18"/>
                <w:lang w:val="sq-AL"/>
              </w:rPr>
              <w:t>10.9</w:t>
            </w:r>
          </w:p>
        </w:tc>
        <w:tc>
          <w:tcPr>
            <w:tcW w:w="60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2E7201BE" w14:textId="77777777" w:rsidR="00F010B4" w:rsidRPr="004E5A6E" w:rsidRDefault="00F010B4" w:rsidP="00D562BB">
            <w:pPr>
              <w:tabs>
                <w:tab w:val="left" w:pos="180"/>
              </w:tabs>
              <w:jc w:val="center"/>
              <w:rPr>
                <w:color w:val="auto"/>
                <w:sz w:val="18"/>
                <w:lang w:val="sq-AL"/>
              </w:rPr>
            </w:pPr>
            <w:r w:rsidRPr="004E5A6E">
              <w:rPr>
                <w:color w:val="auto"/>
                <w:sz w:val="18"/>
                <w:lang w:val="sq-AL"/>
              </w:rPr>
              <w:t>10.9</w:t>
            </w:r>
          </w:p>
        </w:tc>
      </w:tr>
      <w:tr w:rsidR="00F010B4" w:rsidRPr="004E5A6E" w14:paraId="70D4620A" w14:textId="77777777" w:rsidTr="00D6295F">
        <w:trPr>
          <w:trHeight w:val="188"/>
        </w:trPr>
        <w:tc>
          <w:tcPr>
            <w:tcW w:w="1985" w:type="pct"/>
            <w:shd w:val="clear" w:color="auto" w:fill="DEEAF6" w:themeFill="accent1" w:themeFillTint="33"/>
            <w:noWrap/>
            <w:vAlign w:val="bottom"/>
            <w:hideMark/>
          </w:tcPr>
          <w:p w14:paraId="7B40B29A" w14:textId="77777777" w:rsidR="00F010B4" w:rsidRPr="004E5A6E" w:rsidRDefault="00F010B4" w:rsidP="00D6295F">
            <w:pPr>
              <w:tabs>
                <w:tab w:val="left" w:pos="180"/>
              </w:tabs>
              <w:rPr>
                <w:color w:val="auto"/>
                <w:sz w:val="18"/>
                <w:lang w:val="sq-AL"/>
              </w:rPr>
            </w:pPr>
            <w:r w:rsidRPr="004E5A6E">
              <w:rPr>
                <w:color w:val="auto"/>
                <w:sz w:val="18"/>
                <w:lang w:val="sq-AL"/>
              </w:rPr>
              <w:t>Shërbimet</w:t>
            </w:r>
          </w:p>
        </w:tc>
        <w:tc>
          <w:tcPr>
            <w:tcW w:w="604" w:type="pct"/>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7C10BD9F" w14:textId="77777777" w:rsidR="00F010B4" w:rsidRPr="004E5A6E" w:rsidRDefault="00F010B4" w:rsidP="00D562BB">
            <w:pPr>
              <w:tabs>
                <w:tab w:val="left" w:pos="180"/>
              </w:tabs>
              <w:jc w:val="center"/>
              <w:rPr>
                <w:color w:val="auto"/>
                <w:sz w:val="18"/>
                <w:lang w:val="sq-AL"/>
              </w:rPr>
            </w:pPr>
            <w:r w:rsidRPr="004E5A6E">
              <w:rPr>
                <w:color w:val="auto"/>
                <w:sz w:val="18"/>
                <w:lang w:val="sq-AL"/>
              </w:rPr>
              <w:t>19.6</w:t>
            </w:r>
          </w:p>
        </w:tc>
        <w:tc>
          <w:tcPr>
            <w:tcW w:w="604"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29476A62" w14:textId="77777777" w:rsidR="00F010B4" w:rsidRPr="004E5A6E" w:rsidRDefault="00F010B4" w:rsidP="00D562BB">
            <w:pPr>
              <w:tabs>
                <w:tab w:val="left" w:pos="180"/>
              </w:tabs>
              <w:jc w:val="center"/>
              <w:rPr>
                <w:color w:val="auto"/>
                <w:sz w:val="18"/>
                <w:lang w:val="sq-AL"/>
              </w:rPr>
            </w:pPr>
            <w:r w:rsidRPr="004E5A6E">
              <w:rPr>
                <w:color w:val="auto"/>
                <w:sz w:val="18"/>
                <w:lang w:val="sq-AL"/>
              </w:rPr>
              <w:t>-25.7</w:t>
            </w:r>
          </w:p>
        </w:tc>
        <w:tc>
          <w:tcPr>
            <w:tcW w:w="604"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33C9018D" w14:textId="77777777" w:rsidR="00F010B4" w:rsidRPr="004E5A6E" w:rsidRDefault="00F010B4" w:rsidP="00D562BB">
            <w:pPr>
              <w:tabs>
                <w:tab w:val="left" w:pos="180"/>
              </w:tabs>
              <w:jc w:val="center"/>
              <w:rPr>
                <w:color w:val="auto"/>
                <w:sz w:val="18"/>
                <w:lang w:val="sq-AL"/>
              </w:rPr>
            </w:pPr>
            <w:r w:rsidRPr="004E5A6E">
              <w:rPr>
                <w:color w:val="auto"/>
                <w:sz w:val="18"/>
                <w:lang w:val="sq-AL"/>
              </w:rPr>
              <w:t>22.4</w:t>
            </w:r>
          </w:p>
        </w:tc>
        <w:tc>
          <w:tcPr>
            <w:tcW w:w="60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414D50CB" w14:textId="77777777" w:rsidR="00F010B4" w:rsidRPr="004E5A6E" w:rsidRDefault="00F010B4" w:rsidP="00D562BB">
            <w:pPr>
              <w:tabs>
                <w:tab w:val="left" w:pos="180"/>
              </w:tabs>
              <w:jc w:val="center"/>
              <w:rPr>
                <w:color w:val="auto"/>
                <w:sz w:val="18"/>
                <w:lang w:val="sq-AL"/>
              </w:rPr>
            </w:pPr>
            <w:r w:rsidRPr="004E5A6E">
              <w:rPr>
                <w:color w:val="auto"/>
                <w:sz w:val="18"/>
                <w:lang w:val="sq-AL"/>
              </w:rPr>
              <w:t>6.2</w:t>
            </w:r>
          </w:p>
        </w:tc>
        <w:tc>
          <w:tcPr>
            <w:tcW w:w="60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4E215C07" w14:textId="77777777" w:rsidR="00F010B4" w:rsidRPr="004E5A6E" w:rsidRDefault="00F010B4" w:rsidP="00D562BB">
            <w:pPr>
              <w:tabs>
                <w:tab w:val="left" w:pos="180"/>
              </w:tabs>
              <w:jc w:val="center"/>
              <w:rPr>
                <w:color w:val="auto"/>
                <w:sz w:val="18"/>
                <w:lang w:val="sq-AL"/>
              </w:rPr>
            </w:pPr>
            <w:r w:rsidRPr="004E5A6E">
              <w:rPr>
                <w:color w:val="auto"/>
                <w:sz w:val="18"/>
                <w:lang w:val="sq-AL"/>
              </w:rPr>
              <w:t>6.2</w:t>
            </w:r>
          </w:p>
        </w:tc>
      </w:tr>
      <w:tr w:rsidR="00F010B4" w:rsidRPr="004E5A6E" w14:paraId="13F99D48" w14:textId="77777777" w:rsidTr="00D6295F">
        <w:trPr>
          <w:trHeight w:val="143"/>
        </w:trPr>
        <w:tc>
          <w:tcPr>
            <w:tcW w:w="1985" w:type="pct"/>
            <w:shd w:val="clear" w:color="auto" w:fill="DEEAF6" w:themeFill="accent1" w:themeFillTint="33"/>
            <w:noWrap/>
            <w:vAlign w:val="bottom"/>
            <w:hideMark/>
          </w:tcPr>
          <w:p w14:paraId="1EC2103F" w14:textId="77777777" w:rsidR="00F010B4" w:rsidRPr="004E5A6E" w:rsidRDefault="00F010B4" w:rsidP="00D6295F">
            <w:pPr>
              <w:tabs>
                <w:tab w:val="left" w:pos="180"/>
              </w:tabs>
              <w:rPr>
                <w:b/>
                <w:bCs/>
                <w:color w:val="auto"/>
                <w:sz w:val="18"/>
                <w:lang w:val="sq-AL"/>
              </w:rPr>
            </w:pPr>
            <w:r w:rsidRPr="004E5A6E">
              <w:rPr>
                <w:b/>
                <w:bCs/>
                <w:color w:val="auto"/>
                <w:sz w:val="18"/>
                <w:lang w:val="sq-AL"/>
              </w:rPr>
              <w:t>Importet (nominale në milion Euro)</w:t>
            </w:r>
          </w:p>
        </w:tc>
        <w:tc>
          <w:tcPr>
            <w:tcW w:w="604" w:type="pct"/>
            <w:tcBorders>
              <w:top w:val="single" w:sz="4" w:space="0" w:color="auto"/>
              <w:bottom w:val="single" w:sz="4" w:space="0" w:color="auto"/>
              <w:right w:val="single" w:sz="4" w:space="0" w:color="auto"/>
            </w:tcBorders>
            <w:shd w:val="clear" w:color="auto" w:fill="DEEAF6" w:themeFill="accent1" w:themeFillTint="33"/>
            <w:noWrap/>
            <w:vAlign w:val="bottom"/>
            <w:hideMark/>
          </w:tcPr>
          <w:p w14:paraId="15F6090C" w14:textId="77777777" w:rsidR="00F010B4" w:rsidRPr="004E5A6E" w:rsidRDefault="00F010B4" w:rsidP="00D562BB">
            <w:pPr>
              <w:tabs>
                <w:tab w:val="left" w:pos="180"/>
              </w:tabs>
              <w:jc w:val="center"/>
              <w:rPr>
                <w:color w:val="auto"/>
                <w:sz w:val="18"/>
                <w:lang w:val="sq-AL"/>
              </w:rPr>
            </w:pPr>
            <w:r w:rsidRPr="004E5A6E">
              <w:rPr>
                <w:color w:val="auto"/>
                <w:sz w:val="18"/>
                <w:lang w:val="sq-AL"/>
              </w:rPr>
              <w:t>3,983</w:t>
            </w:r>
          </w:p>
        </w:tc>
        <w:tc>
          <w:tcPr>
            <w:tcW w:w="604"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1AC5C1C4" w14:textId="77777777" w:rsidR="00F010B4" w:rsidRPr="004E5A6E" w:rsidRDefault="00F010B4" w:rsidP="00D562BB">
            <w:pPr>
              <w:tabs>
                <w:tab w:val="left" w:pos="180"/>
              </w:tabs>
              <w:jc w:val="center"/>
              <w:rPr>
                <w:color w:val="auto"/>
                <w:sz w:val="18"/>
                <w:lang w:val="sq-AL"/>
              </w:rPr>
            </w:pPr>
            <w:r w:rsidRPr="004E5A6E">
              <w:rPr>
                <w:color w:val="auto"/>
                <w:sz w:val="18"/>
                <w:lang w:val="sq-AL"/>
              </w:rPr>
              <w:t>3,607</w:t>
            </w:r>
          </w:p>
        </w:tc>
        <w:tc>
          <w:tcPr>
            <w:tcW w:w="604"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2FA73CB8" w14:textId="77777777" w:rsidR="00F010B4" w:rsidRPr="004E5A6E" w:rsidRDefault="00F010B4" w:rsidP="00D562BB">
            <w:pPr>
              <w:tabs>
                <w:tab w:val="left" w:pos="180"/>
              </w:tabs>
              <w:jc w:val="center"/>
              <w:rPr>
                <w:color w:val="auto"/>
                <w:sz w:val="18"/>
                <w:lang w:val="sq-AL"/>
              </w:rPr>
            </w:pPr>
            <w:r w:rsidRPr="004E5A6E">
              <w:rPr>
                <w:color w:val="auto"/>
                <w:sz w:val="18"/>
                <w:lang w:val="sq-AL"/>
              </w:rPr>
              <w:t>3,955</w:t>
            </w:r>
          </w:p>
        </w:tc>
        <w:tc>
          <w:tcPr>
            <w:tcW w:w="60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3DD12161" w14:textId="77777777" w:rsidR="00F010B4" w:rsidRPr="004E5A6E" w:rsidRDefault="00F010B4" w:rsidP="00D562BB">
            <w:pPr>
              <w:tabs>
                <w:tab w:val="left" w:pos="180"/>
              </w:tabs>
              <w:jc w:val="center"/>
              <w:rPr>
                <w:color w:val="auto"/>
                <w:sz w:val="18"/>
                <w:lang w:val="sq-AL"/>
              </w:rPr>
            </w:pPr>
            <w:r w:rsidRPr="004E5A6E">
              <w:rPr>
                <w:color w:val="auto"/>
                <w:sz w:val="18"/>
                <w:lang w:val="sq-AL"/>
              </w:rPr>
              <w:t>4,242</w:t>
            </w:r>
          </w:p>
        </w:tc>
        <w:tc>
          <w:tcPr>
            <w:tcW w:w="60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AFA6B78" w14:textId="77777777" w:rsidR="00F010B4" w:rsidRPr="004E5A6E" w:rsidRDefault="00F010B4" w:rsidP="00D562BB">
            <w:pPr>
              <w:tabs>
                <w:tab w:val="left" w:pos="180"/>
              </w:tabs>
              <w:jc w:val="center"/>
              <w:rPr>
                <w:color w:val="auto"/>
                <w:sz w:val="18"/>
                <w:lang w:val="sq-AL"/>
              </w:rPr>
            </w:pPr>
            <w:r w:rsidRPr="004E5A6E">
              <w:rPr>
                <w:color w:val="auto"/>
                <w:sz w:val="18"/>
                <w:lang w:val="sq-AL"/>
              </w:rPr>
              <w:t>4,469</w:t>
            </w:r>
          </w:p>
        </w:tc>
      </w:tr>
      <w:tr w:rsidR="00F010B4" w:rsidRPr="004E5A6E" w14:paraId="70AE8245" w14:textId="77777777" w:rsidTr="00D6295F">
        <w:trPr>
          <w:trHeight w:val="107"/>
        </w:trPr>
        <w:tc>
          <w:tcPr>
            <w:tcW w:w="1985" w:type="pct"/>
            <w:shd w:val="clear" w:color="auto" w:fill="DEEAF6" w:themeFill="accent1" w:themeFillTint="33"/>
            <w:noWrap/>
            <w:vAlign w:val="bottom"/>
            <w:hideMark/>
          </w:tcPr>
          <w:p w14:paraId="6A139FF5" w14:textId="77777777" w:rsidR="00F010B4" w:rsidRPr="004E5A6E" w:rsidRDefault="00F010B4" w:rsidP="00D6295F">
            <w:pPr>
              <w:tabs>
                <w:tab w:val="left" w:pos="180"/>
              </w:tabs>
              <w:rPr>
                <w:b/>
                <w:bCs/>
                <w:color w:val="auto"/>
                <w:sz w:val="18"/>
                <w:lang w:val="sq-AL"/>
              </w:rPr>
            </w:pPr>
            <w:r w:rsidRPr="004E5A6E">
              <w:rPr>
                <w:b/>
                <w:bCs/>
                <w:color w:val="auto"/>
                <w:sz w:val="18"/>
                <w:lang w:val="sq-AL"/>
              </w:rPr>
              <w:t>Importet</w:t>
            </w:r>
          </w:p>
        </w:tc>
        <w:tc>
          <w:tcPr>
            <w:tcW w:w="604" w:type="pct"/>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0DEC5AD1" w14:textId="77777777" w:rsidR="00F010B4" w:rsidRPr="004E5A6E" w:rsidRDefault="00F010B4" w:rsidP="00D562BB">
            <w:pPr>
              <w:tabs>
                <w:tab w:val="left" w:pos="180"/>
              </w:tabs>
              <w:jc w:val="center"/>
              <w:rPr>
                <w:color w:val="auto"/>
                <w:sz w:val="18"/>
                <w:lang w:val="sq-AL"/>
              </w:rPr>
            </w:pPr>
            <w:r w:rsidRPr="004E5A6E">
              <w:rPr>
                <w:color w:val="auto"/>
                <w:sz w:val="18"/>
                <w:lang w:val="sq-AL"/>
              </w:rPr>
              <w:t>6.5</w:t>
            </w:r>
          </w:p>
        </w:tc>
        <w:tc>
          <w:tcPr>
            <w:tcW w:w="604"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3F64AB1D" w14:textId="77777777" w:rsidR="00F010B4" w:rsidRPr="004E5A6E" w:rsidRDefault="00F010B4" w:rsidP="00D562BB">
            <w:pPr>
              <w:tabs>
                <w:tab w:val="left" w:pos="180"/>
              </w:tabs>
              <w:jc w:val="center"/>
              <w:rPr>
                <w:color w:val="auto"/>
                <w:sz w:val="18"/>
                <w:lang w:val="sq-AL"/>
              </w:rPr>
            </w:pPr>
            <w:r w:rsidRPr="004E5A6E">
              <w:rPr>
                <w:color w:val="auto"/>
                <w:sz w:val="18"/>
                <w:lang w:val="sq-AL"/>
              </w:rPr>
              <w:t>-9.4</w:t>
            </w:r>
          </w:p>
        </w:tc>
        <w:tc>
          <w:tcPr>
            <w:tcW w:w="604"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1405514D" w14:textId="77777777" w:rsidR="00F010B4" w:rsidRPr="004E5A6E" w:rsidRDefault="00F010B4" w:rsidP="00D562BB">
            <w:pPr>
              <w:tabs>
                <w:tab w:val="left" w:pos="180"/>
              </w:tabs>
              <w:jc w:val="center"/>
              <w:rPr>
                <w:color w:val="auto"/>
                <w:sz w:val="18"/>
                <w:lang w:val="sq-AL"/>
              </w:rPr>
            </w:pPr>
            <w:r w:rsidRPr="004E5A6E">
              <w:rPr>
                <w:color w:val="auto"/>
                <w:sz w:val="18"/>
                <w:lang w:val="sq-AL"/>
              </w:rPr>
              <w:t>9.6</w:t>
            </w:r>
          </w:p>
        </w:tc>
        <w:tc>
          <w:tcPr>
            <w:tcW w:w="60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2B0CC1AE" w14:textId="77777777" w:rsidR="00F010B4" w:rsidRPr="004E5A6E" w:rsidRDefault="00F010B4" w:rsidP="00D562BB">
            <w:pPr>
              <w:tabs>
                <w:tab w:val="left" w:pos="180"/>
              </w:tabs>
              <w:jc w:val="center"/>
              <w:rPr>
                <w:color w:val="auto"/>
                <w:sz w:val="18"/>
                <w:lang w:val="sq-AL"/>
              </w:rPr>
            </w:pPr>
            <w:r w:rsidRPr="004E5A6E">
              <w:rPr>
                <w:color w:val="auto"/>
                <w:sz w:val="18"/>
                <w:lang w:val="sq-AL"/>
              </w:rPr>
              <w:t>7.3</w:t>
            </w:r>
          </w:p>
        </w:tc>
        <w:tc>
          <w:tcPr>
            <w:tcW w:w="60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236EE75C" w14:textId="77777777" w:rsidR="00F010B4" w:rsidRPr="004E5A6E" w:rsidRDefault="00F010B4" w:rsidP="00D562BB">
            <w:pPr>
              <w:tabs>
                <w:tab w:val="left" w:pos="180"/>
              </w:tabs>
              <w:jc w:val="center"/>
              <w:rPr>
                <w:color w:val="auto"/>
                <w:sz w:val="18"/>
                <w:lang w:val="sq-AL"/>
              </w:rPr>
            </w:pPr>
            <w:r w:rsidRPr="004E5A6E">
              <w:rPr>
                <w:color w:val="auto"/>
                <w:sz w:val="18"/>
                <w:lang w:val="sq-AL"/>
              </w:rPr>
              <w:t>5.3</w:t>
            </w:r>
          </w:p>
        </w:tc>
      </w:tr>
      <w:tr w:rsidR="00F010B4" w:rsidRPr="004E5A6E" w14:paraId="0049CF64" w14:textId="77777777" w:rsidTr="00D6295F">
        <w:trPr>
          <w:trHeight w:val="80"/>
        </w:trPr>
        <w:tc>
          <w:tcPr>
            <w:tcW w:w="1985" w:type="pct"/>
            <w:shd w:val="clear" w:color="auto" w:fill="DEEAF6" w:themeFill="accent1" w:themeFillTint="33"/>
            <w:noWrap/>
            <w:vAlign w:val="bottom"/>
            <w:hideMark/>
          </w:tcPr>
          <w:p w14:paraId="71C886B3" w14:textId="77777777" w:rsidR="00F010B4" w:rsidRPr="004E5A6E" w:rsidRDefault="00F010B4" w:rsidP="00D6295F">
            <w:pPr>
              <w:tabs>
                <w:tab w:val="left" w:pos="180"/>
              </w:tabs>
              <w:rPr>
                <w:color w:val="auto"/>
                <w:sz w:val="18"/>
                <w:lang w:val="sq-AL"/>
              </w:rPr>
            </w:pPr>
            <w:r w:rsidRPr="004E5A6E">
              <w:rPr>
                <w:color w:val="auto"/>
                <w:sz w:val="18"/>
                <w:lang w:val="sq-AL"/>
              </w:rPr>
              <w:t>Mallrat</w:t>
            </w:r>
          </w:p>
        </w:tc>
        <w:tc>
          <w:tcPr>
            <w:tcW w:w="604" w:type="pct"/>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34E48820" w14:textId="77777777" w:rsidR="00F010B4" w:rsidRPr="004E5A6E" w:rsidRDefault="00F010B4" w:rsidP="00D562BB">
            <w:pPr>
              <w:tabs>
                <w:tab w:val="left" w:pos="180"/>
              </w:tabs>
              <w:jc w:val="center"/>
              <w:rPr>
                <w:color w:val="auto"/>
                <w:sz w:val="18"/>
                <w:lang w:val="sq-AL"/>
              </w:rPr>
            </w:pPr>
            <w:r w:rsidRPr="004E5A6E">
              <w:rPr>
                <w:color w:val="auto"/>
                <w:sz w:val="18"/>
                <w:lang w:val="sq-AL"/>
              </w:rPr>
              <w:t>4.1</w:t>
            </w:r>
          </w:p>
        </w:tc>
        <w:tc>
          <w:tcPr>
            <w:tcW w:w="604"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3E46FA48" w14:textId="77777777" w:rsidR="00F010B4" w:rsidRPr="004E5A6E" w:rsidRDefault="00F010B4" w:rsidP="00D562BB">
            <w:pPr>
              <w:tabs>
                <w:tab w:val="left" w:pos="180"/>
              </w:tabs>
              <w:jc w:val="center"/>
              <w:rPr>
                <w:color w:val="auto"/>
                <w:sz w:val="18"/>
                <w:lang w:val="sq-AL"/>
              </w:rPr>
            </w:pPr>
            <w:r w:rsidRPr="004E5A6E">
              <w:rPr>
                <w:color w:val="auto"/>
                <w:sz w:val="18"/>
                <w:lang w:val="sq-AL"/>
              </w:rPr>
              <w:t>-7.0</w:t>
            </w:r>
          </w:p>
        </w:tc>
        <w:tc>
          <w:tcPr>
            <w:tcW w:w="604"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43FC8103" w14:textId="77777777" w:rsidR="00F010B4" w:rsidRPr="004E5A6E" w:rsidRDefault="00F010B4" w:rsidP="00D562BB">
            <w:pPr>
              <w:tabs>
                <w:tab w:val="left" w:pos="180"/>
              </w:tabs>
              <w:jc w:val="center"/>
              <w:rPr>
                <w:color w:val="auto"/>
                <w:sz w:val="18"/>
                <w:lang w:val="sq-AL"/>
              </w:rPr>
            </w:pPr>
            <w:r w:rsidRPr="004E5A6E">
              <w:rPr>
                <w:color w:val="auto"/>
                <w:sz w:val="18"/>
                <w:lang w:val="sq-AL"/>
              </w:rPr>
              <w:t>8.9</w:t>
            </w:r>
          </w:p>
        </w:tc>
        <w:tc>
          <w:tcPr>
            <w:tcW w:w="60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48EE164C" w14:textId="77777777" w:rsidR="00F010B4" w:rsidRPr="004E5A6E" w:rsidRDefault="00F010B4" w:rsidP="00D562BB">
            <w:pPr>
              <w:tabs>
                <w:tab w:val="left" w:pos="180"/>
              </w:tabs>
              <w:jc w:val="center"/>
              <w:rPr>
                <w:color w:val="auto"/>
                <w:sz w:val="18"/>
                <w:lang w:val="sq-AL"/>
              </w:rPr>
            </w:pPr>
            <w:r w:rsidRPr="004E5A6E">
              <w:rPr>
                <w:color w:val="auto"/>
                <w:sz w:val="18"/>
                <w:lang w:val="sq-AL"/>
              </w:rPr>
              <w:t>7.1</w:t>
            </w:r>
          </w:p>
        </w:tc>
        <w:tc>
          <w:tcPr>
            <w:tcW w:w="60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0DA4303" w14:textId="77777777" w:rsidR="00F010B4" w:rsidRPr="004E5A6E" w:rsidRDefault="00F010B4" w:rsidP="00D562BB">
            <w:pPr>
              <w:tabs>
                <w:tab w:val="left" w:pos="180"/>
              </w:tabs>
              <w:jc w:val="center"/>
              <w:rPr>
                <w:color w:val="auto"/>
                <w:sz w:val="18"/>
                <w:lang w:val="sq-AL"/>
              </w:rPr>
            </w:pPr>
            <w:r w:rsidRPr="004E5A6E">
              <w:rPr>
                <w:color w:val="auto"/>
                <w:sz w:val="18"/>
                <w:lang w:val="sq-AL"/>
              </w:rPr>
              <w:t>4.8</w:t>
            </w:r>
          </w:p>
        </w:tc>
      </w:tr>
      <w:tr w:rsidR="00F010B4" w:rsidRPr="004E5A6E" w14:paraId="31CB2055" w14:textId="77777777" w:rsidTr="00D6295F">
        <w:trPr>
          <w:trHeight w:val="134"/>
        </w:trPr>
        <w:tc>
          <w:tcPr>
            <w:tcW w:w="1985" w:type="pct"/>
            <w:shd w:val="clear" w:color="auto" w:fill="DEEAF6" w:themeFill="accent1" w:themeFillTint="33"/>
            <w:noWrap/>
            <w:vAlign w:val="bottom"/>
            <w:hideMark/>
          </w:tcPr>
          <w:p w14:paraId="2AA5E833" w14:textId="77777777" w:rsidR="00F010B4" w:rsidRPr="004E5A6E" w:rsidRDefault="00F010B4" w:rsidP="00D6295F">
            <w:pPr>
              <w:tabs>
                <w:tab w:val="left" w:pos="180"/>
              </w:tabs>
              <w:rPr>
                <w:color w:val="auto"/>
                <w:sz w:val="18"/>
                <w:lang w:val="sq-AL"/>
              </w:rPr>
            </w:pPr>
            <w:r w:rsidRPr="004E5A6E">
              <w:rPr>
                <w:color w:val="auto"/>
                <w:sz w:val="18"/>
                <w:lang w:val="sq-AL"/>
              </w:rPr>
              <w:t>Shërbimet</w:t>
            </w:r>
          </w:p>
        </w:tc>
        <w:tc>
          <w:tcPr>
            <w:tcW w:w="604" w:type="pct"/>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39C9C133" w14:textId="77777777" w:rsidR="00F010B4" w:rsidRPr="004E5A6E" w:rsidRDefault="00F010B4" w:rsidP="00D562BB">
            <w:pPr>
              <w:tabs>
                <w:tab w:val="left" w:pos="180"/>
              </w:tabs>
              <w:jc w:val="center"/>
              <w:rPr>
                <w:color w:val="auto"/>
                <w:sz w:val="18"/>
                <w:lang w:val="sq-AL"/>
              </w:rPr>
            </w:pPr>
            <w:r w:rsidRPr="004E5A6E">
              <w:rPr>
                <w:color w:val="auto"/>
                <w:sz w:val="18"/>
                <w:lang w:val="sq-AL"/>
              </w:rPr>
              <w:t>18.7</w:t>
            </w:r>
          </w:p>
        </w:tc>
        <w:tc>
          <w:tcPr>
            <w:tcW w:w="604"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0C058D22" w14:textId="77777777" w:rsidR="00F010B4" w:rsidRPr="004E5A6E" w:rsidRDefault="00F010B4" w:rsidP="00D562BB">
            <w:pPr>
              <w:tabs>
                <w:tab w:val="left" w:pos="180"/>
              </w:tabs>
              <w:jc w:val="center"/>
              <w:rPr>
                <w:color w:val="auto"/>
                <w:sz w:val="18"/>
                <w:lang w:val="sq-AL"/>
              </w:rPr>
            </w:pPr>
            <w:r w:rsidRPr="004E5A6E">
              <w:rPr>
                <w:color w:val="auto"/>
                <w:sz w:val="18"/>
                <w:lang w:val="sq-AL"/>
              </w:rPr>
              <w:t>-20.1</w:t>
            </w:r>
          </w:p>
        </w:tc>
        <w:tc>
          <w:tcPr>
            <w:tcW w:w="604"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4C040F64" w14:textId="77777777" w:rsidR="00F010B4" w:rsidRPr="004E5A6E" w:rsidRDefault="00F010B4" w:rsidP="00D562BB">
            <w:pPr>
              <w:tabs>
                <w:tab w:val="left" w:pos="180"/>
              </w:tabs>
              <w:jc w:val="center"/>
              <w:rPr>
                <w:color w:val="auto"/>
                <w:sz w:val="18"/>
                <w:lang w:val="sq-AL"/>
              </w:rPr>
            </w:pPr>
            <w:r w:rsidRPr="004E5A6E">
              <w:rPr>
                <w:color w:val="auto"/>
                <w:sz w:val="18"/>
                <w:lang w:val="sq-AL"/>
              </w:rPr>
              <w:t>13.3</w:t>
            </w:r>
          </w:p>
        </w:tc>
        <w:tc>
          <w:tcPr>
            <w:tcW w:w="60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52CF5874" w14:textId="77777777" w:rsidR="00F010B4" w:rsidRPr="004E5A6E" w:rsidRDefault="00F010B4" w:rsidP="00D562BB">
            <w:pPr>
              <w:tabs>
                <w:tab w:val="left" w:pos="180"/>
              </w:tabs>
              <w:jc w:val="center"/>
              <w:rPr>
                <w:color w:val="auto"/>
                <w:sz w:val="18"/>
                <w:lang w:val="sq-AL"/>
              </w:rPr>
            </w:pPr>
            <w:r w:rsidRPr="004E5A6E">
              <w:rPr>
                <w:color w:val="auto"/>
                <w:sz w:val="18"/>
                <w:lang w:val="sq-AL"/>
              </w:rPr>
              <w:t>7.9</w:t>
            </w:r>
          </w:p>
        </w:tc>
        <w:tc>
          <w:tcPr>
            <w:tcW w:w="60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7812DE8" w14:textId="77777777" w:rsidR="00F010B4" w:rsidRPr="004E5A6E" w:rsidRDefault="00F010B4" w:rsidP="00D562BB">
            <w:pPr>
              <w:tabs>
                <w:tab w:val="left" w:pos="180"/>
              </w:tabs>
              <w:jc w:val="center"/>
              <w:rPr>
                <w:color w:val="auto"/>
                <w:sz w:val="18"/>
                <w:lang w:val="sq-AL"/>
              </w:rPr>
            </w:pPr>
            <w:r w:rsidRPr="004E5A6E">
              <w:rPr>
                <w:color w:val="auto"/>
                <w:sz w:val="18"/>
                <w:lang w:val="sq-AL"/>
              </w:rPr>
              <w:t>8.0</w:t>
            </w:r>
          </w:p>
        </w:tc>
      </w:tr>
    </w:tbl>
    <w:p w14:paraId="58A42AE1" w14:textId="4036B775" w:rsidR="00F010B4" w:rsidRPr="004E5A6E" w:rsidRDefault="00F010B4" w:rsidP="00F010B4">
      <w:pPr>
        <w:pStyle w:val="Caption"/>
        <w:keepNext/>
        <w:spacing w:before="240"/>
        <w:jc w:val="both"/>
        <w:rPr>
          <w:rFonts w:ascii="Times New Roman" w:eastAsia="Times New Roman" w:hAnsi="Times New Roman"/>
          <w:i w:val="0"/>
          <w:iCs w:val="0"/>
          <w:color w:val="auto"/>
          <w:sz w:val="24"/>
          <w:szCs w:val="24"/>
          <w:lang w:val="sq-AL"/>
        </w:rPr>
      </w:pPr>
      <w:r w:rsidRPr="004E5A6E">
        <w:rPr>
          <w:rFonts w:ascii="Times New Roman" w:eastAsia="Times New Roman" w:hAnsi="Times New Roman"/>
          <w:b/>
          <w:i w:val="0"/>
          <w:iCs w:val="0"/>
          <w:color w:val="auto"/>
          <w:sz w:val="24"/>
          <w:szCs w:val="24"/>
          <w:lang w:val="sq-AL"/>
        </w:rPr>
        <w:t xml:space="preserve">Bilanci i të ardhurave primare </w:t>
      </w:r>
      <w:r w:rsidRPr="004E5A6E">
        <w:rPr>
          <w:rFonts w:ascii="Times New Roman" w:eastAsia="Times New Roman" w:hAnsi="Times New Roman"/>
          <w:i w:val="0"/>
          <w:iCs w:val="0"/>
          <w:color w:val="auto"/>
          <w:sz w:val="24"/>
          <w:szCs w:val="24"/>
          <w:lang w:val="sq-AL"/>
        </w:rPr>
        <w:t>gjatë periudhës janar-gusht 2020 shënoi një rritje prej 13.5%, krahasuar me të njëjtën periudhë të vitit të kaluar, që kryesisht vjen nga kompensimi i punonjësve. Deri në fund të vitit 2020, bilanci i të ardhurave primare pritet të ketë një rritje vjetore prej 10.5%. Bilanci i të ardhurave dytësore kishte një rritje vjetore prej 10.7% gjatë kësaj periudhe. Rol të rëndësishëm në këtë rritje ishin remitancat neto, të cilat shënuan një rritje prej 10%. Rritja ishte më e theksuar gjatë tr</w:t>
      </w:r>
      <w:r w:rsidR="00D562BB" w:rsidRPr="004E5A6E">
        <w:rPr>
          <w:rFonts w:ascii="Times New Roman" w:eastAsia="Times New Roman" w:hAnsi="Times New Roman"/>
          <w:i w:val="0"/>
          <w:iCs w:val="0"/>
          <w:color w:val="auto"/>
          <w:sz w:val="24"/>
          <w:szCs w:val="24"/>
          <w:lang w:val="sq-AL"/>
        </w:rPr>
        <w:t>emujorit të dytë, gjatë së cilit pjesa dërrmuese e remitancave</w:t>
      </w:r>
      <w:r w:rsidRPr="004E5A6E">
        <w:rPr>
          <w:rFonts w:ascii="Times New Roman" w:eastAsia="Times New Roman" w:hAnsi="Times New Roman"/>
          <w:i w:val="0"/>
          <w:iCs w:val="0"/>
          <w:color w:val="auto"/>
          <w:sz w:val="24"/>
          <w:szCs w:val="24"/>
          <w:lang w:val="sq-AL"/>
        </w:rPr>
        <w:t xml:space="preserve"> u dërguan përmes kanaleve zyrtare. </w:t>
      </w:r>
      <w:r w:rsidR="00D562BB" w:rsidRPr="004E5A6E">
        <w:rPr>
          <w:rFonts w:ascii="Times New Roman" w:eastAsia="Times New Roman" w:hAnsi="Times New Roman"/>
          <w:i w:val="0"/>
          <w:iCs w:val="0"/>
          <w:color w:val="auto"/>
          <w:sz w:val="24"/>
          <w:szCs w:val="24"/>
          <w:lang w:val="sq-AL"/>
        </w:rPr>
        <w:t>N</w:t>
      </w:r>
      <w:r w:rsidR="003C69D3" w:rsidRPr="004E5A6E">
        <w:rPr>
          <w:rFonts w:ascii="Times New Roman" w:eastAsia="Times New Roman" w:hAnsi="Times New Roman"/>
          <w:i w:val="0"/>
          <w:iCs w:val="0"/>
          <w:color w:val="auto"/>
          <w:sz w:val="24"/>
          <w:szCs w:val="24"/>
          <w:lang w:val="sq-AL"/>
        </w:rPr>
        <w:t>ë</w:t>
      </w:r>
      <w:r w:rsidR="00D562BB" w:rsidRPr="004E5A6E">
        <w:rPr>
          <w:rFonts w:ascii="Times New Roman" w:eastAsia="Times New Roman" w:hAnsi="Times New Roman"/>
          <w:i w:val="0"/>
          <w:iCs w:val="0"/>
          <w:color w:val="auto"/>
          <w:sz w:val="24"/>
          <w:szCs w:val="24"/>
          <w:lang w:val="sq-AL"/>
        </w:rPr>
        <w:t xml:space="preserve"> kund</w:t>
      </w:r>
      <w:r w:rsidR="003C69D3" w:rsidRPr="004E5A6E">
        <w:rPr>
          <w:rFonts w:ascii="Times New Roman" w:eastAsia="Times New Roman" w:hAnsi="Times New Roman"/>
          <w:i w:val="0"/>
          <w:iCs w:val="0"/>
          <w:color w:val="auto"/>
          <w:sz w:val="24"/>
          <w:szCs w:val="24"/>
          <w:lang w:val="sq-AL"/>
        </w:rPr>
        <w:t>ë</w:t>
      </w:r>
      <w:r w:rsidR="00D562BB" w:rsidRPr="004E5A6E">
        <w:rPr>
          <w:rFonts w:ascii="Times New Roman" w:eastAsia="Times New Roman" w:hAnsi="Times New Roman"/>
          <w:i w:val="0"/>
          <w:iCs w:val="0"/>
          <w:color w:val="auto"/>
          <w:sz w:val="24"/>
          <w:szCs w:val="24"/>
          <w:lang w:val="sq-AL"/>
        </w:rPr>
        <w:t>rshtim me pritjet fillestare se remtiancat do t</w:t>
      </w:r>
      <w:r w:rsidR="003C69D3" w:rsidRPr="004E5A6E">
        <w:rPr>
          <w:rFonts w:ascii="Times New Roman" w:eastAsia="Times New Roman" w:hAnsi="Times New Roman"/>
          <w:i w:val="0"/>
          <w:iCs w:val="0"/>
          <w:color w:val="auto"/>
          <w:sz w:val="24"/>
          <w:szCs w:val="24"/>
          <w:lang w:val="sq-AL"/>
        </w:rPr>
        <w:t>ë</w:t>
      </w:r>
      <w:r w:rsidR="00D562BB" w:rsidRPr="004E5A6E">
        <w:rPr>
          <w:rFonts w:ascii="Times New Roman" w:eastAsia="Times New Roman" w:hAnsi="Times New Roman"/>
          <w:i w:val="0"/>
          <w:iCs w:val="0"/>
          <w:color w:val="auto"/>
          <w:sz w:val="24"/>
          <w:szCs w:val="24"/>
          <w:lang w:val="sq-AL"/>
        </w:rPr>
        <w:t xml:space="preserve"> </w:t>
      </w:r>
      <w:r w:rsidR="003C69D3" w:rsidRPr="004E5A6E">
        <w:rPr>
          <w:rFonts w:ascii="Times New Roman" w:eastAsia="Times New Roman" w:hAnsi="Times New Roman"/>
          <w:i w:val="0"/>
          <w:iCs w:val="0"/>
          <w:color w:val="auto"/>
          <w:sz w:val="24"/>
          <w:szCs w:val="24"/>
          <w:lang w:val="sq-AL"/>
        </w:rPr>
        <w:t>shënonin</w:t>
      </w:r>
      <w:r w:rsidR="00D562BB" w:rsidRPr="004E5A6E">
        <w:rPr>
          <w:rFonts w:ascii="Times New Roman" w:eastAsia="Times New Roman" w:hAnsi="Times New Roman"/>
          <w:i w:val="0"/>
          <w:iCs w:val="0"/>
          <w:color w:val="auto"/>
          <w:sz w:val="24"/>
          <w:szCs w:val="24"/>
          <w:lang w:val="sq-AL"/>
        </w:rPr>
        <w:t xml:space="preserve"> r</w:t>
      </w:r>
      <w:r w:rsidR="003C69D3" w:rsidRPr="004E5A6E">
        <w:rPr>
          <w:rFonts w:ascii="Times New Roman" w:eastAsia="Times New Roman" w:hAnsi="Times New Roman"/>
          <w:i w:val="0"/>
          <w:iCs w:val="0"/>
          <w:color w:val="auto"/>
          <w:sz w:val="24"/>
          <w:szCs w:val="24"/>
          <w:lang w:val="sq-AL"/>
        </w:rPr>
        <w:t>ë</w:t>
      </w:r>
      <w:r w:rsidR="00D562BB" w:rsidRPr="004E5A6E">
        <w:rPr>
          <w:rFonts w:ascii="Times New Roman" w:eastAsia="Times New Roman" w:hAnsi="Times New Roman"/>
          <w:i w:val="0"/>
          <w:iCs w:val="0"/>
          <w:color w:val="auto"/>
          <w:sz w:val="24"/>
          <w:szCs w:val="24"/>
          <w:lang w:val="sq-AL"/>
        </w:rPr>
        <w:t xml:space="preserve">nie pasi të gjitha vendet u prekën nga pandemitë, situata </w:t>
      </w:r>
      <w:r w:rsidR="003C69D3" w:rsidRPr="004E5A6E">
        <w:rPr>
          <w:rFonts w:ascii="Times New Roman" w:eastAsia="Times New Roman" w:hAnsi="Times New Roman"/>
          <w:i w:val="0"/>
          <w:iCs w:val="0"/>
          <w:color w:val="auto"/>
          <w:sz w:val="24"/>
          <w:szCs w:val="24"/>
          <w:lang w:val="sq-AL"/>
        </w:rPr>
        <w:t>rezultoi ndryshe.</w:t>
      </w:r>
      <w:r w:rsidR="00D562BB" w:rsidRPr="004E5A6E">
        <w:rPr>
          <w:rFonts w:ascii="Times New Roman" w:eastAsia="Times New Roman" w:hAnsi="Times New Roman"/>
          <w:i w:val="0"/>
          <w:iCs w:val="0"/>
          <w:color w:val="auto"/>
          <w:sz w:val="24"/>
          <w:szCs w:val="24"/>
          <w:lang w:val="sq-AL"/>
        </w:rPr>
        <w:t xml:space="preserve"> Remitancat u rritën gjatë </w:t>
      </w:r>
      <w:r w:rsidR="003C69D3" w:rsidRPr="004E5A6E">
        <w:rPr>
          <w:rFonts w:ascii="Times New Roman" w:eastAsia="Times New Roman" w:hAnsi="Times New Roman"/>
          <w:i w:val="0"/>
          <w:iCs w:val="0"/>
          <w:color w:val="auto"/>
          <w:sz w:val="24"/>
          <w:szCs w:val="24"/>
          <w:lang w:val="sq-AL"/>
        </w:rPr>
        <w:t>periudhës së pandemisë</w:t>
      </w:r>
      <w:r w:rsidR="00D562BB" w:rsidRPr="004E5A6E">
        <w:rPr>
          <w:rFonts w:ascii="Times New Roman" w:eastAsia="Times New Roman" w:hAnsi="Times New Roman"/>
          <w:i w:val="0"/>
          <w:iCs w:val="0"/>
          <w:color w:val="auto"/>
          <w:sz w:val="24"/>
          <w:szCs w:val="24"/>
          <w:lang w:val="sq-AL"/>
        </w:rPr>
        <w:t xml:space="preserve"> dhe kryesisht sepse remitancat në Kosovë vijnë nga diaspora</w:t>
      </w:r>
      <w:r w:rsidR="003C69D3" w:rsidRPr="004E5A6E">
        <w:rPr>
          <w:rFonts w:ascii="Times New Roman" w:eastAsia="Times New Roman" w:hAnsi="Times New Roman"/>
          <w:i w:val="0"/>
          <w:iCs w:val="0"/>
          <w:color w:val="auto"/>
          <w:sz w:val="24"/>
          <w:szCs w:val="24"/>
          <w:lang w:val="sq-AL"/>
        </w:rPr>
        <w:t xml:space="preserve"> e vendosur</w:t>
      </w:r>
      <w:r w:rsidR="00D562BB" w:rsidRPr="004E5A6E">
        <w:rPr>
          <w:rFonts w:ascii="Times New Roman" w:eastAsia="Times New Roman" w:hAnsi="Times New Roman"/>
          <w:i w:val="0"/>
          <w:iCs w:val="0"/>
          <w:color w:val="auto"/>
          <w:sz w:val="24"/>
          <w:szCs w:val="24"/>
          <w:lang w:val="sq-AL"/>
        </w:rPr>
        <w:t xml:space="preserve"> në vendet e mëdha evropiane, të cilët pavarësisht se janë goditur nga pandemitë, kanë përfituar</w:t>
      </w:r>
      <w:r w:rsidR="003C69D3" w:rsidRPr="004E5A6E">
        <w:rPr>
          <w:rFonts w:ascii="Times New Roman" w:eastAsia="Times New Roman" w:hAnsi="Times New Roman"/>
          <w:i w:val="0"/>
          <w:iCs w:val="0"/>
          <w:color w:val="auto"/>
          <w:sz w:val="24"/>
          <w:szCs w:val="24"/>
          <w:lang w:val="sq-AL"/>
        </w:rPr>
        <w:t xml:space="preserve"> ndjeshëm </w:t>
      </w:r>
      <w:r w:rsidR="00D562BB" w:rsidRPr="004E5A6E">
        <w:rPr>
          <w:rFonts w:ascii="Times New Roman" w:eastAsia="Times New Roman" w:hAnsi="Times New Roman"/>
          <w:i w:val="0"/>
          <w:iCs w:val="0"/>
          <w:color w:val="auto"/>
          <w:sz w:val="24"/>
          <w:szCs w:val="24"/>
          <w:lang w:val="sq-AL"/>
        </w:rPr>
        <w:t>nga mbështetja e qeverisë përmes masave fiskale. Për më tepër, bazuar në përvojën historike si</w:t>
      </w:r>
      <w:r w:rsidR="003C69D3" w:rsidRPr="004E5A6E">
        <w:rPr>
          <w:rFonts w:ascii="Times New Roman" w:eastAsia="Times New Roman" w:hAnsi="Times New Roman"/>
          <w:i w:val="0"/>
          <w:iCs w:val="0"/>
          <w:color w:val="auto"/>
          <w:sz w:val="24"/>
          <w:szCs w:val="24"/>
          <w:lang w:val="sq-AL"/>
        </w:rPr>
        <w:t xml:space="preserve"> në Kosovë ashtu</w:t>
      </w:r>
      <w:r w:rsidR="00D562BB" w:rsidRPr="004E5A6E">
        <w:rPr>
          <w:rFonts w:ascii="Times New Roman" w:eastAsia="Times New Roman" w:hAnsi="Times New Roman"/>
          <w:i w:val="0"/>
          <w:iCs w:val="0"/>
          <w:color w:val="auto"/>
          <w:sz w:val="24"/>
          <w:szCs w:val="24"/>
          <w:lang w:val="sq-AL"/>
        </w:rPr>
        <w:t xml:space="preserve"> </w:t>
      </w:r>
      <w:r w:rsidR="003C69D3" w:rsidRPr="004E5A6E">
        <w:rPr>
          <w:rFonts w:ascii="Times New Roman" w:eastAsia="Times New Roman" w:hAnsi="Times New Roman"/>
          <w:i w:val="0"/>
          <w:iCs w:val="0"/>
          <w:color w:val="auto"/>
          <w:sz w:val="24"/>
          <w:szCs w:val="24"/>
          <w:lang w:val="sq-AL"/>
        </w:rPr>
        <w:t>edhe në vendet e tjera, të diaspora</w:t>
      </w:r>
      <w:r w:rsidR="00D562BB" w:rsidRPr="004E5A6E">
        <w:rPr>
          <w:rFonts w:ascii="Times New Roman" w:eastAsia="Times New Roman" w:hAnsi="Times New Roman"/>
          <w:i w:val="0"/>
          <w:iCs w:val="0"/>
          <w:color w:val="auto"/>
          <w:sz w:val="24"/>
          <w:szCs w:val="24"/>
          <w:lang w:val="sq-AL"/>
        </w:rPr>
        <w:t xml:space="preserve"> dhe punëtorët </w:t>
      </w:r>
      <w:r w:rsidR="003C69D3" w:rsidRPr="004E5A6E">
        <w:rPr>
          <w:rFonts w:ascii="Times New Roman" w:eastAsia="Times New Roman" w:hAnsi="Times New Roman"/>
          <w:i w:val="0"/>
          <w:iCs w:val="0"/>
          <w:color w:val="auto"/>
          <w:sz w:val="24"/>
          <w:szCs w:val="24"/>
          <w:lang w:val="sq-AL"/>
        </w:rPr>
        <w:t>e</w:t>
      </w:r>
      <w:r w:rsidR="00D562BB" w:rsidRPr="004E5A6E">
        <w:rPr>
          <w:rFonts w:ascii="Times New Roman" w:eastAsia="Times New Roman" w:hAnsi="Times New Roman"/>
          <w:i w:val="0"/>
          <w:iCs w:val="0"/>
          <w:color w:val="auto"/>
          <w:sz w:val="24"/>
          <w:szCs w:val="24"/>
          <w:lang w:val="sq-AL"/>
        </w:rPr>
        <w:t xml:space="preserve">migrantë </w:t>
      </w:r>
      <w:r w:rsidR="003C69D3" w:rsidRPr="004E5A6E">
        <w:rPr>
          <w:rFonts w:ascii="Times New Roman" w:eastAsia="Times New Roman" w:hAnsi="Times New Roman"/>
          <w:i w:val="0"/>
          <w:iCs w:val="0"/>
          <w:color w:val="auto"/>
          <w:sz w:val="24"/>
          <w:szCs w:val="24"/>
          <w:lang w:val="sq-AL"/>
        </w:rPr>
        <w:t>kanë prirjen</w:t>
      </w:r>
      <w:r w:rsidR="00D562BB" w:rsidRPr="004E5A6E">
        <w:rPr>
          <w:rFonts w:ascii="Times New Roman" w:eastAsia="Times New Roman" w:hAnsi="Times New Roman"/>
          <w:i w:val="0"/>
          <w:iCs w:val="0"/>
          <w:color w:val="auto"/>
          <w:sz w:val="24"/>
          <w:szCs w:val="24"/>
          <w:lang w:val="sq-AL"/>
        </w:rPr>
        <w:t xml:space="preserve"> të dërgojnë më shumë para në shtëpi kur vendet e tyre po përjetojnë vështirësi ekonomike.</w:t>
      </w:r>
      <w:r w:rsidR="003C69D3" w:rsidRPr="004E5A6E">
        <w:rPr>
          <w:rFonts w:ascii="Times New Roman" w:eastAsia="Times New Roman" w:hAnsi="Times New Roman"/>
          <w:i w:val="0"/>
          <w:iCs w:val="0"/>
          <w:color w:val="auto"/>
          <w:sz w:val="24"/>
          <w:szCs w:val="24"/>
          <w:lang w:val="sq-AL"/>
        </w:rPr>
        <w:t xml:space="preserve"> Rrjedhimisht, r</w:t>
      </w:r>
      <w:r w:rsidR="00D562BB" w:rsidRPr="004E5A6E">
        <w:rPr>
          <w:rFonts w:ascii="Times New Roman" w:eastAsia="Times New Roman" w:hAnsi="Times New Roman"/>
          <w:i w:val="0"/>
          <w:iCs w:val="0"/>
          <w:color w:val="auto"/>
          <w:sz w:val="24"/>
          <w:szCs w:val="24"/>
          <w:lang w:val="sq-AL"/>
        </w:rPr>
        <w:t xml:space="preserve">emitancat pritet të vazhdojnë të jenë një burim i rëndësishëm financimi </w:t>
      </w:r>
      <w:r w:rsidR="003C69D3" w:rsidRPr="004E5A6E">
        <w:rPr>
          <w:rFonts w:ascii="Times New Roman" w:eastAsia="Times New Roman" w:hAnsi="Times New Roman"/>
          <w:i w:val="0"/>
          <w:iCs w:val="0"/>
          <w:color w:val="auto"/>
          <w:sz w:val="24"/>
          <w:szCs w:val="24"/>
          <w:lang w:val="sq-AL"/>
        </w:rPr>
        <w:t xml:space="preserve">gjatë gjithë këtij viti. </w:t>
      </w:r>
      <w:r w:rsidR="00D562BB" w:rsidRPr="004E5A6E">
        <w:rPr>
          <w:rFonts w:ascii="Times New Roman" w:eastAsia="Times New Roman" w:hAnsi="Times New Roman"/>
          <w:i w:val="0"/>
          <w:iCs w:val="0"/>
          <w:color w:val="auto"/>
          <w:sz w:val="24"/>
          <w:szCs w:val="24"/>
          <w:lang w:val="sq-AL"/>
        </w:rPr>
        <w:t>Gjatë vitit</w:t>
      </w:r>
      <w:r w:rsidRPr="004E5A6E">
        <w:rPr>
          <w:rFonts w:ascii="Times New Roman" w:eastAsia="Times New Roman" w:hAnsi="Times New Roman"/>
          <w:i w:val="0"/>
          <w:iCs w:val="0"/>
          <w:color w:val="auto"/>
          <w:sz w:val="24"/>
          <w:szCs w:val="24"/>
          <w:lang w:val="sq-AL"/>
        </w:rPr>
        <w:t xml:space="preserve"> 2020, bilanci i të ardhurave dytësore pritet të ketë një rritje vjetore prej 5.6%.</w:t>
      </w:r>
    </w:p>
    <w:p w14:paraId="2D0DD6F3" w14:textId="77777777" w:rsidR="00F010B4" w:rsidRPr="004E5A6E" w:rsidRDefault="00F010B4" w:rsidP="00F010B4">
      <w:pPr>
        <w:spacing w:before="240" w:after="120" w:line="276" w:lineRule="auto"/>
        <w:jc w:val="both"/>
        <w:rPr>
          <w:color w:val="auto"/>
          <w:lang w:val="sq-AL"/>
        </w:rPr>
      </w:pPr>
      <w:r w:rsidRPr="004E5A6E">
        <w:rPr>
          <w:b/>
          <w:color w:val="auto"/>
          <w:lang w:val="sq-AL"/>
        </w:rPr>
        <w:t xml:space="preserve">Për periudhën afatmesme, </w:t>
      </w:r>
      <w:r w:rsidRPr="004E5A6E">
        <w:rPr>
          <w:color w:val="auto"/>
          <w:lang w:val="sq-AL"/>
        </w:rPr>
        <w:t xml:space="preserve">bilanci i të ardhurave primare pritet të rritet me 4.7% mesatarisht dhe nxitësi kryesor në të ardhurat primare mbetet kategoria e kompensimit të punonjësve. Kjo kategori ka qenë e qëndrueshme si pjesë e bilancit total të të ardhurave primare dhe pritet të jetë një komponent i qëndrueshëm edhe në periudhën afatmesme. Bilanci i të ardhurave dytësore për periudhën afatmesme pritet të rritet me 4.1% mesatarisht, i nxitur kryesisht nga remitancat në vitet 2022 dhe 2023. Megjithatë, në vitin 2021, remitancat pritet të ulen me 6.1% si pasojë e rënies ekonomike të shkaktuar nga pandema dhe reagimi i tyre i vonuar ndaj zhvillimeve ekonomike në vendet pritëse. Këto dy komponentë janë kryesisht burime të qëndrueshme të financimit dhe pjesa e tyre në PBB pritet të ruajë një nivel të ngjashëm në periudhën afatmesme. </w:t>
      </w:r>
    </w:p>
    <w:p w14:paraId="54869C99" w14:textId="77777777" w:rsidR="00EF7F7F" w:rsidRPr="004E5A6E" w:rsidRDefault="00EF7F7F" w:rsidP="00F010B4">
      <w:pPr>
        <w:spacing w:before="240" w:after="120" w:line="276" w:lineRule="auto"/>
        <w:jc w:val="both"/>
        <w:rPr>
          <w:color w:val="auto"/>
          <w:lang w:val="sq-AL"/>
        </w:rPr>
      </w:pPr>
    </w:p>
    <w:p w14:paraId="06FC009F" w14:textId="7E9D5652" w:rsidR="00F010B4" w:rsidRPr="004E5A6E" w:rsidRDefault="00F010B4" w:rsidP="0068706C">
      <w:pPr>
        <w:pStyle w:val="ERPL3"/>
        <w:numPr>
          <w:ilvl w:val="3"/>
          <w:numId w:val="3"/>
        </w:numPr>
        <w:ind w:left="709"/>
        <w:rPr>
          <w:rFonts w:ascii="Times New Roman" w:hAnsi="Times New Roman"/>
          <w:lang w:val="sq-AL"/>
        </w:rPr>
      </w:pPr>
      <w:bookmarkStart w:id="119" w:name="_Toc57720374"/>
      <w:r w:rsidRPr="004E5A6E">
        <w:rPr>
          <w:lang w:val="sq-AL"/>
        </w:rPr>
        <w:t xml:space="preserve"> </w:t>
      </w:r>
      <w:r w:rsidRPr="004E5A6E">
        <w:rPr>
          <w:rFonts w:ascii="Times New Roman" w:hAnsi="Times New Roman"/>
          <w:lang w:val="sq-AL"/>
        </w:rPr>
        <w:t>Llogaria financiare</w:t>
      </w:r>
      <w:bookmarkEnd w:id="119"/>
    </w:p>
    <w:p w14:paraId="0CB08D29" w14:textId="750593D4" w:rsidR="00F010B4" w:rsidRPr="004E5A6E" w:rsidRDefault="00CA51E9" w:rsidP="00F010B4">
      <w:pPr>
        <w:shd w:val="clear" w:color="auto" w:fill="FFFFFF"/>
        <w:spacing w:before="240" w:after="240" w:line="276" w:lineRule="auto"/>
        <w:jc w:val="both"/>
        <w:rPr>
          <w:color w:val="auto"/>
          <w:highlight w:val="yellow"/>
          <w:lang w:val="sq-AL"/>
        </w:rPr>
      </w:pPr>
      <w:bookmarkStart w:id="120" w:name="_Toc57198260"/>
      <w:r w:rsidRPr="004E5A6E">
        <w:rPr>
          <w:noProof/>
          <w:lang w:val="en-US"/>
        </w:rPr>
        <mc:AlternateContent>
          <mc:Choice Requires="wps">
            <w:drawing>
              <wp:anchor distT="0" distB="0" distL="114300" distR="114300" simplePos="0" relativeHeight="251801088" behindDoc="1" locked="0" layoutInCell="1" allowOverlap="1" wp14:anchorId="40FCFE66" wp14:editId="7F26F1A2">
                <wp:simplePos x="0" y="0"/>
                <wp:positionH relativeFrom="margin">
                  <wp:align>left</wp:align>
                </wp:positionH>
                <wp:positionV relativeFrom="paragraph">
                  <wp:posOffset>99695</wp:posOffset>
                </wp:positionV>
                <wp:extent cx="3924300" cy="238125"/>
                <wp:effectExtent l="0" t="0" r="0" b="9525"/>
                <wp:wrapTight wrapText="bothSides">
                  <wp:wrapPolygon edited="0">
                    <wp:start x="0" y="0"/>
                    <wp:lineTo x="0" y="20736"/>
                    <wp:lineTo x="21495" y="20736"/>
                    <wp:lineTo x="21495"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3924300" cy="238125"/>
                        </a:xfrm>
                        <a:prstGeom prst="rect">
                          <a:avLst/>
                        </a:prstGeom>
                        <a:solidFill>
                          <a:prstClr val="white"/>
                        </a:solidFill>
                        <a:ln>
                          <a:noFill/>
                        </a:ln>
                        <a:effectLst/>
                      </wps:spPr>
                      <wps:txbx>
                        <w:txbxContent>
                          <w:p w14:paraId="7D10FB72" w14:textId="3E348E76" w:rsidR="00713DEA" w:rsidRPr="00CA51E9" w:rsidRDefault="00713DEA" w:rsidP="00CA51E9">
                            <w:pPr>
                              <w:pStyle w:val="Caption"/>
                              <w:rPr>
                                <w:rFonts w:ascii="Times New Roman" w:hAnsi="Times New Roman"/>
                                <w:b/>
                                <w:i w:val="0"/>
                                <w:color w:val="auto"/>
                                <w:lang w:val="sq-AL"/>
                              </w:rPr>
                            </w:pPr>
                            <w:bookmarkStart w:id="121" w:name="_Toc57722682"/>
                            <w:r>
                              <w:rPr>
                                <w:rFonts w:ascii="Times New Roman" w:hAnsi="Times New Roman"/>
                                <w:b/>
                                <w:i w:val="0"/>
                                <w:color w:val="auto"/>
                                <w:lang w:val="sq-AL"/>
                              </w:rPr>
                              <w:t>Figura</w:t>
                            </w:r>
                            <w:r w:rsidRPr="00CA51E9">
                              <w:rPr>
                                <w:rFonts w:ascii="Times New Roman" w:hAnsi="Times New Roman"/>
                                <w:b/>
                                <w:i w:val="0"/>
                                <w:color w:val="auto"/>
                                <w:lang w:val="sq-AL"/>
                              </w:rPr>
                              <w:t xml:space="preserve"> </w:t>
                            </w:r>
                            <w:r w:rsidRPr="00CA51E9">
                              <w:rPr>
                                <w:rFonts w:ascii="Times New Roman" w:hAnsi="Times New Roman"/>
                                <w:b/>
                                <w:i w:val="0"/>
                                <w:color w:val="auto"/>
                                <w:lang w:val="sq-AL"/>
                              </w:rPr>
                              <w:fldChar w:fldCharType="begin"/>
                            </w:r>
                            <w:r w:rsidRPr="00CA51E9">
                              <w:rPr>
                                <w:rFonts w:ascii="Times New Roman" w:hAnsi="Times New Roman"/>
                                <w:b/>
                                <w:i w:val="0"/>
                                <w:color w:val="auto"/>
                                <w:lang w:val="sq-AL"/>
                              </w:rPr>
                              <w:instrText xml:space="preserve"> SEQ Figure \* ARABIC </w:instrText>
                            </w:r>
                            <w:r w:rsidRPr="00CA51E9">
                              <w:rPr>
                                <w:rFonts w:ascii="Times New Roman" w:hAnsi="Times New Roman"/>
                                <w:b/>
                                <w:i w:val="0"/>
                                <w:color w:val="auto"/>
                                <w:lang w:val="sq-AL"/>
                              </w:rPr>
                              <w:fldChar w:fldCharType="separate"/>
                            </w:r>
                            <w:r>
                              <w:rPr>
                                <w:rFonts w:ascii="Times New Roman" w:hAnsi="Times New Roman"/>
                                <w:b/>
                                <w:i w:val="0"/>
                                <w:noProof/>
                                <w:color w:val="auto"/>
                                <w:lang w:val="sq-AL"/>
                              </w:rPr>
                              <w:t>7</w:t>
                            </w:r>
                            <w:r w:rsidRPr="00CA51E9">
                              <w:rPr>
                                <w:rFonts w:ascii="Times New Roman" w:hAnsi="Times New Roman"/>
                                <w:b/>
                                <w:i w:val="0"/>
                                <w:color w:val="auto"/>
                                <w:lang w:val="sq-AL"/>
                              </w:rPr>
                              <w:fldChar w:fldCharType="end"/>
                            </w:r>
                            <w:r>
                              <w:rPr>
                                <w:rFonts w:ascii="Times New Roman" w:hAnsi="Times New Roman"/>
                                <w:b/>
                                <w:i w:val="0"/>
                                <w:color w:val="auto"/>
                                <w:lang w:val="sq-AL"/>
                              </w:rPr>
                              <w:t xml:space="preserve"> Përbërësit e llogarisë fina</w:t>
                            </w:r>
                            <w:r w:rsidRPr="00CA51E9">
                              <w:rPr>
                                <w:rFonts w:ascii="Times New Roman" w:hAnsi="Times New Roman"/>
                                <w:b/>
                                <w:i w:val="0"/>
                                <w:color w:val="auto"/>
                                <w:lang w:val="sq-AL"/>
                              </w:rPr>
                              <w:t>nciare</w:t>
                            </w:r>
                            <w:bookmarkEnd w:id="12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CFE66" id="Text Box 7" o:spid="_x0000_s1030" type="#_x0000_t202" style="position:absolute;left:0;text-align:left;margin-left:0;margin-top:7.85pt;width:309pt;height:18.75pt;z-index:-2515153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" stroked="f">
                <v:textbox inset="0,0,0,0">
                  <w:txbxContent>
                    <w:p w14:paraId="7D10FB72" w14:textId="3E348E76" w:rsidR="00713DEA" w:rsidRPr="00CA51E9" w:rsidRDefault="00713DEA" w:rsidP="00CA51E9">
                      <w:pPr>
                        <w:pStyle w:val="Caption"/>
                        <w:rPr>
                          <w:rFonts w:ascii="Times New Roman" w:hAnsi="Times New Roman"/>
                          <w:b/>
                          <w:i w:val="0"/>
                          <w:color w:val="auto"/>
                          <w:lang w:val="sq-AL"/>
                        </w:rPr>
                      </w:pPr>
                      <w:bookmarkStart w:id="122" w:name="_Toc57722682"/>
                      <w:r>
                        <w:rPr>
                          <w:rFonts w:ascii="Times New Roman" w:hAnsi="Times New Roman"/>
                          <w:b/>
                          <w:i w:val="0"/>
                          <w:color w:val="auto"/>
                          <w:lang w:val="sq-AL"/>
                        </w:rPr>
                        <w:t>Figura</w:t>
                      </w:r>
                      <w:r w:rsidRPr="00CA51E9">
                        <w:rPr>
                          <w:rFonts w:ascii="Times New Roman" w:hAnsi="Times New Roman"/>
                          <w:b/>
                          <w:i w:val="0"/>
                          <w:color w:val="auto"/>
                          <w:lang w:val="sq-AL"/>
                        </w:rPr>
                        <w:t xml:space="preserve"> </w:t>
                      </w:r>
                      <w:r w:rsidRPr="00CA51E9">
                        <w:rPr>
                          <w:rFonts w:ascii="Times New Roman" w:hAnsi="Times New Roman"/>
                          <w:b/>
                          <w:i w:val="0"/>
                          <w:color w:val="auto"/>
                          <w:lang w:val="sq-AL"/>
                        </w:rPr>
                        <w:fldChar w:fldCharType="begin"/>
                      </w:r>
                      <w:r w:rsidRPr="00CA51E9">
                        <w:rPr>
                          <w:rFonts w:ascii="Times New Roman" w:hAnsi="Times New Roman"/>
                          <w:b/>
                          <w:i w:val="0"/>
                          <w:color w:val="auto"/>
                          <w:lang w:val="sq-AL"/>
                        </w:rPr>
                        <w:instrText xml:space="preserve"> SEQ Figure \* ARABIC </w:instrText>
                      </w:r>
                      <w:r w:rsidRPr="00CA51E9">
                        <w:rPr>
                          <w:rFonts w:ascii="Times New Roman" w:hAnsi="Times New Roman"/>
                          <w:b/>
                          <w:i w:val="0"/>
                          <w:color w:val="auto"/>
                          <w:lang w:val="sq-AL"/>
                        </w:rPr>
                        <w:fldChar w:fldCharType="separate"/>
                      </w:r>
                      <w:r>
                        <w:rPr>
                          <w:rFonts w:ascii="Times New Roman" w:hAnsi="Times New Roman"/>
                          <w:b/>
                          <w:i w:val="0"/>
                          <w:noProof/>
                          <w:color w:val="auto"/>
                          <w:lang w:val="sq-AL"/>
                        </w:rPr>
                        <w:t>7</w:t>
                      </w:r>
                      <w:r w:rsidRPr="00CA51E9">
                        <w:rPr>
                          <w:rFonts w:ascii="Times New Roman" w:hAnsi="Times New Roman"/>
                          <w:b/>
                          <w:i w:val="0"/>
                          <w:color w:val="auto"/>
                          <w:lang w:val="sq-AL"/>
                        </w:rPr>
                        <w:fldChar w:fldCharType="end"/>
                      </w:r>
                      <w:r>
                        <w:rPr>
                          <w:rFonts w:ascii="Times New Roman" w:hAnsi="Times New Roman"/>
                          <w:b/>
                          <w:i w:val="0"/>
                          <w:color w:val="auto"/>
                          <w:lang w:val="sq-AL"/>
                        </w:rPr>
                        <w:t xml:space="preserve"> Përbërësit e llogarisë fina</w:t>
                      </w:r>
                      <w:r w:rsidRPr="00CA51E9">
                        <w:rPr>
                          <w:rFonts w:ascii="Times New Roman" w:hAnsi="Times New Roman"/>
                          <w:b/>
                          <w:i w:val="0"/>
                          <w:color w:val="auto"/>
                          <w:lang w:val="sq-AL"/>
                        </w:rPr>
                        <w:t>nciare</w:t>
                      </w:r>
                      <w:bookmarkEnd w:id="122"/>
                    </w:p>
                  </w:txbxContent>
                </v:textbox>
                <w10:wrap type="tight" anchorx="margin"/>
              </v:shape>
            </w:pict>
          </mc:Fallback>
        </mc:AlternateContent>
      </w:r>
      <w:bookmarkEnd w:id="120"/>
      <w:r w:rsidR="005C6FD7" w:rsidRPr="004E5A6E">
        <w:rPr>
          <w:noProof/>
          <w:lang w:val="en-US"/>
        </w:rPr>
        <w:drawing>
          <wp:anchor distT="0" distB="0" distL="114300" distR="114300" simplePos="0" relativeHeight="251790848" behindDoc="1" locked="0" layoutInCell="1" allowOverlap="1" wp14:anchorId="6AD8ADC5" wp14:editId="0963CB9B">
            <wp:simplePos x="0" y="0"/>
            <wp:positionH relativeFrom="margin">
              <wp:align>left</wp:align>
            </wp:positionH>
            <wp:positionV relativeFrom="paragraph">
              <wp:posOffset>283845</wp:posOffset>
            </wp:positionV>
            <wp:extent cx="3924300" cy="2562225"/>
            <wp:effectExtent l="0" t="0" r="0" b="0"/>
            <wp:wrapTight wrapText="bothSides">
              <wp:wrapPolygon edited="0">
                <wp:start x="0" y="0"/>
                <wp:lineTo x="0" y="21359"/>
                <wp:lineTo x="21495" y="21359"/>
                <wp:lineTo x="21495" y="0"/>
                <wp:lineTo x="0" y="0"/>
              </wp:wrapPolygon>
            </wp:wrapTight>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F010B4" w:rsidRPr="004E5A6E">
        <w:rPr>
          <w:color w:val="auto"/>
          <w:lang w:val="sq-AL"/>
        </w:rPr>
        <w:t>Deri në gusht 2019, hyrjet totale të IHD-ve arritën rreth 226.1 milion Euro, duke regjistrua</w:t>
      </w:r>
      <w:r w:rsidR="0015759E" w:rsidRPr="004E5A6E">
        <w:rPr>
          <w:color w:val="auto"/>
          <w:lang w:val="sq-AL"/>
        </w:rPr>
        <w:t>r një rritje vjetore prej 15.2%. Kjo rritje i atribuohet kryesisht rritjes së IHD-ve në se</w:t>
      </w:r>
      <w:r w:rsidR="00FD0099" w:rsidRPr="004E5A6E">
        <w:rPr>
          <w:color w:val="auto"/>
          <w:lang w:val="sq-AL"/>
        </w:rPr>
        <w:t>ktorin financiar, si rezultat i rritjes së mos ri-atdhesimit të fitimeve në këtë sektor gjatë kësaj periudhe. Nd</w:t>
      </w:r>
      <w:r w:rsidR="00EB5758" w:rsidRPr="004E5A6E">
        <w:rPr>
          <w:color w:val="auto"/>
          <w:lang w:val="sq-AL"/>
        </w:rPr>
        <w:t>ë</w:t>
      </w:r>
      <w:r w:rsidR="00FD0099" w:rsidRPr="004E5A6E">
        <w:rPr>
          <w:color w:val="auto"/>
          <w:lang w:val="sq-AL"/>
        </w:rPr>
        <w:t>rkoh</w:t>
      </w:r>
      <w:r w:rsidR="00EB5758" w:rsidRPr="004E5A6E">
        <w:rPr>
          <w:color w:val="auto"/>
          <w:lang w:val="sq-AL"/>
        </w:rPr>
        <w:t>ë</w:t>
      </w:r>
      <w:r w:rsidR="00FD0099" w:rsidRPr="004E5A6E">
        <w:rPr>
          <w:color w:val="auto"/>
          <w:lang w:val="sq-AL"/>
        </w:rPr>
        <w:t>, nj</w:t>
      </w:r>
      <w:r w:rsidR="00EB5758" w:rsidRPr="004E5A6E">
        <w:rPr>
          <w:color w:val="auto"/>
          <w:lang w:val="sq-AL"/>
        </w:rPr>
        <w:t>ë</w:t>
      </w:r>
      <w:r w:rsidR="00FD0099" w:rsidRPr="004E5A6E">
        <w:rPr>
          <w:color w:val="auto"/>
          <w:lang w:val="sq-AL"/>
        </w:rPr>
        <w:t xml:space="preserve"> nga sektor</w:t>
      </w:r>
      <w:r w:rsidR="00EB5758" w:rsidRPr="004E5A6E">
        <w:rPr>
          <w:color w:val="auto"/>
          <w:lang w:val="sq-AL"/>
        </w:rPr>
        <w:t>ë</w:t>
      </w:r>
      <w:r w:rsidR="00FD0099" w:rsidRPr="004E5A6E">
        <w:rPr>
          <w:color w:val="auto"/>
          <w:lang w:val="sq-AL"/>
        </w:rPr>
        <w:t>t kryesor</w:t>
      </w:r>
      <w:r w:rsidR="00EB5758" w:rsidRPr="004E5A6E">
        <w:rPr>
          <w:color w:val="auto"/>
          <w:lang w:val="sq-AL"/>
        </w:rPr>
        <w:t>ë</w:t>
      </w:r>
      <w:r w:rsidR="00FD0099" w:rsidRPr="004E5A6E">
        <w:rPr>
          <w:color w:val="auto"/>
          <w:lang w:val="sq-AL"/>
        </w:rPr>
        <w:t xml:space="preserve"> q</w:t>
      </w:r>
      <w:r w:rsidR="00EB5758" w:rsidRPr="004E5A6E">
        <w:rPr>
          <w:color w:val="auto"/>
          <w:lang w:val="sq-AL"/>
        </w:rPr>
        <w:t>ë</w:t>
      </w:r>
      <w:r w:rsidR="00FD0099" w:rsidRPr="004E5A6E">
        <w:rPr>
          <w:color w:val="auto"/>
          <w:lang w:val="sq-AL"/>
        </w:rPr>
        <w:t xml:space="preserve"> t</w:t>
      </w:r>
      <w:r w:rsidR="00EB5758" w:rsidRPr="004E5A6E">
        <w:rPr>
          <w:color w:val="auto"/>
          <w:lang w:val="sq-AL"/>
        </w:rPr>
        <w:t>ë</w:t>
      </w:r>
      <w:r w:rsidR="00FD0099" w:rsidRPr="004E5A6E">
        <w:rPr>
          <w:color w:val="auto"/>
          <w:lang w:val="sq-AL"/>
        </w:rPr>
        <w:t>rheq IHD-t</w:t>
      </w:r>
      <w:r w:rsidR="00EB5758" w:rsidRPr="004E5A6E">
        <w:rPr>
          <w:color w:val="auto"/>
          <w:lang w:val="sq-AL"/>
        </w:rPr>
        <w:t>ë</w:t>
      </w:r>
      <w:r w:rsidR="00FD0099" w:rsidRPr="004E5A6E">
        <w:rPr>
          <w:color w:val="auto"/>
          <w:lang w:val="sq-AL"/>
        </w:rPr>
        <w:t xml:space="preserve">, siç </w:t>
      </w:r>
      <w:r w:rsidR="00EB5758" w:rsidRPr="004E5A6E">
        <w:rPr>
          <w:color w:val="auto"/>
          <w:lang w:val="sq-AL"/>
        </w:rPr>
        <w:t>ë</w:t>
      </w:r>
      <w:r w:rsidR="00FD0099" w:rsidRPr="004E5A6E">
        <w:rPr>
          <w:color w:val="auto"/>
          <w:lang w:val="sq-AL"/>
        </w:rPr>
        <w:t>sht</w:t>
      </w:r>
      <w:r w:rsidR="00EB5758" w:rsidRPr="004E5A6E">
        <w:rPr>
          <w:color w:val="auto"/>
          <w:lang w:val="sq-AL"/>
        </w:rPr>
        <w:t>ë</w:t>
      </w:r>
      <w:r w:rsidR="00FD0099" w:rsidRPr="004E5A6E">
        <w:rPr>
          <w:color w:val="auto"/>
          <w:lang w:val="sq-AL"/>
        </w:rPr>
        <w:t xml:space="preserve"> sektori i pasuris</w:t>
      </w:r>
      <w:r w:rsidR="00EB5758" w:rsidRPr="004E5A6E">
        <w:rPr>
          <w:color w:val="auto"/>
          <w:lang w:val="sq-AL"/>
        </w:rPr>
        <w:t>ë</w:t>
      </w:r>
      <w:r w:rsidR="00FD0099" w:rsidRPr="004E5A6E">
        <w:rPr>
          <w:color w:val="auto"/>
          <w:lang w:val="sq-AL"/>
        </w:rPr>
        <w:t xml:space="preserve"> s</w:t>
      </w:r>
      <w:r w:rsidR="00EB5758" w:rsidRPr="004E5A6E">
        <w:rPr>
          <w:color w:val="auto"/>
          <w:lang w:val="sq-AL"/>
        </w:rPr>
        <w:t>ë</w:t>
      </w:r>
      <w:r w:rsidR="00FD0099" w:rsidRPr="004E5A6E">
        <w:rPr>
          <w:color w:val="auto"/>
          <w:lang w:val="sq-AL"/>
        </w:rPr>
        <w:t xml:space="preserve"> paluajtshme, ka p</w:t>
      </w:r>
      <w:r w:rsidR="00EB5758" w:rsidRPr="004E5A6E">
        <w:rPr>
          <w:color w:val="auto"/>
          <w:lang w:val="sq-AL"/>
        </w:rPr>
        <w:t>ë</w:t>
      </w:r>
      <w:r w:rsidR="00FD0099" w:rsidRPr="004E5A6E">
        <w:rPr>
          <w:color w:val="auto"/>
          <w:lang w:val="sq-AL"/>
        </w:rPr>
        <w:t>rjetuar nj</w:t>
      </w:r>
      <w:r w:rsidR="00EB5758" w:rsidRPr="004E5A6E">
        <w:rPr>
          <w:color w:val="auto"/>
          <w:lang w:val="sq-AL"/>
        </w:rPr>
        <w:t>ë</w:t>
      </w:r>
      <w:r w:rsidR="00FD0099" w:rsidRPr="004E5A6E">
        <w:rPr>
          <w:color w:val="auto"/>
          <w:lang w:val="sq-AL"/>
        </w:rPr>
        <w:t xml:space="preserve"> r</w:t>
      </w:r>
      <w:r w:rsidR="00EB5758" w:rsidRPr="004E5A6E">
        <w:rPr>
          <w:color w:val="auto"/>
          <w:lang w:val="sq-AL"/>
        </w:rPr>
        <w:t>ë</w:t>
      </w:r>
      <w:r w:rsidR="00FD0099" w:rsidRPr="004E5A6E">
        <w:rPr>
          <w:color w:val="auto"/>
          <w:lang w:val="sq-AL"/>
        </w:rPr>
        <w:t>nie t</w:t>
      </w:r>
      <w:r w:rsidR="00EB5758" w:rsidRPr="004E5A6E">
        <w:rPr>
          <w:color w:val="auto"/>
          <w:lang w:val="sq-AL"/>
        </w:rPr>
        <w:t>ë</w:t>
      </w:r>
      <w:r w:rsidR="00FD0099" w:rsidRPr="004E5A6E">
        <w:rPr>
          <w:color w:val="auto"/>
          <w:lang w:val="sq-AL"/>
        </w:rPr>
        <w:t xml:space="preserve"> hyrjeve t</w:t>
      </w:r>
      <w:r w:rsidR="00EB5758" w:rsidRPr="004E5A6E">
        <w:rPr>
          <w:color w:val="auto"/>
          <w:lang w:val="sq-AL"/>
        </w:rPr>
        <w:t>ë</w:t>
      </w:r>
      <w:r w:rsidR="00FD0099" w:rsidRPr="004E5A6E">
        <w:rPr>
          <w:color w:val="auto"/>
          <w:lang w:val="sq-AL"/>
        </w:rPr>
        <w:t xml:space="preserve"> k</w:t>
      </w:r>
      <w:r w:rsidR="00EB5758" w:rsidRPr="004E5A6E">
        <w:rPr>
          <w:color w:val="auto"/>
          <w:lang w:val="sq-AL"/>
        </w:rPr>
        <w:t>ë</w:t>
      </w:r>
      <w:r w:rsidR="00FD0099" w:rsidRPr="004E5A6E">
        <w:rPr>
          <w:color w:val="auto"/>
          <w:lang w:val="sq-AL"/>
        </w:rPr>
        <w:t>tyre flukseve, gj</w:t>
      </w:r>
      <w:r w:rsidR="00EB5758" w:rsidRPr="004E5A6E">
        <w:rPr>
          <w:color w:val="auto"/>
          <w:lang w:val="sq-AL"/>
        </w:rPr>
        <w:t>ë</w:t>
      </w:r>
      <w:r w:rsidR="00FD0099" w:rsidRPr="004E5A6E">
        <w:rPr>
          <w:color w:val="auto"/>
          <w:lang w:val="sq-AL"/>
        </w:rPr>
        <w:t xml:space="preserve"> e cila shpjegohet me numrin t</w:t>
      </w:r>
      <w:r w:rsidR="00EB5758" w:rsidRPr="004E5A6E">
        <w:rPr>
          <w:color w:val="auto"/>
          <w:lang w:val="sq-AL"/>
        </w:rPr>
        <w:t>ë</w:t>
      </w:r>
      <w:r w:rsidR="00FD0099" w:rsidRPr="004E5A6E">
        <w:rPr>
          <w:color w:val="auto"/>
          <w:lang w:val="sq-AL"/>
        </w:rPr>
        <w:t xml:space="preserve"> m</w:t>
      </w:r>
      <w:r w:rsidR="00EB5758" w:rsidRPr="004E5A6E">
        <w:rPr>
          <w:color w:val="auto"/>
          <w:lang w:val="sq-AL"/>
        </w:rPr>
        <w:t>ë</w:t>
      </w:r>
      <w:r w:rsidR="00FD0099" w:rsidRPr="004E5A6E">
        <w:rPr>
          <w:color w:val="auto"/>
          <w:lang w:val="sq-AL"/>
        </w:rPr>
        <w:t xml:space="preserve"> ul</w:t>
      </w:r>
      <w:r w:rsidR="00EB5758" w:rsidRPr="004E5A6E">
        <w:rPr>
          <w:color w:val="auto"/>
          <w:lang w:val="sq-AL"/>
        </w:rPr>
        <w:t>ë</w:t>
      </w:r>
      <w:r w:rsidR="00FD0099" w:rsidRPr="004E5A6E">
        <w:rPr>
          <w:color w:val="auto"/>
          <w:lang w:val="sq-AL"/>
        </w:rPr>
        <w:t>t t</w:t>
      </w:r>
      <w:r w:rsidR="00EB5758" w:rsidRPr="004E5A6E">
        <w:rPr>
          <w:color w:val="auto"/>
          <w:lang w:val="sq-AL"/>
        </w:rPr>
        <w:t>ë</w:t>
      </w:r>
      <w:r w:rsidR="00FD0099" w:rsidRPr="004E5A6E">
        <w:rPr>
          <w:color w:val="auto"/>
          <w:lang w:val="sq-AL"/>
        </w:rPr>
        <w:t xml:space="preserve"> vizitave t</w:t>
      </w:r>
      <w:r w:rsidR="00EB5758" w:rsidRPr="004E5A6E">
        <w:rPr>
          <w:color w:val="auto"/>
          <w:lang w:val="sq-AL"/>
        </w:rPr>
        <w:t>ë</w:t>
      </w:r>
      <w:r w:rsidR="00FD0099" w:rsidRPr="004E5A6E">
        <w:rPr>
          <w:color w:val="auto"/>
          <w:lang w:val="sq-AL"/>
        </w:rPr>
        <w:t xml:space="preserve"> diaspor</w:t>
      </w:r>
      <w:r w:rsidR="00EB5758" w:rsidRPr="004E5A6E">
        <w:rPr>
          <w:color w:val="auto"/>
          <w:lang w:val="sq-AL"/>
        </w:rPr>
        <w:t>ë</w:t>
      </w:r>
      <w:r w:rsidR="00FD0099" w:rsidRPr="004E5A6E">
        <w:rPr>
          <w:color w:val="auto"/>
          <w:lang w:val="sq-AL"/>
        </w:rPr>
        <w:t>s n</w:t>
      </w:r>
      <w:r w:rsidR="00EB5758" w:rsidRPr="004E5A6E">
        <w:rPr>
          <w:color w:val="auto"/>
          <w:lang w:val="sq-AL"/>
        </w:rPr>
        <w:t>ë</w:t>
      </w:r>
      <w:r w:rsidR="00FD0099" w:rsidRPr="004E5A6E">
        <w:rPr>
          <w:color w:val="auto"/>
          <w:lang w:val="sq-AL"/>
        </w:rPr>
        <w:t xml:space="preserve"> Kosov</w:t>
      </w:r>
      <w:r w:rsidR="00EB5758" w:rsidRPr="004E5A6E">
        <w:rPr>
          <w:color w:val="auto"/>
          <w:lang w:val="sq-AL"/>
        </w:rPr>
        <w:t>ë</w:t>
      </w:r>
      <w:r w:rsidR="00FD0099" w:rsidRPr="004E5A6E">
        <w:rPr>
          <w:color w:val="auto"/>
          <w:lang w:val="sq-AL"/>
        </w:rPr>
        <w:t xml:space="preserve"> gjat</w:t>
      </w:r>
      <w:r w:rsidR="00EB5758" w:rsidRPr="004E5A6E">
        <w:rPr>
          <w:color w:val="auto"/>
          <w:lang w:val="sq-AL"/>
        </w:rPr>
        <w:t>ë</w:t>
      </w:r>
      <w:r w:rsidR="00FD0099" w:rsidRPr="004E5A6E">
        <w:rPr>
          <w:color w:val="auto"/>
          <w:lang w:val="sq-AL"/>
        </w:rPr>
        <w:t xml:space="preserve"> vitit 2020 dhe </w:t>
      </w:r>
      <w:r w:rsidR="00EB5758" w:rsidRPr="004E5A6E">
        <w:rPr>
          <w:color w:val="auto"/>
          <w:lang w:val="sq-AL"/>
        </w:rPr>
        <w:t xml:space="preserve">rrjedhimisht investimit më të ulët në blerjen e pasurive të paluajtshme. Në mënyrë të ngjashme, në kohë krize të shoqëruar me pasiguri të lartë, flukset hyrëse të IHD-ve zakonisht bien, gjë që ndodhur në shumë sektorë të tjerë gjatë kësaj periudhe. </w:t>
      </w:r>
      <w:r w:rsidR="00F010B4" w:rsidRPr="004E5A6E">
        <w:rPr>
          <w:color w:val="auto"/>
          <w:lang w:val="sq-AL"/>
        </w:rPr>
        <w:t>Në këtë periudhë, investimet direkte jashtë vendit u ulën me 17.1 milion</w:t>
      </w:r>
      <w:r w:rsidR="00EB5758" w:rsidRPr="004E5A6E">
        <w:rPr>
          <w:color w:val="auto"/>
          <w:lang w:val="sq-AL"/>
        </w:rPr>
        <w:t>ë</w:t>
      </w:r>
      <w:r w:rsidR="00F010B4" w:rsidRPr="004E5A6E">
        <w:rPr>
          <w:color w:val="auto"/>
          <w:lang w:val="sq-AL"/>
        </w:rPr>
        <w:t xml:space="preserve"> euro. Investimet e portofolit në asete të huaja u ulën me 1.5 milion euro gjatë janarit-gusht 2020, ndërsa investimet e portofolit në Kosovë mbeten zero. Asetet e tjera të investimeve u rritën me 142.2 milion euro dhe detyrimet e tjera të investimeve u rritën me 35.3 milion euro në të njëjtën periudhë të vitit 2020. Investimet e Huaja Direkte vazhdojnë të përbëjnë pjesën më të madhe në detyrimet e llogarisë financiare, rreth 63.2% për periudhën janar-gusht të vitit 2020, kjo përqindje ka qenë e konsiderueshme edhe në vitet e mëparshme (rreth 70%).  </w:t>
      </w:r>
    </w:p>
    <w:p w14:paraId="6C24169D" w14:textId="0BA597CB" w:rsidR="00F010B4" w:rsidRPr="004E5A6E" w:rsidRDefault="00F010B4" w:rsidP="00F010B4">
      <w:pPr>
        <w:shd w:val="clear" w:color="auto" w:fill="FFFFFF"/>
        <w:spacing w:before="240" w:after="240" w:line="276" w:lineRule="auto"/>
        <w:jc w:val="both"/>
        <w:rPr>
          <w:color w:val="auto"/>
          <w:lang w:val="sq-AL"/>
        </w:rPr>
      </w:pPr>
      <w:r w:rsidRPr="004E5A6E">
        <w:rPr>
          <w:color w:val="auto"/>
          <w:lang w:val="sq-AL"/>
        </w:rPr>
        <w:t>Si i tillë, IHD-të shihen si një burim i qëndrueshëm financimi pasi kanë aftësi më të mira për ndarjen e rreziqeve dhe janë më të përshtatshme për stabilitetin makro. Sidoqoftë, duhet të theksohet se rreth 52.2% e IHD-ve totale gjatë periudhës janar-gusht 2020 ishte drejtuar për aktivitete të pasurive të patundshme. Shërbimet financiare ndjekin si absorbuesi i dytë më i madh i IHD-ve, që përbën 26.9% të IHD-ve totale. Në përgjithësi, hyrjet e kapitalit në sektorin e patregtueshëm (siç janë aktivitetet e pasurive të patundshme dhe marrja me qira dhe ndërmjetësimi financiar) janë më të prirura për krijimin e brishtësisë financiare përmes mospërputhjeve të bilancit të pagesave pasi sektorë të tillë janë të vështirë për të krijuar të ardhura nga eksporti. Megjithatë, IHD-të, si përbërësi më i madh i detyrimeve të llogarisë financiare është gjeneruese e jo borxheve dhe kështu është më pak e prekshme.</w:t>
      </w:r>
    </w:p>
    <w:p w14:paraId="3F847222" w14:textId="6ABCF559" w:rsidR="00F010B4" w:rsidRPr="004E5A6E" w:rsidRDefault="00EF7F7F" w:rsidP="00F010B4">
      <w:pPr>
        <w:shd w:val="clear" w:color="auto" w:fill="FFFFFF"/>
        <w:spacing w:before="240" w:after="240" w:line="276" w:lineRule="auto"/>
        <w:jc w:val="both"/>
        <w:rPr>
          <w:color w:val="auto"/>
          <w:lang w:val="sq-AL"/>
        </w:rPr>
      </w:pPr>
      <w:r w:rsidRPr="004E5A6E">
        <w:rPr>
          <w:noProof/>
          <w:color w:val="auto"/>
          <w:lang w:val="en-US"/>
        </w:rPr>
        <mc:AlternateContent>
          <mc:Choice Requires="wps">
            <w:drawing>
              <wp:anchor distT="0" distB="0" distL="114300" distR="114300" simplePos="0" relativeHeight="251655168" behindDoc="1" locked="0" layoutInCell="1" allowOverlap="1" wp14:anchorId="117A37D2" wp14:editId="4AC0B283">
                <wp:simplePos x="0" y="0"/>
                <wp:positionH relativeFrom="margin">
                  <wp:align>left</wp:align>
                </wp:positionH>
                <wp:positionV relativeFrom="paragraph">
                  <wp:posOffset>-3175</wp:posOffset>
                </wp:positionV>
                <wp:extent cx="3705225" cy="180975"/>
                <wp:effectExtent l="0" t="0" r="9525" b="9525"/>
                <wp:wrapTight wrapText="bothSides">
                  <wp:wrapPolygon edited="0">
                    <wp:start x="0" y="0"/>
                    <wp:lineTo x="0" y="20463"/>
                    <wp:lineTo x="21544" y="20463"/>
                    <wp:lineTo x="21544" y="0"/>
                    <wp:lineTo x="0" y="0"/>
                  </wp:wrapPolygon>
                </wp:wrapTight>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5225" cy="180975"/>
                        </a:xfrm>
                        <a:prstGeom prst="rect">
                          <a:avLst/>
                        </a:prstGeom>
                        <a:solidFill>
                          <a:prstClr val="white"/>
                        </a:solidFill>
                        <a:ln>
                          <a:noFill/>
                        </a:ln>
                      </wps:spPr>
                      <wps:txbx>
                        <w:txbxContent>
                          <w:p w14:paraId="1288DFB9" w14:textId="4D2AD1A2" w:rsidR="00713DEA" w:rsidRPr="00274F5E" w:rsidRDefault="00713DEA" w:rsidP="00F010B4">
                            <w:pPr>
                              <w:pStyle w:val="Caption"/>
                              <w:spacing w:after="0"/>
                              <w:rPr>
                                <w:rFonts w:ascii="Times New Roman" w:eastAsiaTheme="minorHAnsi" w:hAnsi="Times New Roman"/>
                                <w:b/>
                                <w:i w:val="0"/>
                                <w:noProof/>
                                <w:color w:val="auto"/>
                              </w:rPr>
                            </w:pPr>
                            <w:bookmarkStart w:id="123" w:name="_Toc25151649"/>
                            <w:bookmarkStart w:id="124" w:name="_Toc57360253"/>
                            <w:bookmarkStart w:id="125" w:name="_Toc57360283"/>
                            <w:bookmarkStart w:id="126" w:name="_Toc57722683"/>
                            <w:r>
                              <w:rPr>
                                <w:rFonts w:ascii="Times New Roman" w:hAnsi="Times New Roman"/>
                                <w:b/>
                                <w:i w:val="0"/>
                                <w:color w:val="auto"/>
                              </w:rPr>
                              <w:t>Figura</w:t>
                            </w:r>
                            <w:r w:rsidRPr="00274F5E">
                              <w:rPr>
                                <w:rFonts w:ascii="Times New Roman" w:hAnsi="Times New Roman"/>
                                <w:b/>
                                <w:i w:val="0"/>
                                <w:color w:val="auto"/>
                              </w:rPr>
                              <w:t xml:space="preserve"> </w:t>
                            </w:r>
                            <w:r>
                              <w:rPr>
                                <w:rFonts w:ascii="Times New Roman" w:hAnsi="Times New Roman"/>
                                <w:b/>
                                <w:i w:val="0"/>
                                <w:color w:val="auto"/>
                              </w:rPr>
                              <w:fldChar w:fldCharType="begin"/>
                            </w:r>
                            <w:r>
                              <w:rPr>
                                <w:rFonts w:ascii="Times New Roman" w:hAnsi="Times New Roman"/>
                                <w:b/>
                                <w:i w:val="0"/>
                                <w:color w:val="auto"/>
                              </w:rPr>
                              <w:instrText xml:space="preserve"> SEQ Figure \* ARABIC </w:instrText>
                            </w:r>
                            <w:r>
                              <w:rPr>
                                <w:rFonts w:ascii="Times New Roman" w:hAnsi="Times New Roman"/>
                                <w:b/>
                                <w:i w:val="0"/>
                                <w:color w:val="auto"/>
                              </w:rPr>
                              <w:fldChar w:fldCharType="separate"/>
                            </w:r>
                            <w:r>
                              <w:rPr>
                                <w:rFonts w:ascii="Times New Roman" w:hAnsi="Times New Roman"/>
                                <w:b/>
                                <w:i w:val="0"/>
                                <w:noProof/>
                                <w:color w:val="auto"/>
                              </w:rPr>
                              <w:t>8</w:t>
                            </w:r>
                            <w:r>
                              <w:rPr>
                                <w:rFonts w:ascii="Times New Roman" w:hAnsi="Times New Roman"/>
                                <w:b/>
                                <w:i w:val="0"/>
                                <w:color w:val="auto"/>
                              </w:rPr>
                              <w:fldChar w:fldCharType="end"/>
                            </w:r>
                            <w:r w:rsidRPr="00274F5E">
                              <w:rPr>
                                <w:rFonts w:ascii="Times New Roman" w:hAnsi="Times New Roman"/>
                                <w:b/>
                                <w:i w:val="0"/>
                                <w:color w:val="auto"/>
                              </w:rPr>
                              <w:t xml:space="preserve"> </w:t>
                            </w:r>
                            <w:bookmarkEnd w:id="123"/>
                            <w:r w:rsidRPr="001F30A5">
                              <w:rPr>
                                <w:rFonts w:ascii="Times New Roman" w:hAnsi="Times New Roman"/>
                                <w:b/>
                                <w:i w:val="0"/>
                                <w:color w:val="auto"/>
                              </w:rPr>
                              <w:t>Pozicioni neto i investimeve ndërkombëtare</w:t>
                            </w:r>
                            <w:bookmarkEnd w:id="124"/>
                            <w:bookmarkEnd w:id="125"/>
                            <w:bookmarkEnd w:id="12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A37D2" id="Text Box 30" o:spid="_x0000_s1031" type="#_x0000_t202" style="position:absolute;left:0;text-align:left;margin-left:0;margin-top:-.25pt;width:291.75pt;height:14.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" stroked="f">
                <v:path arrowok="t"/>
                <v:textbox inset="0,0,0,0">
                  <w:txbxContent>
                    <w:p w14:paraId="1288DFB9" w14:textId="4D2AD1A2" w:rsidR="00713DEA" w:rsidRPr="00274F5E" w:rsidRDefault="00713DEA" w:rsidP="00F010B4">
                      <w:pPr>
                        <w:pStyle w:val="Caption"/>
                        <w:spacing w:after="0"/>
                        <w:rPr>
                          <w:rFonts w:ascii="Times New Roman" w:eastAsiaTheme="minorHAnsi" w:hAnsi="Times New Roman"/>
                          <w:b/>
                          <w:i w:val="0"/>
                          <w:noProof/>
                          <w:color w:val="auto"/>
                        </w:rPr>
                      </w:pPr>
                      <w:bookmarkStart w:id="127" w:name="_Toc25151649"/>
                      <w:bookmarkStart w:id="128" w:name="_Toc57360253"/>
                      <w:bookmarkStart w:id="129" w:name="_Toc57360283"/>
                      <w:bookmarkStart w:id="130" w:name="_Toc57722683"/>
                      <w:r>
                        <w:rPr>
                          <w:rFonts w:ascii="Times New Roman" w:hAnsi="Times New Roman"/>
                          <w:b/>
                          <w:i w:val="0"/>
                          <w:color w:val="auto"/>
                        </w:rPr>
                        <w:t>Figura</w:t>
                      </w:r>
                      <w:r w:rsidRPr="00274F5E">
                        <w:rPr>
                          <w:rFonts w:ascii="Times New Roman" w:hAnsi="Times New Roman"/>
                          <w:b/>
                          <w:i w:val="0"/>
                          <w:color w:val="auto"/>
                        </w:rPr>
                        <w:t xml:space="preserve"> </w:t>
                      </w:r>
                      <w:r>
                        <w:rPr>
                          <w:rFonts w:ascii="Times New Roman" w:hAnsi="Times New Roman"/>
                          <w:b/>
                          <w:i w:val="0"/>
                          <w:color w:val="auto"/>
                        </w:rPr>
                        <w:fldChar w:fldCharType="begin"/>
                      </w:r>
                      <w:r>
                        <w:rPr>
                          <w:rFonts w:ascii="Times New Roman" w:hAnsi="Times New Roman"/>
                          <w:b/>
                          <w:i w:val="0"/>
                          <w:color w:val="auto"/>
                        </w:rPr>
                        <w:instrText xml:space="preserve"> SEQ Figure \* ARABIC </w:instrText>
                      </w:r>
                      <w:r>
                        <w:rPr>
                          <w:rFonts w:ascii="Times New Roman" w:hAnsi="Times New Roman"/>
                          <w:b/>
                          <w:i w:val="0"/>
                          <w:color w:val="auto"/>
                        </w:rPr>
                        <w:fldChar w:fldCharType="separate"/>
                      </w:r>
                      <w:r>
                        <w:rPr>
                          <w:rFonts w:ascii="Times New Roman" w:hAnsi="Times New Roman"/>
                          <w:b/>
                          <w:i w:val="0"/>
                          <w:noProof/>
                          <w:color w:val="auto"/>
                        </w:rPr>
                        <w:t>8</w:t>
                      </w:r>
                      <w:r>
                        <w:rPr>
                          <w:rFonts w:ascii="Times New Roman" w:hAnsi="Times New Roman"/>
                          <w:b/>
                          <w:i w:val="0"/>
                          <w:color w:val="auto"/>
                        </w:rPr>
                        <w:fldChar w:fldCharType="end"/>
                      </w:r>
                      <w:r w:rsidRPr="00274F5E">
                        <w:rPr>
                          <w:rFonts w:ascii="Times New Roman" w:hAnsi="Times New Roman"/>
                          <w:b/>
                          <w:i w:val="0"/>
                          <w:color w:val="auto"/>
                        </w:rPr>
                        <w:t xml:space="preserve"> </w:t>
                      </w:r>
                      <w:bookmarkEnd w:id="127"/>
                      <w:r w:rsidRPr="001F30A5">
                        <w:rPr>
                          <w:rFonts w:ascii="Times New Roman" w:hAnsi="Times New Roman"/>
                          <w:b/>
                          <w:i w:val="0"/>
                          <w:color w:val="auto"/>
                        </w:rPr>
                        <w:t>Pozicioni neto i investimeve ndërkombëtare</w:t>
                      </w:r>
                      <w:bookmarkEnd w:id="128"/>
                      <w:bookmarkEnd w:id="129"/>
                      <w:bookmarkEnd w:id="130"/>
                    </w:p>
                  </w:txbxContent>
                </v:textbox>
                <w10:wrap type="tight" anchorx="margin"/>
              </v:shape>
            </w:pict>
          </mc:Fallback>
        </mc:AlternateContent>
      </w:r>
      <w:r w:rsidRPr="004E5A6E">
        <w:rPr>
          <w:noProof/>
          <w:lang w:val="en-US"/>
        </w:rPr>
        <w:drawing>
          <wp:anchor distT="0" distB="0" distL="114300" distR="114300" simplePos="0" relativeHeight="251692032" behindDoc="1" locked="0" layoutInCell="1" allowOverlap="1" wp14:anchorId="6D167D05" wp14:editId="1FB29E6F">
            <wp:simplePos x="0" y="0"/>
            <wp:positionH relativeFrom="column">
              <wp:posOffset>-17145</wp:posOffset>
            </wp:positionH>
            <wp:positionV relativeFrom="paragraph">
              <wp:posOffset>203835</wp:posOffset>
            </wp:positionV>
            <wp:extent cx="3726180" cy="2301240"/>
            <wp:effectExtent l="0" t="0" r="7620" b="3810"/>
            <wp:wrapTight wrapText="bothSides">
              <wp:wrapPolygon edited="0">
                <wp:start x="0" y="0"/>
                <wp:lineTo x="0" y="21457"/>
                <wp:lineTo x="21534" y="21457"/>
                <wp:lineTo x="21534" y="0"/>
                <wp:lineTo x="0" y="0"/>
              </wp:wrapPolygon>
            </wp:wrapTight>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sidR="00F010B4" w:rsidRPr="004E5A6E">
        <w:rPr>
          <w:color w:val="auto"/>
          <w:lang w:val="sq-AL"/>
        </w:rPr>
        <w:t>Pozicioni i Investimeve Ndërkombëtare (PIN) pasqyron stokun e aktiveve dhe pasiveve dhe në tremujorin e dytë të vitit 2020, bilanci neto i pozicionit të investimeve ndërkombëtare (PIN) arriti në -709,7 milion euro. Struktura e aktiveve dominohet nga investime të tjera që përbëjnë 46% të aktiveve, pasuar nga investimet e portofolit, të cilat përbëjnë rreth 27.8% të aktiveve dhe investimet direkte me 8.5%. Nga ana tjetër, investimet e huaja direkte vazhdojnë të jenë kategoria më e madhe brenda detyrimeve, duke përfshirë rreth 71.6% të detyrimeve totale deri në fund të tremujorit të dytë të vitit 2020. Ndërsa, 28.4% e detyrimeve totale është përmes investimeve të tjera, pjesërisht të përbëra nga borxhi i qeverisë së përgjithshme dhe detyrimet e sektorëve të tjerë.</w:t>
      </w:r>
    </w:p>
    <w:p w14:paraId="571B47CF" w14:textId="77777777" w:rsidR="00F010B4" w:rsidRPr="004E5A6E" w:rsidRDefault="00F010B4" w:rsidP="00F010B4">
      <w:pPr>
        <w:pStyle w:val="ERPL2"/>
        <w:spacing w:line="276" w:lineRule="auto"/>
        <w:ind w:left="426"/>
        <w:rPr>
          <w:rFonts w:ascii="Times New Roman" w:hAnsi="Times New Roman"/>
          <w:lang w:val="sq-AL"/>
        </w:rPr>
      </w:pPr>
      <w:bookmarkStart w:id="131" w:name="_Toc57720375"/>
      <w:r w:rsidRPr="004E5A6E">
        <w:rPr>
          <w:rFonts w:ascii="Times New Roman" w:hAnsi="Times New Roman"/>
          <w:lang w:val="sq-AL"/>
        </w:rPr>
        <w:t>Sektori financiar</w:t>
      </w:r>
      <w:bookmarkEnd w:id="131"/>
    </w:p>
    <w:p w14:paraId="4C9EB8A6" w14:textId="77777777" w:rsidR="00F010B4" w:rsidRPr="004E5A6E" w:rsidRDefault="00F010B4" w:rsidP="00F010B4">
      <w:pPr>
        <w:spacing w:before="120" w:after="240" w:line="276" w:lineRule="auto"/>
        <w:jc w:val="both"/>
        <w:rPr>
          <w:color w:val="auto"/>
          <w:lang w:val="sq-AL"/>
        </w:rPr>
      </w:pPr>
      <w:r w:rsidRPr="004E5A6E">
        <w:rPr>
          <w:color w:val="auto"/>
          <w:lang w:val="sq-AL"/>
        </w:rPr>
        <w:t xml:space="preserve">Objektivi kryesor i Bankës Qendrore të Republikës së Kosovës (BQK) është nxitja e qëndrueshmërisë, aftësisë paguese dhe funksionimit efikas të një sistemi financiar të qëndrueshëm të bazuar në treg, inkurajimi i shfaqjes së tregut të instrumenteve të sigurta financiare dhe mbështetja e politikave të përgjithshme ekonomike në Kosovë me qëllim që të kontribuojë në një alokim efikas të burimeve në përputhje me parimet e një ekonomie të hapur të tregut. BQK-ja vepron si rregullator dhe mbikëqyrës i sistemit financiar. Mjeti kryesor i politikës së saj monetare janë kërkesat e rezervës minimale, ndërsa ka gjithashtu një huadhënës të kufizuar të funksionit të fundit (specifikuar më tej në Rregulloren për Ndihmën e Likuiditetit Emergjent, e cila u miratua nga Bordi i BQK-së në shtator 2015). Megjithatë, meqenëse politika monetare përqendrohet kryesisht në inflacionin dhe punësimin, stabiliteti financiar kryesisht i lihet qasjeve makroprudenciale; me fjalë të tjera, BQK-ja plotëson mjetet e kufizuara të politikës monetare me mjetet makroprudenciale. Kuadri makroprudencial i miratuar nga BQK-ja në 2016 bazohet plotësisht në rekomandimet e Bordit Evropian të Rrezikut Sistemik (ESRB) të lëshuara (2014a dhe 2014b), në lidhje me Objektivat dhe Mandatin e Autoriteteve për të zhvilluar Politikën Makro Prudenciale. Fokusi i BQK-së në zbatimin e politikës makro të kujdesshme është përqendruar në pesë fusha si në vijim; (a) Zbutja dhe parandalimi i rritjes së tepërt të kredisë dhe nivelin e kredisë; (b) Zbutja dhe parandalimi i mospërputhjes së maturitetit të tepruar; (c) Zbutja dhe parandalimi i jolikuiditetit (d) Kufizimi i përqendrimit të ekspozimit direkt dhe indirekt; (e) Kufizimi i ndikimit sistematik të stimujve të gabuar që synojnë zvogëlimin e rrezikut moral. Si rrjedhojë, BQK-ja identifikon, monitoron dhe analizon vazhdimisht rreziqet sistemike, përmes monitorimit të vazhdueshëm të dinamikës ciklike dhe strukturore të rrezikut mbi baza tremujore. </w:t>
      </w:r>
    </w:p>
    <w:p w14:paraId="001E9A17" w14:textId="1A5D383E" w:rsidR="00F010B4" w:rsidRPr="004E5A6E" w:rsidRDefault="00F010B4" w:rsidP="00F010B4">
      <w:pPr>
        <w:spacing w:before="120" w:after="240" w:line="276" w:lineRule="auto"/>
        <w:jc w:val="both"/>
        <w:rPr>
          <w:color w:val="auto"/>
          <w:lang w:val="sq-AL"/>
        </w:rPr>
      </w:pPr>
      <w:r w:rsidRPr="004E5A6E">
        <w:rPr>
          <w:color w:val="auto"/>
          <w:lang w:val="sq-AL"/>
        </w:rPr>
        <w:t>Asetet totale të sistemit financiar që nga shtatori i vitit 2020, duke përjashtuar Bankën Qendrore të Republikës së Kosovës (BQK), shënoi një normë vjetore të rritjes prej 9.5%, duke qëndruar në 7.67 miliardë Euro (116.7% të PBB-së), krahasuar me normën mesatare të rritjes së dy viteve të fundit prej 10.2%</w:t>
      </w:r>
      <w:r w:rsidR="008D6FC9" w:rsidRPr="004E5A6E">
        <w:rPr>
          <w:rStyle w:val="FootnoteReference"/>
          <w:color w:val="auto"/>
          <w:lang w:val="sq-AL"/>
        </w:rPr>
        <w:footnoteReference w:id="9"/>
      </w:r>
      <w:r w:rsidRPr="004E5A6E">
        <w:rPr>
          <w:color w:val="auto"/>
          <w:lang w:val="sq-AL"/>
        </w:rPr>
        <w:t xml:space="preserve">. Bankat mbeten sektori dominant me 65.6% të totalit të aktiveve të sistemit financiar, të ndjekura nga Fondet e Pensionit dhe Institucionet Mikrofinanciare me 27.1% dhe 4.2%, përkatësisht. </w:t>
      </w:r>
    </w:p>
    <w:p w14:paraId="310A1968" w14:textId="77777777" w:rsidR="00F010B4" w:rsidRPr="004E5A6E" w:rsidRDefault="00F010B4" w:rsidP="00F010B4">
      <w:pPr>
        <w:spacing w:before="120" w:after="240" w:line="276" w:lineRule="auto"/>
        <w:jc w:val="both"/>
        <w:rPr>
          <w:color w:val="auto"/>
          <w:lang w:val="sq-AL"/>
        </w:rPr>
      </w:pPr>
      <w:r w:rsidRPr="004E5A6E">
        <w:rPr>
          <w:bCs/>
          <w:color w:val="auto"/>
          <w:lang w:val="sq-AL"/>
        </w:rPr>
        <w:t>Aktiviteti i huamarrjes, pas tre vjetësh me ritëm radhazi të rritjes dyshifrore, për herë të parë në treg një normë rritjeje një shifrore gjatë periudhës së raportuar. Kredia totale u rrit çdo vit me 7.6% në shtator 2020, krahasuar me normën mesatare të rritjes së dy viteve të fundit me 10.8% si rezultat i ngadalësimit të huasë si për ndërmarrjet ashtu edhe për ekonimitë familjare (Figura 1)</w:t>
      </w:r>
      <w:r w:rsidRPr="004E5A6E">
        <w:rPr>
          <w:color w:val="auto"/>
          <w:lang w:val="sq-AL"/>
        </w:rPr>
        <w:t xml:space="preserve">. Ngadalësimi i ritmit të rritjes së kredisë ishte rezultat i mbylljes së aktiviteteve jo-thelbësore ekonomike dhe lëvizjeve të kufizuara të qytetarëve nga mesi i marsit deri në fund të majit 2020 për shkak të përhapjes së pandemisë Covid-19, pastaj me rihapje graduale të ekonomisë deri në periudhën e raportuar (disa biznese kishin akoma kufizime për të vepruar). Kreditë e ekonomive familjare regjistruan një normë vjetore të rritjes prej 7.6% në shtator 2020 krahasuar me normën mesatare të rritjes së dy viteve të fundit prej 11.0%. Kredia për korporatat jo-financiare arriti një rritje mesatare vjetore prej 7.9% në shtator 2020 krahasuar me normën mesatare të rritjes së dy viteve të fundit prej 10.8%. Kreditë e reja që nga shtatori i vitit 2020 regjistruan një normë vjetore të rritjes prej 0.5% krahasuar me mesataren e dy viteve të kaluara prej 7.3%. Sektori i ekonomive familjare u ndikua kryesisht nga aspekti i kredive të reja. Kreditë e reja konsumatore, të cilat përfaqësojnë më shumë se 70% të gjithsej kredive të reja për familje, ranë me 7.6% krahasuar me një normë mesatare të rritjes prej 6.1% në dy vitet e fundit. Nga ana tjetër, huamarrja e re e hipotekave regjistroi një normë pozitive rritjeje prej 2.0% në shtator 2020, e cila është një ngadalësim i mprehtë krahasuar me një normë mesatare rritjeje prej 10.0% të dy viteve të fundit. Kreditë e reja për ndërmarrjet u rritën me 5.7% në vit që nga shtatori i vitit 2020, e cila është më e ulët krahasuar me normën vjetore të rritjes së së njëjtës periudhë të vitit paraprak (8.2%). </w:t>
      </w:r>
    </w:p>
    <w:p w14:paraId="6B7D7556" w14:textId="77777777" w:rsidR="00B76A86" w:rsidRPr="004E5A6E" w:rsidRDefault="00F010B4" w:rsidP="00F010B4">
      <w:pPr>
        <w:spacing w:before="120" w:after="240" w:line="276" w:lineRule="auto"/>
        <w:jc w:val="both"/>
        <w:rPr>
          <w:color w:val="auto"/>
          <w:lang w:val="sq-AL"/>
        </w:rPr>
      </w:pPr>
      <w:bookmarkStart w:id="132" w:name="_Toc25151648"/>
      <w:r w:rsidRPr="004E5A6E">
        <w:rPr>
          <w:bCs/>
          <w:i/>
          <w:color w:val="auto"/>
          <w:lang w:val="sq-AL"/>
        </w:rPr>
        <w:t xml:space="preserve">Sektori bankar, pavarësisht rritjes së rrezikut për shkak të pandemisë Covid-19, vazhdon të performojë në një mjedis të qëndrueshëm dhe fitimprurës, me cilësi të lartë të portofolit të kredisë. </w:t>
      </w:r>
      <w:r w:rsidRPr="004E5A6E">
        <w:rPr>
          <w:color w:val="auto"/>
          <w:lang w:val="sq-AL"/>
        </w:rPr>
        <w:t xml:space="preserve">Sistemi shfaq kapak të fortë të kapitalit dhe likuiditetit me kapital rregullator ndaj aktiveve të ponderuara nga rreziku që qëndrojnë në 16.9% në shtator 2020 (shumë më lart se raporti minimal i kërkuar prej 12%) dhe mjete likuide ndaj detyrimeve afatshkurtra në 37.7% (shumë më e lartë se minimumi i sugjeruar prej 25%). Rreziqet e financimit mbeten të moderuara pasi që bankat kryesisht mbështeten në depozitat e brendshme dhe sistemi është likuid i përgjithshëm me një raport kredie ndaj depozitës që arrin në 78.5% në shtator 2020. Sektori bankar, edhe pse krahasuar me vitet e mëparshme regjistroi një fitim më të ulët, të ardhurat neto në shtator 2020 i ka dukshëm më të larta se mesatarja historike. Që nga Shtatori i vitit 2020, raporti mesatar i kthimit në kapital ishte 15.5% ndërsa kthimi i aseteve mesatare prej 1.8%. </w:t>
      </w:r>
    </w:p>
    <w:p w14:paraId="470B4234" w14:textId="620607B4" w:rsidR="00B76A86" w:rsidRPr="004E5A6E" w:rsidRDefault="00B76A86" w:rsidP="00B76A86">
      <w:pPr>
        <w:pStyle w:val="Caption"/>
        <w:spacing w:before="120" w:after="0" w:line="276" w:lineRule="auto"/>
        <w:rPr>
          <w:rFonts w:ascii="Times New Roman" w:hAnsi="Times New Roman"/>
          <w:b/>
          <w:i w:val="0"/>
          <w:color w:val="auto"/>
          <w:szCs w:val="20"/>
          <w:lang w:val="sq-AL"/>
        </w:rPr>
      </w:pPr>
      <w:bookmarkStart w:id="133" w:name="_Toc57722684"/>
      <w:r w:rsidRPr="004E5A6E">
        <w:rPr>
          <w:rFonts w:ascii="Times New Roman" w:hAnsi="Times New Roman"/>
          <w:b/>
          <w:i w:val="0"/>
          <w:color w:val="auto"/>
          <w:szCs w:val="20"/>
          <w:lang w:val="sq-AL"/>
        </w:rPr>
        <w:t xml:space="preserve">Figura </w:t>
      </w:r>
      <w:r w:rsidR="00CA51E9" w:rsidRPr="004E5A6E">
        <w:rPr>
          <w:rFonts w:ascii="Times New Roman" w:hAnsi="Times New Roman"/>
          <w:b/>
          <w:i w:val="0"/>
          <w:color w:val="auto"/>
          <w:szCs w:val="20"/>
          <w:lang w:val="sq-AL"/>
        </w:rPr>
        <w:fldChar w:fldCharType="begin"/>
      </w:r>
      <w:r w:rsidR="00CA51E9" w:rsidRPr="004E5A6E">
        <w:rPr>
          <w:rFonts w:ascii="Times New Roman" w:hAnsi="Times New Roman"/>
          <w:b/>
          <w:i w:val="0"/>
          <w:color w:val="auto"/>
          <w:szCs w:val="20"/>
          <w:lang w:val="sq-AL"/>
        </w:rPr>
        <w:instrText xml:space="preserve"> SEQ Figure \* ARABIC </w:instrText>
      </w:r>
      <w:r w:rsidR="00CA51E9" w:rsidRPr="004E5A6E">
        <w:rPr>
          <w:rFonts w:ascii="Times New Roman" w:hAnsi="Times New Roman"/>
          <w:b/>
          <w:i w:val="0"/>
          <w:color w:val="auto"/>
          <w:szCs w:val="20"/>
          <w:lang w:val="sq-AL"/>
        </w:rPr>
        <w:fldChar w:fldCharType="separate"/>
      </w:r>
      <w:r w:rsidR="00FA7C77" w:rsidRPr="004E5A6E">
        <w:rPr>
          <w:rFonts w:ascii="Times New Roman" w:hAnsi="Times New Roman"/>
          <w:b/>
          <w:i w:val="0"/>
          <w:noProof/>
          <w:color w:val="auto"/>
          <w:szCs w:val="20"/>
          <w:lang w:val="sq-AL"/>
        </w:rPr>
        <w:t>9</w:t>
      </w:r>
      <w:r w:rsidR="00CA51E9" w:rsidRPr="004E5A6E">
        <w:rPr>
          <w:rFonts w:ascii="Times New Roman" w:hAnsi="Times New Roman"/>
          <w:b/>
          <w:i w:val="0"/>
          <w:color w:val="auto"/>
          <w:szCs w:val="20"/>
          <w:lang w:val="sq-AL"/>
        </w:rPr>
        <w:fldChar w:fldCharType="end"/>
      </w:r>
      <w:r w:rsidRPr="004E5A6E">
        <w:rPr>
          <w:rFonts w:ascii="Times New Roman" w:hAnsi="Times New Roman"/>
          <w:b/>
          <w:i w:val="0"/>
          <w:color w:val="auto"/>
          <w:szCs w:val="20"/>
          <w:lang w:val="sq-AL"/>
        </w:rPr>
        <w:t>. Rritja e huasë së sektorit privat</w:t>
      </w:r>
      <w:bookmarkEnd w:id="133"/>
    </w:p>
    <w:p w14:paraId="15F79657" w14:textId="77777777" w:rsidR="00F010B4" w:rsidRPr="004E5A6E" w:rsidRDefault="00B76A86" w:rsidP="00F010B4">
      <w:pPr>
        <w:spacing w:before="120" w:after="240" w:line="276" w:lineRule="auto"/>
        <w:jc w:val="both"/>
        <w:rPr>
          <w:color w:val="auto"/>
          <w:lang w:val="sq-AL"/>
        </w:rPr>
      </w:pPr>
      <w:r w:rsidRPr="004E5A6E">
        <w:rPr>
          <w:noProof/>
          <w:lang w:val="en-US"/>
        </w:rPr>
        <w:drawing>
          <wp:anchor distT="0" distB="0" distL="114300" distR="114300" simplePos="0" relativeHeight="251791872" behindDoc="0" locked="0" layoutInCell="1" allowOverlap="1" wp14:anchorId="51727738" wp14:editId="49A0DB64">
            <wp:simplePos x="0" y="0"/>
            <wp:positionH relativeFrom="margin">
              <wp:align>left</wp:align>
            </wp:positionH>
            <wp:positionV relativeFrom="paragraph">
              <wp:posOffset>79375</wp:posOffset>
            </wp:positionV>
            <wp:extent cx="3867150" cy="2457450"/>
            <wp:effectExtent l="0" t="0" r="0" b="0"/>
            <wp:wrapSquare wrapText="bothSides"/>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sidR="00F010B4" w:rsidRPr="004E5A6E">
        <w:rPr>
          <w:color w:val="auto"/>
          <w:lang w:val="sq-AL"/>
        </w:rPr>
        <w:t xml:space="preserve">Normat e interesit, si në kredi ashtu edhe në depozita nuk kanë ndryshuar ndjeshëm krahasuar me periudhat e mëparshme, duke u zvogëluar margjinalisht. Pjesëmarrja e bankave të huaja në sistem vazhdon të jetë e lartë, duke zënë 86.7% të totalit të aktiveve të sektorit bankar (deri në shtator 2020). Sidoqoftë, shkalla e përqendrimit të tregut ka vazhduar të bjerë ngadalë. Në shtator 2020, pjesët e tregut të tre bankave më të mëdha qëndruan në 56.2% krahasuar me raportin mesatar të përqendrimit të dy viteve të fundit prej 57.9%. Rënia në shkallën e përqendrimit të tregut shprehet gjithashtu nga Indeksi Herfindahl-Hirschman (HHI) për aktivet, që ra në 1,485 pikë në shtator 2020, krahasuar me 1,509 pikë, mesatarja e dy viteve të fundit. </w:t>
      </w:r>
    </w:p>
    <w:p w14:paraId="564F4C17" w14:textId="77777777" w:rsidR="00F010B4" w:rsidRPr="004E5A6E" w:rsidRDefault="00F010B4" w:rsidP="00F010B4">
      <w:pPr>
        <w:spacing w:before="240" w:after="240" w:line="276" w:lineRule="auto"/>
        <w:jc w:val="both"/>
        <w:rPr>
          <w:color w:val="auto"/>
          <w:szCs w:val="22"/>
          <w:lang w:val="sq-AL"/>
        </w:rPr>
      </w:pPr>
      <w:r w:rsidRPr="004E5A6E">
        <w:rPr>
          <w:color w:val="auto"/>
          <w:lang w:val="sq-AL"/>
        </w:rPr>
        <w:t xml:space="preserve">Rreziku i kredisë në sistem mbetet i ulët sipas standardeve të kolegëve, me raportin e NPL-ve ndaj gjithsej kredive prej 2.7% në shtator të vitit 2020, ndërsa provizionet e humbjes së kredisë ndaj NPL-ve në 137.8%. Krahasuar me vitin e kaluar, vlera e NPL-ve është rritur, ndërsa provizionet kanë rënë si rezultat i ndryshimit në metodologjinë e raportimit të provizionimit, rekomandim nga SNRF 9. Megjithatë, sektori bankar është i pajisur mirë dhe ka një nivel të ulët të NPL-ve, edhe pse ka filluar të rritet që nga fillimi i vitit (arriti nivelin e poshtëm në fund të viteve të fundit). Bankat shpesh i referohen mungesës së projekteve të bankueshme si një pengesë për kreditimin e korporatave, duke ngritur kështu shqetësime në lidhje me ngopjen e sektorëve të qëndrueshëm dhe huamarrësve. Që nga themelimi i tij, Fondi i Garancisë së Kredisë së Kosovës, sektorit bankar i miratoi hua me vlerë 207.3 milion euro deri në fund të shtatorit 2020 (130.7 milion që nga shtatori 2019), prej të cilave 100.2 milion euro garanci të aprovuara nga KCGF (62.7 milion euro që nga shtatori 2019). KCGF nëse është e përqendruar të ofrojë garanci ndaj shërbimeve, prodhimit, bujqësisë dhe sektorit të ndërtimit. KCGF vlerësoi se garancitë e kredisë krijuan më shumë se 9,000 vende pune që nga themelimi i saj. </w:t>
      </w:r>
    </w:p>
    <w:p w14:paraId="3B26E8F2" w14:textId="77777777" w:rsidR="00F010B4" w:rsidRPr="004E5A6E" w:rsidRDefault="00F010B4" w:rsidP="00F010B4">
      <w:pPr>
        <w:pStyle w:val="Default"/>
        <w:spacing w:before="120" w:after="240" w:line="276" w:lineRule="auto"/>
        <w:jc w:val="both"/>
        <w:rPr>
          <w:rFonts w:ascii="Times New Roman" w:hAnsi="Times New Roman" w:cs="Times New Roman"/>
          <w:color w:val="auto"/>
          <w:lang w:val="sq-AL"/>
        </w:rPr>
      </w:pPr>
      <w:r w:rsidRPr="004E5A6E">
        <w:rPr>
          <w:rFonts w:ascii="Times New Roman" w:hAnsi="Times New Roman" w:cs="Times New Roman"/>
          <w:color w:val="auto"/>
          <w:lang w:val="sq-AL"/>
        </w:rPr>
        <w:t xml:space="preserve">Thellësia financiare, e matur nga niveli i kredive të brendshme ndaj PBB-së, mbetet e ulët (48.4% që nga shtatori i vitit 2020). Shoqëruar me raportin e ulët të kredisë ndaj depozitës që mbizotëron në sistem në tërësi, kjo tregon për një mundësi për thellimin e mëtejshëm të ndërmjetësimit financiar. </w:t>
      </w:r>
    </w:p>
    <w:p w14:paraId="5EC3568B" w14:textId="77777777" w:rsidR="00F010B4" w:rsidRPr="004E5A6E" w:rsidRDefault="00F010B4" w:rsidP="00F010B4">
      <w:pPr>
        <w:pStyle w:val="Default"/>
        <w:spacing w:before="120" w:after="240" w:line="276" w:lineRule="auto"/>
        <w:jc w:val="both"/>
        <w:rPr>
          <w:rFonts w:ascii="Times New Roman" w:hAnsi="Times New Roman" w:cs="Times New Roman"/>
          <w:color w:val="auto"/>
          <w:lang w:val="sq-AL"/>
        </w:rPr>
      </w:pPr>
      <w:r w:rsidRPr="004E5A6E">
        <w:rPr>
          <w:rFonts w:ascii="Times New Roman" w:hAnsi="Times New Roman" w:cs="Times New Roman"/>
          <w:color w:val="auto"/>
          <w:lang w:val="sq-AL"/>
        </w:rPr>
        <w:t>Depozitat në shtator 2020 arritën vlerën e 4.06 miliardë eurove (3.47 miliardë euro mesatarja e dy viteve të fundit), duke regjistruar një rritje vjetore prej 8.6% (10.9% rritja mesatare në dy vitet e fundit). Depozitat e ekonomive familjare, të cilat përfaqësojnë kategorinë më të madhe të depozitave (66.7%), shënuan një rritje vjetore prej 7.0%, krahasuar me rritjen mesatare në dy vitet e fundit prej 8.7%. Depozitat e korporatave jofinanciare u rritën me 6.1% krahasuar me rritjen mesatare prej 7.7% në dy vitet e fundit.</w:t>
      </w:r>
    </w:p>
    <w:p w14:paraId="06DBE90B" w14:textId="77777777" w:rsidR="00F010B4" w:rsidRPr="004E5A6E" w:rsidRDefault="00F010B4" w:rsidP="00F010B4">
      <w:pPr>
        <w:shd w:val="clear" w:color="auto" w:fill="FFFFFF" w:themeFill="background1"/>
        <w:spacing w:before="120" w:after="240" w:line="276" w:lineRule="auto"/>
        <w:jc w:val="both"/>
        <w:rPr>
          <w:color w:val="auto"/>
          <w:lang w:val="sq-AL"/>
        </w:rPr>
      </w:pPr>
      <w:r w:rsidRPr="004E5A6E">
        <w:rPr>
          <w:color w:val="auto"/>
          <w:lang w:val="sq-AL"/>
        </w:rPr>
        <w:t>Pozicioni i likuiditetit të sektorit bankar, megjithëse përballet me rreziqe të tilla si rënia e depozitave të reja të akumuluara në shtator 2020, ka tërheqje e mundshme e depozitave pa afat nga klientët (që përfshin 61.5% të depozitave totale) dhe nevojat e mundshme për provizione shtesë kur / nëse portofoli i kredisë përkeqësohet në të ardhmen mbetet në nivele të kënaqshme gjatë tre tremujorëve të parë të vitit 2020. Aktivet likuide ndaj detyrimeve afatshkurtra qëndruan në 37.7% deri në shtator 2020 (37.8% mesatarja e dy viteve të fundit). Për më tepër, raporti i likuiditetit ndaj aseteve totale qëndroi në 27.8% deri në shtator 2020 (28.0% mesatarja e dy viteve të fundit). Gjatë së njëjtës periudhë, raporti i kredisë ndaj depozitës u ul në 78.5%, nga mesatarja e dy viteve të fundit prej 81.3%. Në shtator të vitit 2020, kreditë me probleme u rritën me 0.4 pikë përqindje krahasuar me vitet e mëparshme, në 2.7% (2.5% mesatarja e dy viteve të fundit). Kreditë me probleme mbeten të mbuluara mirë nga provizionet e humbjeve të huasë, edhe pasi metoda e re e llogaritjes së provizioneve përputhet me standardet SNRF9, me një raport prej 137.8% (158.9% mesatarja e dy viteve të fundit). Sektori mbetet i mirëkapitalizuar me një raport të mjaftueshmërisë së kapitalit prej 16.9% (16.3% mesatarja e dy viteve të fundit), që është shumë mbi kërkesën minimale rregullatore prej 12%.  Që nga shtatori i vitit 2020, norma mesatare e interesit për kreditë ishte 6.4% (6.8% mesatarja e dy viteve të fundit). Norma mesatare e interesit për kreditë për ndërmarrjet në shtator 2020 ishte 6.2% (6.4% mesatarja e dy viteve të fundit); ndërsa për ekonomitë familjare ishte 6.5% (7.2% mesatarja e dy viteve të fundit). Normat e interesit për depozitat mbetën të ngjashme me vitin e kaluar. Norma mesatare e interesit për depozitat në shtator të vitit 2020 ishte 1.5% krahasuar me mesataren e dy viteve të fundit 1.4%, ndërsa norma mesatare e interesit për depozitat e ndërmarrjeve u rrit në 1.7% në shtator të vitit 2020 (1.6% mesatarja e dy viteve të fundit). Për depozitat e ekonomive familjare, norma mesatare e interesit ishte 1.4% (1.4% mesatarja e dy viteve të fundit). Përhapja e normës së interesit ra në 4.9 pp, krahasuar me mesataren e dy viteve të fundit prej 5.3 pp.</w:t>
      </w:r>
    </w:p>
    <w:p w14:paraId="3D87F69B" w14:textId="77777777" w:rsidR="00F010B4" w:rsidRPr="004E5A6E" w:rsidRDefault="00F010B4" w:rsidP="00F010B4">
      <w:pPr>
        <w:spacing w:before="120" w:after="240" w:line="276" w:lineRule="auto"/>
        <w:jc w:val="both"/>
        <w:rPr>
          <w:color w:val="auto"/>
          <w:lang w:val="sq-AL"/>
        </w:rPr>
      </w:pPr>
      <w:r w:rsidRPr="004E5A6E">
        <w:rPr>
          <w:color w:val="auto"/>
          <w:lang w:val="sq-AL"/>
        </w:rPr>
        <w:t>Që nga Shtatori i vitit 2020, numri i përgjithshëm i kompanive të sigurimeve që ushtruan aktivitetin e tyre në tregun e sigurimeve në Kosovë ishte 13. Nga këto, 11 janë sigurues jo të jetës ndërsa 2 janë sigurues të jetës. Nëse i referohemi origjinës së kapitalit të tyre, ekziston një kompani me kapital të huaj dhe të përzier (Austri dhe Shqipëri), shtatë të tjera janë në pronësi lokale, dy me kapital slloven dhe tre me kapital shqiptar.</w:t>
      </w:r>
    </w:p>
    <w:p w14:paraId="240C6736" w14:textId="77777777" w:rsidR="00F010B4" w:rsidRPr="004E5A6E" w:rsidRDefault="00F010B4" w:rsidP="00F010B4">
      <w:pPr>
        <w:spacing w:before="120" w:after="240" w:line="276" w:lineRule="auto"/>
        <w:jc w:val="both"/>
        <w:rPr>
          <w:color w:val="auto"/>
          <w:lang w:val="sq-AL"/>
        </w:rPr>
      </w:pPr>
      <w:r w:rsidRPr="004E5A6E">
        <w:rPr>
          <w:color w:val="auto"/>
          <w:lang w:val="sq-AL"/>
        </w:rPr>
        <w:t>Asetet totale të tregut të sigurimeve arritën në 214.3 milion euro, një rritje prej 9.3% krahasuar me 6.4% mesataren e dy viteve të fundit. Që nga shtatori i vitit 2020, për sa i përket aktiveve, rreth 50.3% e tregut të sigurimeve ka pronësi të huaj. Ndërsa, tre siguruesit më të mëdhenj mbulojnë rreth 33.0% të tregut. Në përgjithësi, kompanitë e sigurimeve jo të jetës mbizotërojnë në treg me 91.3% të totalit të aktiveve, ndërsa pjesa e mbetur është në pronësi të kompanive të sigurimit të jetës. Shuma totale e primit të shkruar bruto në tregun e sigurimeve të Kosovës për këtë periudhë ka arritur në 72.3 milion euro, ose 2.2% rënie krahasuar me rritjen mesatare në dy vitet e fundit prej 5.9%.  Kjo rënie e primeve të shkruara bruto ishte si rezultat i shtrëngimit në sektorin e sigurimeve jo të jetës me 2.5%, ndërsa primet e shkruara nga sektori i sigurimeve të jetës u rritën me 4.1% krahasuar me të njëjtën periudhë të vitit të kaluar. Primet e shkruara bruto në sigurimin e jetës deri më 30 shtator 2020 arritën në 2.7 milion euro, duke shënuar një rritje prej afërsisht 104,540 euro krahasuar me të njëjtën periudhë të vitit të kaluar.  Nga primi i përgjithshëm bruto i shkruar, rreth 96.3% (shtator 2019 - 96.5%) e primeve përbëhet nga produkte të sigurimit jo të jetës, ndërsa 3.7% (shtator 2019 - 3.5%) e primeve përbëhet nga sigurimi i jetës. Kërkesat e paguara nga sektori i sigurimeve që nga 30 shtatori 2020 arritën shumën prej 36.9 milion eurosh, duke shënuar një rënie me 2.2% krahasuar me periudhën e mëparshme (shtator 2019 - 37.9 milion euro).  Që nga 30 shtatori 2020, tregu i sigurimeve rezultoi me një fitim neto prej 5.8 milion euro, pavarësisht nga një rënie në të ardhurat (primet e shkruara), shpenzimet ranë me një masë më të madhe (shpenzimet operacionale dhe kostot e lidhura me pretendimet).</w:t>
      </w:r>
    </w:p>
    <w:p w14:paraId="0AE0405D" w14:textId="77777777" w:rsidR="00F010B4" w:rsidRPr="004E5A6E" w:rsidRDefault="00F010B4" w:rsidP="00F010B4">
      <w:pPr>
        <w:spacing w:before="120" w:after="240" w:line="276" w:lineRule="auto"/>
        <w:jc w:val="both"/>
        <w:rPr>
          <w:color w:val="auto"/>
          <w:lang w:val="sq-AL"/>
        </w:rPr>
      </w:pPr>
    </w:p>
    <w:p w14:paraId="5811D6AC" w14:textId="77777777" w:rsidR="00F010B4" w:rsidRPr="004E5A6E" w:rsidRDefault="00F010B4" w:rsidP="00F010B4">
      <w:pPr>
        <w:pStyle w:val="ERPL2"/>
        <w:spacing w:line="276" w:lineRule="auto"/>
        <w:ind w:left="426"/>
        <w:rPr>
          <w:rFonts w:ascii="Times New Roman" w:hAnsi="Times New Roman"/>
          <w:lang w:val="sq-AL"/>
        </w:rPr>
      </w:pPr>
      <w:bookmarkStart w:id="134" w:name="_Toc57720376"/>
      <w:r w:rsidRPr="004E5A6E">
        <w:rPr>
          <w:rFonts w:ascii="Times New Roman" w:hAnsi="Times New Roman"/>
          <w:lang w:val="sq-AL"/>
        </w:rPr>
        <w:t>Skenarët dhe rreziqet alternative</w:t>
      </w:r>
      <w:bookmarkEnd w:id="134"/>
    </w:p>
    <w:p w14:paraId="3F6568BD" w14:textId="77777777" w:rsidR="00F010B4" w:rsidRPr="004E5A6E" w:rsidRDefault="00F010B4" w:rsidP="00F010B4">
      <w:pPr>
        <w:rPr>
          <w:color w:val="auto"/>
          <w:lang w:val="sq-AL"/>
        </w:rPr>
      </w:pPr>
      <w:r w:rsidRPr="004E5A6E">
        <w:rPr>
          <w:color w:val="auto"/>
          <w:lang w:val="sq-AL"/>
        </w:rPr>
        <w:t>Kjo pjesë do të përfshihet në draftin përfundimtar.</w:t>
      </w:r>
    </w:p>
    <w:p w14:paraId="306FF5D9" w14:textId="77777777" w:rsidR="00F010B4" w:rsidRPr="004E5A6E" w:rsidRDefault="00F010B4" w:rsidP="00F010B4">
      <w:pPr>
        <w:spacing w:line="276" w:lineRule="auto"/>
        <w:jc w:val="center"/>
        <w:rPr>
          <w:color w:val="auto"/>
          <w:lang w:val="sq-AL"/>
        </w:rPr>
      </w:pPr>
      <w:bookmarkStart w:id="135" w:name="_Toc529882286"/>
      <w:bookmarkStart w:id="136" w:name="_Toc529882618"/>
      <w:bookmarkStart w:id="137" w:name="_Toc529887247"/>
      <w:bookmarkStart w:id="138" w:name="_Toc531341159"/>
      <w:bookmarkStart w:id="139" w:name="_Toc531341480"/>
      <w:bookmarkStart w:id="140" w:name="_Toc529882287"/>
      <w:bookmarkStart w:id="141" w:name="_Toc529882619"/>
      <w:bookmarkStart w:id="142" w:name="_Toc529887248"/>
      <w:bookmarkStart w:id="143" w:name="_Toc531341160"/>
      <w:bookmarkStart w:id="144" w:name="_Toc531341481"/>
      <w:bookmarkStart w:id="145" w:name="_Toc529882288"/>
      <w:bookmarkStart w:id="146" w:name="_Toc529882620"/>
      <w:bookmarkStart w:id="147" w:name="_Toc529887249"/>
      <w:bookmarkStart w:id="148" w:name="_Toc531341161"/>
      <w:bookmarkStart w:id="149" w:name="_Toc531341482"/>
      <w:bookmarkStart w:id="150" w:name="_Toc529882289"/>
      <w:bookmarkStart w:id="151" w:name="_Toc529882621"/>
      <w:bookmarkStart w:id="152" w:name="_Toc529887250"/>
      <w:bookmarkStart w:id="153" w:name="_Toc531341162"/>
      <w:bookmarkStart w:id="154" w:name="_Toc531341483"/>
      <w:bookmarkStart w:id="155" w:name="_1ksv4uv" w:colFirst="0" w:colLast="0"/>
      <w:bookmarkStart w:id="156" w:name="_44sinio" w:colFirst="0" w:colLast="0"/>
      <w:bookmarkStart w:id="157" w:name="_2jxsxqh" w:colFirst="0" w:colLast="0"/>
      <w:bookmarkStart w:id="158" w:name="_Toc529887256"/>
      <w:bookmarkStart w:id="159" w:name="_Toc531341169"/>
      <w:bookmarkStart w:id="160" w:name="_Toc531341490"/>
      <w:bookmarkStart w:id="161" w:name="_Toc529887257"/>
      <w:bookmarkStart w:id="162" w:name="_Toc531341170"/>
      <w:bookmarkStart w:id="163" w:name="_Toc531341491"/>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523761D8" w14:textId="77777777" w:rsidR="00F010B4" w:rsidRPr="004E5A6E" w:rsidRDefault="00F010B4" w:rsidP="00F010B4">
      <w:pPr>
        <w:pStyle w:val="ERPL1"/>
        <w:ind w:left="426"/>
        <w:rPr>
          <w:rFonts w:ascii="Times New Roman" w:hAnsi="Times New Roman"/>
          <w:lang w:val="sq-AL"/>
        </w:rPr>
      </w:pPr>
      <w:bookmarkStart w:id="164" w:name="_Toc57720377"/>
      <w:r w:rsidRPr="004E5A6E">
        <w:rPr>
          <w:rFonts w:ascii="Times New Roman" w:hAnsi="Times New Roman"/>
          <w:lang w:val="sq-AL"/>
        </w:rPr>
        <w:t>KORNIZA FISKALE</w:t>
      </w:r>
      <w:bookmarkEnd w:id="164"/>
    </w:p>
    <w:p w14:paraId="31B17768" w14:textId="77777777" w:rsidR="00F010B4" w:rsidRPr="004E5A6E" w:rsidRDefault="00F010B4" w:rsidP="00F010B4">
      <w:pPr>
        <w:pStyle w:val="ERPL2"/>
        <w:ind w:left="426"/>
        <w:rPr>
          <w:rFonts w:ascii="Times New Roman" w:hAnsi="Times New Roman"/>
          <w:lang w:val="sq-AL"/>
        </w:rPr>
      </w:pPr>
      <w:bookmarkStart w:id="165" w:name="_Toc57720378"/>
      <w:r w:rsidRPr="004E5A6E">
        <w:rPr>
          <w:rFonts w:ascii="Times New Roman" w:hAnsi="Times New Roman"/>
          <w:lang w:val="sq-AL"/>
        </w:rPr>
        <w:t>Strategjia e politikave dhe objektivi afatmesëm</w:t>
      </w:r>
      <w:bookmarkEnd w:id="165"/>
    </w:p>
    <w:p w14:paraId="003EA5C1" w14:textId="77777777" w:rsidR="00F010B4" w:rsidRPr="004E5A6E" w:rsidRDefault="00F010B4" w:rsidP="00F010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76" w:lineRule="auto"/>
        <w:jc w:val="both"/>
        <w:rPr>
          <w:color w:val="auto"/>
          <w:lang w:val="sq-AL"/>
        </w:rPr>
      </w:pPr>
      <w:r w:rsidRPr="004E5A6E">
        <w:rPr>
          <w:color w:val="auto"/>
          <w:lang w:val="sq-AL"/>
        </w:rPr>
        <w:t>Rimëkëmbja ekonomike dhe forcimi i pozicionit fiskal të vendit do të jetë objektivi kryesor i qeverisë në periudhën e mbuluar në këtë dokument. Stabiliteti fiskal dhe forcimi i mëtejshëm i proceseve dhe mekanizmave që mundësojnë këtë stabilitet, kanë një ndikim të drejtpërdrejtë në zbatimin me sukses të reformave prioritare të Qeverisë dhe Programit të Rimëkëmbjes Ekonomike. Si pasojë, këto reforma ndikojnë si në mbështetjen direkte ashtu edhe në atë indirekte për një rritje të aktivitetit ekonomik në sektorin privat të vendit.</w:t>
      </w:r>
    </w:p>
    <w:p w14:paraId="7E698FD6" w14:textId="15317C3E" w:rsidR="00F010B4" w:rsidRPr="004E5A6E" w:rsidRDefault="00F010B4" w:rsidP="00F010B4">
      <w:pPr>
        <w:pStyle w:val="Default"/>
        <w:spacing w:before="120" w:after="240" w:line="276" w:lineRule="auto"/>
        <w:jc w:val="both"/>
        <w:rPr>
          <w:color w:val="auto"/>
          <w:kern w:val="28"/>
          <w:lang w:val="sq-AL"/>
        </w:rPr>
      </w:pPr>
      <w:r w:rsidRPr="004E5A6E">
        <w:rPr>
          <w:rFonts w:ascii="Times New Roman" w:eastAsia="Times New Roman" w:hAnsi="Times New Roman" w:cs="Times New Roman"/>
          <w:color w:val="auto"/>
          <w:lang w:val="sq-AL"/>
        </w:rPr>
        <w:t xml:space="preserve">Qeveria e Kosovës do t'i kushtojë vëmendje të veçantë politikave tatimore dhe administratës tatimore për të siguruar që çdo ndryshim në sistem të bëhet në konsultim me palët e interesuara, veçanërisht komunitetin e biznesit, në mënyrë që të sigurohemi që ato ndryshime favorizojnë aktivitetin ekonomik dhe punësimin dhe sigurojnë financim të qëndrueshëm për operacionet e qeverisë.  Në kontekstin e administratës tatimore, do të ketë zhvillim të mëtejshëm të automatizimit të shërbimit të tatimpaguesve, komunikim më të ulët të drejtpërdrejtë midis tatimpaguesve dhe zyrtarëve tatimorë, zbatim i një qasjeje të bazuar në rrezik, dhe e gjithë kjo do të </w:t>
      </w:r>
      <w:r w:rsidR="00EB5758" w:rsidRPr="004E5A6E">
        <w:rPr>
          <w:rFonts w:ascii="Times New Roman" w:eastAsia="Times New Roman" w:hAnsi="Times New Roman" w:cs="Times New Roman"/>
          <w:color w:val="auto"/>
          <w:lang w:val="sq-AL"/>
        </w:rPr>
        <w:t>përmirësojë cilësinë e</w:t>
      </w:r>
      <w:r w:rsidRPr="004E5A6E">
        <w:rPr>
          <w:rFonts w:ascii="Times New Roman" w:eastAsia="Times New Roman" w:hAnsi="Times New Roman" w:cs="Times New Roman"/>
          <w:color w:val="auto"/>
          <w:lang w:val="sq-AL"/>
        </w:rPr>
        <w:t xml:space="preserve"> shërbimit, rritjen e pajtueshmërisë vullnetare dhe uljen e joformalitetit. Disa nga masat kryesore janë si në vijim</w:t>
      </w:r>
      <w:r w:rsidRPr="004E5A6E">
        <w:rPr>
          <w:color w:val="auto"/>
          <w:kern w:val="28"/>
          <w:lang w:val="sq-AL"/>
        </w:rPr>
        <w:t>:</w:t>
      </w:r>
    </w:p>
    <w:p w14:paraId="0B5F79EA" w14:textId="77777777" w:rsidR="00F010B4" w:rsidRPr="004E5A6E" w:rsidRDefault="00F010B4" w:rsidP="0068706C">
      <w:pPr>
        <w:pStyle w:val="Default"/>
        <w:numPr>
          <w:ilvl w:val="0"/>
          <w:numId w:val="5"/>
        </w:numPr>
        <w:spacing w:line="276" w:lineRule="auto"/>
        <w:jc w:val="both"/>
        <w:rPr>
          <w:rFonts w:ascii="Times New Roman" w:hAnsi="Times New Roman" w:cs="Times New Roman"/>
          <w:color w:val="auto"/>
          <w:kern w:val="28"/>
          <w:lang w:val="sq-AL"/>
        </w:rPr>
      </w:pPr>
      <w:r w:rsidRPr="004E5A6E">
        <w:rPr>
          <w:rFonts w:ascii="Times New Roman" w:hAnsi="Times New Roman" w:cs="Times New Roman"/>
          <w:color w:val="auto"/>
          <w:kern w:val="28"/>
          <w:lang w:val="sq-AL"/>
        </w:rPr>
        <w:t>Përmirësimi i mbledhjes së TVSH-së së brendshme.</w:t>
      </w:r>
    </w:p>
    <w:p w14:paraId="68D4CBB0" w14:textId="77777777" w:rsidR="00F010B4" w:rsidRPr="004E5A6E" w:rsidRDefault="00F010B4" w:rsidP="0068706C">
      <w:pPr>
        <w:pStyle w:val="Default"/>
        <w:numPr>
          <w:ilvl w:val="0"/>
          <w:numId w:val="5"/>
        </w:numPr>
        <w:spacing w:line="276" w:lineRule="auto"/>
        <w:jc w:val="both"/>
        <w:rPr>
          <w:rFonts w:ascii="Times New Roman" w:hAnsi="Times New Roman" w:cs="Times New Roman"/>
          <w:color w:val="auto"/>
          <w:kern w:val="28"/>
          <w:lang w:val="sq-AL"/>
        </w:rPr>
      </w:pPr>
      <w:r w:rsidRPr="004E5A6E">
        <w:rPr>
          <w:rFonts w:ascii="Times New Roman" w:hAnsi="Times New Roman" w:cs="Times New Roman"/>
          <w:color w:val="auto"/>
          <w:kern w:val="28"/>
          <w:lang w:val="sq-AL"/>
        </w:rPr>
        <w:t>Automatizimi i sistemit të rimbursimit të tatimeve.</w:t>
      </w:r>
    </w:p>
    <w:p w14:paraId="46971C4B" w14:textId="77777777" w:rsidR="00F010B4" w:rsidRPr="004E5A6E" w:rsidRDefault="00F010B4" w:rsidP="0068706C">
      <w:pPr>
        <w:pStyle w:val="Default"/>
        <w:numPr>
          <w:ilvl w:val="0"/>
          <w:numId w:val="5"/>
        </w:numPr>
        <w:spacing w:line="276" w:lineRule="auto"/>
        <w:jc w:val="both"/>
        <w:rPr>
          <w:rFonts w:ascii="Times New Roman" w:hAnsi="Times New Roman" w:cs="Times New Roman"/>
          <w:color w:val="auto"/>
          <w:kern w:val="28"/>
          <w:lang w:val="sq-AL"/>
        </w:rPr>
      </w:pPr>
      <w:r w:rsidRPr="004E5A6E">
        <w:rPr>
          <w:rFonts w:ascii="Times New Roman" w:hAnsi="Times New Roman" w:cs="Times New Roman"/>
          <w:color w:val="auto"/>
          <w:kern w:val="28"/>
          <w:lang w:val="sq-AL"/>
        </w:rPr>
        <w:t>Inkurajimi i bizneseve për të vepruar në sektorin zyrtar duke thjeshtuar procedurat e deklarimit të tatimeve dhe duke rritur përfitimet e operimit në sektorin zyrtar.</w:t>
      </w:r>
    </w:p>
    <w:p w14:paraId="2E253EAA" w14:textId="77777777" w:rsidR="00F010B4" w:rsidRPr="004E5A6E" w:rsidRDefault="00F010B4" w:rsidP="0068706C">
      <w:pPr>
        <w:pStyle w:val="Default"/>
        <w:numPr>
          <w:ilvl w:val="0"/>
          <w:numId w:val="5"/>
        </w:numPr>
        <w:spacing w:line="276" w:lineRule="auto"/>
        <w:jc w:val="both"/>
        <w:rPr>
          <w:rFonts w:ascii="Times New Roman" w:hAnsi="Times New Roman" w:cs="Times New Roman"/>
          <w:color w:val="auto"/>
          <w:kern w:val="28"/>
          <w:lang w:val="sq-AL"/>
        </w:rPr>
      </w:pPr>
      <w:r w:rsidRPr="004E5A6E">
        <w:rPr>
          <w:rFonts w:ascii="Times New Roman" w:hAnsi="Times New Roman" w:cs="Times New Roman"/>
          <w:color w:val="auto"/>
          <w:kern w:val="28"/>
          <w:lang w:val="sq-AL"/>
        </w:rPr>
        <w:t>Rishikimi i legjislacionit tatimor.</w:t>
      </w:r>
    </w:p>
    <w:p w14:paraId="326401F1" w14:textId="77777777" w:rsidR="0048384A" w:rsidRPr="004E5A6E" w:rsidRDefault="0048384A" w:rsidP="0048384A">
      <w:pPr>
        <w:jc w:val="both"/>
        <w:rPr>
          <w:lang w:val="sq-AL"/>
        </w:rPr>
      </w:pPr>
    </w:p>
    <w:p w14:paraId="65E1DC4B" w14:textId="77777777" w:rsidR="00F010B4" w:rsidRPr="004E5A6E" w:rsidRDefault="00F010B4" w:rsidP="0048384A">
      <w:pPr>
        <w:jc w:val="both"/>
        <w:rPr>
          <w:lang w:val="sq-AL"/>
        </w:rPr>
      </w:pPr>
      <w:r w:rsidRPr="004E5A6E">
        <w:rPr>
          <w:lang w:val="sq-AL"/>
        </w:rPr>
        <w:t xml:space="preserve">Bizneset do të inkurajohen të veprojnë në sektorin zyrtar të ekonomisë përmes një pakoje të re. Boshllëqet ligjore do të plotësohen, në përputhje me legjislacionin e Bashkimit Evropian. Bashkëpunimi ndërinstitucional do të rritet për të siguruar që bizneset operojnë në sektorin zyrtar. Në veçanti, në sektorin e ndërtimit, ku ekonomia informale është në nivel të lartë, do të ndërtohet një sistem kompleks i mbikëqyrjes së ndërmarrjes për sa i përket punësimit të punonjësve, lëvizjes së mallrave të ndërtimit dhe kryerjes së punës ndërtimore. Në sektorin e mikpritjes, punësimi i punëtorëve dhe qarkullimi i të ardhurave dhe mallrave të përdorura për të vlerësuar raportimin e drejtë të </w:t>
      </w:r>
      <w:r w:rsidRPr="004E5A6E">
        <w:rPr>
          <w:color w:val="auto"/>
          <w:kern w:val="28"/>
          <w:lang w:val="sq-AL"/>
        </w:rPr>
        <w:t>tatimeve</w:t>
      </w:r>
      <w:r w:rsidRPr="004E5A6E">
        <w:rPr>
          <w:lang w:val="sq-AL"/>
        </w:rPr>
        <w:t xml:space="preserve"> do të monitorohen dhe krahasohen. Për sektorin e shërbimeve (avokatë, kujdes shëndetësor, llogaritarë, auditorë, zhvillues softuerësh, arkitektë, agjenci të ndryshme, profesione të tjera shërbimi, etj) do të krijohet një njësi e veçantë e administratës tatimore për t'u specializuar në mbikëqyrjen e këtyre aktiviteteve në mënyrë që të sigurohet që pajtueshmëria është në rregull.</w:t>
      </w:r>
    </w:p>
    <w:p w14:paraId="24CD0F9A" w14:textId="77777777" w:rsidR="00F010B4" w:rsidRPr="004E5A6E" w:rsidRDefault="00F010B4" w:rsidP="00F010B4">
      <w:pPr>
        <w:pStyle w:val="ERPL2"/>
        <w:rPr>
          <w:rFonts w:ascii="Times New Roman" w:hAnsi="Times New Roman"/>
          <w:lang w:val="sq-AL"/>
        </w:rPr>
      </w:pPr>
      <w:bookmarkStart w:id="166" w:name="_Toc57720379"/>
      <w:r w:rsidRPr="004E5A6E">
        <w:rPr>
          <w:rFonts w:ascii="Times New Roman" w:hAnsi="Times New Roman"/>
          <w:lang w:val="sq-AL"/>
        </w:rPr>
        <w:t>Zbatimi i buxhetit në vitin 2020 (janar-tetor)</w:t>
      </w:r>
      <w:bookmarkEnd w:id="166"/>
    </w:p>
    <w:p w14:paraId="070A2A95" w14:textId="77777777" w:rsidR="003B3804" w:rsidRPr="004E5A6E" w:rsidRDefault="00F010B4" w:rsidP="003B3804">
      <w:pPr>
        <w:jc w:val="both"/>
        <w:rPr>
          <w:color w:val="auto"/>
          <w:lang w:val="sq-AL"/>
        </w:rPr>
      </w:pPr>
      <w:bookmarkStart w:id="167" w:name="_Toc39148294"/>
      <w:bookmarkStart w:id="168" w:name="_Toc43121881"/>
      <w:r w:rsidRPr="004E5A6E">
        <w:rPr>
          <w:color w:val="auto"/>
          <w:lang w:val="sq-AL"/>
        </w:rPr>
        <w:t xml:space="preserve">Në vitin 2020, situata ekonomike dhe perspektiva në Kosovë ka ndryshuar për shkak të pandemisë COVID-19. Ndikimi në ekonomi për shkak të pandemisë dhe masat e marra nga qeveria, kanë bërë që parashikimet fiskale për këtë vit të ndryshojnë krahasuar me parashikimet fillestare të buxhetit të vitit </w:t>
      </w:r>
      <w:r w:rsidR="00EB5758" w:rsidRPr="004E5A6E">
        <w:rPr>
          <w:color w:val="auto"/>
          <w:lang w:val="sq-AL"/>
        </w:rPr>
        <w:t>2020. Vlerësimet në Buxhetin e R</w:t>
      </w:r>
      <w:r w:rsidRPr="004E5A6E">
        <w:rPr>
          <w:color w:val="auto"/>
          <w:lang w:val="sq-AL"/>
        </w:rPr>
        <w:t xml:space="preserve">ishikuar për të </w:t>
      </w:r>
      <w:r w:rsidR="00EB5758" w:rsidRPr="004E5A6E">
        <w:rPr>
          <w:color w:val="auto"/>
          <w:lang w:val="sq-AL"/>
        </w:rPr>
        <w:t>hyrat</w:t>
      </w:r>
      <w:r w:rsidRPr="004E5A6E">
        <w:rPr>
          <w:color w:val="auto"/>
          <w:lang w:val="sq-AL"/>
        </w:rPr>
        <w:t xml:space="preserve"> totale </w:t>
      </w:r>
      <w:r w:rsidR="00EB5758" w:rsidRPr="004E5A6E">
        <w:rPr>
          <w:color w:val="auto"/>
          <w:lang w:val="sq-AL"/>
        </w:rPr>
        <w:t xml:space="preserve">në </w:t>
      </w:r>
      <w:r w:rsidRPr="004E5A6E">
        <w:rPr>
          <w:color w:val="auto"/>
          <w:lang w:val="sq-AL"/>
        </w:rPr>
        <w:t>vit</w:t>
      </w:r>
      <w:r w:rsidR="00EB5758" w:rsidRPr="004E5A6E">
        <w:rPr>
          <w:color w:val="auto"/>
          <w:lang w:val="sq-AL"/>
        </w:rPr>
        <w:t>in</w:t>
      </w:r>
      <w:r w:rsidRPr="004E5A6E">
        <w:rPr>
          <w:color w:val="auto"/>
          <w:lang w:val="sq-AL"/>
        </w:rPr>
        <w:t xml:space="preserve"> 2020</w:t>
      </w:r>
      <w:r w:rsidR="00EB5758" w:rsidRPr="004E5A6E">
        <w:rPr>
          <w:color w:val="auto"/>
          <w:lang w:val="sq-AL"/>
        </w:rPr>
        <w:t xml:space="preserve"> projektojnë</w:t>
      </w:r>
      <w:r w:rsidRPr="004E5A6E">
        <w:rPr>
          <w:color w:val="auto"/>
          <w:lang w:val="sq-AL"/>
        </w:rPr>
        <w:t xml:space="preserve"> një rënie vjetore prej rreth 5.3%, </w:t>
      </w:r>
      <w:r w:rsidR="00EB5758" w:rsidRPr="004E5A6E">
        <w:rPr>
          <w:color w:val="auto"/>
          <w:lang w:val="sq-AL"/>
        </w:rPr>
        <w:t xml:space="preserve">Megjithatë, </w:t>
      </w:r>
      <w:r w:rsidRPr="004E5A6E">
        <w:rPr>
          <w:color w:val="auto"/>
          <w:lang w:val="sq-AL"/>
        </w:rPr>
        <w:t>parasysh performancën aktuale</w:t>
      </w:r>
      <w:r w:rsidR="00EB5758" w:rsidRPr="004E5A6E">
        <w:rPr>
          <w:color w:val="auto"/>
          <w:lang w:val="sq-AL"/>
        </w:rPr>
        <w:t xml:space="preserve"> e të hyrave</w:t>
      </w:r>
      <w:r w:rsidRPr="004E5A6E">
        <w:rPr>
          <w:color w:val="auto"/>
          <w:lang w:val="sq-AL"/>
        </w:rPr>
        <w:t xml:space="preserve"> </w:t>
      </w:r>
      <w:r w:rsidR="00EB5758" w:rsidRPr="004E5A6E">
        <w:rPr>
          <w:color w:val="auto"/>
          <w:lang w:val="sq-AL"/>
        </w:rPr>
        <w:t>gjatë periudhës</w:t>
      </w:r>
      <w:r w:rsidRPr="004E5A6E">
        <w:rPr>
          <w:color w:val="auto"/>
          <w:lang w:val="sq-AL"/>
        </w:rPr>
        <w:t xml:space="preserve"> janar-tetor, sugjeron që viti </w:t>
      </w:r>
      <w:r w:rsidR="00EB5758" w:rsidRPr="004E5A6E">
        <w:rPr>
          <w:color w:val="auto"/>
          <w:lang w:val="sq-AL"/>
        </w:rPr>
        <w:t xml:space="preserve">2020 </w:t>
      </w:r>
      <w:r w:rsidRPr="004E5A6E">
        <w:rPr>
          <w:color w:val="auto"/>
          <w:lang w:val="sq-AL"/>
        </w:rPr>
        <w:t xml:space="preserve">do të </w:t>
      </w:r>
      <w:r w:rsidR="00EB5758" w:rsidRPr="004E5A6E">
        <w:rPr>
          <w:color w:val="auto"/>
          <w:lang w:val="sq-AL"/>
        </w:rPr>
        <w:t xml:space="preserve">mbyllet </w:t>
      </w:r>
      <w:r w:rsidRPr="004E5A6E">
        <w:rPr>
          <w:color w:val="auto"/>
          <w:lang w:val="sq-AL"/>
        </w:rPr>
        <w:t>me një rënie edhe më të theksuar rreth</w:t>
      </w:r>
      <w:r w:rsidR="00EB5758" w:rsidRPr="004E5A6E">
        <w:rPr>
          <w:color w:val="auto"/>
          <w:lang w:val="sq-AL"/>
        </w:rPr>
        <w:t xml:space="preserve"> 9.1</w:t>
      </w:r>
      <w:r w:rsidR="003B3804" w:rsidRPr="004E5A6E">
        <w:rPr>
          <w:color w:val="auto"/>
          <w:lang w:val="sq-AL"/>
        </w:rPr>
        <w:t xml:space="preserve">%. </w:t>
      </w:r>
    </w:p>
    <w:p w14:paraId="416C4AE3" w14:textId="2C10409D" w:rsidR="00F010B4" w:rsidRPr="004E5A6E" w:rsidRDefault="00F010B4" w:rsidP="003B3804">
      <w:pPr>
        <w:jc w:val="both"/>
        <w:rPr>
          <w:color w:val="auto"/>
          <w:lang w:val="sq-AL"/>
        </w:rPr>
      </w:pPr>
      <w:r w:rsidRPr="004E5A6E">
        <w:rPr>
          <w:b/>
          <w:color w:val="auto"/>
          <w:lang w:val="sq-AL"/>
        </w:rPr>
        <w:t xml:space="preserve">Të </w:t>
      </w:r>
      <w:r w:rsidR="0048384A" w:rsidRPr="004E5A6E">
        <w:rPr>
          <w:b/>
          <w:color w:val="auto"/>
          <w:lang w:val="sq-AL"/>
        </w:rPr>
        <w:t>hyrat</w:t>
      </w:r>
      <w:r w:rsidRPr="004E5A6E">
        <w:rPr>
          <w:b/>
          <w:color w:val="auto"/>
          <w:lang w:val="sq-AL"/>
        </w:rPr>
        <w:t xml:space="preserve"> nga tatimet indirekte </w:t>
      </w:r>
      <w:r w:rsidRPr="004E5A6E">
        <w:rPr>
          <w:color w:val="auto"/>
          <w:lang w:val="sq-AL"/>
        </w:rPr>
        <w:t>kanë shënuar një</w:t>
      </w:r>
      <w:r w:rsidR="0048384A" w:rsidRPr="004E5A6E">
        <w:rPr>
          <w:color w:val="auto"/>
          <w:lang w:val="sq-AL"/>
        </w:rPr>
        <w:t xml:space="preserve"> rënie</w:t>
      </w:r>
      <w:r w:rsidRPr="004E5A6E">
        <w:rPr>
          <w:color w:val="auto"/>
          <w:lang w:val="sq-AL"/>
        </w:rPr>
        <w:t xml:space="preserve"> më të theksuar në krahasim me rënien e të </w:t>
      </w:r>
      <w:r w:rsidR="0048384A" w:rsidRPr="004E5A6E">
        <w:rPr>
          <w:color w:val="auto"/>
          <w:lang w:val="sq-AL"/>
        </w:rPr>
        <w:t>hyrave</w:t>
      </w:r>
      <w:r w:rsidRPr="004E5A6E">
        <w:rPr>
          <w:color w:val="auto"/>
          <w:lang w:val="sq-AL"/>
        </w:rPr>
        <w:t xml:space="preserve"> të tjera pasi ato pasqyrojnë drejtpërdrejt rënien e importeve të mallrave. Të </w:t>
      </w:r>
      <w:r w:rsidR="0048384A" w:rsidRPr="004E5A6E">
        <w:rPr>
          <w:color w:val="auto"/>
          <w:lang w:val="sq-AL"/>
        </w:rPr>
        <w:t>hyrat</w:t>
      </w:r>
      <w:r w:rsidRPr="004E5A6E">
        <w:rPr>
          <w:color w:val="auto"/>
          <w:lang w:val="sq-AL"/>
        </w:rPr>
        <w:t xml:space="preserve"> nga detyrimet doganore në këtë periudhë shënuan një rënie vjetore prej 23.4%. Të </w:t>
      </w:r>
      <w:r w:rsidR="0048384A" w:rsidRPr="004E5A6E">
        <w:rPr>
          <w:color w:val="auto"/>
          <w:lang w:val="sq-AL"/>
        </w:rPr>
        <w:t>hyrat</w:t>
      </w:r>
      <w:r w:rsidRPr="004E5A6E">
        <w:rPr>
          <w:color w:val="auto"/>
          <w:lang w:val="sq-AL"/>
        </w:rPr>
        <w:t xml:space="preserve"> nga TVSH-ja kufitare shënuan një rënie vjetore prej 11.8% për periudhën janar-tetor. Gjithashtu, të </w:t>
      </w:r>
      <w:r w:rsidR="0048384A" w:rsidRPr="004E5A6E">
        <w:rPr>
          <w:color w:val="auto"/>
          <w:lang w:val="sq-AL"/>
        </w:rPr>
        <w:t>hyrat</w:t>
      </w:r>
      <w:r w:rsidRPr="004E5A6E">
        <w:rPr>
          <w:color w:val="auto"/>
          <w:lang w:val="sq-AL"/>
        </w:rPr>
        <w:t xml:space="preserve"> e akcizës si një nga kontribuesit më të lartë të të </w:t>
      </w:r>
      <w:r w:rsidR="0048384A" w:rsidRPr="004E5A6E">
        <w:rPr>
          <w:color w:val="auto"/>
          <w:lang w:val="sq-AL"/>
        </w:rPr>
        <w:t>hyrave totale</w:t>
      </w:r>
      <w:r w:rsidRPr="004E5A6E">
        <w:rPr>
          <w:color w:val="auto"/>
          <w:lang w:val="sq-AL"/>
        </w:rPr>
        <w:t xml:space="preserve">, shënuan një rënie prej 10.3% në fund të tetorit. Kjo rënie i atribuohet kryesisht rënies ekonomike në vend, e cila ndikon drejtpërdrejt në uljen e kërkesës për karburante, </w:t>
      </w:r>
      <w:r w:rsidR="0048384A" w:rsidRPr="004E5A6E">
        <w:rPr>
          <w:color w:val="auto"/>
          <w:lang w:val="sq-AL"/>
        </w:rPr>
        <w:t xml:space="preserve">dhe </w:t>
      </w:r>
      <w:r w:rsidRPr="004E5A6E">
        <w:rPr>
          <w:color w:val="auto"/>
          <w:lang w:val="sq-AL"/>
        </w:rPr>
        <w:t>u</w:t>
      </w:r>
      <w:r w:rsidR="0048384A" w:rsidRPr="004E5A6E">
        <w:rPr>
          <w:color w:val="auto"/>
          <w:lang w:val="sq-AL"/>
        </w:rPr>
        <w:t xml:space="preserve"> reflektua</w:t>
      </w:r>
      <w:r w:rsidRPr="004E5A6E">
        <w:rPr>
          <w:color w:val="auto"/>
          <w:lang w:val="sq-AL"/>
        </w:rPr>
        <w:t xml:space="preserve"> në rënien e vazhdueshme të konsiderueshme të importeve të rregullta të naftës dhe benzinës gjatë kësaj periudhe nëntëmujore. Gjithashtu, importi i cigareve dhe pijeve alkoolike ra gjatë kësaj periudhe, </w:t>
      </w:r>
      <w:r w:rsidR="0048384A" w:rsidRPr="004E5A6E">
        <w:rPr>
          <w:color w:val="auto"/>
          <w:lang w:val="sq-AL"/>
        </w:rPr>
        <w:t xml:space="preserve">kryesisht </w:t>
      </w:r>
      <w:r w:rsidRPr="004E5A6E">
        <w:rPr>
          <w:color w:val="auto"/>
          <w:lang w:val="sq-AL"/>
        </w:rPr>
        <w:t xml:space="preserve">si rezultat i kufizimit të aktivitetit të restoranteve dhe kafeve. </w:t>
      </w:r>
    </w:p>
    <w:p w14:paraId="7281CCE4" w14:textId="56072CA3" w:rsidR="00F010B4" w:rsidRPr="004E5A6E" w:rsidRDefault="00F010B4" w:rsidP="00F010B4">
      <w:pPr>
        <w:spacing w:after="120" w:line="276" w:lineRule="auto"/>
        <w:jc w:val="both"/>
        <w:rPr>
          <w:vanish/>
          <w:color w:val="auto"/>
          <w:lang w:val="sq-AL"/>
          <w:specVanish/>
        </w:rPr>
      </w:pPr>
      <w:r w:rsidRPr="004E5A6E">
        <w:rPr>
          <w:color w:val="auto"/>
          <w:lang w:val="sq-AL"/>
        </w:rPr>
        <w:t xml:space="preserve">Nga ana tjetër, </w:t>
      </w:r>
      <w:r w:rsidRPr="004E5A6E">
        <w:rPr>
          <w:b/>
          <w:color w:val="auto"/>
          <w:lang w:val="sq-AL"/>
        </w:rPr>
        <w:t xml:space="preserve">të </w:t>
      </w:r>
      <w:r w:rsidR="0048384A" w:rsidRPr="004E5A6E">
        <w:rPr>
          <w:b/>
          <w:color w:val="auto"/>
          <w:lang w:val="sq-AL"/>
        </w:rPr>
        <w:t>hyrat</w:t>
      </w:r>
      <w:r w:rsidRPr="004E5A6E">
        <w:rPr>
          <w:b/>
          <w:color w:val="auto"/>
          <w:lang w:val="sq-AL"/>
        </w:rPr>
        <w:t xml:space="preserve"> nga tatimet direkte</w:t>
      </w:r>
      <w:r w:rsidRPr="004E5A6E">
        <w:rPr>
          <w:color w:val="auto"/>
          <w:lang w:val="sq-AL"/>
        </w:rPr>
        <w:t xml:space="preserve"> kishin një rënie prej rreth 10.9% në terma vjetorë për periudhën janar-tetor, si rezultat i aktivitetit </w:t>
      </w:r>
      <w:r w:rsidR="0048384A" w:rsidRPr="004E5A6E">
        <w:rPr>
          <w:color w:val="auto"/>
          <w:lang w:val="sq-AL"/>
        </w:rPr>
        <w:t xml:space="preserve"> më të ulët </w:t>
      </w:r>
      <w:r w:rsidRPr="004E5A6E">
        <w:rPr>
          <w:color w:val="auto"/>
          <w:lang w:val="sq-AL"/>
        </w:rPr>
        <w:t>ekonomik</w:t>
      </w:r>
      <w:r w:rsidR="0048384A" w:rsidRPr="004E5A6E">
        <w:rPr>
          <w:color w:val="auto"/>
          <w:lang w:val="sq-AL"/>
        </w:rPr>
        <w:t xml:space="preserve"> dhe masave të parandalimit të përhapjes së virusit</w:t>
      </w:r>
      <w:r w:rsidRPr="004E5A6E">
        <w:rPr>
          <w:color w:val="auto"/>
          <w:lang w:val="sq-AL"/>
        </w:rPr>
        <w:t>. Rënia më e ndjeshme gjatë kësaj periudhe është në të</w:t>
      </w:r>
      <w:r w:rsidR="0048384A" w:rsidRPr="004E5A6E">
        <w:rPr>
          <w:color w:val="auto"/>
          <w:lang w:val="sq-AL"/>
        </w:rPr>
        <w:t xml:space="preserve"> hyrat</w:t>
      </w:r>
      <w:r w:rsidRPr="004E5A6E">
        <w:rPr>
          <w:color w:val="auto"/>
          <w:lang w:val="sq-AL"/>
        </w:rPr>
        <w:t xml:space="preserve"> nga tatimi në pronë me 25.0% në periudhën janar-shtator të këtij viti krahasuar me vitin e kaluar, kryesisht si rezultat i shtyrjes së afateve të pagesës si masa zbutëse. Të hyrat nga tatimi mbi të ardhurat personale, si përbërësi më i madh i tatimeve direkte, patën një rënie vjetore prej 7.1% gjatë kësaj periudhe. Ndërsa të hyrat nga të ardhurat e korporatave ranë me 10.6%.</w:t>
      </w:r>
    </w:p>
    <w:p w14:paraId="01418F76" w14:textId="77777777" w:rsidR="00B414AE" w:rsidRPr="004E5A6E" w:rsidRDefault="004810FF" w:rsidP="00F010B4">
      <w:pPr>
        <w:spacing w:after="120" w:line="276" w:lineRule="auto"/>
        <w:jc w:val="both"/>
        <w:rPr>
          <w:color w:val="auto"/>
          <w:lang w:val="sq-AL"/>
        </w:rPr>
      </w:pPr>
      <w:r w:rsidRPr="004E5A6E">
        <w:rPr>
          <w:color w:val="auto"/>
          <w:lang w:val="sq-AL"/>
        </w:rPr>
        <w:t xml:space="preserve"> </w:t>
      </w:r>
    </w:p>
    <w:p w14:paraId="789E2C47" w14:textId="082EBA97" w:rsidR="00F010B4" w:rsidRPr="004E5A6E" w:rsidRDefault="00F010B4" w:rsidP="00F010B4">
      <w:pPr>
        <w:spacing w:after="120" w:line="276" w:lineRule="auto"/>
        <w:jc w:val="both"/>
        <w:rPr>
          <w:color w:val="auto"/>
          <w:highlight w:val="yellow"/>
          <w:lang w:val="sq-AL"/>
        </w:rPr>
      </w:pPr>
      <w:r w:rsidRPr="004E5A6E">
        <w:rPr>
          <w:color w:val="auto"/>
          <w:lang w:val="sq-AL"/>
        </w:rPr>
        <w:t>Nga ana tjetër, shpenzimet totale të buxhetit në periudhën janar-tetor shënuan një rritje prej rreth 9.4% krahasuar me vitin e kaluar</w:t>
      </w:r>
      <w:r w:rsidR="00B414AE" w:rsidRPr="004E5A6E">
        <w:rPr>
          <w:color w:val="auto"/>
          <w:lang w:val="sq-AL"/>
        </w:rPr>
        <w:t>, duke reflektuar masat fiskale të qeverise</w:t>
      </w:r>
      <w:r w:rsidRPr="004E5A6E">
        <w:rPr>
          <w:color w:val="auto"/>
          <w:lang w:val="sq-AL"/>
        </w:rPr>
        <w:t>. Kategoria e "</w:t>
      </w:r>
      <w:r w:rsidRPr="004E5A6E">
        <w:rPr>
          <w:b/>
          <w:color w:val="auto"/>
          <w:lang w:val="sq-AL"/>
        </w:rPr>
        <w:t>mallrave dhe shërbimeve</w:t>
      </w:r>
      <w:r w:rsidRPr="004E5A6E">
        <w:rPr>
          <w:color w:val="auto"/>
          <w:lang w:val="sq-AL"/>
        </w:rPr>
        <w:t>" mbetet në nivele të ngjashme si në të njëjtën periudhë të vitit të kaluar, me vetëm 0.1% rritje, pjesërisht si rezultat i një aktiviteti të ngadaltë të administratës. Kategoria e "</w:t>
      </w:r>
      <w:r w:rsidRPr="004E5A6E">
        <w:rPr>
          <w:b/>
          <w:color w:val="auto"/>
          <w:lang w:val="sq-AL"/>
        </w:rPr>
        <w:t>subvencioneve dhe transferimeve</w:t>
      </w:r>
      <w:r w:rsidRPr="004E5A6E">
        <w:rPr>
          <w:color w:val="auto"/>
          <w:lang w:val="sq-AL"/>
        </w:rPr>
        <w:t>" ishte rreth 34.7% më e lartë në terma vjetorë duke reflektuar masat e Qeverisë për të luftuar efektin e pandemisë, të cilat ishin kryesisht në formën e transferimeve. Ndërsa, kategoria "</w:t>
      </w:r>
      <w:r w:rsidRPr="004E5A6E">
        <w:rPr>
          <w:b/>
          <w:color w:val="auto"/>
          <w:lang w:val="sq-AL"/>
        </w:rPr>
        <w:t>paga dhe shtesa</w:t>
      </w:r>
      <w:r w:rsidRPr="004E5A6E">
        <w:rPr>
          <w:color w:val="auto"/>
          <w:lang w:val="sq-AL"/>
        </w:rPr>
        <w:t xml:space="preserve">" ka shënuar një rritje vjetore prej 6.5% krahasuar me vitin e kaluar, e cila vinte kryesisht nga shtesa shtesë që burojnë nga masat e rimëkëmbjes ekonomike.  </w:t>
      </w:r>
    </w:p>
    <w:p w14:paraId="67159DE5" w14:textId="77777777" w:rsidR="00F010B4" w:rsidRPr="004E5A6E" w:rsidRDefault="00F010B4" w:rsidP="00F010B4">
      <w:pPr>
        <w:spacing w:after="120" w:line="276" w:lineRule="auto"/>
        <w:jc w:val="both"/>
        <w:rPr>
          <w:color w:val="auto"/>
          <w:lang w:val="sq-AL"/>
        </w:rPr>
      </w:pPr>
      <w:r w:rsidRPr="004E5A6E">
        <w:rPr>
          <w:b/>
          <w:color w:val="auto"/>
          <w:lang w:val="sq-AL"/>
        </w:rPr>
        <w:t xml:space="preserve">Shpenzimet totale kapitale </w:t>
      </w:r>
      <w:r w:rsidRPr="004E5A6E">
        <w:rPr>
          <w:color w:val="auto"/>
          <w:lang w:val="sq-AL"/>
        </w:rPr>
        <w:t xml:space="preserve">në periudhën janar-tetor 2020 shënuan një rënie të dukshme prej -20.9%, pjesërisht si rezultat i miratimit të vonë të Buxhetit për vitin 2020 dhe kryesisht si rezultat i natyrës së situatës pandemike, e cila paralizoi shumicën dërrmuese të aktiviteteve ekonomike. </w:t>
      </w:r>
      <w:bookmarkEnd w:id="167"/>
      <w:bookmarkEnd w:id="168"/>
    </w:p>
    <w:p w14:paraId="43574F01" w14:textId="4E14B6DE" w:rsidR="00F010B4" w:rsidRPr="004E5A6E" w:rsidRDefault="00F010B4" w:rsidP="00F010B4">
      <w:pPr>
        <w:spacing w:after="120" w:line="276" w:lineRule="auto"/>
        <w:jc w:val="both"/>
        <w:rPr>
          <w:color w:val="auto"/>
          <w:lang w:val="sq-AL"/>
        </w:rPr>
      </w:pPr>
      <w:r w:rsidRPr="004E5A6E">
        <w:rPr>
          <w:color w:val="auto"/>
          <w:lang w:val="sq-AL"/>
        </w:rPr>
        <w:t>Shpenzimet e interesit për këtë periudhë arritën në 24.4 milion € dhe janë më të larta për 17.1</w:t>
      </w:r>
      <w:r w:rsidR="00B414AE" w:rsidRPr="004E5A6E">
        <w:rPr>
          <w:color w:val="auto"/>
          <w:lang w:val="sq-AL"/>
        </w:rPr>
        <w:t>% krahasuar me një vit më parë.</w:t>
      </w:r>
    </w:p>
    <w:p w14:paraId="077EBA06" w14:textId="77777777" w:rsidR="00F010B4" w:rsidRPr="004E5A6E" w:rsidRDefault="00F010B4" w:rsidP="00F010B4">
      <w:pPr>
        <w:pStyle w:val="Caption"/>
        <w:keepNext/>
        <w:spacing w:after="0" w:line="276" w:lineRule="auto"/>
        <w:jc w:val="both"/>
        <w:rPr>
          <w:rFonts w:ascii="Times New Roman" w:hAnsi="Times New Roman"/>
          <w:b/>
          <w:i w:val="0"/>
          <w:color w:val="auto"/>
          <w:lang w:val="sq-AL"/>
        </w:rPr>
      </w:pPr>
    </w:p>
    <w:p w14:paraId="23B337CC" w14:textId="33924BB5" w:rsidR="00F010B4" w:rsidRPr="004E5A6E" w:rsidRDefault="00B414AE" w:rsidP="00F010B4">
      <w:pPr>
        <w:pStyle w:val="Caption"/>
        <w:keepNext/>
        <w:spacing w:after="0"/>
        <w:rPr>
          <w:rFonts w:ascii="Times New Roman" w:hAnsi="Times New Roman"/>
          <w:b/>
          <w:i w:val="0"/>
          <w:color w:val="auto"/>
          <w:lang w:val="sq-AL"/>
        </w:rPr>
      </w:pPr>
      <w:r w:rsidRPr="004E5A6E">
        <w:rPr>
          <w:rFonts w:ascii="Times New Roman" w:hAnsi="Times New Roman"/>
          <w:b/>
          <w:i w:val="0"/>
          <w:color w:val="auto"/>
          <w:lang w:val="sq-AL"/>
        </w:rPr>
        <w:t>Tabela 5</w:t>
      </w:r>
      <w:r w:rsidR="00F010B4" w:rsidRPr="004E5A6E">
        <w:rPr>
          <w:rFonts w:ascii="Times New Roman" w:hAnsi="Times New Roman"/>
          <w:b/>
          <w:i w:val="0"/>
          <w:color w:val="auto"/>
          <w:lang w:val="sq-AL"/>
        </w:rPr>
        <w:t xml:space="preserve"> Operacionet e Qeverisë së Përgjithshme, në miliona Euro</w:t>
      </w:r>
    </w:p>
    <w:tbl>
      <w:tblPr>
        <w:tblW w:w="8668" w:type="dxa"/>
        <w:tblInd w:w="-10" w:type="dxa"/>
        <w:tblLook w:val="04A0" w:firstRow="1" w:lastRow="0" w:firstColumn="1" w:lastColumn="0" w:noHBand="0" w:noVBand="1"/>
      </w:tblPr>
      <w:tblGrid>
        <w:gridCol w:w="5684"/>
        <w:gridCol w:w="892"/>
        <w:gridCol w:w="1124"/>
        <w:gridCol w:w="968"/>
      </w:tblGrid>
      <w:tr w:rsidR="00F010B4" w:rsidRPr="004E5A6E" w14:paraId="23311675" w14:textId="77777777" w:rsidTr="003B3804">
        <w:trPr>
          <w:trHeight w:val="445"/>
        </w:trPr>
        <w:tc>
          <w:tcPr>
            <w:tcW w:w="5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7048C1" w14:textId="77777777" w:rsidR="00F010B4" w:rsidRPr="004E5A6E" w:rsidRDefault="00F010B4" w:rsidP="00D6295F">
            <w:pPr>
              <w:jc w:val="center"/>
              <w:rPr>
                <w:b/>
                <w:bCs/>
                <w:color w:val="auto"/>
                <w:sz w:val="18"/>
                <w:szCs w:val="18"/>
                <w:lang w:val="sq-AL"/>
              </w:rPr>
            </w:pPr>
            <w:r w:rsidRPr="004E5A6E">
              <w:rPr>
                <w:b/>
                <w:bCs/>
                <w:color w:val="auto"/>
                <w:sz w:val="18"/>
                <w:szCs w:val="18"/>
                <w:lang w:val="sq-AL"/>
              </w:rPr>
              <w:t>Përshkrimi</w:t>
            </w:r>
          </w:p>
        </w:tc>
        <w:tc>
          <w:tcPr>
            <w:tcW w:w="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A3DE11" w14:textId="77777777" w:rsidR="00F010B4" w:rsidRPr="004E5A6E" w:rsidRDefault="00F010B4" w:rsidP="00D6295F">
            <w:pPr>
              <w:jc w:val="center"/>
              <w:rPr>
                <w:b/>
                <w:bCs/>
                <w:color w:val="auto"/>
                <w:sz w:val="18"/>
                <w:szCs w:val="18"/>
                <w:lang w:val="sq-AL"/>
              </w:rPr>
            </w:pPr>
            <w:r w:rsidRPr="004E5A6E">
              <w:rPr>
                <w:b/>
                <w:bCs/>
                <w:color w:val="auto"/>
                <w:sz w:val="18"/>
                <w:szCs w:val="18"/>
                <w:lang w:val="sq-AL"/>
              </w:rPr>
              <w:t>2019</w:t>
            </w:r>
          </w:p>
        </w:tc>
        <w:tc>
          <w:tcPr>
            <w:tcW w:w="11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8B16BA" w14:textId="77777777" w:rsidR="00F010B4" w:rsidRPr="004E5A6E" w:rsidRDefault="00F010B4" w:rsidP="00D6295F">
            <w:pPr>
              <w:jc w:val="center"/>
              <w:rPr>
                <w:b/>
                <w:bCs/>
                <w:color w:val="auto"/>
                <w:sz w:val="18"/>
                <w:szCs w:val="18"/>
                <w:lang w:val="sq-AL"/>
              </w:rPr>
            </w:pPr>
            <w:r w:rsidRPr="004E5A6E">
              <w:rPr>
                <w:b/>
                <w:bCs/>
                <w:color w:val="auto"/>
                <w:sz w:val="18"/>
                <w:szCs w:val="18"/>
                <w:lang w:val="sq-AL"/>
              </w:rPr>
              <w:t>Buxheti i rishikuar i vitit 2020</w:t>
            </w:r>
          </w:p>
        </w:tc>
        <w:tc>
          <w:tcPr>
            <w:tcW w:w="968" w:type="dxa"/>
            <w:tcBorders>
              <w:top w:val="single" w:sz="4" w:space="0" w:color="auto"/>
              <w:left w:val="single" w:sz="4" w:space="0" w:color="auto"/>
              <w:bottom w:val="single" w:sz="4" w:space="0" w:color="auto"/>
              <w:right w:val="single" w:sz="4" w:space="0" w:color="auto"/>
            </w:tcBorders>
            <w:shd w:val="clear" w:color="000000" w:fill="FFFFFF"/>
          </w:tcPr>
          <w:p w14:paraId="16F3D4A2" w14:textId="77777777" w:rsidR="00F010B4" w:rsidRPr="004E5A6E" w:rsidRDefault="00F010B4" w:rsidP="00D6295F">
            <w:pPr>
              <w:jc w:val="center"/>
              <w:rPr>
                <w:b/>
                <w:bCs/>
                <w:color w:val="auto"/>
                <w:sz w:val="18"/>
                <w:szCs w:val="18"/>
                <w:lang w:val="sq-AL"/>
              </w:rPr>
            </w:pPr>
            <w:r w:rsidRPr="004E5A6E">
              <w:rPr>
                <w:b/>
                <w:bCs/>
                <w:color w:val="auto"/>
                <w:sz w:val="18"/>
                <w:szCs w:val="18"/>
                <w:lang w:val="sq-AL"/>
              </w:rPr>
              <w:t>Janar-Tetor 2020</w:t>
            </w:r>
          </w:p>
        </w:tc>
      </w:tr>
      <w:tr w:rsidR="00F010B4" w:rsidRPr="004E5A6E" w14:paraId="2E3540A6" w14:textId="77777777" w:rsidTr="003B3804">
        <w:trPr>
          <w:trHeight w:val="88"/>
        </w:trPr>
        <w:tc>
          <w:tcPr>
            <w:tcW w:w="5684" w:type="dxa"/>
            <w:tcBorders>
              <w:top w:val="single" w:sz="4" w:space="0" w:color="auto"/>
              <w:left w:val="single" w:sz="4" w:space="0" w:color="auto"/>
              <w:bottom w:val="nil"/>
              <w:right w:val="single" w:sz="8" w:space="0" w:color="auto"/>
            </w:tcBorders>
            <w:shd w:val="clear" w:color="000000" w:fill="FFFFFF"/>
            <w:noWrap/>
            <w:vAlign w:val="center"/>
            <w:hideMark/>
          </w:tcPr>
          <w:p w14:paraId="2D37448C" w14:textId="77777777" w:rsidR="00F010B4" w:rsidRPr="004E5A6E" w:rsidRDefault="00F010B4" w:rsidP="00D6295F">
            <w:pPr>
              <w:rPr>
                <w:b/>
                <w:bCs/>
                <w:color w:val="auto"/>
                <w:sz w:val="18"/>
                <w:szCs w:val="18"/>
                <w:lang w:val="sq-AL"/>
              </w:rPr>
            </w:pPr>
            <w:r w:rsidRPr="004E5A6E">
              <w:rPr>
                <w:b/>
                <w:bCs/>
                <w:color w:val="auto"/>
                <w:sz w:val="18"/>
                <w:szCs w:val="18"/>
                <w:lang w:val="sq-AL"/>
              </w:rPr>
              <w:t>1. Të hyrat totale</w:t>
            </w:r>
          </w:p>
        </w:tc>
        <w:tc>
          <w:tcPr>
            <w:tcW w:w="892" w:type="dxa"/>
            <w:tcBorders>
              <w:top w:val="single" w:sz="4" w:space="0" w:color="auto"/>
              <w:left w:val="nil"/>
              <w:bottom w:val="nil"/>
              <w:right w:val="nil"/>
            </w:tcBorders>
            <w:shd w:val="clear" w:color="000000" w:fill="FFFFFF"/>
            <w:noWrap/>
            <w:vAlign w:val="center"/>
            <w:hideMark/>
          </w:tcPr>
          <w:p w14:paraId="3C4D719F" w14:textId="77777777" w:rsidR="00F010B4" w:rsidRPr="004E5A6E" w:rsidRDefault="00F010B4" w:rsidP="00D6295F">
            <w:pPr>
              <w:jc w:val="right"/>
              <w:rPr>
                <w:b/>
                <w:bCs/>
                <w:color w:val="auto"/>
                <w:sz w:val="18"/>
                <w:szCs w:val="18"/>
                <w:lang w:val="sq-AL"/>
              </w:rPr>
            </w:pPr>
            <w:r w:rsidRPr="004E5A6E">
              <w:rPr>
                <w:b/>
                <w:bCs/>
                <w:color w:val="auto"/>
                <w:sz w:val="18"/>
                <w:szCs w:val="18"/>
                <w:lang w:val="sq-AL"/>
              </w:rPr>
              <w:t>1,888.2</w:t>
            </w:r>
          </w:p>
        </w:tc>
        <w:tc>
          <w:tcPr>
            <w:tcW w:w="1124" w:type="dxa"/>
            <w:tcBorders>
              <w:top w:val="single" w:sz="4" w:space="0" w:color="auto"/>
              <w:left w:val="nil"/>
              <w:bottom w:val="nil"/>
              <w:right w:val="single" w:sz="8" w:space="0" w:color="auto"/>
            </w:tcBorders>
            <w:shd w:val="clear" w:color="000000" w:fill="FFFFFF"/>
            <w:noWrap/>
            <w:vAlign w:val="center"/>
            <w:hideMark/>
          </w:tcPr>
          <w:p w14:paraId="020CB489" w14:textId="77777777" w:rsidR="00F010B4" w:rsidRPr="004E5A6E" w:rsidRDefault="00F010B4" w:rsidP="00D6295F">
            <w:pPr>
              <w:jc w:val="right"/>
              <w:rPr>
                <w:b/>
                <w:bCs/>
                <w:color w:val="auto"/>
                <w:sz w:val="18"/>
                <w:szCs w:val="18"/>
                <w:lang w:val="sq-AL"/>
              </w:rPr>
            </w:pPr>
            <w:r w:rsidRPr="004E5A6E">
              <w:rPr>
                <w:b/>
                <w:bCs/>
                <w:color w:val="auto"/>
                <w:sz w:val="18"/>
                <w:szCs w:val="18"/>
                <w:lang w:val="sq-AL"/>
              </w:rPr>
              <w:t>1,788.5</w:t>
            </w:r>
          </w:p>
        </w:tc>
        <w:tc>
          <w:tcPr>
            <w:tcW w:w="968" w:type="dxa"/>
            <w:tcBorders>
              <w:top w:val="single" w:sz="4" w:space="0" w:color="auto"/>
              <w:left w:val="nil"/>
              <w:bottom w:val="nil"/>
              <w:right w:val="single" w:sz="4" w:space="0" w:color="auto"/>
            </w:tcBorders>
            <w:shd w:val="clear" w:color="000000" w:fill="FFFFFF"/>
          </w:tcPr>
          <w:p w14:paraId="3C76A218" w14:textId="77777777" w:rsidR="00F010B4" w:rsidRPr="004E5A6E" w:rsidRDefault="00F010B4" w:rsidP="003B3804">
            <w:pPr>
              <w:jc w:val="right"/>
              <w:rPr>
                <w:b/>
                <w:bCs/>
                <w:color w:val="auto"/>
                <w:sz w:val="18"/>
                <w:szCs w:val="18"/>
                <w:lang w:val="sq-AL"/>
              </w:rPr>
            </w:pPr>
            <w:r w:rsidRPr="004E5A6E">
              <w:rPr>
                <w:b/>
                <w:bCs/>
                <w:color w:val="auto"/>
                <w:sz w:val="18"/>
                <w:szCs w:val="18"/>
                <w:lang w:val="sq-AL"/>
              </w:rPr>
              <w:t>1,469.9</w:t>
            </w:r>
          </w:p>
        </w:tc>
      </w:tr>
      <w:tr w:rsidR="00F010B4" w:rsidRPr="004E5A6E" w14:paraId="1C7D918D" w14:textId="77777777" w:rsidTr="003B3804">
        <w:trPr>
          <w:trHeight w:val="119"/>
        </w:trPr>
        <w:tc>
          <w:tcPr>
            <w:tcW w:w="5684" w:type="dxa"/>
            <w:tcBorders>
              <w:top w:val="nil"/>
              <w:left w:val="single" w:sz="4" w:space="0" w:color="auto"/>
              <w:bottom w:val="nil"/>
              <w:right w:val="single" w:sz="8" w:space="0" w:color="auto"/>
            </w:tcBorders>
            <w:shd w:val="clear" w:color="000000" w:fill="FFFFFF"/>
            <w:noWrap/>
            <w:vAlign w:val="center"/>
            <w:hideMark/>
          </w:tcPr>
          <w:p w14:paraId="4BFDE730" w14:textId="77777777" w:rsidR="00F010B4" w:rsidRPr="004E5A6E" w:rsidRDefault="00F010B4" w:rsidP="00D6295F">
            <w:pPr>
              <w:ind w:firstLineChars="100" w:firstLine="181"/>
              <w:rPr>
                <w:b/>
                <w:bCs/>
                <w:color w:val="auto"/>
                <w:sz w:val="18"/>
                <w:szCs w:val="18"/>
                <w:lang w:val="sq-AL"/>
              </w:rPr>
            </w:pPr>
            <w:r w:rsidRPr="004E5A6E">
              <w:rPr>
                <w:b/>
                <w:bCs/>
                <w:color w:val="auto"/>
                <w:sz w:val="18"/>
                <w:szCs w:val="18"/>
                <w:lang w:val="sq-AL"/>
              </w:rPr>
              <w:t>1.1 Të hyrat nga tatimi</w:t>
            </w:r>
          </w:p>
        </w:tc>
        <w:tc>
          <w:tcPr>
            <w:tcW w:w="892" w:type="dxa"/>
            <w:tcBorders>
              <w:top w:val="nil"/>
              <w:left w:val="nil"/>
              <w:bottom w:val="nil"/>
              <w:right w:val="nil"/>
            </w:tcBorders>
            <w:shd w:val="clear" w:color="000000" w:fill="FFFFFF"/>
            <w:noWrap/>
            <w:vAlign w:val="center"/>
            <w:hideMark/>
          </w:tcPr>
          <w:p w14:paraId="669AEFD5" w14:textId="77777777" w:rsidR="00F010B4" w:rsidRPr="004E5A6E" w:rsidRDefault="00F010B4" w:rsidP="00D6295F">
            <w:pPr>
              <w:jc w:val="right"/>
              <w:rPr>
                <w:b/>
                <w:bCs/>
                <w:color w:val="auto"/>
                <w:sz w:val="18"/>
                <w:szCs w:val="18"/>
                <w:lang w:val="sq-AL"/>
              </w:rPr>
            </w:pPr>
            <w:r w:rsidRPr="004E5A6E">
              <w:rPr>
                <w:b/>
                <w:bCs/>
                <w:color w:val="auto"/>
                <w:sz w:val="18"/>
                <w:szCs w:val="18"/>
                <w:lang w:val="sq-AL"/>
              </w:rPr>
              <w:t>1,662.0</w:t>
            </w:r>
          </w:p>
        </w:tc>
        <w:tc>
          <w:tcPr>
            <w:tcW w:w="1124" w:type="dxa"/>
            <w:tcBorders>
              <w:top w:val="nil"/>
              <w:left w:val="nil"/>
              <w:bottom w:val="nil"/>
              <w:right w:val="single" w:sz="8" w:space="0" w:color="auto"/>
            </w:tcBorders>
            <w:shd w:val="clear" w:color="000000" w:fill="FFFFFF"/>
            <w:noWrap/>
            <w:vAlign w:val="center"/>
            <w:hideMark/>
          </w:tcPr>
          <w:p w14:paraId="60EF9E96" w14:textId="77777777" w:rsidR="00F010B4" w:rsidRPr="004E5A6E" w:rsidRDefault="00F010B4" w:rsidP="00D6295F">
            <w:pPr>
              <w:jc w:val="right"/>
              <w:rPr>
                <w:b/>
                <w:bCs/>
                <w:color w:val="auto"/>
                <w:sz w:val="18"/>
                <w:szCs w:val="18"/>
                <w:lang w:val="sq-AL"/>
              </w:rPr>
            </w:pPr>
            <w:r w:rsidRPr="004E5A6E">
              <w:rPr>
                <w:b/>
                <w:bCs/>
                <w:color w:val="auto"/>
                <w:sz w:val="18"/>
                <w:szCs w:val="18"/>
                <w:lang w:val="sq-AL"/>
              </w:rPr>
              <w:t>1,565.2</w:t>
            </w:r>
          </w:p>
        </w:tc>
        <w:tc>
          <w:tcPr>
            <w:tcW w:w="968" w:type="dxa"/>
            <w:tcBorders>
              <w:top w:val="nil"/>
              <w:left w:val="nil"/>
              <w:bottom w:val="nil"/>
              <w:right w:val="single" w:sz="4" w:space="0" w:color="auto"/>
            </w:tcBorders>
            <w:shd w:val="clear" w:color="000000" w:fill="FFFFFF"/>
          </w:tcPr>
          <w:p w14:paraId="63A3C305" w14:textId="77777777" w:rsidR="00F010B4" w:rsidRPr="004E5A6E" w:rsidRDefault="00F010B4" w:rsidP="00D6295F">
            <w:pPr>
              <w:jc w:val="right"/>
              <w:rPr>
                <w:b/>
                <w:bCs/>
                <w:color w:val="auto"/>
                <w:sz w:val="18"/>
                <w:szCs w:val="18"/>
                <w:lang w:val="sq-AL"/>
              </w:rPr>
            </w:pPr>
            <w:r w:rsidRPr="004E5A6E">
              <w:rPr>
                <w:b/>
                <w:bCs/>
                <w:color w:val="auto"/>
                <w:sz w:val="18"/>
                <w:szCs w:val="18"/>
                <w:lang w:val="sq-AL"/>
              </w:rPr>
              <w:t>1,301.3</w:t>
            </w:r>
          </w:p>
        </w:tc>
      </w:tr>
      <w:tr w:rsidR="00F010B4" w:rsidRPr="004E5A6E" w14:paraId="3DC55C77" w14:textId="77777777" w:rsidTr="003B3804">
        <w:trPr>
          <w:trHeight w:val="119"/>
        </w:trPr>
        <w:tc>
          <w:tcPr>
            <w:tcW w:w="5684" w:type="dxa"/>
            <w:tcBorders>
              <w:top w:val="nil"/>
              <w:left w:val="single" w:sz="4" w:space="0" w:color="auto"/>
              <w:bottom w:val="nil"/>
              <w:right w:val="single" w:sz="8" w:space="0" w:color="auto"/>
            </w:tcBorders>
            <w:shd w:val="clear" w:color="000000" w:fill="FFFFFF"/>
            <w:noWrap/>
            <w:vAlign w:val="center"/>
            <w:hideMark/>
          </w:tcPr>
          <w:p w14:paraId="184595EF" w14:textId="77777777" w:rsidR="00F010B4" w:rsidRPr="004E5A6E" w:rsidRDefault="00F010B4" w:rsidP="00D6295F">
            <w:pPr>
              <w:ind w:firstLineChars="200" w:firstLine="361"/>
              <w:rPr>
                <w:b/>
                <w:bCs/>
                <w:color w:val="auto"/>
                <w:sz w:val="18"/>
                <w:szCs w:val="18"/>
                <w:lang w:val="sq-AL"/>
              </w:rPr>
            </w:pPr>
            <w:r w:rsidRPr="004E5A6E">
              <w:rPr>
                <w:b/>
                <w:bCs/>
                <w:color w:val="auto"/>
                <w:sz w:val="18"/>
                <w:szCs w:val="18"/>
                <w:lang w:val="sq-AL"/>
              </w:rPr>
              <w:t>Tatimet Direkte</w:t>
            </w:r>
          </w:p>
        </w:tc>
        <w:tc>
          <w:tcPr>
            <w:tcW w:w="892" w:type="dxa"/>
            <w:tcBorders>
              <w:top w:val="nil"/>
              <w:left w:val="nil"/>
              <w:bottom w:val="nil"/>
              <w:right w:val="nil"/>
            </w:tcBorders>
            <w:shd w:val="clear" w:color="000000" w:fill="FFFFFF"/>
            <w:noWrap/>
            <w:vAlign w:val="center"/>
            <w:hideMark/>
          </w:tcPr>
          <w:p w14:paraId="40959EC8" w14:textId="77777777" w:rsidR="00F010B4" w:rsidRPr="004E5A6E" w:rsidRDefault="00F010B4" w:rsidP="00D6295F">
            <w:pPr>
              <w:jc w:val="right"/>
              <w:rPr>
                <w:b/>
                <w:bCs/>
                <w:color w:val="auto"/>
                <w:sz w:val="18"/>
                <w:szCs w:val="18"/>
                <w:lang w:val="sq-AL"/>
              </w:rPr>
            </w:pPr>
            <w:r w:rsidRPr="004E5A6E">
              <w:rPr>
                <w:b/>
                <w:bCs/>
                <w:color w:val="auto"/>
                <w:sz w:val="18"/>
                <w:szCs w:val="18"/>
                <w:lang w:val="sq-AL"/>
              </w:rPr>
              <w:t>292.3</w:t>
            </w:r>
          </w:p>
        </w:tc>
        <w:tc>
          <w:tcPr>
            <w:tcW w:w="1124" w:type="dxa"/>
            <w:tcBorders>
              <w:top w:val="nil"/>
              <w:left w:val="nil"/>
              <w:bottom w:val="nil"/>
              <w:right w:val="single" w:sz="8" w:space="0" w:color="auto"/>
            </w:tcBorders>
            <w:shd w:val="clear" w:color="000000" w:fill="FFFFFF"/>
            <w:noWrap/>
            <w:vAlign w:val="center"/>
            <w:hideMark/>
          </w:tcPr>
          <w:p w14:paraId="46F937E5" w14:textId="77777777" w:rsidR="00F010B4" w:rsidRPr="004E5A6E" w:rsidRDefault="00F010B4" w:rsidP="00D6295F">
            <w:pPr>
              <w:jc w:val="right"/>
              <w:rPr>
                <w:b/>
                <w:bCs/>
                <w:color w:val="auto"/>
                <w:sz w:val="18"/>
                <w:szCs w:val="18"/>
                <w:lang w:val="sq-AL"/>
              </w:rPr>
            </w:pPr>
            <w:r w:rsidRPr="004E5A6E">
              <w:rPr>
                <w:b/>
                <w:bCs/>
                <w:color w:val="auto"/>
                <w:sz w:val="18"/>
                <w:szCs w:val="18"/>
                <w:lang w:val="sq-AL"/>
              </w:rPr>
              <w:t>282.4</w:t>
            </w:r>
          </w:p>
        </w:tc>
        <w:tc>
          <w:tcPr>
            <w:tcW w:w="968" w:type="dxa"/>
            <w:tcBorders>
              <w:top w:val="nil"/>
              <w:left w:val="nil"/>
              <w:bottom w:val="nil"/>
              <w:right w:val="single" w:sz="4" w:space="0" w:color="auto"/>
            </w:tcBorders>
            <w:shd w:val="clear" w:color="000000" w:fill="FFFFFF"/>
          </w:tcPr>
          <w:p w14:paraId="61E232D7" w14:textId="77777777" w:rsidR="00F010B4" w:rsidRPr="004E5A6E" w:rsidRDefault="00F010B4" w:rsidP="00D6295F">
            <w:pPr>
              <w:jc w:val="right"/>
              <w:rPr>
                <w:b/>
                <w:bCs/>
                <w:color w:val="auto"/>
                <w:sz w:val="18"/>
                <w:szCs w:val="18"/>
                <w:lang w:val="sq-AL"/>
              </w:rPr>
            </w:pPr>
            <w:r w:rsidRPr="004E5A6E">
              <w:rPr>
                <w:b/>
                <w:bCs/>
                <w:color w:val="auto"/>
                <w:sz w:val="18"/>
                <w:szCs w:val="18"/>
                <w:lang w:val="sq-AL"/>
              </w:rPr>
              <w:t>230.9</w:t>
            </w:r>
          </w:p>
        </w:tc>
      </w:tr>
      <w:tr w:rsidR="00F010B4" w:rsidRPr="004E5A6E" w14:paraId="52D39983" w14:textId="77777777" w:rsidTr="003B3804">
        <w:trPr>
          <w:trHeight w:val="119"/>
        </w:trPr>
        <w:tc>
          <w:tcPr>
            <w:tcW w:w="5684" w:type="dxa"/>
            <w:tcBorders>
              <w:top w:val="nil"/>
              <w:left w:val="single" w:sz="4" w:space="0" w:color="auto"/>
              <w:bottom w:val="nil"/>
              <w:right w:val="single" w:sz="8" w:space="0" w:color="auto"/>
            </w:tcBorders>
            <w:shd w:val="clear" w:color="000000" w:fill="FFFFFF"/>
            <w:noWrap/>
            <w:hideMark/>
          </w:tcPr>
          <w:p w14:paraId="57790C75" w14:textId="77777777" w:rsidR="00F010B4" w:rsidRPr="004E5A6E" w:rsidRDefault="00F010B4" w:rsidP="00D6295F">
            <w:pPr>
              <w:ind w:firstLineChars="300" w:firstLine="540"/>
              <w:rPr>
                <w:iCs/>
                <w:color w:val="auto"/>
                <w:sz w:val="18"/>
                <w:szCs w:val="18"/>
                <w:lang w:val="sq-AL"/>
              </w:rPr>
            </w:pPr>
            <w:r w:rsidRPr="004E5A6E">
              <w:rPr>
                <w:iCs/>
                <w:color w:val="auto"/>
                <w:sz w:val="18"/>
                <w:szCs w:val="18"/>
                <w:lang w:val="sq-AL"/>
              </w:rPr>
              <w:t>Tatimi mbi të Ardhurat e Korporatave</w:t>
            </w:r>
          </w:p>
        </w:tc>
        <w:tc>
          <w:tcPr>
            <w:tcW w:w="892" w:type="dxa"/>
            <w:tcBorders>
              <w:top w:val="nil"/>
              <w:left w:val="nil"/>
              <w:bottom w:val="nil"/>
              <w:right w:val="nil"/>
            </w:tcBorders>
            <w:shd w:val="clear" w:color="000000" w:fill="FFFFFF"/>
            <w:noWrap/>
            <w:vAlign w:val="center"/>
            <w:hideMark/>
          </w:tcPr>
          <w:p w14:paraId="59DFCC6E" w14:textId="77777777" w:rsidR="00F010B4" w:rsidRPr="004E5A6E" w:rsidRDefault="00F010B4" w:rsidP="00D6295F">
            <w:pPr>
              <w:jc w:val="right"/>
              <w:rPr>
                <w:color w:val="auto"/>
                <w:sz w:val="18"/>
                <w:szCs w:val="18"/>
                <w:lang w:val="sq-AL"/>
              </w:rPr>
            </w:pPr>
            <w:r w:rsidRPr="004E5A6E">
              <w:rPr>
                <w:color w:val="auto"/>
                <w:sz w:val="18"/>
                <w:szCs w:val="18"/>
                <w:lang w:val="sq-AL"/>
              </w:rPr>
              <w:t>94.6</w:t>
            </w:r>
          </w:p>
        </w:tc>
        <w:tc>
          <w:tcPr>
            <w:tcW w:w="1124" w:type="dxa"/>
            <w:tcBorders>
              <w:top w:val="nil"/>
              <w:left w:val="nil"/>
              <w:bottom w:val="nil"/>
              <w:right w:val="single" w:sz="8" w:space="0" w:color="auto"/>
            </w:tcBorders>
            <w:shd w:val="clear" w:color="000000" w:fill="FFFFFF"/>
            <w:noWrap/>
            <w:vAlign w:val="center"/>
            <w:hideMark/>
          </w:tcPr>
          <w:p w14:paraId="79B26F53" w14:textId="77777777" w:rsidR="00F010B4" w:rsidRPr="004E5A6E" w:rsidRDefault="00F010B4" w:rsidP="00D6295F">
            <w:pPr>
              <w:jc w:val="right"/>
              <w:rPr>
                <w:color w:val="auto"/>
                <w:sz w:val="18"/>
                <w:szCs w:val="18"/>
                <w:lang w:val="sq-AL"/>
              </w:rPr>
            </w:pPr>
            <w:r w:rsidRPr="004E5A6E">
              <w:rPr>
                <w:color w:val="auto"/>
                <w:sz w:val="18"/>
                <w:szCs w:val="18"/>
                <w:lang w:val="sq-AL"/>
              </w:rPr>
              <w:t>89.8</w:t>
            </w:r>
          </w:p>
        </w:tc>
        <w:tc>
          <w:tcPr>
            <w:tcW w:w="968" w:type="dxa"/>
            <w:tcBorders>
              <w:top w:val="nil"/>
              <w:left w:val="nil"/>
              <w:bottom w:val="nil"/>
              <w:right w:val="single" w:sz="4" w:space="0" w:color="auto"/>
            </w:tcBorders>
            <w:shd w:val="clear" w:color="000000" w:fill="FFFFFF"/>
          </w:tcPr>
          <w:p w14:paraId="4D65BB69" w14:textId="77777777" w:rsidR="00F010B4" w:rsidRPr="004E5A6E" w:rsidRDefault="00F010B4" w:rsidP="00D6295F">
            <w:pPr>
              <w:jc w:val="right"/>
              <w:rPr>
                <w:color w:val="auto"/>
                <w:sz w:val="18"/>
                <w:szCs w:val="18"/>
                <w:lang w:val="sq-AL"/>
              </w:rPr>
            </w:pPr>
            <w:r w:rsidRPr="004E5A6E">
              <w:rPr>
                <w:color w:val="auto"/>
                <w:sz w:val="18"/>
                <w:szCs w:val="18"/>
                <w:lang w:val="sq-AL"/>
              </w:rPr>
              <w:t>81.5</w:t>
            </w:r>
          </w:p>
        </w:tc>
      </w:tr>
      <w:tr w:rsidR="00F010B4" w:rsidRPr="004E5A6E" w14:paraId="3D92BEAB" w14:textId="77777777" w:rsidTr="003B3804">
        <w:trPr>
          <w:trHeight w:val="119"/>
        </w:trPr>
        <w:tc>
          <w:tcPr>
            <w:tcW w:w="5684" w:type="dxa"/>
            <w:tcBorders>
              <w:top w:val="nil"/>
              <w:left w:val="single" w:sz="4" w:space="0" w:color="auto"/>
              <w:bottom w:val="nil"/>
              <w:right w:val="single" w:sz="8" w:space="0" w:color="auto"/>
            </w:tcBorders>
            <w:shd w:val="clear" w:color="000000" w:fill="FFFFFF"/>
            <w:noWrap/>
            <w:hideMark/>
          </w:tcPr>
          <w:p w14:paraId="1AB525C9" w14:textId="77777777" w:rsidR="00F010B4" w:rsidRPr="004E5A6E" w:rsidRDefault="00F010B4" w:rsidP="00D6295F">
            <w:pPr>
              <w:ind w:firstLineChars="300" w:firstLine="540"/>
              <w:rPr>
                <w:iCs/>
                <w:color w:val="auto"/>
                <w:sz w:val="18"/>
                <w:szCs w:val="18"/>
                <w:lang w:val="sq-AL"/>
              </w:rPr>
            </w:pPr>
            <w:r w:rsidRPr="004E5A6E">
              <w:rPr>
                <w:iCs/>
                <w:color w:val="auto"/>
                <w:sz w:val="18"/>
                <w:szCs w:val="18"/>
                <w:lang w:val="sq-AL"/>
              </w:rPr>
              <w:t>Tatimi mbi të Ardhurat Personale</w:t>
            </w:r>
          </w:p>
        </w:tc>
        <w:tc>
          <w:tcPr>
            <w:tcW w:w="892" w:type="dxa"/>
            <w:tcBorders>
              <w:top w:val="nil"/>
              <w:left w:val="nil"/>
              <w:bottom w:val="nil"/>
              <w:right w:val="nil"/>
            </w:tcBorders>
            <w:shd w:val="clear" w:color="000000" w:fill="FFFFFF"/>
            <w:noWrap/>
            <w:vAlign w:val="center"/>
            <w:hideMark/>
          </w:tcPr>
          <w:p w14:paraId="327758C7" w14:textId="77777777" w:rsidR="00F010B4" w:rsidRPr="004E5A6E" w:rsidRDefault="00F010B4" w:rsidP="00D6295F">
            <w:pPr>
              <w:jc w:val="right"/>
              <w:rPr>
                <w:color w:val="auto"/>
                <w:sz w:val="18"/>
                <w:szCs w:val="18"/>
                <w:lang w:val="sq-AL"/>
              </w:rPr>
            </w:pPr>
            <w:r w:rsidRPr="004E5A6E">
              <w:rPr>
                <w:color w:val="auto"/>
                <w:sz w:val="18"/>
                <w:szCs w:val="18"/>
                <w:lang w:val="sq-AL"/>
              </w:rPr>
              <w:t>165.6</w:t>
            </w:r>
          </w:p>
        </w:tc>
        <w:tc>
          <w:tcPr>
            <w:tcW w:w="1124" w:type="dxa"/>
            <w:tcBorders>
              <w:top w:val="nil"/>
              <w:left w:val="nil"/>
              <w:bottom w:val="nil"/>
              <w:right w:val="single" w:sz="8" w:space="0" w:color="auto"/>
            </w:tcBorders>
            <w:shd w:val="clear" w:color="000000" w:fill="FFFFFF"/>
            <w:noWrap/>
            <w:vAlign w:val="center"/>
            <w:hideMark/>
          </w:tcPr>
          <w:p w14:paraId="27958C15" w14:textId="77777777" w:rsidR="00F010B4" w:rsidRPr="004E5A6E" w:rsidRDefault="00F010B4" w:rsidP="00D6295F">
            <w:pPr>
              <w:jc w:val="right"/>
              <w:rPr>
                <w:color w:val="auto"/>
                <w:sz w:val="18"/>
                <w:szCs w:val="18"/>
                <w:lang w:val="sq-AL"/>
              </w:rPr>
            </w:pPr>
            <w:r w:rsidRPr="004E5A6E">
              <w:rPr>
                <w:color w:val="auto"/>
                <w:sz w:val="18"/>
                <w:szCs w:val="18"/>
                <w:lang w:val="sq-AL"/>
              </w:rPr>
              <w:t>159.6</w:t>
            </w:r>
          </w:p>
        </w:tc>
        <w:tc>
          <w:tcPr>
            <w:tcW w:w="968" w:type="dxa"/>
            <w:tcBorders>
              <w:top w:val="nil"/>
              <w:left w:val="nil"/>
              <w:bottom w:val="nil"/>
              <w:right w:val="single" w:sz="4" w:space="0" w:color="auto"/>
            </w:tcBorders>
            <w:shd w:val="clear" w:color="000000" w:fill="FFFFFF"/>
          </w:tcPr>
          <w:p w14:paraId="2F2BC78A" w14:textId="77777777" w:rsidR="00F010B4" w:rsidRPr="004E5A6E" w:rsidRDefault="00F010B4" w:rsidP="00D6295F">
            <w:pPr>
              <w:jc w:val="right"/>
              <w:rPr>
                <w:color w:val="auto"/>
                <w:sz w:val="18"/>
                <w:szCs w:val="18"/>
                <w:lang w:val="sq-AL"/>
              </w:rPr>
            </w:pPr>
            <w:r w:rsidRPr="004E5A6E">
              <w:rPr>
                <w:color w:val="auto"/>
                <w:sz w:val="18"/>
                <w:szCs w:val="18"/>
                <w:lang w:val="sq-AL"/>
              </w:rPr>
              <w:t>130.7</w:t>
            </w:r>
          </w:p>
        </w:tc>
      </w:tr>
      <w:tr w:rsidR="00F010B4" w:rsidRPr="004E5A6E" w14:paraId="2B354DE1" w14:textId="77777777" w:rsidTr="003B3804">
        <w:trPr>
          <w:trHeight w:val="133"/>
        </w:trPr>
        <w:tc>
          <w:tcPr>
            <w:tcW w:w="5684" w:type="dxa"/>
            <w:tcBorders>
              <w:top w:val="nil"/>
              <w:left w:val="single" w:sz="4" w:space="0" w:color="auto"/>
              <w:bottom w:val="nil"/>
              <w:right w:val="single" w:sz="8" w:space="0" w:color="auto"/>
            </w:tcBorders>
            <w:shd w:val="clear" w:color="000000" w:fill="FFFFFF"/>
            <w:noWrap/>
            <w:hideMark/>
          </w:tcPr>
          <w:p w14:paraId="41A96F2D" w14:textId="77777777" w:rsidR="00F010B4" w:rsidRPr="004E5A6E" w:rsidRDefault="00F010B4" w:rsidP="00D6295F">
            <w:pPr>
              <w:ind w:firstLineChars="300" w:firstLine="540"/>
              <w:rPr>
                <w:iCs/>
                <w:color w:val="auto"/>
                <w:sz w:val="18"/>
                <w:szCs w:val="18"/>
                <w:lang w:val="sq-AL"/>
              </w:rPr>
            </w:pPr>
            <w:r w:rsidRPr="004E5A6E">
              <w:rPr>
                <w:iCs/>
                <w:color w:val="auto"/>
                <w:sz w:val="18"/>
                <w:szCs w:val="18"/>
                <w:lang w:val="sq-AL"/>
              </w:rPr>
              <w:t>Tatimi mbi pronën e paluajtshme</w:t>
            </w:r>
          </w:p>
        </w:tc>
        <w:tc>
          <w:tcPr>
            <w:tcW w:w="892" w:type="dxa"/>
            <w:tcBorders>
              <w:top w:val="nil"/>
              <w:left w:val="nil"/>
              <w:bottom w:val="nil"/>
              <w:right w:val="nil"/>
            </w:tcBorders>
            <w:shd w:val="clear" w:color="000000" w:fill="FFFFFF"/>
            <w:noWrap/>
            <w:vAlign w:val="center"/>
            <w:hideMark/>
          </w:tcPr>
          <w:p w14:paraId="1C1AEF03" w14:textId="77777777" w:rsidR="00F010B4" w:rsidRPr="004E5A6E" w:rsidRDefault="00F010B4" w:rsidP="00D6295F">
            <w:pPr>
              <w:jc w:val="right"/>
              <w:rPr>
                <w:color w:val="auto"/>
                <w:sz w:val="18"/>
                <w:szCs w:val="18"/>
                <w:lang w:val="sq-AL"/>
              </w:rPr>
            </w:pPr>
            <w:r w:rsidRPr="004E5A6E">
              <w:rPr>
                <w:color w:val="auto"/>
                <w:sz w:val="18"/>
                <w:szCs w:val="18"/>
                <w:lang w:val="sq-AL"/>
              </w:rPr>
              <w:t>27.3</w:t>
            </w:r>
          </w:p>
        </w:tc>
        <w:tc>
          <w:tcPr>
            <w:tcW w:w="1124" w:type="dxa"/>
            <w:tcBorders>
              <w:top w:val="nil"/>
              <w:left w:val="nil"/>
              <w:bottom w:val="nil"/>
              <w:right w:val="single" w:sz="8" w:space="0" w:color="auto"/>
            </w:tcBorders>
            <w:shd w:val="clear" w:color="000000" w:fill="FFFFFF"/>
            <w:noWrap/>
            <w:vAlign w:val="center"/>
            <w:hideMark/>
          </w:tcPr>
          <w:p w14:paraId="504FFB83" w14:textId="77777777" w:rsidR="00F010B4" w:rsidRPr="004E5A6E" w:rsidRDefault="00F010B4" w:rsidP="00D6295F">
            <w:pPr>
              <w:jc w:val="right"/>
              <w:rPr>
                <w:color w:val="auto"/>
                <w:sz w:val="18"/>
                <w:szCs w:val="18"/>
                <w:lang w:val="sq-AL"/>
              </w:rPr>
            </w:pPr>
            <w:r w:rsidRPr="004E5A6E">
              <w:rPr>
                <w:color w:val="auto"/>
                <w:sz w:val="18"/>
                <w:szCs w:val="18"/>
                <w:lang w:val="sq-AL"/>
              </w:rPr>
              <w:t>28.7</w:t>
            </w:r>
          </w:p>
        </w:tc>
        <w:tc>
          <w:tcPr>
            <w:tcW w:w="968" w:type="dxa"/>
            <w:tcBorders>
              <w:top w:val="nil"/>
              <w:left w:val="nil"/>
              <w:bottom w:val="nil"/>
              <w:right w:val="single" w:sz="4" w:space="0" w:color="auto"/>
            </w:tcBorders>
            <w:shd w:val="clear" w:color="000000" w:fill="FFFFFF"/>
          </w:tcPr>
          <w:p w14:paraId="2770BDFD" w14:textId="77777777" w:rsidR="00F010B4" w:rsidRPr="004E5A6E" w:rsidRDefault="00F010B4" w:rsidP="00D6295F">
            <w:pPr>
              <w:jc w:val="right"/>
              <w:rPr>
                <w:color w:val="auto"/>
                <w:sz w:val="18"/>
                <w:szCs w:val="18"/>
                <w:lang w:val="sq-AL"/>
              </w:rPr>
            </w:pPr>
            <w:r w:rsidRPr="004E5A6E">
              <w:rPr>
                <w:color w:val="auto"/>
                <w:sz w:val="18"/>
                <w:szCs w:val="18"/>
                <w:lang w:val="sq-AL"/>
              </w:rPr>
              <w:t>17.7</w:t>
            </w:r>
          </w:p>
        </w:tc>
      </w:tr>
      <w:tr w:rsidR="00F010B4" w:rsidRPr="004E5A6E" w14:paraId="3F9AF54D" w14:textId="77777777" w:rsidTr="003B3804">
        <w:trPr>
          <w:trHeight w:val="119"/>
        </w:trPr>
        <w:tc>
          <w:tcPr>
            <w:tcW w:w="5684" w:type="dxa"/>
            <w:tcBorders>
              <w:top w:val="nil"/>
              <w:left w:val="single" w:sz="4" w:space="0" w:color="auto"/>
              <w:bottom w:val="nil"/>
              <w:right w:val="single" w:sz="8" w:space="0" w:color="auto"/>
            </w:tcBorders>
            <w:shd w:val="clear" w:color="000000" w:fill="FFFFFF"/>
            <w:noWrap/>
            <w:hideMark/>
          </w:tcPr>
          <w:p w14:paraId="36F988B4" w14:textId="77777777" w:rsidR="00F010B4" w:rsidRPr="004E5A6E" w:rsidRDefault="00F010B4" w:rsidP="00D6295F">
            <w:pPr>
              <w:ind w:firstLineChars="300" w:firstLine="540"/>
              <w:rPr>
                <w:iCs/>
                <w:color w:val="auto"/>
                <w:sz w:val="18"/>
                <w:szCs w:val="18"/>
                <w:lang w:val="sq-AL"/>
              </w:rPr>
            </w:pPr>
            <w:r w:rsidRPr="004E5A6E">
              <w:rPr>
                <w:iCs/>
                <w:color w:val="auto"/>
                <w:sz w:val="18"/>
                <w:szCs w:val="18"/>
                <w:lang w:val="sq-AL"/>
              </w:rPr>
              <w:t>Tjetër</w:t>
            </w:r>
          </w:p>
        </w:tc>
        <w:tc>
          <w:tcPr>
            <w:tcW w:w="892" w:type="dxa"/>
            <w:tcBorders>
              <w:top w:val="nil"/>
              <w:left w:val="nil"/>
              <w:bottom w:val="nil"/>
              <w:right w:val="nil"/>
            </w:tcBorders>
            <w:shd w:val="clear" w:color="000000" w:fill="FFFFFF"/>
            <w:noWrap/>
            <w:vAlign w:val="center"/>
            <w:hideMark/>
          </w:tcPr>
          <w:p w14:paraId="1DFE44AC" w14:textId="77777777" w:rsidR="00F010B4" w:rsidRPr="004E5A6E" w:rsidRDefault="00F010B4" w:rsidP="00D6295F">
            <w:pPr>
              <w:jc w:val="right"/>
              <w:rPr>
                <w:color w:val="auto"/>
                <w:sz w:val="18"/>
                <w:szCs w:val="18"/>
                <w:lang w:val="sq-AL"/>
              </w:rPr>
            </w:pPr>
            <w:r w:rsidRPr="004E5A6E">
              <w:rPr>
                <w:color w:val="auto"/>
                <w:sz w:val="18"/>
                <w:szCs w:val="18"/>
                <w:lang w:val="sq-AL"/>
              </w:rPr>
              <w:t>4.8</w:t>
            </w:r>
          </w:p>
        </w:tc>
        <w:tc>
          <w:tcPr>
            <w:tcW w:w="1124" w:type="dxa"/>
            <w:tcBorders>
              <w:top w:val="nil"/>
              <w:left w:val="nil"/>
              <w:bottom w:val="nil"/>
              <w:right w:val="single" w:sz="8" w:space="0" w:color="auto"/>
            </w:tcBorders>
            <w:shd w:val="clear" w:color="000000" w:fill="FFFFFF"/>
            <w:noWrap/>
            <w:vAlign w:val="center"/>
            <w:hideMark/>
          </w:tcPr>
          <w:p w14:paraId="3E9D47D0" w14:textId="77777777" w:rsidR="00F010B4" w:rsidRPr="004E5A6E" w:rsidRDefault="00F010B4" w:rsidP="00D6295F">
            <w:pPr>
              <w:jc w:val="right"/>
              <w:rPr>
                <w:color w:val="auto"/>
                <w:sz w:val="18"/>
                <w:szCs w:val="18"/>
                <w:lang w:val="sq-AL"/>
              </w:rPr>
            </w:pPr>
            <w:r w:rsidRPr="004E5A6E">
              <w:rPr>
                <w:color w:val="auto"/>
                <w:sz w:val="18"/>
                <w:szCs w:val="18"/>
                <w:lang w:val="sq-AL"/>
              </w:rPr>
              <w:t>4.4</w:t>
            </w:r>
          </w:p>
        </w:tc>
        <w:tc>
          <w:tcPr>
            <w:tcW w:w="968" w:type="dxa"/>
            <w:tcBorders>
              <w:top w:val="nil"/>
              <w:left w:val="nil"/>
              <w:bottom w:val="nil"/>
              <w:right w:val="single" w:sz="4" w:space="0" w:color="auto"/>
            </w:tcBorders>
            <w:shd w:val="clear" w:color="000000" w:fill="FFFFFF"/>
          </w:tcPr>
          <w:p w14:paraId="32D8BB6C" w14:textId="77777777" w:rsidR="00F010B4" w:rsidRPr="004E5A6E" w:rsidRDefault="00F010B4" w:rsidP="00D6295F">
            <w:pPr>
              <w:jc w:val="right"/>
              <w:rPr>
                <w:color w:val="auto"/>
                <w:sz w:val="18"/>
                <w:szCs w:val="18"/>
                <w:lang w:val="sq-AL"/>
              </w:rPr>
            </w:pPr>
            <w:r w:rsidRPr="004E5A6E">
              <w:rPr>
                <w:color w:val="auto"/>
                <w:sz w:val="18"/>
                <w:szCs w:val="18"/>
                <w:lang w:val="sq-AL"/>
              </w:rPr>
              <w:t>1.0</w:t>
            </w:r>
          </w:p>
        </w:tc>
      </w:tr>
      <w:tr w:rsidR="00F010B4" w:rsidRPr="004E5A6E" w14:paraId="0723E70F" w14:textId="77777777" w:rsidTr="003B3804">
        <w:trPr>
          <w:trHeight w:val="119"/>
        </w:trPr>
        <w:tc>
          <w:tcPr>
            <w:tcW w:w="5684" w:type="dxa"/>
            <w:tcBorders>
              <w:top w:val="nil"/>
              <w:left w:val="single" w:sz="4" w:space="0" w:color="auto"/>
              <w:bottom w:val="nil"/>
              <w:right w:val="single" w:sz="8" w:space="0" w:color="auto"/>
            </w:tcBorders>
            <w:shd w:val="clear" w:color="000000" w:fill="FFFFFF"/>
            <w:noWrap/>
            <w:vAlign w:val="center"/>
            <w:hideMark/>
          </w:tcPr>
          <w:p w14:paraId="36C1675C" w14:textId="77777777" w:rsidR="00F010B4" w:rsidRPr="004E5A6E" w:rsidRDefault="00F010B4" w:rsidP="00D6295F">
            <w:pPr>
              <w:ind w:firstLineChars="200" w:firstLine="361"/>
              <w:rPr>
                <w:b/>
                <w:bCs/>
                <w:color w:val="auto"/>
                <w:sz w:val="18"/>
                <w:szCs w:val="18"/>
                <w:lang w:val="sq-AL"/>
              </w:rPr>
            </w:pPr>
            <w:r w:rsidRPr="004E5A6E">
              <w:rPr>
                <w:b/>
                <w:bCs/>
                <w:color w:val="auto"/>
                <w:sz w:val="18"/>
                <w:szCs w:val="18"/>
                <w:lang w:val="sq-AL"/>
              </w:rPr>
              <w:t>Tatimet Indirekte</w:t>
            </w:r>
          </w:p>
        </w:tc>
        <w:tc>
          <w:tcPr>
            <w:tcW w:w="892" w:type="dxa"/>
            <w:tcBorders>
              <w:top w:val="nil"/>
              <w:left w:val="nil"/>
              <w:bottom w:val="nil"/>
              <w:right w:val="nil"/>
            </w:tcBorders>
            <w:shd w:val="clear" w:color="000000" w:fill="FFFFFF"/>
            <w:noWrap/>
            <w:vAlign w:val="center"/>
            <w:hideMark/>
          </w:tcPr>
          <w:p w14:paraId="34A70CD7" w14:textId="77777777" w:rsidR="00F010B4" w:rsidRPr="004E5A6E" w:rsidRDefault="00F010B4" w:rsidP="00D6295F">
            <w:pPr>
              <w:jc w:val="right"/>
              <w:rPr>
                <w:b/>
                <w:bCs/>
                <w:color w:val="auto"/>
                <w:sz w:val="18"/>
                <w:szCs w:val="18"/>
                <w:lang w:val="sq-AL"/>
              </w:rPr>
            </w:pPr>
            <w:r w:rsidRPr="004E5A6E">
              <w:rPr>
                <w:b/>
                <w:bCs/>
                <w:color w:val="auto"/>
                <w:sz w:val="18"/>
                <w:szCs w:val="18"/>
                <w:lang w:val="sq-AL"/>
              </w:rPr>
              <w:t>1,415.3</w:t>
            </w:r>
          </w:p>
        </w:tc>
        <w:tc>
          <w:tcPr>
            <w:tcW w:w="1124" w:type="dxa"/>
            <w:tcBorders>
              <w:top w:val="nil"/>
              <w:left w:val="nil"/>
              <w:bottom w:val="nil"/>
              <w:right w:val="single" w:sz="8" w:space="0" w:color="auto"/>
            </w:tcBorders>
            <w:shd w:val="clear" w:color="000000" w:fill="FFFFFF"/>
            <w:noWrap/>
            <w:vAlign w:val="center"/>
            <w:hideMark/>
          </w:tcPr>
          <w:p w14:paraId="07A45479" w14:textId="77777777" w:rsidR="00F010B4" w:rsidRPr="004E5A6E" w:rsidRDefault="00F010B4" w:rsidP="00D6295F">
            <w:pPr>
              <w:jc w:val="right"/>
              <w:rPr>
                <w:b/>
                <w:bCs/>
                <w:color w:val="auto"/>
                <w:sz w:val="18"/>
                <w:szCs w:val="18"/>
                <w:lang w:val="sq-AL"/>
              </w:rPr>
            </w:pPr>
            <w:r w:rsidRPr="004E5A6E">
              <w:rPr>
                <w:b/>
                <w:bCs/>
                <w:color w:val="auto"/>
                <w:sz w:val="18"/>
                <w:szCs w:val="18"/>
                <w:lang w:val="sq-AL"/>
              </w:rPr>
              <w:t>1,322.4</w:t>
            </w:r>
          </w:p>
        </w:tc>
        <w:tc>
          <w:tcPr>
            <w:tcW w:w="968" w:type="dxa"/>
            <w:tcBorders>
              <w:top w:val="nil"/>
              <w:left w:val="nil"/>
              <w:bottom w:val="nil"/>
              <w:right w:val="single" w:sz="4" w:space="0" w:color="auto"/>
            </w:tcBorders>
            <w:shd w:val="clear" w:color="000000" w:fill="FFFFFF"/>
          </w:tcPr>
          <w:p w14:paraId="46495A8E" w14:textId="77777777" w:rsidR="00F010B4" w:rsidRPr="004E5A6E" w:rsidRDefault="00F010B4" w:rsidP="00D6295F">
            <w:pPr>
              <w:jc w:val="right"/>
              <w:rPr>
                <w:b/>
                <w:bCs/>
                <w:color w:val="auto"/>
                <w:sz w:val="18"/>
                <w:szCs w:val="18"/>
                <w:lang w:val="sq-AL"/>
              </w:rPr>
            </w:pPr>
            <w:r w:rsidRPr="004E5A6E">
              <w:rPr>
                <w:b/>
                <w:bCs/>
                <w:color w:val="auto"/>
                <w:sz w:val="18"/>
                <w:szCs w:val="18"/>
                <w:lang w:val="sq-AL"/>
              </w:rPr>
              <w:t>1,021.8</w:t>
            </w:r>
          </w:p>
        </w:tc>
      </w:tr>
      <w:tr w:rsidR="00F010B4" w:rsidRPr="004E5A6E" w14:paraId="42893667" w14:textId="77777777" w:rsidTr="003B3804">
        <w:trPr>
          <w:trHeight w:val="119"/>
        </w:trPr>
        <w:tc>
          <w:tcPr>
            <w:tcW w:w="5684" w:type="dxa"/>
            <w:tcBorders>
              <w:top w:val="nil"/>
              <w:left w:val="single" w:sz="4" w:space="0" w:color="auto"/>
              <w:bottom w:val="nil"/>
              <w:right w:val="single" w:sz="8" w:space="0" w:color="auto"/>
            </w:tcBorders>
            <w:shd w:val="clear" w:color="000000" w:fill="FFFFFF"/>
            <w:noWrap/>
            <w:vAlign w:val="center"/>
            <w:hideMark/>
          </w:tcPr>
          <w:p w14:paraId="0763EC64" w14:textId="77777777" w:rsidR="00F010B4" w:rsidRPr="004E5A6E" w:rsidRDefault="00F010B4" w:rsidP="00D6295F">
            <w:pPr>
              <w:ind w:firstLineChars="300" w:firstLine="540"/>
              <w:rPr>
                <w:iCs/>
                <w:color w:val="auto"/>
                <w:sz w:val="18"/>
                <w:szCs w:val="18"/>
                <w:lang w:val="sq-AL"/>
              </w:rPr>
            </w:pPr>
            <w:r w:rsidRPr="004E5A6E">
              <w:rPr>
                <w:iCs/>
                <w:color w:val="auto"/>
                <w:sz w:val="18"/>
                <w:szCs w:val="18"/>
                <w:lang w:val="sq-AL"/>
              </w:rPr>
              <w:t>Tatimi mbi vlerën e shtuar:</w:t>
            </w:r>
          </w:p>
        </w:tc>
        <w:tc>
          <w:tcPr>
            <w:tcW w:w="892" w:type="dxa"/>
            <w:tcBorders>
              <w:top w:val="nil"/>
              <w:left w:val="nil"/>
              <w:bottom w:val="nil"/>
              <w:right w:val="nil"/>
            </w:tcBorders>
            <w:shd w:val="clear" w:color="000000" w:fill="FFFFFF"/>
            <w:noWrap/>
            <w:vAlign w:val="center"/>
            <w:hideMark/>
          </w:tcPr>
          <w:p w14:paraId="1F7065D0" w14:textId="77777777" w:rsidR="00F010B4" w:rsidRPr="004E5A6E" w:rsidRDefault="00F010B4" w:rsidP="00D6295F">
            <w:pPr>
              <w:jc w:val="right"/>
              <w:rPr>
                <w:color w:val="auto"/>
                <w:sz w:val="18"/>
                <w:szCs w:val="18"/>
                <w:lang w:val="sq-AL"/>
              </w:rPr>
            </w:pPr>
            <w:r w:rsidRPr="004E5A6E">
              <w:rPr>
                <w:color w:val="auto"/>
                <w:sz w:val="18"/>
                <w:szCs w:val="18"/>
                <w:lang w:val="sq-AL"/>
              </w:rPr>
              <w:t>845.6</w:t>
            </w:r>
          </w:p>
        </w:tc>
        <w:tc>
          <w:tcPr>
            <w:tcW w:w="1124" w:type="dxa"/>
            <w:tcBorders>
              <w:top w:val="nil"/>
              <w:left w:val="nil"/>
              <w:bottom w:val="nil"/>
              <w:right w:val="single" w:sz="8" w:space="0" w:color="auto"/>
            </w:tcBorders>
            <w:shd w:val="clear" w:color="000000" w:fill="FFFFFF"/>
            <w:noWrap/>
            <w:vAlign w:val="center"/>
            <w:hideMark/>
          </w:tcPr>
          <w:p w14:paraId="35FE99DB" w14:textId="77777777" w:rsidR="00F010B4" w:rsidRPr="004E5A6E" w:rsidRDefault="00F010B4" w:rsidP="00D6295F">
            <w:pPr>
              <w:jc w:val="right"/>
              <w:rPr>
                <w:color w:val="auto"/>
                <w:sz w:val="18"/>
                <w:szCs w:val="18"/>
                <w:lang w:val="sq-AL"/>
              </w:rPr>
            </w:pPr>
            <w:r w:rsidRPr="004E5A6E">
              <w:rPr>
                <w:color w:val="auto"/>
                <w:sz w:val="18"/>
                <w:szCs w:val="18"/>
                <w:lang w:val="sq-AL"/>
              </w:rPr>
              <w:t>790.5</w:t>
            </w:r>
          </w:p>
        </w:tc>
        <w:tc>
          <w:tcPr>
            <w:tcW w:w="968" w:type="dxa"/>
            <w:tcBorders>
              <w:top w:val="nil"/>
              <w:left w:val="nil"/>
              <w:bottom w:val="nil"/>
              <w:right w:val="single" w:sz="4" w:space="0" w:color="auto"/>
            </w:tcBorders>
            <w:shd w:val="clear" w:color="000000" w:fill="FFFFFF"/>
          </w:tcPr>
          <w:p w14:paraId="0361305E" w14:textId="77777777" w:rsidR="00F010B4" w:rsidRPr="004E5A6E" w:rsidRDefault="00F010B4" w:rsidP="00D6295F">
            <w:pPr>
              <w:jc w:val="right"/>
              <w:rPr>
                <w:color w:val="auto"/>
                <w:sz w:val="18"/>
                <w:szCs w:val="18"/>
                <w:lang w:val="sq-AL"/>
              </w:rPr>
            </w:pPr>
            <w:r w:rsidRPr="004E5A6E">
              <w:rPr>
                <w:color w:val="auto"/>
                <w:sz w:val="18"/>
                <w:szCs w:val="18"/>
                <w:lang w:val="sq-AL"/>
              </w:rPr>
              <w:t>614.5</w:t>
            </w:r>
          </w:p>
        </w:tc>
      </w:tr>
      <w:tr w:rsidR="00F010B4" w:rsidRPr="004E5A6E" w14:paraId="5E4D7106" w14:textId="77777777" w:rsidTr="003B3804">
        <w:trPr>
          <w:trHeight w:val="119"/>
        </w:trPr>
        <w:tc>
          <w:tcPr>
            <w:tcW w:w="5684" w:type="dxa"/>
            <w:tcBorders>
              <w:top w:val="nil"/>
              <w:left w:val="single" w:sz="4" w:space="0" w:color="auto"/>
              <w:bottom w:val="nil"/>
              <w:right w:val="single" w:sz="8" w:space="0" w:color="auto"/>
            </w:tcBorders>
            <w:shd w:val="clear" w:color="000000" w:fill="FFFFFF"/>
            <w:noWrap/>
            <w:vAlign w:val="center"/>
            <w:hideMark/>
          </w:tcPr>
          <w:p w14:paraId="24F8E65C" w14:textId="77777777" w:rsidR="00F010B4" w:rsidRPr="004E5A6E" w:rsidRDefault="00F010B4" w:rsidP="00D6295F">
            <w:pPr>
              <w:ind w:firstLineChars="400" w:firstLine="720"/>
              <w:rPr>
                <w:iCs/>
                <w:color w:val="auto"/>
                <w:sz w:val="18"/>
                <w:szCs w:val="18"/>
                <w:lang w:val="sq-AL"/>
              </w:rPr>
            </w:pPr>
            <w:r w:rsidRPr="004E5A6E">
              <w:rPr>
                <w:iCs/>
                <w:color w:val="auto"/>
                <w:sz w:val="18"/>
                <w:szCs w:val="18"/>
                <w:lang w:val="sq-AL"/>
              </w:rPr>
              <w:t>Të brendshme:</w:t>
            </w:r>
          </w:p>
        </w:tc>
        <w:tc>
          <w:tcPr>
            <w:tcW w:w="892" w:type="dxa"/>
            <w:tcBorders>
              <w:top w:val="nil"/>
              <w:left w:val="nil"/>
              <w:bottom w:val="nil"/>
              <w:right w:val="nil"/>
            </w:tcBorders>
            <w:shd w:val="clear" w:color="000000" w:fill="FFFFFF"/>
            <w:noWrap/>
            <w:vAlign w:val="center"/>
            <w:hideMark/>
          </w:tcPr>
          <w:p w14:paraId="7BAA2232" w14:textId="77777777" w:rsidR="00F010B4" w:rsidRPr="004E5A6E" w:rsidRDefault="00F010B4" w:rsidP="00D6295F">
            <w:pPr>
              <w:jc w:val="right"/>
              <w:rPr>
                <w:color w:val="auto"/>
                <w:sz w:val="18"/>
                <w:szCs w:val="18"/>
                <w:lang w:val="sq-AL"/>
              </w:rPr>
            </w:pPr>
            <w:r w:rsidRPr="004E5A6E">
              <w:rPr>
                <w:color w:val="auto"/>
                <w:sz w:val="18"/>
                <w:szCs w:val="18"/>
                <w:lang w:val="sq-AL"/>
              </w:rPr>
              <w:t>239.2</w:t>
            </w:r>
          </w:p>
        </w:tc>
        <w:tc>
          <w:tcPr>
            <w:tcW w:w="1124" w:type="dxa"/>
            <w:tcBorders>
              <w:top w:val="nil"/>
              <w:left w:val="nil"/>
              <w:bottom w:val="nil"/>
              <w:right w:val="single" w:sz="8" w:space="0" w:color="auto"/>
            </w:tcBorders>
            <w:shd w:val="clear" w:color="000000" w:fill="FFFFFF"/>
            <w:noWrap/>
            <w:vAlign w:val="center"/>
            <w:hideMark/>
          </w:tcPr>
          <w:p w14:paraId="48EEE302" w14:textId="77777777" w:rsidR="00F010B4" w:rsidRPr="004E5A6E" w:rsidRDefault="00F010B4" w:rsidP="00D6295F">
            <w:pPr>
              <w:jc w:val="right"/>
              <w:rPr>
                <w:color w:val="auto"/>
                <w:sz w:val="18"/>
                <w:szCs w:val="18"/>
                <w:lang w:val="sq-AL"/>
              </w:rPr>
            </w:pPr>
            <w:r w:rsidRPr="004E5A6E">
              <w:rPr>
                <w:color w:val="auto"/>
                <w:sz w:val="18"/>
                <w:szCs w:val="18"/>
                <w:lang w:val="sq-AL"/>
              </w:rPr>
              <w:t>238.1</w:t>
            </w:r>
          </w:p>
        </w:tc>
        <w:tc>
          <w:tcPr>
            <w:tcW w:w="968" w:type="dxa"/>
            <w:tcBorders>
              <w:top w:val="nil"/>
              <w:left w:val="nil"/>
              <w:bottom w:val="nil"/>
              <w:right w:val="single" w:sz="4" w:space="0" w:color="auto"/>
            </w:tcBorders>
            <w:shd w:val="clear" w:color="000000" w:fill="FFFFFF"/>
          </w:tcPr>
          <w:p w14:paraId="0F878D89" w14:textId="77777777" w:rsidR="00F010B4" w:rsidRPr="004E5A6E" w:rsidRDefault="00F010B4" w:rsidP="00D6295F">
            <w:pPr>
              <w:jc w:val="right"/>
              <w:rPr>
                <w:color w:val="auto"/>
                <w:sz w:val="18"/>
                <w:szCs w:val="18"/>
                <w:lang w:val="sq-AL"/>
              </w:rPr>
            </w:pPr>
            <w:r w:rsidRPr="004E5A6E">
              <w:rPr>
                <w:color w:val="auto"/>
                <w:sz w:val="18"/>
                <w:szCs w:val="18"/>
                <w:lang w:val="sq-AL"/>
              </w:rPr>
              <w:t>177.2</w:t>
            </w:r>
          </w:p>
        </w:tc>
      </w:tr>
      <w:tr w:rsidR="00F010B4" w:rsidRPr="004E5A6E" w14:paraId="65167A38" w14:textId="77777777" w:rsidTr="003B3804">
        <w:trPr>
          <w:trHeight w:val="119"/>
        </w:trPr>
        <w:tc>
          <w:tcPr>
            <w:tcW w:w="5684" w:type="dxa"/>
            <w:tcBorders>
              <w:top w:val="nil"/>
              <w:left w:val="single" w:sz="4" w:space="0" w:color="auto"/>
              <w:bottom w:val="nil"/>
              <w:right w:val="single" w:sz="8" w:space="0" w:color="auto"/>
            </w:tcBorders>
            <w:shd w:val="clear" w:color="000000" w:fill="FFFFFF"/>
            <w:noWrap/>
            <w:vAlign w:val="center"/>
            <w:hideMark/>
          </w:tcPr>
          <w:p w14:paraId="5BF5CC1E" w14:textId="77777777" w:rsidR="00F010B4" w:rsidRPr="004E5A6E" w:rsidRDefault="00F010B4" w:rsidP="00D6295F">
            <w:pPr>
              <w:ind w:firstLineChars="400" w:firstLine="720"/>
              <w:rPr>
                <w:iCs/>
                <w:color w:val="auto"/>
                <w:sz w:val="18"/>
                <w:szCs w:val="18"/>
                <w:lang w:val="sq-AL"/>
              </w:rPr>
            </w:pPr>
            <w:r w:rsidRPr="004E5A6E">
              <w:rPr>
                <w:iCs/>
                <w:color w:val="auto"/>
                <w:sz w:val="18"/>
                <w:szCs w:val="18"/>
                <w:lang w:val="sq-AL"/>
              </w:rPr>
              <w:t xml:space="preserve">Kufitare: </w:t>
            </w:r>
          </w:p>
        </w:tc>
        <w:tc>
          <w:tcPr>
            <w:tcW w:w="892" w:type="dxa"/>
            <w:tcBorders>
              <w:top w:val="nil"/>
              <w:left w:val="nil"/>
              <w:bottom w:val="nil"/>
              <w:right w:val="nil"/>
            </w:tcBorders>
            <w:shd w:val="clear" w:color="000000" w:fill="FFFFFF"/>
            <w:noWrap/>
            <w:vAlign w:val="center"/>
            <w:hideMark/>
          </w:tcPr>
          <w:p w14:paraId="7FA48C09" w14:textId="77777777" w:rsidR="00F010B4" w:rsidRPr="004E5A6E" w:rsidRDefault="00F010B4" w:rsidP="00D6295F">
            <w:pPr>
              <w:jc w:val="right"/>
              <w:rPr>
                <w:color w:val="auto"/>
                <w:sz w:val="18"/>
                <w:szCs w:val="18"/>
                <w:lang w:val="sq-AL"/>
              </w:rPr>
            </w:pPr>
            <w:r w:rsidRPr="004E5A6E">
              <w:rPr>
                <w:color w:val="auto"/>
                <w:sz w:val="18"/>
                <w:szCs w:val="18"/>
                <w:lang w:val="sq-AL"/>
              </w:rPr>
              <w:t>606.4</w:t>
            </w:r>
          </w:p>
        </w:tc>
        <w:tc>
          <w:tcPr>
            <w:tcW w:w="1124" w:type="dxa"/>
            <w:tcBorders>
              <w:top w:val="nil"/>
              <w:left w:val="nil"/>
              <w:bottom w:val="nil"/>
              <w:right w:val="single" w:sz="8" w:space="0" w:color="auto"/>
            </w:tcBorders>
            <w:shd w:val="clear" w:color="000000" w:fill="FFFFFF"/>
            <w:noWrap/>
            <w:vAlign w:val="center"/>
            <w:hideMark/>
          </w:tcPr>
          <w:p w14:paraId="669D401C" w14:textId="77777777" w:rsidR="00F010B4" w:rsidRPr="004E5A6E" w:rsidRDefault="00F010B4" w:rsidP="00D6295F">
            <w:pPr>
              <w:jc w:val="right"/>
              <w:rPr>
                <w:color w:val="auto"/>
                <w:sz w:val="18"/>
                <w:szCs w:val="18"/>
                <w:lang w:val="sq-AL"/>
              </w:rPr>
            </w:pPr>
            <w:r w:rsidRPr="004E5A6E">
              <w:rPr>
                <w:color w:val="auto"/>
                <w:sz w:val="18"/>
                <w:szCs w:val="18"/>
                <w:lang w:val="sq-AL"/>
              </w:rPr>
              <w:t>552.4</w:t>
            </w:r>
          </w:p>
        </w:tc>
        <w:tc>
          <w:tcPr>
            <w:tcW w:w="968" w:type="dxa"/>
            <w:tcBorders>
              <w:top w:val="nil"/>
              <w:left w:val="nil"/>
              <w:bottom w:val="nil"/>
              <w:right w:val="single" w:sz="4" w:space="0" w:color="auto"/>
            </w:tcBorders>
            <w:shd w:val="clear" w:color="000000" w:fill="FFFFFF"/>
          </w:tcPr>
          <w:p w14:paraId="39B16257" w14:textId="77777777" w:rsidR="00F010B4" w:rsidRPr="004E5A6E" w:rsidRDefault="00F010B4" w:rsidP="00D6295F">
            <w:pPr>
              <w:jc w:val="right"/>
              <w:rPr>
                <w:color w:val="auto"/>
                <w:sz w:val="18"/>
                <w:szCs w:val="18"/>
                <w:lang w:val="sq-AL"/>
              </w:rPr>
            </w:pPr>
            <w:r w:rsidRPr="004E5A6E">
              <w:rPr>
                <w:color w:val="auto"/>
                <w:sz w:val="18"/>
                <w:szCs w:val="18"/>
                <w:lang w:val="sq-AL"/>
              </w:rPr>
              <w:t>437.3</w:t>
            </w:r>
          </w:p>
        </w:tc>
      </w:tr>
      <w:tr w:rsidR="00F010B4" w:rsidRPr="004E5A6E" w14:paraId="039C9292" w14:textId="77777777" w:rsidTr="003B3804">
        <w:trPr>
          <w:trHeight w:val="160"/>
        </w:trPr>
        <w:tc>
          <w:tcPr>
            <w:tcW w:w="5684" w:type="dxa"/>
            <w:tcBorders>
              <w:top w:val="nil"/>
              <w:left w:val="single" w:sz="4" w:space="0" w:color="auto"/>
              <w:bottom w:val="nil"/>
              <w:right w:val="single" w:sz="8" w:space="0" w:color="auto"/>
            </w:tcBorders>
            <w:shd w:val="clear" w:color="000000" w:fill="FFFFFF"/>
            <w:noWrap/>
            <w:vAlign w:val="center"/>
            <w:hideMark/>
          </w:tcPr>
          <w:p w14:paraId="2A5BB5A6" w14:textId="77777777" w:rsidR="00F010B4" w:rsidRPr="004E5A6E" w:rsidRDefault="00F010B4" w:rsidP="00D6295F">
            <w:pPr>
              <w:ind w:firstLineChars="300" w:firstLine="540"/>
              <w:rPr>
                <w:iCs/>
                <w:color w:val="auto"/>
                <w:sz w:val="18"/>
                <w:szCs w:val="18"/>
                <w:lang w:val="sq-AL"/>
              </w:rPr>
            </w:pPr>
            <w:r w:rsidRPr="004E5A6E">
              <w:rPr>
                <w:iCs/>
                <w:color w:val="auto"/>
                <w:sz w:val="18"/>
                <w:szCs w:val="18"/>
                <w:lang w:val="sq-AL"/>
              </w:rPr>
              <w:t xml:space="preserve">Detyrimi Doganor </w:t>
            </w:r>
          </w:p>
        </w:tc>
        <w:tc>
          <w:tcPr>
            <w:tcW w:w="892" w:type="dxa"/>
            <w:tcBorders>
              <w:top w:val="nil"/>
              <w:left w:val="nil"/>
              <w:bottom w:val="nil"/>
              <w:right w:val="nil"/>
            </w:tcBorders>
            <w:shd w:val="clear" w:color="000000" w:fill="FFFFFF"/>
            <w:noWrap/>
            <w:vAlign w:val="center"/>
            <w:hideMark/>
          </w:tcPr>
          <w:p w14:paraId="1B546C16" w14:textId="77777777" w:rsidR="00F010B4" w:rsidRPr="004E5A6E" w:rsidRDefault="00F010B4" w:rsidP="00D6295F">
            <w:pPr>
              <w:jc w:val="right"/>
              <w:rPr>
                <w:color w:val="auto"/>
                <w:sz w:val="18"/>
                <w:szCs w:val="18"/>
                <w:lang w:val="sq-AL"/>
              </w:rPr>
            </w:pPr>
            <w:r w:rsidRPr="004E5A6E">
              <w:rPr>
                <w:color w:val="auto"/>
                <w:sz w:val="18"/>
                <w:szCs w:val="18"/>
                <w:lang w:val="sq-AL"/>
              </w:rPr>
              <w:t>130.3</w:t>
            </w:r>
          </w:p>
        </w:tc>
        <w:tc>
          <w:tcPr>
            <w:tcW w:w="1124" w:type="dxa"/>
            <w:tcBorders>
              <w:top w:val="nil"/>
              <w:left w:val="nil"/>
              <w:bottom w:val="nil"/>
              <w:right w:val="single" w:sz="8" w:space="0" w:color="auto"/>
            </w:tcBorders>
            <w:shd w:val="clear" w:color="000000" w:fill="FFFFFF"/>
            <w:noWrap/>
            <w:vAlign w:val="center"/>
            <w:hideMark/>
          </w:tcPr>
          <w:p w14:paraId="10C3461C" w14:textId="77777777" w:rsidR="00F010B4" w:rsidRPr="004E5A6E" w:rsidRDefault="00F010B4" w:rsidP="00D6295F">
            <w:pPr>
              <w:jc w:val="right"/>
              <w:rPr>
                <w:color w:val="auto"/>
                <w:sz w:val="18"/>
                <w:szCs w:val="18"/>
                <w:lang w:val="sq-AL"/>
              </w:rPr>
            </w:pPr>
            <w:r w:rsidRPr="004E5A6E">
              <w:rPr>
                <w:color w:val="auto"/>
                <w:sz w:val="18"/>
                <w:szCs w:val="18"/>
                <w:lang w:val="sq-AL"/>
              </w:rPr>
              <w:t>105.9</w:t>
            </w:r>
          </w:p>
        </w:tc>
        <w:tc>
          <w:tcPr>
            <w:tcW w:w="968" w:type="dxa"/>
            <w:tcBorders>
              <w:top w:val="nil"/>
              <w:left w:val="nil"/>
              <w:bottom w:val="nil"/>
              <w:right w:val="single" w:sz="4" w:space="0" w:color="auto"/>
            </w:tcBorders>
            <w:shd w:val="clear" w:color="000000" w:fill="FFFFFF"/>
          </w:tcPr>
          <w:p w14:paraId="2E6569E7" w14:textId="77777777" w:rsidR="00F010B4" w:rsidRPr="004E5A6E" w:rsidRDefault="00F010B4" w:rsidP="00D6295F">
            <w:pPr>
              <w:jc w:val="right"/>
              <w:rPr>
                <w:color w:val="auto"/>
                <w:sz w:val="18"/>
                <w:szCs w:val="18"/>
                <w:lang w:val="sq-AL"/>
              </w:rPr>
            </w:pPr>
            <w:r w:rsidRPr="004E5A6E">
              <w:rPr>
                <w:color w:val="auto"/>
                <w:sz w:val="18"/>
                <w:szCs w:val="18"/>
                <w:lang w:val="sq-AL"/>
              </w:rPr>
              <w:t>81.7</w:t>
            </w:r>
          </w:p>
        </w:tc>
      </w:tr>
      <w:tr w:rsidR="00F010B4" w:rsidRPr="004E5A6E" w14:paraId="10000155" w14:textId="77777777" w:rsidTr="003B3804">
        <w:trPr>
          <w:trHeight w:val="241"/>
        </w:trPr>
        <w:tc>
          <w:tcPr>
            <w:tcW w:w="5684" w:type="dxa"/>
            <w:tcBorders>
              <w:top w:val="nil"/>
              <w:left w:val="single" w:sz="4" w:space="0" w:color="auto"/>
              <w:bottom w:val="nil"/>
              <w:right w:val="single" w:sz="8" w:space="0" w:color="auto"/>
            </w:tcBorders>
            <w:shd w:val="clear" w:color="000000" w:fill="FFFFFF"/>
            <w:noWrap/>
            <w:vAlign w:val="center"/>
            <w:hideMark/>
          </w:tcPr>
          <w:p w14:paraId="28AFA1BD" w14:textId="77777777" w:rsidR="00F010B4" w:rsidRPr="004E5A6E" w:rsidRDefault="00F010B4" w:rsidP="00D6295F">
            <w:pPr>
              <w:ind w:firstLineChars="300" w:firstLine="540"/>
              <w:rPr>
                <w:iCs/>
                <w:color w:val="auto"/>
                <w:sz w:val="18"/>
                <w:szCs w:val="18"/>
                <w:lang w:val="sq-AL"/>
              </w:rPr>
            </w:pPr>
            <w:r w:rsidRPr="004E5A6E">
              <w:rPr>
                <w:iCs/>
                <w:color w:val="auto"/>
                <w:sz w:val="18"/>
                <w:szCs w:val="18"/>
                <w:lang w:val="sq-AL"/>
              </w:rPr>
              <w:t>Akcizë</w:t>
            </w:r>
          </w:p>
        </w:tc>
        <w:tc>
          <w:tcPr>
            <w:tcW w:w="892" w:type="dxa"/>
            <w:tcBorders>
              <w:top w:val="nil"/>
              <w:left w:val="nil"/>
              <w:bottom w:val="nil"/>
              <w:right w:val="nil"/>
            </w:tcBorders>
            <w:shd w:val="clear" w:color="000000" w:fill="FFFFFF"/>
            <w:noWrap/>
            <w:vAlign w:val="center"/>
            <w:hideMark/>
          </w:tcPr>
          <w:p w14:paraId="74DC9A10" w14:textId="77777777" w:rsidR="00F010B4" w:rsidRPr="004E5A6E" w:rsidRDefault="00F010B4" w:rsidP="00D6295F">
            <w:pPr>
              <w:jc w:val="right"/>
              <w:rPr>
                <w:color w:val="auto"/>
                <w:sz w:val="18"/>
                <w:szCs w:val="18"/>
                <w:lang w:val="sq-AL"/>
              </w:rPr>
            </w:pPr>
            <w:r w:rsidRPr="004E5A6E">
              <w:rPr>
                <w:color w:val="auto"/>
                <w:sz w:val="18"/>
                <w:szCs w:val="18"/>
                <w:lang w:val="sq-AL"/>
              </w:rPr>
              <w:t>435.5</w:t>
            </w:r>
          </w:p>
        </w:tc>
        <w:tc>
          <w:tcPr>
            <w:tcW w:w="1124" w:type="dxa"/>
            <w:tcBorders>
              <w:top w:val="nil"/>
              <w:left w:val="nil"/>
              <w:bottom w:val="nil"/>
              <w:right w:val="single" w:sz="8" w:space="0" w:color="auto"/>
            </w:tcBorders>
            <w:shd w:val="clear" w:color="000000" w:fill="FFFFFF"/>
            <w:noWrap/>
            <w:vAlign w:val="center"/>
            <w:hideMark/>
          </w:tcPr>
          <w:p w14:paraId="4E0F3FD0" w14:textId="77777777" w:rsidR="00F010B4" w:rsidRPr="004E5A6E" w:rsidRDefault="00F010B4" w:rsidP="00D6295F">
            <w:pPr>
              <w:jc w:val="right"/>
              <w:rPr>
                <w:color w:val="auto"/>
                <w:sz w:val="18"/>
                <w:szCs w:val="18"/>
                <w:lang w:val="sq-AL"/>
              </w:rPr>
            </w:pPr>
            <w:r w:rsidRPr="004E5A6E">
              <w:rPr>
                <w:color w:val="auto"/>
                <w:sz w:val="18"/>
                <w:szCs w:val="18"/>
                <w:lang w:val="sq-AL"/>
              </w:rPr>
              <w:t>422.6</w:t>
            </w:r>
          </w:p>
        </w:tc>
        <w:tc>
          <w:tcPr>
            <w:tcW w:w="968" w:type="dxa"/>
            <w:tcBorders>
              <w:top w:val="nil"/>
              <w:left w:val="nil"/>
              <w:bottom w:val="nil"/>
              <w:right w:val="single" w:sz="4" w:space="0" w:color="auto"/>
            </w:tcBorders>
            <w:shd w:val="clear" w:color="000000" w:fill="FFFFFF"/>
          </w:tcPr>
          <w:p w14:paraId="3A0FECE6" w14:textId="77777777" w:rsidR="00F010B4" w:rsidRPr="004E5A6E" w:rsidRDefault="00F010B4" w:rsidP="00D6295F">
            <w:pPr>
              <w:jc w:val="right"/>
              <w:rPr>
                <w:color w:val="auto"/>
                <w:sz w:val="18"/>
                <w:szCs w:val="18"/>
                <w:lang w:val="sq-AL"/>
              </w:rPr>
            </w:pPr>
            <w:r w:rsidRPr="004E5A6E">
              <w:rPr>
                <w:color w:val="auto"/>
                <w:sz w:val="18"/>
                <w:szCs w:val="18"/>
                <w:lang w:val="sq-AL"/>
              </w:rPr>
              <w:t>323.7</w:t>
            </w:r>
          </w:p>
        </w:tc>
      </w:tr>
      <w:tr w:rsidR="00F010B4" w:rsidRPr="004E5A6E" w14:paraId="6E947392" w14:textId="77777777" w:rsidTr="003B3804">
        <w:trPr>
          <w:trHeight w:val="119"/>
        </w:trPr>
        <w:tc>
          <w:tcPr>
            <w:tcW w:w="5684" w:type="dxa"/>
            <w:tcBorders>
              <w:top w:val="nil"/>
              <w:left w:val="single" w:sz="4" w:space="0" w:color="auto"/>
              <w:bottom w:val="nil"/>
              <w:right w:val="single" w:sz="8" w:space="0" w:color="auto"/>
            </w:tcBorders>
            <w:shd w:val="clear" w:color="000000" w:fill="FFFFFF"/>
            <w:noWrap/>
            <w:vAlign w:val="center"/>
            <w:hideMark/>
          </w:tcPr>
          <w:p w14:paraId="6B3FE22F" w14:textId="77777777" w:rsidR="00F010B4" w:rsidRPr="004E5A6E" w:rsidRDefault="00F010B4" w:rsidP="00D6295F">
            <w:pPr>
              <w:rPr>
                <w:iCs/>
                <w:color w:val="auto"/>
                <w:sz w:val="18"/>
                <w:szCs w:val="18"/>
                <w:lang w:val="sq-AL"/>
              </w:rPr>
            </w:pPr>
            <w:r w:rsidRPr="004E5A6E">
              <w:rPr>
                <w:iCs/>
                <w:color w:val="auto"/>
                <w:sz w:val="18"/>
                <w:szCs w:val="18"/>
                <w:lang w:val="sq-AL"/>
              </w:rPr>
              <w:t xml:space="preserve">           Të tjera indirekte</w:t>
            </w:r>
          </w:p>
        </w:tc>
        <w:tc>
          <w:tcPr>
            <w:tcW w:w="892" w:type="dxa"/>
            <w:tcBorders>
              <w:top w:val="nil"/>
              <w:left w:val="nil"/>
              <w:bottom w:val="nil"/>
              <w:right w:val="nil"/>
            </w:tcBorders>
            <w:shd w:val="clear" w:color="000000" w:fill="FFFFFF"/>
            <w:noWrap/>
            <w:vAlign w:val="center"/>
            <w:hideMark/>
          </w:tcPr>
          <w:p w14:paraId="0CD509C8" w14:textId="77777777" w:rsidR="00F010B4" w:rsidRPr="004E5A6E" w:rsidRDefault="00F010B4" w:rsidP="00D6295F">
            <w:pPr>
              <w:jc w:val="right"/>
              <w:rPr>
                <w:color w:val="auto"/>
                <w:sz w:val="18"/>
                <w:szCs w:val="18"/>
                <w:lang w:val="sq-AL"/>
              </w:rPr>
            </w:pPr>
            <w:r w:rsidRPr="004E5A6E">
              <w:rPr>
                <w:color w:val="auto"/>
                <w:sz w:val="18"/>
                <w:szCs w:val="18"/>
                <w:lang w:val="sq-AL"/>
              </w:rPr>
              <w:t>3.8</w:t>
            </w:r>
          </w:p>
        </w:tc>
        <w:tc>
          <w:tcPr>
            <w:tcW w:w="1124" w:type="dxa"/>
            <w:tcBorders>
              <w:top w:val="nil"/>
              <w:left w:val="nil"/>
              <w:bottom w:val="nil"/>
              <w:right w:val="single" w:sz="8" w:space="0" w:color="auto"/>
            </w:tcBorders>
            <w:shd w:val="clear" w:color="000000" w:fill="FFFFFF"/>
            <w:noWrap/>
            <w:vAlign w:val="center"/>
            <w:hideMark/>
          </w:tcPr>
          <w:p w14:paraId="63E4F5ED" w14:textId="77777777" w:rsidR="00F010B4" w:rsidRPr="004E5A6E" w:rsidRDefault="00F010B4" w:rsidP="00D6295F">
            <w:pPr>
              <w:jc w:val="right"/>
              <w:rPr>
                <w:color w:val="auto"/>
                <w:sz w:val="18"/>
                <w:szCs w:val="18"/>
                <w:lang w:val="sq-AL"/>
              </w:rPr>
            </w:pPr>
            <w:r w:rsidRPr="004E5A6E">
              <w:rPr>
                <w:color w:val="auto"/>
                <w:sz w:val="18"/>
                <w:szCs w:val="18"/>
                <w:lang w:val="sq-AL"/>
              </w:rPr>
              <w:t>3.4</w:t>
            </w:r>
          </w:p>
        </w:tc>
        <w:tc>
          <w:tcPr>
            <w:tcW w:w="968" w:type="dxa"/>
            <w:tcBorders>
              <w:top w:val="nil"/>
              <w:left w:val="nil"/>
              <w:bottom w:val="nil"/>
              <w:right w:val="single" w:sz="4" w:space="0" w:color="auto"/>
            </w:tcBorders>
            <w:shd w:val="clear" w:color="000000" w:fill="FFFFFF"/>
          </w:tcPr>
          <w:p w14:paraId="61BB6EBF" w14:textId="77777777" w:rsidR="00F010B4" w:rsidRPr="004E5A6E" w:rsidRDefault="00F010B4" w:rsidP="00D6295F">
            <w:pPr>
              <w:jc w:val="right"/>
              <w:rPr>
                <w:color w:val="auto"/>
                <w:sz w:val="18"/>
                <w:szCs w:val="18"/>
                <w:lang w:val="sq-AL"/>
              </w:rPr>
            </w:pPr>
            <w:r w:rsidRPr="004E5A6E">
              <w:rPr>
                <w:color w:val="auto"/>
                <w:sz w:val="18"/>
                <w:szCs w:val="18"/>
                <w:lang w:val="sq-AL"/>
              </w:rPr>
              <w:t>1.9</w:t>
            </w:r>
          </w:p>
        </w:tc>
      </w:tr>
      <w:tr w:rsidR="00F010B4" w:rsidRPr="004E5A6E" w14:paraId="790CAE45" w14:textId="77777777" w:rsidTr="003B3804">
        <w:trPr>
          <w:trHeight w:val="119"/>
        </w:trPr>
        <w:tc>
          <w:tcPr>
            <w:tcW w:w="5684" w:type="dxa"/>
            <w:tcBorders>
              <w:top w:val="nil"/>
              <w:left w:val="single" w:sz="4" w:space="0" w:color="auto"/>
              <w:bottom w:val="nil"/>
              <w:right w:val="single" w:sz="8" w:space="0" w:color="auto"/>
            </w:tcBorders>
            <w:shd w:val="clear" w:color="000000" w:fill="FFFFFF"/>
            <w:noWrap/>
            <w:vAlign w:val="center"/>
            <w:hideMark/>
          </w:tcPr>
          <w:p w14:paraId="50228E3E" w14:textId="77777777" w:rsidR="00F010B4" w:rsidRPr="004E5A6E" w:rsidRDefault="00F010B4" w:rsidP="00D6295F">
            <w:pPr>
              <w:ind w:firstLineChars="200" w:firstLine="361"/>
              <w:rPr>
                <w:b/>
                <w:bCs/>
                <w:color w:val="auto"/>
                <w:sz w:val="18"/>
                <w:szCs w:val="18"/>
                <w:lang w:val="sq-AL"/>
              </w:rPr>
            </w:pPr>
            <w:r w:rsidRPr="004E5A6E">
              <w:rPr>
                <w:b/>
                <w:bCs/>
                <w:color w:val="auto"/>
                <w:sz w:val="18"/>
                <w:szCs w:val="18"/>
                <w:lang w:val="sq-AL"/>
              </w:rPr>
              <w:t>Rimbursimet e tatimeve</w:t>
            </w:r>
          </w:p>
        </w:tc>
        <w:tc>
          <w:tcPr>
            <w:tcW w:w="892" w:type="dxa"/>
            <w:tcBorders>
              <w:top w:val="nil"/>
              <w:left w:val="nil"/>
              <w:bottom w:val="nil"/>
              <w:right w:val="nil"/>
            </w:tcBorders>
            <w:shd w:val="clear" w:color="000000" w:fill="FFFFFF"/>
            <w:noWrap/>
            <w:vAlign w:val="center"/>
            <w:hideMark/>
          </w:tcPr>
          <w:p w14:paraId="58B7B112" w14:textId="77777777" w:rsidR="00F010B4" w:rsidRPr="004E5A6E" w:rsidRDefault="00F010B4" w:rsidP="00D6295F">
            <w:pPr>
              <w:jc w:val="right"/>
              <w:rPr>
                <w:color w:val="auto"/>
                <w:sz w:val="18"/>
                <w:szCs w:val="18"/>
                <w:lang w:val="sq-AL"/>
              </w:rPr>
            </w:pPr>
            <w:r w:rsidRPr="004E5A6E">
              <w:rPr>
                <w:color w:val="auto"/>
                <w:sz w:val="18"/>
                <w:szCs w:val="18"/>
                <w:lang w:val="sq-AL"/>
              </w:rPr>
              <w:t>-45.5</w:t>
            </w:r>
          </w:p>
        </w:tc>
        <w:tc>
          <w:tcPr>
            <w:tcW w:w="1124" w:type="dxa"/>
            <w:tcBorders>
              <w:top w:val="nil"/>
              <w:left w:val="nil"/>
              <w:bottom w:val="nil"/>
              <w:right w:val="single" w:sz="8" w:space="0" w:color="auto"/>
            </w:tcBorders>
            <w:shd w:val="clear" w:color="000000" w:fill="FFFFFF"/>
            <w:noWrap/>
            <w:vAlign w:val="center"/>
            <w:hideMark/>
          </w:tcPr>
          <w:p w14:paraId="1A10E37F" w14:textId="77777777" w:rsidR="00F010B4" w:rsidRPr="004E5A6E" w:rsidRDefault="00F010B4" w:rsidP="00D6295F">
            <w:pPr>
              <w:jc w:val="right"/>
              <w:rPr>
                <w:color w:val="auto"/>
                <w:sz w:val="18"/>
                <w:szCs w:val="18"/>
                <w:lang w:val="sq-AL"/>
              </w:rPr>
            </w:pPr>
            <w:r w:rsidRPr="004E5A6E">
              <w:rPr>
                <w:color w:val="auto"/>
                <w:sz w:val="18"/>
                <w:szCs w:val="18"/>
                <w:lang w:val="sq-AL"/>
              </w:rPr>
              <w:t>-39.6</w:t>
            </w:r>
          </w:p>
        </w:tc>
        <w:tc>
          <w:tcPr>
            <w:tcW w:w="968" w:type="dxa"/>
            <w:tcBorders>
              <w:top w:val="nil"/>
              <w:left w:val="nil"/>
              <w:bottom w:val="nil"/>
              <w:right w:val="single" w:sz="4" w:space="0" w:color="auto"/>
            </w:tcBorders>
            <w:shd w:val="clear" w:color="000000" w:fill="FFFFFF"/>
          </w:tcPr>
          <w:p w14:paraId="14F43E74" w14:textId="77777777" w:rsidR="00F010B4" w:rsidRPr="004E5A6E" w:rsidRDefault="00F010B4" w:rsidP="00D6295F">
            <w:pPr>
              <w:jc w:val="right"/>
              <w:rPr>
                <w:color w:val="auto"/>
                <w:sz w:val="18"/>
                <w:szCs w:val="18"/>
                <w:lang w:val="sq-AL"/>
              </w:rPr>
            </w:pPr>
            <w:r w:rsidRPr="004E5A6E">
              <w:rPr>
                <w:color w:val="auto"/>
                <w:sz w:val="18"/>
                <w:szCs w:val="18"/>
                <w:lang w:val="sq-AL"/>
              </w:rPr>
              <w:t>-25.0</w:t>
            </w:r>
          </w:p>
        </w:tc>
      </w:tr>
      <w:tr w:rsidR="00F010B4" w:rsidRPr="004E5A6E" w14:paraId="70BDDC39" w14:textId="77777777" w:rsidTr="003B3804">
        <w:trPr>
          <w:trHeight w:val="119"/>
        </w:trPr>
        <w:tc>
          <w:tcPr>
            <w:tcW w:w="5684" w:type="dxa"/>
            <w:tcBorders>
              <w:top w:val="nil"/>
              <w:left w:val="single" w:sz="4" w:space="0" w:color="auto"/>
              <w:bottom w:val="nil"/>
              <w:right w:val="single" w:sz="8" w:space="0" w:color="auto"/>
            </w:tcBorders>
            <w:shd w:val="clear" w:color="000000" w:fill="FFFFFF"/>
            <w:noWrap/>
            <w:vAlign w:val="center"/>
            <w:hideMark/>
          </w:tcPr>
          <w:p w14:paraId="76868DDD" w14:textId="77777777" w:rsidR="00F010B4" w:rsidRPr="004E5A6E" w:rsidRDefault="00F010B4" w:rsidP="00D6295F">
            <w:pPr>
              <w:ind w:firstLineChars="100" w:firstLine="181"/>
              <w:rPr>
                <w:b/>
                <w:bCs/>
                <w:color w:val="auto"/>
                <w:sz w:val="18"/>
                <w:szCs w:val="18"/>
                <w:lang w:val="sq-AL"/>
              </w:rPr>
            </w:pPr>
            <w:r w:rsidRPr="004E5A6E">
              <w:rPr>
                <w:b/>
                <w:bCs/>
                <w:color w:val="auto"/>
                <w:sz w:val="18"/>
                <w:szCs w:val="18"/>
                <w:lang w:val="sq-AL"/>
              </w:rPr>
              <w:t>1.2 Të ardhurat jo-tatimore</w:t>
            </w:r>
          </w:p>
        </w:tc>
        <w:tc>
          <w:tcPr>
            <w:tcW w:w="892" w:type="dxa"/>
            <w:tcBorders>
              <w:top w:val="nil"/>
              <w:left w:val="nil"/>
              <w:bottom w:val="nil"/>
              <w:right w:val="nil"/>
            </w:tcBorders>
            <w:shd w:val="clear" w:color="000000" w:fill="FFFFFF"/>
            <w:noWrap/>
            <w:vAlign w:val="center"/>
            <w:hideMark/>
          </w:tcPr>
          <w:p w14:paraId="22FD60C8" w14:textId="77777777" w:rsidR="00F010B4" w:rsidRPr="004E5A6E" w:rsidRDefault="00F010B4" w:rsidP="00D6295F">
            <w:pPr>
              <w:jc w:val="right"/>
              <w:rPr>
                <w:b/>
                <w:bCs/>
                <w:color w:val="auto"/>
                <w:sz w:val="18"/>
                <w:szCs w:val="18"/>
                <w:lang w:val="sq-AL"/>
              </w:rPr>
            </w:pPr>
            <w:r w:rsidRPr="004E5A6E">
              <w:rPr>
                <w:b/>
                <w:bCs/>
                <w:color w:val="auto"/>
                <w:sz w:val="18"/>
                <w:szCs w:val="18"/>
                <w:lang w:val="sq-AL"/>
              </w:rPr>
              <w:t>214.6</w:t>
            </w:r>
          </w:p>
        </w:tc>
        <w:tc>
          <w:tcPr>
            <w:tcW w:w="1124" w:type="dxa"/>
            <w:tcBorders>
              <w:top w:val="nil"/>
              <w:left w:val="nil"/>
              <w:bottom w:val="nil"/>
              <w:right w:val="single" w:sz="8" w:space="0" w:color="auto"/>
            </w:tcBorders>
            <w:shd w:val="clear" w:color="000000" w:fill="FFFFFF"/>
            <w:noWrap/>
            <w:vAlign w:val="center"/>
            <w:hideMark/>
          </w:tcPr>
          <w:p w14:paraId="6D76981E" w14:textId="77777777" w:rsidR="00F010B4" w:rsidRPr="004E5A6E" w:rsidRDefault="00F010B4" w:rsidP="00D6295F">
            <w:pPr>
              <w:jc w:val="right"/>
              <w:rPr>
                <w:b/>
                <w:bCs/>
                <w:color w:val="auto"/>
                <w:sz w:val="18"/>
                <w:szCs w:val="18"/>
                <w:lang w:val="sq-AL"/>
              </w:rPr>
            </w:pPr>
            <w:r w:rsidRPr="004E5A6E">
              <w:rPr>
                <w:b/>
                <w:bCs/>
                <w:color w:val="auto"/>
                <w:sz w:val="18"/>
                <w:szCs w:val="18"/>
                <w:lang w:val="sq-AL"/>
              </w:rPr>
              <w:t>188.9</w:t>
            </w:r>
          </w:p>
        </w:tc>
        <w:tc>
          <w:tcPr>
            <w:tcW w:w="968" w:type="dxa"/>
            <w:tcBorders>
              <w:top w:val="nil"/>
              <w:left w:val="nil"/>
              <w:bottom w:val="nil"/>
              <w:right w:val="single" w:sz="4" w:space="0" w:color="auto"/>
            </w:tcBorders>
            <w:shd w:val="clear" w:color="000000" w:fill="FFFFFF"/>
          </w:tcPr>
          <w:p w14:paraId="79B6B154" w14:textId="77777777" w:rsidR="00F010B4" w:rsidRPr="004E5A6E" w:rsidRDefault="00F010B4" w:rsidP="00D6295F">
            <w:pPr>
              <w:jc w:val="right"/>
              <w:rPr>
                <w:b/>
                <w:bCs/>
                <w:color w:val="auto"/>
                <w:sz w:val="18"/>
                <w:szCs w:val="18"/>
                <w:lang w:val="sq-AL"/>
              </w:rPr>
            </w:pPr>
            <w:r w:rsidRPr="004E5A6E">
              <w:rPr>
                <w:b/>
                <w:bCs/>
                <w:color w:val="auto"/>
                <w:sz w:val="18"/>
                <w:szCs w:val="18"/>
                <w:lang w:val="sq-AL"/>
              </w:rPr>
              <w:t>148.7</w:t>
            </w:r>
          </w:p>
        </w:tc>
      </w:tr>
      <w:tr w:rsidR="00F010B4" w:rsidRPr="004E5A6E" w14:paraId="7173AB04" w14:textId="77777777" w:rsidTr="003B3804">
        <w:trPr>
          <w:trHeight w:val="119"/>
        </w:trPr>
        <w:tc>
          <w:tcPr>
            <w:tcW w:w="5684" w:type="dxa"/>
            <w:tcBorders>
              <w:top w:val="nil"/>
              <w:left w:val="single" w:sz="4" w:space="0" w:color="auto"/>
              <w:bottom w:val="nil"/>
              <w:right w:val="single" w:sz="8" w:space="0" w:color="auto"/>
            </w:tcBorders>
            <w:shd w:val="clear" w:color="000000" w:fill="FFFFFF"/>
            <w:noWrap/>
            <w:vAlign w:val="center"/>
            <w:hideMark/>
          </w:tcPr>
          <w:p w14:paraId="3EB66886" w14:textId="5B414E22" w:rsidR="00F010B4" w:rsidRPr="004E5A6E" w:rsidRDefault="00EF20FB" w:rsidP="00D6295F">
            <w:pPr>
              <w:ind w:firstLineChars="300" w:firstLine="540"/>
              <w:rPr>
                <w:color w:val="000000" w:themeColor="text1"/>
                <w:sz w:val="18"/>
                <w:szCs w:val="18"/>
                <w:lang w:val="sq-AL"/>
              </w:rPr>
            </w:pPr>
            <w:r w:rsidRPr="004E5A6E">
              <w:rPr>
                <w:color w:val="000000" w:themeColor="text1"/>
                <w:sz w:val="18"/>
                <w:szCs w:val="18"/>
                <w:lang w:val="sq-AL"/>
              </w:rPr>
              <w:t>Tarifa, ngarkesa</w:t>
            </w:r>
            <w:r w:rsidR="00F010B4" w:rsidRPr="004E5A6E">
              <w:rPr>
                <w:color w:val="000000" w:themeColor="text1"/>
                <w:sz w:val="18"/>
                <w:szCs w:val="18"/>
                <w:lang w:val="sq-AL"/>
              </w:rPr>
              <w:t xml:space="preserve"> dhe të tjera - Niveli Qendror </w:t>
            </w:r>
          </w:p>
        </w:tc>
        <w:tc>
          <w:tcPr>
            <w:tcW w:w="892" w:type="dxa"/>
            <w:tcBorders>
              <w:top w:val="nil"/>
              <w:left w:val="nil"/>
              <w:bottom w:val="nil"/>
              <w:right w:val="nil"/>
            </w:tcBorders>
            <w:shd w:val="clear" w:color="000000" w:fill="FFFFFF"/>
            <w:noWrap/>
            <w:vAlign w:val="center"/>
            <w:hideMark/>
          </w:tcPr>
          <w:p w14:paraId="76D4B338" w14:textId="77777777" w:rsidR="00F010B4" w:rsidRPr="004E5A6E" w:rsidRDefault="00F010B4" w:rsidP="00D6295F">
            <w:pPr>
              <w:jc w:val="right"/>
              <w:rPr>
                <w:color w:val="auto"/>
                <w:sz w:val="18"/>
                <w:szCs w:val="18"/>
                <w:lang w:val="sq-AL"/>
              </w:rPr>
            </w:pPr>
            <w:r w:rsidRPr="004E5A6E">
              <w:rPr>
                <w:color w:val="auto"/>
                <w:sz w:val="18"/>
                <w:szCs w:val="18"/>
                <w:lang w:val="sq-AL"/>
              </w:rPr>
              <w:t>121.4</w:t>
            </w:r>
          </w:p>
        </w:tc>
        <w:tc>
          <w:tcPr>
            <w:tcW w:w="1124" w:type="dxa"/>
            <w:tcBorders>
              <w:top w:val="nil"/>
              <w:left w:val="nil"/>
              <w:bottom w:val="nil"/>
              <w:right w:val="single" w:sz="8" w:space="0" w:color="auto"/>
            </w:tcBorders>
            <w:shd w:val="clear" w:color="000000" w:fill="FFFFFF"/>
            <w:noWrap/>
            <w:vAlign w:val="center"/>
            <w:hideMark/>
          </w:tcPr>
          <w:p w14:paraId="58EC63AD" w14:textId="77777777" w:rsidR="00F010B4" w:rsidRPr="004E5A6E" w:rsidRDefault="00F010B4" w:rsidP="00D6295F">
            <w:pPr>
              <w:jc w:val="right"/>
              <w:rPr>
                <w:color w:val="auto"/>
                <w:sz w:val="18"/>
                <w:szCs w:val="18"/>
                <w:lang w:val="sq-AL"/>
              </w:rPr>
            </w:pPr>
            <w:r w:rsidRPr="004E5A6E">
              <w:rPr>
                <w:color w:val="auto"/>
                <w:sz w:val="18"/>
                <w:szCs w:val="18"/>
                <w:lang w:val="sq-AL"/>
              </w:rPr>
              <w:t>105</w:t>
            </w:r>
          </w:p>
        </w:tc>
        <w:tc>
          <w:tcPr>
            <w:tcW w:w="968" w:type="dxa"/>
            <w:tcBorders>
              <w:top w:val="nil"/>
              <w:left w:val="nil"/>
              <w:bottom w:val="nil"/>
              <w:right w:val="single" w:sz="4" w:space="0" w:color="auto"/>
            </w:tcBorders>
            <w:shd w:val="clear" w:color="000000" w:fill="FFFFFF"/>
          </w:tcPr>
          <w:p w14:paraId="7FB8D942" w14:textId="77777777" w:rsidR="00F010B4" w:rsidRPr="004E5A6E" w:rsidRDefault="00F010B4" w:rsidP="00D6295F">
            <w:pPr>
              <w:jc w:val="right"/>
              <w:rPr>
                <w:color w:val="auto"/>
                <w:sz w:val="18"/>
                <w:szCs w:val="18"/>
                <w:lang w:val="sq-AL"/>
              </w:rPr>
            </w:pPr>
            <w:r w:rsidRPr="004E5A6E">
              <w:rPr>
                <w:color w:val="auto"/>
                <w:sz w:val="18"/>
                <w:szCs w:val="18"/>
                <w:lang w:val="sq-AL"/>
              </w:rPr>
              <w:t>80.0</w:t>
            </w:r>
          </w:p>
        </w:tc>
      </w:tr>
      <w:tr w:rsidR="00F010B4" w:rsidRPr="004E5A6E" w14:paraId="78180FF9" w14:textId="77777777" w:rsidTr="003B3804">
        <w:trPr>
          <w:trHeight w:val="119"/>
        </w:trPr>
        <w:tc>
          <w:tcPr>
            <w:tcW w:w="5684" w:type="dxa"/>
            <w:tcBorders>
              <w:top w:val="nil"/>
              <w:left w:val="single" w:sz="4" w:space="0" w:color="auto"/>
              <w:bottom w:val="nil"/>
              <w:right w:val="single" w:sz="8" w:space="0" w:color="auto"/>
            </w:tcBorders>
            <w:shd w:val="clear" w:color="000000" w:fill="FFFFFF"/>
            <w:noWrap/>
            <w:vAlign w:val="center"/>
            <w:hideMark/>
          </w:tcPr>
          <w:p w14:paraId="7D74A3F9" w14:textId="2CFC07F6" w:rsidR="00F010B4" w:rsidRPr="004E5A6E" w:rsidRDefault="00EF20FB" w:rsidP="00D6295F">
            <w:pPr>
              <w:ind w:firstLineChars="300" w:firstLine="540"/>
              <w:rPr>
                <w:color w:val="000000" w:themeColor="text1"/>
                <w:sz w:val="18"/>
                <w:szCs w:val="18"/>
                <w:lang w:val="sq-AL"/>
              </w:rPr>
            </w:pPr>
            <w:r w:rsidRPr="004E5A6E">
              <w:rPr>
                <w:color w:val="000000" w:themeColor="text1"/>
                <w:sz w:val="18"/>
                <w:szCs w:val="18"/>
                <w:lang w:val="sq-AL"/>
              </w:rPr>
              <w:t>Tarfia, ngarkesa</w:t>
            </w:r>
            <w:r w:rsidR="00F010B4" w:rsidRPr="004E5A6E">
              <w:rPr>
                <w:color w:val="000000" w:themeColor="text1"/>
                <w:sz w:val="18"/>
                <w:szCs w:val="18"/>
                <w:lang w:val="sq-AL"/>
              </w:rPr>
              <w:t xml:space="preserve"> dhe të tjera - Niveli Lokal </w:t>
            </w:r>
          </w:p>
        </w:tc>
        <w:tc>
          <w:tcPr>
            <w:tcW w:w="892" w:type="dxa"/>
            <w:tcBorders>
              <w:top w:val="nil"/>
              <w:left w:val="nil"/>
              <w:bottom w:val="nil"/>
              <w:right w:val="nil"/>
            </w:tcBorders>
            <w:shd w:val="clear" w:color="000000" w:fill="FFFFFF"/>
            <w:noWrap/>
            <w:vAlign w:val="center"/>
            <w:hideMark/>
          </w:tcPr>
          <w:p w14:paraId="7EC37A78" w14:textId="77777777" w:rsidR="00F010B4" w:rsidRPr="004E5A6E" w:rsidRDefault="00F010B4" w:rsidP="00D6295F">
            <w:pPr>
              <w:jc w:val="right"/>
              <w:rPr>
                <w:color w:val="auto"/>
                <w:sz w:val="18"/>
                <w:szCs w:val="18"/>
                <w:lang w:val="sq-AL"/>
              </w:rPr>
            </w:pPr>
            <w:r w:rsidRPr="004E5A6E">
              <w:rPr>
                <w:color w:val="auto"/>
                <w:sz w:val="18"/>
                <w:szCs w:val="18"/>
                <w:lang w:val="sq-AL"/>
              </w:rPr>
              <w:t>50</w:t>
            </w:r>
          </w:p>
        </w:tc>
        <w:tc>
          <w:tcPr>
            <w:tcW w:w="1124" w:type="dxa"/>
            <w:tcBorders>
              <w:top w:val="nil"/>
              <w:left w:val="nil"/>
              <w:bottom w:val="nil"/>
              <w:right w:val="single" w:sz="8" w:space="0" w:color="auto"/>
            </w:tcBorders>
            <w:shd w:val="clear" w:color="000000" w:fill="FFFFFF"/>
            <w:noWrap/>
            <w:vAlign w:val="center"/>
            <w:hideMark/>
          </w:tcPr>
          <w:p w14:paraId="2C3E46E7" w14:textId="77777777" w:rsidR="00F010B4" w:rsidRPr="004E5A6E" w:rsidRDefault="00F010B4" w:rsidP="00D6295F">
            <w:pPr>
              <w:jc w:val="right"/>
              <w:rPr>
                <w:color w:val="auto"/>
                <w:sz w:val="18"/>
                <w:szCs w:val="18"/>
                <w:lang w:val="sq-AL"/>
              </w:rPr>
            </w:pPr>
            <w:r w:rsidRPr="004E5A6E">
              <w:rPr>
                <w:color w:val="auto"/>
                <w:sz w:val="18"/>
                <w:szCs w:val="18"/>
                <w:lang w:val="sq-AL"/>
              </w:rPr>
              <w:t>47.1</w:t>
            </w:r>
          </w:p>
        </w:tc>
        <w:tc>
          <w:tcPr>
            <w:tcW w:w="968" w:type="dxa"/>
            <w:tcBorders>
              <w:top w:val="nil"/>
              <w:left w:val="nil"/>
              <w:bottom w:val="nil"/>
              <w:right w:val="single" w:sz="4" w:space="0" w:color="auto"/>
            </w:tcBorders>
            <w:shd w:val="clear" w:color="000000" w:fill="FFFFFF"/>
          </w:tcPr>
          <w:p w14:paraId="6C32E8C0" w14:textId="77777777" w:rsidR="00F010B4" w:rsidRPr="004E5A6E" w:rsidRDefault="00F010B4" w:rsidP="00D6295F">
            <w:pPr>
              <w:jc w:val="right"/>
              <w:rPr>
                <w:color w:val="auto"/>
                <w:sz w:val="18"/>
                <w:szCs w:val="18"/>
                <w:lang w:val="sq-AL"/>
              </w:rPr>
            </w:pPr>
            <w:r w:rsidRPr="004E5A6E">
              <w:rPr>
                <w:color w:val="auto"/>
                <w:sz w:val="18"/>
                <w:szCs w:val="18"/>
                <w:lang w:val="sq-AL"/>
              </w:rPr>
              <w:t>34.9</w:t>
            </w:r>
          </w:p>
        </w:tc>
      </w:tr>
      <w:tr w:rsidR="00F010B4" w:rsidRPr="004E5A6E" w14:paraId="590F1D4F" w14:textId="77777777" w:rsidTr="003B3804">
        <w:trPr>
          <w:trHeight w:val="119"/>
        </w:trPr>
        <w:tc>
          <w:tcPr>
            <w:tcW w:w="5684" w:type="dxa"/>
            <w:tcBorders>
              <w:top w:val="nil"/>
              <w:left w:val="single" w:sz="4" w:space="0" w:color="auto"/>
              <w:bottom w:val="nil"/>
              <w:right w:val="single" w:sz="8" w:space="0" w:color="auto"/>
            </w:tcBorders>
            <w:shd w:val="clear" w:color="000000" w:fill="FFFFFF"/>
            <w:noWrap/>
            <w:vAlign w:val="center"/>
            <w:hideMark/>
          </w:tcPr>
          <w:p w14:paraId="4E29B7F8" w14:textId="76865D83" w:rsidR="00F010B4" w:rsidRPr="004E5A6E" w:rsidRDefault="00EF20FB" w:rsidP="00D6295F">
            <w:pPr>
              <w:ind w:firstLineChars="300" w:firstLine="540"/>
              <w:rPr>
                <w:color w:val="000000" w:themeColor="text1"/>
                <w:sz w:val="18"/>
                <w:szCs w:val="18"/>
                <w:lang w:val="sq-AL"/>
              </w:rPr>
            </w:pPr>
            <w:r w:rsidRPr="004E5A6E">
              <w:rPr>
                <w:color w:val="000000" w:themeColor="text1"/>
                <w:sz w:val="18"/>
                <w:szCs w:val="18"/>
                <w:lang w:val="sq-AL"/>
              </w:rPr>
              <w:t>Tarifa</w:t>
            </w:r>
            <w:r w:rsidR="00F010B4" w:rsidRPr="004E5A6E">
              <w:rPr>
                <w:color w:val="000000" w:themeColor="text1"/>
                <w:sz w:val="18"/>
                <w:szCs w:val="18"/>
                <w:lang w:val="sq-AL"/>
              </w:rPr>
              <w:t xml:space="preserve"> koncesionare</w:t>
            </w:r>
          </w:p>
        </w:tc>
        <w:tc>
          <w:tcPr>
            <w:tcW w:w="892" w:type="dxa"/>
            <w:tcBorders>
              <w:top w:val="nil"/>
              <w:left w:val="nil"/>
              <w:bottom w:val="nil"/>
              <w:right w:val="nil"/>
            </w:tcBorders>
            <w:shd w:val="clear" w:color="000000" w:fill="FFFFFF"/>
            <w:noWrap/>
            <w:vAlign w:val="center"/>
            <w:hideMark/>
          </w:tcPr>
          <w:p w14:paraId="31839051" w14:textId="77777777" w:rsidR="00F010B4" w:rsidRPr="004E5A6E" w:rsidRDefault="00F010B4" w:rsidP="00D6295F">
            <w:pPr>
              <w:jc w:val="right"/>
              <w:rPr>
                <w:color w:val="auto"/>
                <w:sz w:val="18"/>
                <w:szCs w:val="18"/>
                <w:lang w:val="sq-AL"/>
              </w:rPr>
            </w:pPr>
            <w:r w:rsidRPr="004E5A6E">
              <w:rPr>
                <w:color w:val="auto"/>
                <w:sz w:val="18"/>
                <w:szCs w:val="18"/>
                <w:lang w:val="sq-AL"/>
              </w:rPr>
              <w:t>11.1</w:t>
            </w:r>
          </w:p>
        </w:tc>
        <w:tc>
          <w:tcPr>
            <w:tcW w:w="1124" w:type="dxa"/>
            <w:tcBorders>
              <w:top w:val="nil"/>
              <w:left w:val="nil"/>
              <w:bottom w:val="nil"/>
              <w:right w:val="single" w:sz="8" w:space="0" w:color="auto"/>
            </w:tcBorders>
            <w:shd w:val="clear" w:color="000000" w:fill="FFFFFF"/>
            <w:noWrap/>
            <w:vAlign w:val="center"/>
            <w:hideMark/>
          </w:tcPr>
          <w:p w14:paraId="1F444A7F" w14:textId="77777777" w:rsidR="00F010B4" w:rsidRPr="004E5A6E" w:rsidRDefault="00F010B4" w:rsidP="00D6295F">
            <w:pPr>
              <w:jc w:val="right"/>
              <w:rPr>
                <w:color w:val="auto"/>
                <w:sz w:val="18"/>
                <w:szCs w:val="18"/>
                <w:lang w:val="sq-AL"/>
              </w:rPr>
            </w:pPr>
            <w:r w:rsidRPr="004E5A6E">
              <w:rPr>
                <w:color w:val="auto"/>
                <w:sz w:val="18"/>
                <w:szCs w:val="18"/>
                <w:lang w:val="sq-AL"/>
              </w:rPr>
              <w:t>2.7</w:t>
            </w:r>
          </w:p>
        </w:tc>
        <w:tc>
          <w:tcPr>
            <w:tcW w:w="968" w:type="dxa"/>
            <w:tcBorders>
              <w:top w:val="nil"/>
              <w:left w:val="nil"/>
              <w:bottom w:val="nil"/>
              <w:right w:val="single" w:sz="4" w:space="0" w:color="auto"/>
            </w:tcBorders>
            <w:shd w:val="clear" w:color="000000" w:fill="FFFFFF"/>
          </w:tcPr>
          <w:p w14:paraId="19EAA02A" w14:textId="77777777" w:rsidR="00F010B4" w:rsidRPr="004E5A6E" w:rsidRDefault="00F010B4" w:rsidP="00D6295F">
            <w:pPr>
              <w:jc w:val="right"/>
              <w:rPr>
                <w:color w:val="auto"/>
                <w:sz w:val="18"/>
                <w:szCs w:val="18"/>
                <w:lang w:val="sq-AL"/>
              </w:rPr>
            </w:pPr>
            <w:r w:rsidRPr="004E5A6E">
              <w:rPr>
                <w:color w:val="auto"/>
                <w:sz w:val="18"/>
                <w:szCs w:val="18"/>
                <w:lang w:val="sq-AL"/>
              </w:rPr>
              <w:t>2.7</w:t>
            </w:r>
          </w:p>
        </w:tc>
      </w:tr>
      <w:tr w:rsidR="00F010B4" w:rsidRPr="004E5A6E" w14:paraId="2B1E81D5" w14:textId="77777777" w:rsidTr="003B3804">
        <w:trPr>
          <w:trHeight w:val="119"/>
        </w:trPr>
        <w:tc>
          <w:tcPr>
            <w:tcW w:w="5684" w:type="dxa"/>
            <w:tcBorders>
              <w:top w:val="nil"/>
              <w:left w:val="single" w:sz="4" w:space="0" w:color="auto"/>
              <w:bottom w:val="nil"/>
              <w:right w:val="single" w:sz="8" w:space="0" w:color="auto"/>
            </w:tcBorders>
            <w:shd w:val="clear" w:color="000000" w:fill="FFFFFF"/>
            <w:noWrap/>
            <w:vAlign w:val="center"/>
            <w:hideMark/>
          </w:tcPr>
          <w:p w14:paraId="33E4466D" w14:textId="78CD5DC3" w:rsidR="00F010B4" w:rsidRPr="004E5A6E" w:rsidRDefault="00B414AE" w:rsidP="00D6295F">
            <w:pPr>
              <w:ind w:firstLineChars="300" w:firstLine="540"/>
              <w:rPr>
                <w:color w:val="auto"/>
                <w:sz w:val="18"/>
                <w:szCs w:val="18"/>
                <w:lang w:val="sq-AL"/>
              </w:rPr>
            </w:pPr>
            <w:r w:rsidRPr="004E5A6E">
              <w:rPr>
                <w:color w:val="auto"/>
                <w:sz w:val="18"/>
                <w:szCs w:val="18"/>
                <w:lang w:val="sq-AL"/>
              </w:rPr>
              <w:t>Renta Minerare</w:t>
            </w:r>
          </w:p>
        </w:tc>
        <w:tc>
          <w:tcPr>
            <w:tcW w:w="892" w:type="dxa"/>
            <w:tcBorders>
              <w:top w:val="nil"/>
              <w:left w:val="nil"/>
              <w:bottom w:val="nil"/>
              <w:right w:val="nil"/>
            </w:tcBorders>
            <w:shd w:val="clear" w:color="000000" w:fill="FFFFFF"/>
            <w:noWrap/>
            <w:vAlign w:val="center"/>
            <w:hideMark/>
          </w:tcPr>
          <w:p w14:paraId="576E9E8F" w14:textId="77777777" w:rsidR="00F010B4" w:rsidRPr="004E5A6E" w:rsidRDefault="00F010B4" w:rsidP="00D6295F">
            <w:pPr>
              <w:jc w:val="right"/>
              <w:rPr>
                <w:color w:val="auto"/>
                <w:sz w:val="18"/>
                <w:szCs w:val="18"/>
                <w:lang w:val="sq-AL"/>
              </w:rPr>
            </w:pPr>
            <w:r w:rsidRPr="004E5A6E">
              <w:rPr>
                <w:color w:val="auto"/>
                <w:sz w:val="18"/>
                <w:szCs w:val="18"/>
                <w:lang w:val="sq-AL"/>
              </w:rPr>
              <w:t>29.4</w:t>
            </w:r>
          </w:p>
        </w:tc>
        <w:tc>
          <w:tcPr>
            <w:tcW w:w="1124" w:type="dxa"/>
            <w:tcBorders>
              <w:top w:val="nil"/>
              <w:left w:val="nil"/>
              <w:bottom w:val="nil"/>
              <w:right w:val="single" w:sz="8" w:space="0" w:color="auto"/>
            </w:tcBorders>
            <w:shd w:val="clear" w:color="000000" w:fill="FFFFFF"/>
            <w:noWrap/>
            <w:vAlign w:val="center"/>
            <w:hideMark/>
          </w:tcPr>
          <w:p w14:paraId="49C5C16B" w14:textId="77777777" w:rsidR="00F010B4" w:rsidRPr="004E5A6E" w:rsidRDefault="00F010B4" w:rsidP="00D6295F">
            <w:pPr>
              <w:jc w:val="right"/>
              <w:rPr>
                <w:color w:val="auto"/>
                <w:sz w:val="18"/>
                <w:szCs w:val="18"/>
                <w:lang w:val="sq-AL"/>
              </w:rPr>
            </w:pPr>
            <w:r w:rsidRPr="004E5A6E">
              <w:rPr>
                <w:color w:val="auto"/>
                <w:sz w:val="18"/>
                <w:szCs w:val="18"/>
                <w:lang w:val="sq-AL"/>
              </w:rPr>
              <w:t>30.2</w:t>
            </w:r>
          </w:p>
        </w:tc>
        <w:tc>
          <w:tcPr>
            <w:tcW w:w="968" w:type="dxa"/>
            <w:tcBorders>
              <w:top w:val="nil"/>
              <w:left w:val="nil"/>
              <w:bottom w:val="nil"/>
              <w:right w:val="single" w:sz="4" w:space="0" w:color="auto"/>
            </w:tcBorders>
            <w:shd w:val="clear" w:color="000000" w:fill="FFFFFF"/>
          </w:tcPr>
          <w:p w14:paraId="429A0E2C" w14:textId="77777777" w:rsidR="00F010B4" w:rsidRPr="004E5A6E" w:rsidRDefault="00F010B4" w:rsidP="00D6295F">
            <w:pPr>
              <w:jc w:val="right"/>
              <w:rPr>
                <w:color w:val="auto"/>
                <w:sz w:val="18"/>
                <w:szCs w:val="18"/>
                <w:lang w:val="sq-AL"/>
              </w:rPr>
            </w:pPr>
            <w:r w:rsidRPr="004E5A6E">
              <w:rPr>
                <w:color w:val="auto"/>
                <w:sz w:val="18"/>
                <w:szCs w:val="18"/>
                <w:lang w:val="sq-AL"/>
              </w:rPr>
              <w:t>28.2</w:t>
            </w:r>
          </w:p>
        </w:tc>
      </w:tr>
      <w:tr w:rsidR="00F010B4" w:rsidRPr="004E5A6E" w14:paraId="78D3BED3" w14:textId="77777777" w:rsidTr="003B3804">
        <w:trPr>
          <w:trHeight w:val="119"/>
        </w:trPr>
        <w:tc>
          <w:tcPr>
            <w:tcW w:w="5684" w:type="dxa"/>
            <w:tcBorders>
              <w:top w:val="nil"/>
              <w:left w:val="single" w:sz="4" w:space="0" w:color="auto"/>
              <w:right w:val="single" w:sz="8" w:space="0" w:color="auto"/>
            </w:tcBorders>
            <w:shd w:val="clear" w:color="000000" w:fill="FFFFFF"/>
            <w:noWrap/>
            <w:vAlign w:val="center"/>
            <w:hideMark/>
          </w:tcPr>
          <w:p w14:paraId="4C6785AB" w14:textId="43E68DDA" w:rsidR="00F010B4" w:rsidRPr="004E5A6E" w:rsidRDefault="00F010B4" w:rsidP="00D6295F">
            <w:pPr>
              <w:ind w:firstLineChars="300" w:firstLine="540"/>
              <w:rPr>
                <w:color w:val="auto"/>
                <w:sz w:val="18"/>
                <w:szCs w:val="18"/>
                <w:lang w:val="sq-AL"/>
              </w:rPr>
            </w:pPr>
            <w:r w:rsidRPr="004E5A6E">
              <w:rPr>
                <w:color w:val="auto"/>
                <w:sz w:val="18"/>
                <w:szCs w:val="18"/>
                <w:lang w:val="sq-AL"/>
              </w:rPr>
              <w:t xml:space="preserve">Të </w:t>
            </w:r>
            <w:r w:rsidR="00EF20FB" w:rsidRPr="004E5A6E">
              <w:rPr>
                <w:color w:val="auto"/>
                <w:sz w:val="18"/>
                <w:szCs w:val="18"/>
                <w:lang w:val="sq-AL"/>
              </w:rPr>
              <w:t>ardhurat nga interesi (hua e KEK</w:t>
            </w:r>
            <w:r w:rsidRPr="004E5A6E">
              <w:rPr>
                <w:color w:val="auto"/>
                <w:sz w:val="18"/>
                <w:szCs w:val="18"/>
                <w:lang w:val="sq-AL"/>
              </w:rPr>
              <w:t>)</w:t>
            </w:r>
          </w:p>
        </w:tc>
        <w:tc>
          <w:tcPr>
            <w:tcW w:w="892" w:type="dxa"/>
            <w:tcBorders>
              <w:top w:val="nil"/>
              <w:left w:val="nil"/>
              <w:bottom w:val="nil"/>
              <w:right w:val="nil"/>
            </w:tcBorders>
            <w:shd w:val="clear" w:color="000000" w:fill="FFFFFF"/>
            <w:noWrap/>
            <w:vAlign w:val="center"/>
            <w:hideMark/>
          </w:tcPr>
          <w:p w14:paraId="3A7FE14A" w14:textId="77777777" w:rsidR="00F010B4" w:rsidRPr="004E5A6E" w:rsidRDefault="00F010B4" w:rsidP="00D6295F">
            <w:pPr>
              <w:jc w:val="right"/>
              <w:rPr>
                <w:color w:val="auto"/>
                <w:sz w:val="18"/>
                <w:szCs w:val="18"/>
                <w:lang w:val="sq-AL"/>
              </w:rPr>
            </w:pPr>
            <w:r w:rsidRPr="004E5A6E">
              <w:rPr>
                <w:color w:val="auto"/>
                <w:sz w:val="18"/>
                <w:szCs w:val="18"/>
                <w:lang w:val="sq-AL"/>
              </w:rPr>
              <w:t>2.7</w:t>
            </w:r>
          </w:p>
        </w:tc>
        <w:tc>
          <w:tcPr>
            <w:tcW w:w="1124" w:type="dxa"/>
            <w:tcBorders>
              <w:top w:val="nil"/>
              <w:left w:val="nil"/>
              <w:bottom w:val="nil"/>
              <w:right w:val="single" w:sz="8" w:space="0" w:color="auto"/>
            </w:tcBorders>
            <w:shd w:val="clear" w:color="000000" w:fill="FFFFFF"/>
            <w:noWrap/>
            <w:vAlign w:val="center"/>
            <w:hideMark/>
          </w:tcPr>
          <w:p w14:paraId="56F2AA80" w14:textId="77777777" w:rsidR="00F010B4" w:rsidRPr="004E5A6E" w:rsidRDefault="00F010B4" w:rsidP="00D6295F">
            <w:pPr>
              <w:jc w:val="right"/>
              <w:rPr>
                <w:color w:val="auto"/>
                <w:sz w:val="18"/>
                <w:szCs w:val="18"/>
                <w:lang w:val="sq-AL"/>
              </w:rPr>
            </w:pPr>
            <w:r w:rsidRPr="004E5A6E">
              <w:rPr>
                <w:color w:val="auto"/>
                <w:sz w:val="18"/>
                <w:szCs w:val="18"/>
                <w:lang w:val="sq-AL"/>
              </w:rPr>
              <w:t>4</w:t>
            </w:r>
          </w:p>
        </w:tc>
        <w:tc>
          <w:tcPr>
            <w:tcW w:w="968" w:type="dxa"/>
            <w:tcBorders>
              <w:top w:val="nil"/>
              <w:left w:val="nil"/>
              <w:bottom w:val="nil"/>
              <w:right w:val="single" w:sz="4" w:space="0" w:color="auto"/>
            </w:tcBorders>
            <w:shd w:val="clear" w:color="000000" w:fill="FFFFFF"/>
          </w:tcPr>
          <w:p w14:paraId="3683C971" w14:textId="77777777" w:rsidR="00F010B4" w:rsidRPr="004E5A6E" w:rsidRDefault="00F010B4" w:rsidP="00D6295F">
            <w:pPr>
              <w:jc w:val="right"/>
              <w:rPr>
                <w:color w:val="auto"/>
                <w:sz w:val="18"/>
                <w:szCs w:val="18"/>
                <w:lang w:val="sq-AL"/>
              </w:rPr>
            </w:pPr>
            <w:r w:rsidRPr="004E5A6E">
              <w:rPr>
                <w:color w:val="auto"/>
                <w:sz w:val="18"/>
                <w:szCs w:val="18"/>
                <w:lang w:val="sq-AL"/>
              </w:rPr>
              <w:t>3.0</w:t>
            </w:r>
          </w:p>
        </w:tc>
      </w:tr>
      <w:tr w:rsidR="00F010B4" w:rsidRPr="004E5A6E" w14:paraId="32E532FC" w14:textId="77777777" w:rsidTr="003B3804">
        <w:trPr>
          <w:trHeight w:val="119"/>
        </w:trPr>
        <w:tc>
          <w:tcPr>
            <w:tcW w:w="5684" w:type="dxa"/>
            <w:tcBorders>
              <w:top w:val="nil"/>
              <w:left w:val="single" w:sz="4" w:space="0" w:color="auto"/>
              <w:bottom w:val="single" w:sz="4" w:space="0" w:color="auto"/>
              <w:right w:val="single" w:sz="8" w:space="0" w:color="auto"/>
            </w:tcBorders>
            <w:shd w:val="clear" w:color="000000" w:fill="FFFFFF"/>
            <w:noWrap/>
            <w:vAlign w:val="center"/>
            <w:hideMark/>
          </w:tcPr>
          <w:p w14:paraId="6E4CAF7E" w14:textId="77777777" w:rsidR="00F010B4" w:rsidRPr="004E5A6E" w:rsidRDefault="00F010B4" w:rsidP="00D6295F">
            <w:pPr>
              <w:ind w:firstLineChars="100" w:firstLine="181"/>
              <w:rPr>
                <w:b/>
                <w:bCs/>
                <w:color w:val="auto"/>
                <w:sz w:val="18"/>
                <w:szCs w:val="18"/>
                <w:lang w:val="sq-AL"/>
              </w:rPr>
            </w:pPr>
            <w:r w:rsidRPr="004E5A6E">
              <w:rPr>
                <w:b/>
                <w:bCs/>
                <w:color w:val="auto"/>
                <w:sz w:val="18"/>
                <w:szCs w:val="18"/>
                <w:lang w:val="sq-AL"/>
              </w:rPr>
              <w:t>1.3 Mbështetja buxhetore dhe grantet</w:t>
            </w:r>
          </w:p>
        </w:tc>
        <w:tc>
          <w:tcPr>
            <w:tcW w:w="892" w:type="dxa"/>
            <w:tcBorders>
              <w:top w:val="nil"/>
              <w:left w:val="nil"/>
              <w:bottom w:val="nil"/>
              <w:right w:val="nil"/>
            </w:tcBorders>
            <w:shd w:val="clear" w:color="000000" w:fill="FFFFFF"/>
            <w:noWrap/>
            <w:vAlign w:val="center"/>
            <w:hideMark/>
          </w:tcPr>
          <w:p w14:paraId="0EF564F2" w14:textId="77777777" w:rsidR="00F010B4" w:rsidRPr="004E5A6E" w:rsidRDefault="00F010B4" w:rsidP="00D6295F">
            <w:pPr>
              <w:jc w:val="right"/>
              <w:rPr>
                <w:b/>
                <w:bCs/>
                <w:color w:val="auto"/>
                <w:sz w:val="18"/>
                <w:szCs w:val="18"/>
                <w:lang w:val="sq-AL"/>
              </w:rPr>
            </w:pPr>
            <w:r w:rsidRPr="004E5A6E">
              <w:rPr>
                <w:b/>
                <w:bCs/>
                <w:color w:val="auto"/>
                <w:sz w:val="18"/>
                <w:szCs w:val="18"/>
                <w:lang w:val="sq-AL"/>
              </w:rPr>
              <w:t>11.5</w:t>
            </w:r>
          </w:p>
        </w:tc>
        <w:tc>
          <w:tcPr>
            <w:tcW w:w="1124" w:type="dxa"/>
            <w:tcBorders>
              <w:top w:val="nil"/>
              <w:left w:val="nil"/>
              <w:bottom w:val="nil"/>
              <w:right w:val="single" w:sz="8" w:space="0" w:color="auto"/>
            </w:tcBorders>
            <w:shd w:val="clear" w:color="000000" w:fill="FFFFFF"/>
            <w:noWrap/>
            <w:vAlign w:val="center"/>
            <w:hideMark/>
          </w:tcPr>
          <w:p w14:paraId="772E483D" w14:textId="77777777" w:rsidR="00F010B4" w:rsidRPr="004E5A6E" w:rsidRDefault="00F010B4" w:rsidP="00D6295F">
            <w:pPr>
              <w:jc w:val="right"/>
              <w:rPr>
                <w:b/>
                <w:bCs/>
                <w:color w:val="auto"/>
                <w:sz w:val="18"/>
                <w:szCs w:val="18"/>
                <w:lang w:val="sq-AL"/>
              </w:rPr>
            </w:pPr>
            <w:r w:rsidRPr="004E5A6E">
              <w:rPr>
                <w:b/>
                <w:bCs/>
                <w:color w:val="auto"/>
                <w:sz w:val="18"/>
                <w:szCs w:val="18"/>
                <w:lang w:val="sq-AL"/>
              </w:rPr>
              <w:t>34.4</w:t>
            </w:r>
          </w:p>
        </w:tc>
        <w:tc>
          <w:tcPr>
            <w:tcW w:w="968" w:type="dxa"/>
            <w:tcBorders>
              <w:top w:val="nil"/>
              <w:left w:val="nil"/>
              <w:bottom w:val="nil"/>
              <w:right w:val="single" w:sz="4" w:space="0" w:color="auto"/>
            </w:tcBorders>
            <w:shd w:val="clear" w:color="000000" w:fill="FFFFFF"/>
          </w:tcPr>
          <w:p w14:paraId="4596526E" w14:textId="77777777" w:rsidR="00F010B4" w:rsidRPr="004E5A6E" w:rsidRDefault="00F010B4" w:rsidP="00D6295F">
            <w:pPr>
              <w:jc w:val="right"/>
              <w:rPr>
                <w:b/>
                <w:bCs/>
                <w:color w:val="auto"/>
                <w:sz w:val="18"/>
                <w:szCs w:val="18"/>
                <w:lang w:val="sq-AL"/>
              </w:rPr>
            </w:pPr>
            <w:r w:rsidRPr="004E5A6E">
              <w:rPr>
                <w:b/>
                <w:bCs/>
                <w:color w:val="auto"/>
                <w:sz w:val="18"/>
                <w:szCs w:val="18"/>
                <w:lang w:val="sq-AL"/>
              </w:rPr>
              <w:t>10.0</w:t>
            </w:r>
          </w:p>
        </w:tc>
      </w:tr>
      <w:tr w:rsidR="00F010B4" w:rsidRPr="004E5A6E" w14:paraId="4F6DD9EA" w14:textId="77777777" w:rsidTr="003B3804">
        <w:trPr>
          <w:trHeight w:val="103"/>
        </w:trPr>
        <w:tc>
          <w:tcPr>
            <w:tcW w:w="5684" w:type="dxa"/>
            <w:tcBorders>
              <w:top w:val="single" w:sz="4" w:space="0" w:color="auto"/>
              <w:left w:val="single" w:sz="4" w:space="0" w:color="auto"/>
              <w:bottom w:val="nil"/>
              <w:right w:val="single" w:sz="8" w:space="0" w:color="auto"/>
            </w:tcBorders>
            <w:shd w:val="clear" w:color="000000" w:fill="FFFFFF"/>
            <w:noWrap/>
            <w:vAlign w:val="center"/>
            <w:hideMark/>
          </w:tcPr>
          <w:p w14:paraId="1DE1AC0A" w14:textId="77777777" w:rsidR="00F010B4" w:rsidRPr="004E5A6E" w:rsidRDefault="00F010B4" w:rsidP="00D6295F">
            <w:pPr>
              <w:rPr>
                <w:b/>
                <w:bCs/>
                <w:color w:val="auto"/>
                <w:sz w:val="18"/>
                <w:szCs w:val="18"/>
                <w:lang w:val="sq-AL"/>
              </w:rPr>
            </w:pPr>
            <w:r w:rsidRPr="004E5A6E">
              <w:rPr>
                <w:b/>
                <w:bCs/>
                <w:color w:val="auto"/>
                <w:sz w:val="18"/>
                <w:szCs w:val="18"/>
                <w:lang w:val="sq-AL"/>
              </w:rPr>
              <w:t>2. Shpenzimet totale</w:t>
            </w:r>
          </w:p>
        </w:tc>
        <w:tc>
          <w:tcPr>
            <w:tcW w:w="892" w:type="dxa"/>
            <w:tcBorders>
              <w:top w:val="single" w:sz="8" w:space="0" w:color="auto"/>
              <w:left w:val="nil"/>
              <w:bottom w:val="nil"/>
              <w:right w:val="nil"/>
            </w:tcBorders>
            <w:shd w:val="clear" w:color="000000" w:fill="FFFFFF"/>
            <w:noWrap/>
            <w:vAlign w:val="center"/>
            <w:hideMark/>
          </w:tcPr>
          <w:p w14:paraId="7591C1D6" w14:textId="77777777" w:rsidR="00F010B4" w:rsidRPr="004E5A6E" w:rsidRDefault="00F010B4" w:rsidP="00D6295F">
            <w:pPr>
              <w:jc w:val="right"/>
              <w:rPr>
                <w:b/>
                <w:bCs/>
                <w:color w:val="auto"/>
                <w:sz w:val="18"/>
                <w:szCs w:val="18"/>
                <w:lang w:val="sq-AL"/>
              </w:rPr>
            </w:pPr>
            <w:r w:rsidRPr="004E5A6E">
              <w:rPr>
                <w:b/>
                <w:bCs/>
                <w:color w:val="auto"/>
                <w:sz w:val="18"/>
                <w:szCs w:val="18"/>
                <w:lang w:val="sq-AL"/>
              </w:rPr>
              <w:t>2,093.4</w:t>
            </w:r>
          </w:p>
        </w:tc>
        <w:tc>
          <w:tcPr>
            <w:tcW w:w="1124" w:type="dxa"/>
            <w:tcBorders>
              <w:top w:val="single" w:sz="8" w:space="0" w:color="auto"/>
              <w:left w:val="nil"/>
              <w:bottom w:val="nil"/>
              <w:right w:val="single" w:sz="8" w:space="0" w:color="auto"/>
            </w:tcBorders>
            <w:shd w:val="clear" w:color="000000" w:fill="FFFFFF"/>
            <w:noWrap/>
            <w:vAlign w:val="center"/>
            <w:hideMark/>
          </w:tcPr>
          <w:p w14:paraId="73C63682" w14:textId="77777777" w:rsidR="00F010B4" w:rsidRPr="004E5A6E" w:rsidRDefault="00F010B4" w:rsidP="00D6295F">
            <w:pPr>
              <w:jc w:val="right"/>
              <w:rPr>
                <w:b/>
                <w:bCs/>
                <w:color w:val="auto"/>
                <w:sz w:val="18"/>
                <w:szCs w:val="18"/>
                <w:lang w:val="sq-AL"/>
              </w:rPr>
            </w:pPr>
            <w:r w:rsidRPr="004E5A6E">
              <w:rPr>
                <w:b/>
                <w:bCs/>
                <w:color w:val="auto"/>
                <w:sz w:val="18"/>
                <w:szCs w:val="18"/>
                <w:lang w:val="sq-AL"/>
              </w:rPr>
              <w:t>2,620.4</w:t>
            </w:r>
          </w:p>
        </w:tc>
        <w:tc>
          <w:tcPr>
            <w:tcW w:w="968" w:type="dxa"/>
            <w:tcBorders>
              <w:top w:val="single" w:sz="8" w:space="0" w:color="auto"/>
              <w:left w:val="nil"/>
              <w:bottom w:val="nil"/>
              <w:right w:val="single" w:sz="4" w:space="0" w:color="auto"/>
            </w:tcBorders>
            <w:shd w:val="clear" w:color="000000" w:fill="FFFFFF"/>
          </w:tcPr>
          <w:p w14:paraId="16261E87" w14:textId="77777777" w:rsidR="00F010B4" w:rsidRPr="004E5A6E" w:rsidRDefault="00F010B4" w:rsidP="00D6295F">
            <w:pPr>
              <w:jc w:val="right"/>
              <w:rPr>
                <w:b/>
                <w:bCs/>
                <w:color w:val="auto"/>
                <w:sz w:val="18"/>
                <w:szCs w:val="18"/>
                <w:lang w:val="sq-AL"/>
              </w:rPr>
            </w:pPr>
            <w:r w:rsidRPr="004E5A6E">
              <w:rPr>
                <w:b/>
                <w:bCs/>
                <w:color w:val="auto"/>
                <w:sz w:val="18"/>
                <w:szCs w:val="18"/>
                <w:lang w:val="sq-AL"/>
              </w:rPr>
              <w:t>1698.9</w:t>
            </w:r>
          </w:p>
        </w:tc>
      </w:tr>
      <w:tr w:rsidR="00F010B4" w:rsidRPr="004E5A6E" w14:paraId="22443166" w14:textId="77777777" w:rsidTr="003B3804">
        <w:trPr>
          <w:trHeight w:val="119"/>
        </w:trPr>
        <w:tc>
          <w:tcPr>
            <w:tcW w:w="5684" w:type="dxa"/>
            <w:tcBorders>
              <w:top w:val="nil"/>
              <w:left w:val="single" w:sz="4" w:space="0" w:color="auto"/>
              <w:bottom w:val="nil"/>
              <w:right w:val="single" w:sz="8" w:space="0" w:color="auto"/>
            </w:tcBorders>
            <w:shd w:val="clear" w:color="000000" w:fill="FFFFFF"/>
            <w:noWrap/>
            <w:vAlign w:val="center"/>
            <w:hideMark/>
          </w:tcPr>
          <w:p w14:paraId="444DBAAD" w14:textId="77777777" w:rsidR="00F010B4" w:rsidRPr="004E5A6E" w:rsidRDefault="00F010B4" w:rsidP="00D6295F">
            <w:pPr>
              <w:ind w:firstLineChars="100" w:firstLine="181"/>
              <w:rPr>
                <w:b/>
                <w:bCs/>
                <w:color w:val="auto"/>
                <w:sz w:val="18"/>
                <w:szCs w:val="18"/>
                <w:lang w:val="sq-AL"/>
              </w:rPr>
            </w:pPr>
            <w:r w:rsidRPr="004E5A6E">
              <w:rPr>
                <w:b/>
                <w:bCs/>
                <w:color w:val="auto"/>
                <w:sz w:val="18"/>
                <w:szCs w:val="18"/>
                <w:lang w:val="sq-AL"/>
              </w:rPr>
              <w:t>2.1 Shpenzimet e përsëritura</w:t>
            </w:r>
          </w:p>
        </w:tc>
        <w:tc>
          <w:tcPr>
            <w:tcW w:w="892" w:type="dxa"/>
            <w:tcBorders>
              <w:top w:val="nil"/>
              <w:left w:val="nil"/>
              <w:bottom w:val="nil"/>
              <w:right w:val="nil"/>
            </w:tcBorders>
            <w:shd w:val="clear" w:color="000000" w:fill="FFFFFF"/>
            <w:noWrap/>
            <w:vAlign w:val="center"/>
            <w:hideMark/>
          </w:tcPr>
          <w:p w14:paraId="74FF626D" w14:textId="77777777" w:rsidR="00F010B4" w:rsidRPr="004E5A6E" w:rsidRDefault="00F010B4" w:rsidP="00D6295F">
            <w:pPr>
              <w:jc w:val="right"/>
              <w:rPr>
                <w:b/>
                <w:bCs/>
                <w:color w:val="auto"/>
                <w:sz w:val="18"/>
                <w:szCs w:val="18"/>
                <w:lang w:val="sq-AL"/>
              </w:rPr>
            </w:pPr>
            <w:r w:rsidRPr="004E5A6E">
              <w:rPr>
                <w:b/>
                <w:bCs/>
                <w:color w:val="auto"/>
                <w:sz w:val="18"/>
                <w:szCs w:val="18"/>
                <w:lang w:val="sq-AL"/>
              </w:rPr>
              <w:t>1,538.8</w:t>
            </w:r>
          </w:p>
        </w:tc>
        <w:tc>
          <w:tcPr>
            <w:tcW w:w="1124" w:type="dxa"/>
            <w:tcBorders>
              <w:top w:val="nil"/>
              <w:left w:val="nil"/>
              <w:bottom w:val="nil"/>
              <w:right w:val="single" w:sz="8" w:space="0" w:color="auto"/>
            </w:tcBorders>
            <w:shd w:val="clear" w:color="000000" w:fill="FFFFFF"/>
            <w:noWrap/>
            <w:vAlign w:val="center"/>
            <w:hideMark/>
          </w:tcPr>
          <w:p w14:paraId="046FD8CD" w14:textId="77777777" w:rsidR="00F010B4" w:rsidRPr="004E5A6E" w:rsidRDefault="00F010B4" w:rsidP="00D6295F">
            <w:pPr>
              <w:jc w:val="right"/>
              <w:rPr>
                <w:b/>
                <w:bCs/>
                <w:color w:val="auto"/>
                <w:sz w:val="18"/>
                <w:szCs w:val="18"/>
                <w:lang w:val="sq-AL"/>
              </w:rPr>
            </w:pPr>
            <w:r w:rsidRPr="004E5A6E">
              <w:rPr>
                <w:b/>
                <w:bCs/>
                <w:color w:val="auto"/>
                <w:sz w:val="18"/>
                <w:szCs w:val="18"/>
                <w:lang w:val="sq-AL"/>
              </w:rPr>
              <w:t>1,860.5</w:t>
            </w:r>
          </w:p>
        </w:tc>
        <w:tc>
          <w:tcPr>
            <w:tcW w:w="968" w:type="dxa"/>
            <w:tcBorders>
              <w:top w:val="nil"/>
              <w:left w:val="nil"/>
              <w:bottom w:val="nil"/>
              <w:right w:val="single" w:sz="4" w:space="0" w:color="auto"/>
            </w:tcBorders>
            <w:shd w:val="clear" w:color="000000" w:fill="FFFFFF"/>
          </w:tcPr>
          <w:p w14:paraId="51DCE4D9" w14:textId="77777777" w:rsidR="00F010B4" w:rsidRPr="004E5A6E" w:rsidRDefault="00F010B4" w:rsidP="00D6295F">
            <w:pPr>
              <w:jc w:val="right"/>
              <w:rPr>
                <w:b/>
                <w:bCs/>
                <w:color w:val="auto"/>
                <w:sz w:val="18"/>
                <w:szCs w:val="18"/>
                <w:lang w:val="sq-AL"/>
              </w:rPr>
            </w:pPr>
            <w:r w:rsidRPr="004E5A6E">
              <w:rPr>
                <w:b/>
                <w:bCs/>
                <w:color w:val="auto"/>
                <w:sz w:val="18"/>
                <w:szCs w:val="18"/>
                <w:lang w:val="sq-AL"/>
              </w:rPr>
              <w:t>1427.1</w:t>
            </w:r>
          </w:p>
        </w:tc>
      </w:tr>
      <w:tr w:rsidR="00F010B4" w:rsidRPr="004E5A6E" w14:paraId="79D59CB2" w14:textId="77777777" w:rsidTr="003B3804">
        <w:trPr>
          <w:trHeight w:val="119"/>
        </w:trPr>
        <w:tc>
          <w:tcPr>
            <w:tcW w:w="5684" w:type="dxa"/>
            <w:tcBorders>
              <w:top w:val="nil"/>
              <w:left w:val="single" w:sz="4" w:space="0" w:color="auto"/>
              <w:bottom w:val="nil"/>
              <w:right w:val="single" w:sz="8" w:space="0" w:color="auto"/>
            </w:tcBorders>
            <w:shd w:val="clear" w:color="000000" w:fill="FFFFFF"/>
            <w:noWrap/>
            <w:vAlign w:val="center"/>
            <w:hideMark/>
          </w:tcPr>
          <w:p w14:paraId="2D27E45B" w14:textId="04FAFC51" w:rsidR="00F010B4" w:rsidRPr="004E5A6E" w:rsidRDefault="00B414AE" w:rsidP="00D6295F">
            <w:pPr>
              <w:ind w:firstLineChars="300" w:firstLine="540"/>
              <w:rPr>
                <w:iCs/>
                <w:color w:val="auto"/>
                <w:sz w:val="18"/>
                <w:szCs w:val="18"/>
                <w:lang w:val="sq-AL"/>
              </w:rPr>
            </w:pPr>
            <w:r w:rsidRPr="004E5A6E">
              <w:rPr>
                <w:iCs/>
                <w:color w:val="auto"/>
                <w:sz w:val="18"/>
                <w:szCs w:val="18"/>
                <w:lang w:val="sq-AL"/>
              </w:rPr>
              <w:t>Pagat dhe shtesat</w:t>
            </w:r>
          </w:p>
        </w:tc>
        <w:tc>
          <w:tcPr>
            <w:tcW w:w="892" w:type="dxa"/>
            <w:tcBorders>
              <w:top w:val="nil"/>
              <w:left w:val="nil"/>
              <w:bottom w:val="nil"/>
              <w:right w:val="nil"/>
            </w:tcBorders>
            <w:shd w:val="clear" w:color="000000" w:fill="FFFFFF"/>
            <w:noWrap/>
            <w:vAlign w:val="center"/>
            <w:hideMark/>
          </w:tcPr>
          <w:p w14:paraId="6E7049C7" w14:textId="77777777" w:rsidR="00F010B4" w:rsidRPr="004E5A6E" w:rsidRDefault="00F010B4" w:rsidP="00D6295F">
            <w:pPr>
              <w:jc w:val="right"/>
              <w:rPr>
                <w:color w:val="auto"/>
                <w:sz w:val="18"/>
                <w:szCs w:val="18"/>
                <w:lang w:val="sq-AL"/>
              </w:rPr>
            </w:pPr>
            <w:r w:rsidRPr="004E5A6E">
              <w:rPr>
                <w:color w:val="auto"/>
                <w:sz w:val="18"/>
                <w:szCs w:val="18"/>
                <w:lang w:val="sq-AL"/>
              </w:rPr>
              <w:t>615.9</w:t>
            </w:r>
          </w:p>
        </w:tc>
        <w:tc>
          <w:tcPr>
            <w:tcW w:w="1124" w:type="dxa"/>
            <w:tcBorders>
              <w:top w:val="nil"/>
              <w:left w:val="nil"/>
              <w:bottom w:val="nil"/>
              <w:right w:val="single" w:sz="8" w:space="0" w:color="auto"/>
            </w:tcBorders>
            <w:shd w:val="clear" w:color="000000" w:fill="FFFFFF"/>
            <w:noWrap/>
            <w:vAlign w:val="center"/>
            <w:hideMark/>
          </w:tcPr>
          <w:p w14:paraId="64CB4583" w14:textId="77777777" w:rsidR="00F010B4" w:rsidRPr="004E5A6E" w:rsidRDefault="00F010B4" w:rsidP="00D6295F">
            <w:pPr>
              <w:jc w:val="right"/>
              <w:rPr>
                <w:color w:val="auto"/>
                <w:sz w:val="18"/>
                <w:szCs w:val="18"/>
                <w:lang w:val="sq-AL"/>
              </w:rPr>
            </w:pPr>
            <w:r w:rsidRPr="004E5A6E">
              <w:rPr>
                <w:color w:val="auto"/>
                <w:sz w:val="18"/>
                <w:szCs w:val="18"/>
                <w:lang w:val="sq-AL"/>
              </w:rPr>
              <w:t>620.7</w:t>
            </w:r>
          </w:p>
        </w:tc>
        <w:tc>
          <w:tcPr>
            <w:tcW w:w="968" w:type="dxa"/>
            <w:tcBorders>
              <w:top w:val="nil"/>
              <w:left w:val="nil"/>
              <w:bottom w:val="nil"/>
              <w:right w:val="single" w:sz="4" w:space="0" w:color="auto"/>
            </w:tcBorders>
            <w:shd w:val="clear" w:color="000000" w:fill="FFFFFF"/>
          </w:tcPr>
          <w:p w14:paraId="653693EB" w14:textId="77777777" w:rsidR="00F010B4" w:rsidRPr="004E5A6E" w:rsidRDefault="00F010B4" w:rsidP="00D6295F">
            <w:pPr>
              <w:jc w:val="right"/>
              <w:rPr>
                <w:color w:val="auto"/>
                <w:sz w:val="18"/>
                <w:szCs w:val="18"/>
                <w:lang w:val="sq-AL"/>
              </w:rPr>
            </w:pPr>
            <w:r w:rsidRPr="004E5A6E">
              <w:rPr>
                <w:color w:val="auto"/>
                <w:sz w:val="18"/>
                <w:szCs w:val="18"/>
                <w:lang w:val="sq-AL"/>
              </w:rPr>
              <w:t>541.8</w:t>
            </w:r>
          </w:p>
        </w:tc>
      </w:tr>
      <w:tr w:rsidR="00F010B4" w:rsidRPr="004E5A6E" w14:paraId="14CD7EA4" w14:textId="77777777" w:rsidTr="003B3804">
        <w:trPr>
          <w:trHeight w:val="383"/>
        </w:trPr>
        <w:tc>
          <w:tcPr>
            <w:tcW w:w="5684" w:type="dxa"/>
            <w:tcBorders>
              <w:top w:val="nil"/>
              <w:left w:val="single" w:sz="4" w:space="0" w:color="auto"/>
              <w:bottom w:val="nil"/>
              <w:right w:val="single" w:sz="8" w:space="0" w:color="auto"/>
            </w:tcBorders>
            <w:shd w:val="clear" w:color="000000" w:fill="FFFFFF"/>
            <w:noWrap/>
            <w:vAlign w:val="center"/>
            <w:hideMark/>
          </w:tcPr>
          <w:p w14:paraId="12E9624F" w14:textId="77777777" w:rsidR="00F010B4" w:rsidRPr="004E5A6E" w:rsidRDefault="00F010B4" w:rsidP="00D6295F">
            <w:pPr>
              <w:ind w:firstLineChars="300" w:firstLine="540"/>
              <w:rPr>
                <w:iCs/>
                <w:color w:val="auto"/>
                <w:sz w:val="18"/>
                <w:szCs w:val="18"/>
                <w:lang w:val="sq-AL"/>
              </w:rPr>
            </w:pPr>
            <w:r w:rsidRPr="004E5A6E">
              <w:rPr>
                <w:iCs/>
                <w:color w:val="auto"/>
                <w:sz w:val="18"/>
                <w:szCs w:val="18"/>
                <w:lang w:val="sq-AL"/>
              </w:rPr>
              <w:t>Mallrat dhe Shërbimet</w:t>
            </w:r>
          </w:p>
        </w:tc>
        <w:tc>
          <w:tcPr>
            <w:tcW w:w="892" w:type="dxa"/>
            <w:tcBorders>
              <w:top w:val="nil"/>
              <w:left w:val="nil"/>
              <w:bottom w:val="nil"/>
              <w:right w:val="nil"/>
            </w:tcBorders>
            <w:shd w:val="clear" w:color="000000" w:fill="FFFFFF"/>
            <w:noWrap/>
            <w:vAlign w:val="center"/>
            <w:hideMark/>
          </w:tcPr>
          <w:p w14:paraId="1E6D3E1A" w14:textId="77777777" w:rsidR="00F010B4" w:rsidRPr="004E5A6E" w:rsidRDefault="00F010B4" w:rsidP="00D6295F">
            <w:pPr>
              <w:jc w:val="right"/>
              <w:rPr>
                <w:color w:val="auto"/>
                <w:sz w:val="18"/>
                <w:szCs w:val="18"/>
                <w:lang w:val="sq-AL"/>
              </w:rPr>
            </w:pPr>
            <w:r w:rsidRPr="004E5A6E">
              <w:rPr>
                <w:color w:val="auto"/>
                <w:sz w:val="18"/>
                <w:szCs w:val="18"/>
                <w:lang w:val="sq-AL"/>
              </w:rPr>
              <w:t>295.6</w:t>
            </w:r>
          </w:p>
        </w:tc>
        <w:tc>
          <w:tcPr>
            <w:tcW w:w="1124" w:type="dxa"/>
            <w:tcBorders>
              <w:top w:val="nil"/>
              <w:left w:val="nil"/>
              <w:bottom w:val="nil"/>
              <w:right w:val="single" w:sz="8" w:space="0" w:color="auto"/>
            </w:tcBorders>
            <w:shd w:val="clear" w:color="000000" w:fill="FFFFFF"/>
            <w:noWrap/>
            <w:vAlign w:val="center"/>
            <w:hideMark/>
          </w:tcPr>
          <w:p w14:paraId="5FF43745" w14:textId="77777777" w:rsidR="00F010B4" w:rsidRPr="004E5A6E" w:rsidRDefault="00F010B4" w:rsidP="00D6295F">
            <w:pPr>
              <w:jc w:val="right"/>
              <w:rPr>
                <w:color w:val="auto"/>
                <w:sz w:val="18"/>
                <w:szCs w:val="18"/>
                <w:lang w:val="sq-AL"/>
              </w:rPr>
            </w:pPr>
            <w:r w:rsidRPr="004E5A6E">
              <w:rPr>
                <w:color w:val="auto"/>
                <w:sz w:val="18"/>
                <w:szCs w:val="18"/>
                <w:lang w:val="sq-AL"/>
              </w:rPr>
              <w:t>315.4</w:t>
            </w:r>
          </w:p>
        </w:tc>
        <w:tc>
          <w:tcPr>
            <w:tcW w:w="968" w:type="dxa"/>
            <w:tcBorders>
              <w:top w:val="nil"/>
              <w:left w:val="nil"/>
              <w:bottom w:val="nil"/>
              <w:right w:val="single" w:sz="4" w:space="0" w:color="auto"/>
            </w:tcBorders>
            <w:shd w:val="clear" w:color="000000" w:fill="FFFFFF"/>
          </w:tcPr>
          <w:p w14:paraId="36F94B60" w14:textId="77777777" w:rsidR="00F010B4" w:rsidRPr="004E5A6E" w:rsidRDefault="00F010B4" w:rsidP="00D6295F">
            <w:pPr>
              <w:jc w:val="right"/>
              <w:rPr>
                <w:color w:val="auto"/>
                <w:sz w:val="18"/>
                <w:szCs w:val="18"/>
                <w:lang w:val="sq-AL"/>
              </w:rPr>
            </w:pPr>
            <w:r w:rsidRPr="004E5A6E">
              <w:rPr>
                <w:color w:val="auto"/>
                <w:sz w:val="18"/>
                <w:szCs w:val="18"/>
                <w:lang w:val="sq-AL"/>
              </w:rPr>
              <w:t>210.1</w:t>
            </w:r>
          </w:p>
        </w:tc>
      </w:tr>
      <w:tr w:rsidR="00F010B4" w:rsidRPr="004E5A6E" w14:paraId="1B6812C7" w14:textId="77777777" w:rsidTr="003B3804">
        <w:trPr>
          <w:trHeight w:val="119"/>
        </w:trPr>
        <w:tc>
          <w:tcPr>
            <w:tcW w:w="5684" w:type="dxa"/>
            <w:tcBorders>
              <w:top w:val="nil"/>
              <w:left w:val="single" w:sz="4" w:space="0" w:color="auto"/>
              <w:bottom w:val="nil"/>
              <w:right w:val="single" w:sz="8" w:space="0" w:color="auto"/>
            </w:tcBorders>
            <w:shd w:val="clear" w:color="000000" w:fill="FFFFFF"/>
            <w:noWrap/>
            <w:vAlign w:val="center"/>
            <w:hideMark/>
          </w:tcPr>
          <w:p w14:paraId="2A80081C" w14:textId="77777777" w:rsidR="00F010B4" w:rsidRPr="004E5A6E" w:rsidRDefault="00F010B4" w:rsidP="00D6295F">
            <w:pPr>
              <w:ind w:firstLineChars="300" w:firstLine="540"/>
              <w:rPr>
                <w:iCs/>
                <w:color w:val="auto"/>
                <w:sz w:val="18"/>
                <w:szCs w:val="18"/>
                <w:lang w:val="sq-AL"/>
              </w:rPr>
            </w:pPr>
            <w:r w:rsidRPr="004E5A6E">
              <w:rPr>
                <w:iCs/>
                <w:color w:val="auto"/>
                <w:sz w:val="18"/>
                <w:szCs w:val="18"/>
                <w:lang w:val="sq-AL"/>
              </w:rPr>
              <w:t>Subvencionet dhe Transferet</w:t>
            </w:r>
          </w:p>
        </w:tc>
        <w:tc>
          <w:tcPr>
            <w:tcW w:w="892" w:type="dxa"/>
            <w:tcBorders>
              <w:top w:val="nil"/>
              <w:left w:val="nil"/>
              <w:bottom w:val="nil"/>
              <w:right w:val="nil"/>
            </w:tcBorders>
            <w:shd w:val="clear" w:color="000000" w:fill="FFFFFF"/>
            <w:noWrap/>
            <w:vAlign w:val="center"/>
            <w:hideMark/>
          </w:tcPr>
          <w:p w14:paraId="0CC3EC4C" w14:textId="77777777" w:rsidR="00F010B4" w:rsidRPr="004E5A6E" w:rsidRDefault="00F010B4" w:rsidP="00D6295F">
            <w:pPr>
              <w:jc w:val="right"/>
              <w:rPr>
                <w:color w:val="auto"/>
                <w:sz w:val="18"/>
                <w:szCs w:val="18"/>
                <w:lang w:val="sq-AL"/>
              </w:rPr>
            </w:pPr>
            <w:r w:rsidRPr="004E5A6E">
              <w:rPr>
                <w:color w:val="auto"/>
                <w:sz w:val="18"/>
                <w:szCs w:val="18"/>
                <w:lang w:val="sq-AL"/>
              </w:rPr>
              <w:t>627.3</w:t>
            </w:r>
          </w:p>
        </w:tc>
        <w:tc>
          <w:tcPr>
            <w:tcW w:w="1124" w:type="dxa"/>
            <w:tcBorders>
              <w:top w:val="nil"/>
              <w:left w:val="nil"/>
              <w:bottom w:val="nil"/>
              <w:right w:val="single" w:sz="8" w:space="0" w:color="auto"/>
            </w:tcBorders>
            <w:shd w:val="clear" w:color="000000" w:fill="FFFFFF"/>
            <w:noWrap/>
            <w:vAlign w:val="center"/>
            <w:hideMark/>
          </w:tcPr>
          <w:p w14:paraId="534CD615" w14:textId="77777777" w:rsidR="00F010B4" w:rsidRPr="004E5A6E" w:rsidRDefault="00F010B4" w:rsidP="00D6295F">
            <w:pPr>
              <w:jc w:val="right"/>
              <w:rPr>
                <w:color w:val="auto"/>
                <w:sz w:val="18"/>
                <w:szCs w:val="18"/>
                <w:lang w:val="sq-AL"/>
              </w:rPr>
            </w:pPr>
            <w:r w:rsidRPr="004E5A6E">
              <w:rPr>
                <w:color w:val="auto"/>
                <w:sz w:val="18"/>
                <w:szCs w:val="18"/>
                <w:lang w:val="sq-AL"/>
              </w:rPr>
              <w:t>678.6</w:t>
            </w:r>
          </w:p>
        </w:tc>
        <w:tc>
          <w:tcPr>
            <w:tcW w:w="968" w:type="dxa"/>
            <w:tcBorders>
              <w:top w:val="nil"/>
              <w:left w:val="nil"/>
              <w:bottom w:val="nil"/>
              <w:right w:val="single" w:sz="4" w:space="0" w:color="auto"/>
            </w:tcBorders>
            <w:shd w:val="clear" w:color="000000" w:fill="FFFFFF"/>
          </w:tcPr>
          <w:p w14:paraId="45BDBF7E" w14:textId="77777777" w:rsidR="00F010B4" w:rsidRPr="004E5A6E" w:rsidRDefault="00F010B4" w:rsidP="00D6295F">
            <w:pPr>
              <w:jc w:val="right"/>
              <w:rPr>
                <w:color w:val="auto"/>
                <w:sz w:val="18"/>
                <w:szCs w:val="18"/>
                <w:highlight w:val="yellow"/>
                <w:lang w:val="sq-AL"/>
              </w:rPr>
            </w:pPr>
            <w:r w:rsidRPr="004E5A6E">
              <w:rPr>
                <w:color w:val="auto"/>
                <w:sz w:val="18"/>
                <w:szCs w:val="18"/>
                <w:lang w:val="sq-AL"/>
              </w:rPr>
              <w:t>675.1</w:t>
            </w:r>
          </w:p>
        </w:tc>
      </w:tr>
      <w:tr w:rsidR="00F010B4" w:rsidRPr="004E5A6E" w14:paraId="3346C56F" w14:textId="77777777" w:rsidTr="003B3804">
        <w:trPr>
          <w:trHeight w:val="119"/>
        </w:trPr>
        <w:tc>
          <w:tcPr>
            <w:tcW w:w="5684" w:type="dxa"/>
            <w:tcBorders>
              <w:top w:val="nil"/>
              <w:left w:val="single" w:sz="4" w:space="0" w:color="auto"/>
              <w:bottom w:val="nil"/>
              <w:right w:val="single" w:sz="8" w:space="0" w:color="auto"/>
            </w:tcBorders>
            <w:shd w:val="clear" w:color="000000" w:fill="FFFFFF"/>
            <w:noWrap/>
            <w:vAlign w:val="center"/>
            <w:hideMark/>
          </w:tcPr>
          <w:p w14:paraId="02A51325" w14:textId="77777777" w:rsidR="00F010B4" w:rsidRPr="004E5A6E" w:rsidRDefault="00F010B4" w:rsidP="00D6295F">
            <w:pPr>
              <w:rPr>
                <w:b/>
                <w:bCs/>
                <w:color w:val="auto"/>
                <w:sz w:val="18"/>
                <w:szCs w:val="18"/>
                <w:lang w:val="sq-AL"/>
              </w:rPr>
            </w:pPr>
            <w:r w:rsidRPr="004E5A6E">
              <w:rPr>
                <w:b/>
                <w:bCs/>
                <w:color w:val="auto"/>
                <w:sz w:val="18"/>
                <w:szCs w:val="18"/>
                <w:lang w:val="sq-AL"/>
              </w:rPr>
              <w:t>Programi i Rimëkëmbjes Ekonomike</w:t>
            </w:r>
          </w:p>
        </w:tc>
        <w:tc>
          <w:tcPr>
            <w:tcW w:w="892" w:type="dxa"/>
            <w:tcBorders>
              <w:top w:val="nil"/>
              <w:left w:val="nil"/>
              <w:bottom w:val="nil"/>
              <w:right w:val="nil"/>
            </w:tcBorders>
            <w:shd w:val="clear" w:color="000000" w:fill="FFFFFF"/>
            <w:noWrap/>
            <w:vAlign w:val="center"/>
            <w:hideMark/>
          </w:tcPr>
          <w:p w14:paraId="11DC246C" w14:textId="77777777" w:rsidR="00F010B4" w:rsidRPr="004E5A6E" w:rsidRDefault="00F010B4" w:rsidP="00D6295F">
            <w:pPr>
              <w:jc w:val="right"/>
              <w:rPr>
                <w:b/>
                <w:bCs/>
                <w:color w:val="auto"/>
                <w:sz w:val="18"/>
                <w:szCs w:val="18"/>
                <w:lang w:val="sq-AL"/>
              </w:rPr>
            </w:pPr>
            <w:r w:rsidRPr="004E5A6E">
              <w:rPr>
                <w:b/>
                <w:bCs/>
                <w:color w:val="auto"/>
                <w:sz w:val="18"/>
                <w:szCs w:val="18"/>
                <w:lang w:val="sq-AL"/>
              </w:rPr>
              <w:t>0</w:t>
            </w:r>
          </w:p>
        </w:tc>
        <w:tc>
          <w:tcPr>
            <w:tcW w:w="1124" w:type="dxa"/>
            <w:tcBorders>
              <w:top w:val="nil"/>
              <w:left w:val="nil"/>
              <w:bottom w:val="nil"/>
              <w:right w:val="single" w:sz="8" w:space="0" w:color="auto"/>
            </w:tcBorders>
            <w:shd w:val="clear" w:color="000000" w:fill="FFFFFF"/>
            <w:noWrap/>
            <w:vAlign w:val="center"/>
            <w:hideMark/>
          </w:tcPr>
          <w:p w14:paraId="456DFCA2" w14:textId="77777777" w:rsidR="00F010B4" w:rsidRPr="004E5A6E" w:rsidRDefault="00F010B4" w:rsidP="00D6295F">
            <w:pPr>
              <w:jc w:val="right"/>
              <w:rPr>
                <w:b/>
                <w:bCs/>
                <w:color w:val="auto"/>
                <w:sz w:val="18"/>
                <w:szCs w:val="18"/>
                <w:lang w:val="sq-AL"/>
              </w:rPr>
            </w:pPr>
            <w:r w:rsidRPr="004E5A6E">
              <w:rPr>
                <w:b/>
                <w:bCs/>
                <w:color w:val="auto"/>
                <w:sz w:val="18"/>
                <w:szCs w:val="18"/>
                <w:lang w:val="sq-AL"/>
              </w:rPr>
              <w:t>364.6</w:t>
            </w:r>
          </w:p>
        </w:tc>
        <w:tc>
          <w:tcPr>
            <w:tcW w:w="968" w:type="dxa"/>
            <w:tcBorders>
              <w:top w:val="nil"/>
              <w:left w:val="nil"/>
              <w:bottom w:val="nil"/>
              <w:right w:val="single" w:sz="4" w:space="0" w:color="auto"/>
            </w:tcBorders>
            <w:shd w:val="clear" w:color="000000" w:fill="FFFFFF"/>
          </w:tcPr>
          <w:p w14:paraId="2781A294" w14:textId="0B68E824" w:rsidR="00F010B4" w:rsidRPr="004E5A6E" w:rsidRDefault="00B414AE" w:rsidP="00D6295F">
            <w:pPr>
              <w:jc w:val="right"/>
              <w:rPr>
                <w:b/>
                <w:bCs/>
                <w:color w:val="auto"/>
                <w:sz w:val="18"/>
                <w:szCs w:val="18"/>
                <w:lang w:val="sq-AL"/>
              </w:rPr>
            </w:pPr>
            <w:r w:rsidRPr="004E5A6E">
              <w:rPr>
                <w:b/>
                <w:bCs/>
                <w:color w:val="auto"/>
                <w:sz w:val="18"/>
                <w:szCs w:val="18"/>
                <w:lang w:val="sq-AL"/>
              </w:rPr>
              <w:t>210.3</w:t>
            </w:r>
          </w:p>
        </w:tc>
      </w:tr>
      <w:tr w:rsidR="00B414AE" w:rsidRPr="004E5A6E" w14:paraId="3705F995" w14:textId="77777777" w:rsidTr="003B3804">
        <w:trPr>
          <w:trHeight w:val="119"/>
        </w:trPr>
        <w:tc>
          <w:tcPr>
            <w:tcW w:w="5684" w:type="dxa"/>
            <w:tcBorders>
              <w:top w:val="nil"/>
              <w:left w:val="single" w:sz="4" w:space="0" w:color="auto"/>
              <w:bottom w:val="nil"/>
              <w:right w:val="single" w:sz="8" w:space="0" w:color="auto"/>
            </w:tcBorders>
            <w:shd w:val="clear" w:color="000000" w:fill="FFFFFF"/>
            <w:noWrap/>
            <w:vAlign w:val="center"/>
          </w:tcPr>
          <w:p w14:paraId="1B724F0F" w14:textId="56CE0FC9" w:rsidR="00B414AE" w:rsidRPr="004E5A6E" w:rsidRDefault="00B414AE" w:rsidP="00B414AE">
            <w:pPr>
              <w:jc w:val="center"/>
              <w:rPr>
                <w:bCs/>
                <w:i/>
                <w:color w:val="auto"/>
                <w:sz w:val="18"/>
                <w:szCs w:val="18"/>
                <w:lang w:val="sq-AL"/>
              </w:rPr>
            </w:pPr>
            <w:r w:rsidRPr="004E5A6E">
              <w:rPr>
                <w:bCs/>
                <w:i/>
                <w:color w:val="auto"/>
                <w:sz w:val="18"/>
                <w:szCs w:val="18"/>
                <w:lang w:val="sq-AL"/>
              </w:rPr>
              <w:t>nga të cilat: Pagat dhe Shtesat</w:t>
            </w:r>
          </w:p>
        </w:tc>
        <w:tc>
          <w:tcPr>
            <w:tcW w:w="892" w:type="dxa"/>
            <w:tcBorders>
              <w:top w:val="nil"/>
              <w:left w:val="nil"/>
              <w:bottom w:val="nil"/>
              <w:right w:val="nil"/>
            </w:tcBorders>
            <w:shd w:val="clear" w:color="000000" w:fill="FFFFFF"/>
            <w:noWrap/>
            <w:vAlign w:val="center"/>
          </w:tcPr>
          <w:p w14:paraId="0B4FB4D7" w14:textId="77777777" w:rsidR="00B414AE" w:rsidRPr="004E5A6E" w:rsidRDefault="00B414AE" w:rsidP="00D6295F">
            <w:pPr>
              <w:jc w:val="right"/>
              <w:rPr>
                <w:b/>
                <w:bCs/>
                <w:color w:val="auto"/>
                <w:sz w:val="18"/>
                <w:szCs w:val="18"/>
                <w:lang w:val="sq-AL"/>
              </w:rPr>
            </w:pPr>
          </w:p>
        </w:tc>
        <w:tc>
          <w:tcPr>
            <w:tcW w:w="1124" w:type="dxa"/>
            <w:tcBorders>
              <w:top w:val="nil"/>
              <w:left w:val="nil"/>
              <w:bottom w:val="nil"/>
              <w:right w:val="single" w:sz="8" w:space="0" w:color="auto"/>
            </w:tcBorders>
            <w:shd w:val="clear" w:color="000000" w:fill="FFFFFF"/>
            <w:noWrap/>
            <w:vAlign w:val="center"/>
          </w:tcPr>
          <w:p w14:paraId="0BD94D0A" w14:textId="77777777" w:rsidR="00B414AE" w:rsidRPr="004E5A6E" w:rsidRDefault="00B414AE" w:rsidP="00D6295F">
            <w:pPr>
              <w:jc w:val="right"/>
              <w:rPr>
                <w:b/>
                <w:bCs/>
                <w:color w:val="auto"/>
                <w:sz w:val="18"/>
                <w:szCs w:val="18"/>
                <w:lang w:val="sq-AL"/>
              </w:rPr>
            </w:pPr>
          </w:p>
        </w:tc>
        <w:tc>
          <w:tcPr>
            <w:tcW w:w="968" w:type="dxa"/>
            <w:tcBorders>
              <w:top w:val="nil"/>
              <w:left w:val="nil"/>
              <w:bottom w:val="nil"/>
              <w:right w:val="single" w:sz="4" w:space="0" w:color="auto"/>
            </w:tcBorders>
            <w:shd w:val="clear" w:color="000000" w:fill="FFFFFF"/>
          </w:tcPr>
          <w:p w14:paraId="2A6D1D33" w14:textId="529E66C6" w:rsidR="00B414AE" w:rsidRPr="004E5A6E" w:rsidRDefault="00B414AE" w:rsidP="00D6295F">
            <w:pPr>
              <w:jc w:val="right"/>
              <w:rPr>
                <w:bCs/>
                <w:color w:val="auto"/>
                <w:sz w:val="18"/>
                <w:szCs w:val="18"/>
                <w:lang w:val="sq-AL"/>
              </w:rPr>
            </w:pPr>
            <w:r w:rsidRPr="004E5A6E">
              <w:rPr>
                <w:bCs/>
                <w:color w:val="auto"/>
                <w:sz w:val="18"/>
                <w:szCs w:val="18"/>
                <w:lang w:val="sq-AL"/>
              </w:rPr>
              <w:t>22.5</w:t>
            </w:r>
          </w:p>
        </w:tc>
      </w:tr>
      <w:tr w:rsidR="00B414AE" w:rsidRPr="004E5A6E" w14:paraId="655E9220" w14:textId="77777777" w:rsidTr="003B3804">
        <w:trPr>
          <w:trHeight w:val="250"/>
        </w:trPr>
        <w:tc>
          <w:tcPr>
            <w:tcW w:w="5684" w:type="dxa"/>
            <w:tcBorders>
              <w:top w:val="nil"/>
              <w:left w:val="single" w:sz="4" w:space="0" w:color="auto"/>
              <w:bottom w:val="nil"/>
              <w:right w:val="single" w:sz="8" w:space="0" w:color="auto"/>
            </w:tcBorders>
            <w:shd w:val="clear" w:color="000000" w:fill="FFFFFF"/>
            <w:noWrap/>
            <w:vAlign w:val="center"/>
          </w:tcPr>
          <w:p w14:paraId="47BDF02F" w14:textId="7180C551" w:rsidR="00B414AE" w:rsidRPr="004E5A6E" w:rsidRDefault="00B414AE" w:rsidP="00B414AE">
            <w:pPr>
              <w:rPr>
                <w:bCs/>
                <w:i/>
                <w:color w:val="auto"/>
                <w:sz w:val="18"/>
                <w:szCs w:val="18"/>
                <w:lang w:val="sq-AL"/>
              </w:rPr>
            </w:pPr>
            <w:r w:rsidRPr="004E5A6E">
              <w:rPr>
                <w:bCs/>
                <w:i/>
                <w:color w:val="auto"/>
                <w:sz w:val="18"/>
                <w:szCs w:val="18"/>
                <w:lang w:val="sq-AL"/>
              </w:rPr>
              <w:t xml:space="preserve">                                       Mallrat dhe Shërbimet</w:t>
            </w:r>
          </w:p>
        </w:tc>
        <w:tc>
          <w:tcPr>
            <w:tcW w:w="892" w:type="dxa"/>
            <w:tcBorders>
              <w:top w:val="nil"/>
              <w:left w:val="nil"/>
              <w:bottom w:val="nil"/>
              <w:right w:val="nil"/>
            </w:tcBorders>
            <w:shd w:val="clear" w:color="000000" w:fill="FFFFFF"/>
            <w:noWrap/>
            <w:vAlign w:val="center"/>
          </w:tcPr>
          <w:p w14:paraId="5CB40E3E" w14:textId="77777777" w:rsidR="00B414AE" w:rsidRPr="004E5A6E" w:rsidRDefault="00B414AE" w:rsidP="00D6295F">
            <w:pPr>
              <w:jc w:val="right"/>
              <w:rPr>
                <w:b/>
                <w:bCs/>
                <w:color w:val="auto"/>
                <w:sz w:val="18"/>
                <w:szCs w:val="18"/>
                <w:lang w:val="sq-AL"/>
              </w:rPr>
            </w:pPr>
          </w:p>
        </w:tc>
        <w:tc>
          <w:tcPr>
            <w:tcW w:w="1124" w:type="dxa"/>
            <w:tcBorders>
              <w:top w:val="nil"/>
              <w:left w:val="nil"/>
              <w:bottom w:val="nil"/>
              <w:right w:val="single" w:sz="8" w:space="0" w:color="auto"/>
            </w:tcBorders>
            <w:shd w:val="clear" w:color="000000" w:fill="FFFFFF"/>
            <w:noWrap/>
            <w:vAlign w:val="center"/>
          </w:tcPr>
          <w:p w14:paraId="02935232" w14:textId="77777777" w:rsidR="00B414AE" w:rsidRPr="004E5A6E" w:rsidRDefault="00B414AE" w:rsidP="00D6295F">
            <w:pPr>
              <w:jc w:val="right"/>
              <w:rPr>
                <w:b/>
                <w:bCs/>
                <w:color w:val="auto"/>
                <w:sz w:val="18"/>
                <w:szCs w:val="18"/>
                <w:lang w:val="sq-AL"/>
              </w:rPr>
            </w:pPr>
          </w:p>
        </w:tc>
        <w:tc>
          <w:tcPr>
            <w:tcW w:w="968" w:type="dxa"/>
            <w:tcBorders>
              <w:top w:val="nil"/>
              <w:left w:val="nil"/>
              <w:bottom w:val="nil"/>
              <w:right w:val="single" w:sz="4" w:space="0" w:color="auto"/>
            </w:tcBorders>
            <w:shd w:val="clear" w:color="000000" w:fill="FFFFFF"/>
          </w:tcPr>
          <w:p w14:paraId="68C4EA54" w14:textId="21D98E87" w:rsidR="00B414AE" w:rsidRPr="004E5A6E" w:rsidRDefault="00B414AE" w:rsidP="00D6295F">
            <w:pPr>
              <w:jc w:val="right"/>
              <w:rPr>
                <w:bCs/>
                <w:color w:val="auto"/>
                <w:sz w:val="18"/>
                <w:szCs w:val="18"/>
                <w:lang w:val="sq-AL"/>
              </w:rPr>
            </w:pPr>
            <w:r w:rsidRPr="004E5A6E">
              <w:rPr>
                <w:bCs/>
                <w:color w:val="auto"/>
                <w:sz w:val="18"/>
                <w:szCs w:val="18"/>
                <w:lang w:val="sq-AL"/>
              </w:rPr>
              <w:t>13.4</w:t>
            </w:r>
          </w:p>
        </w:tc>
      </w:tr>
      <w:tr w:rsidR="00B414AE" w:rsidRPr="004E5A6E" w14:paraId="1D274E55" w14:textId="77777777" w:rsidTr="003B3804">
        <w:trPr>
          <w:trHeight w:val="119"/>
        </w:trPr>
        <w:tc>
          <w:tcPr>
            <w:tcW w:w="5684" w:type="dxa"/>
            <w:tcBorders>
              <w:top w:val="nil"/>
              <w:left w:val="single" w:sz="4" w:space="0" w:color="auto"/>
              <w:bottom w:val="nil"/>
              <w:right w:val="single" w:sz="8" w:space="0" w:color="auto"/>
            </w:tcBorders>
            <w:shd w:val="clear" w:color="000000" w:fill="FFFFFF"/>
            <w:noWrap/>
            <w:vAlign w:val="center"/>
          </w:tcPr>
          <w:p w14:paraId="00042223" w14:textId="10E9B992" w:rsidR="00B414AE" w:rsidRPr="004E5A6E" w:rsidRDefault="00B414AE" w:rsidP="00B414AE">
            <w:pPr>
              <w:jc w:val="center"/>
              <w:rPr>
                <w:bCs/>
                <w:i/>
                <w:color w:val="auto"/>
                <w:sz w:val="18"/>
                <w:szCs w:val="18"/>
                <w:lang w:val="sq-AL"/>
              </w:rPr>
            </w:pPr>
            <w:r w:rsidRPr="004E5A6E">
              <w:rPr>
                <w:bCs/>
                <w:i/>
                <w:color w:val="auto"/>
                <w:sz w:val="18"/>
                <w:szCs w:val="18"/>
                <w:lang w:val="sq-AL"/>
              </w:rPr>
              <w:t>Subvencionet dhe Transferet</w:t>
            </w:r>
          </w:p>
        </w:tc>
        <w:tc>
          <w:tcPr>
            <w:tcW w:w="892" w:type="dxa"/>
            <w:tcBorders>
              <w:top w:val="nil"/>
              <w:left w:val="nil"/>
              <w:bottom w:val="nil"/>
              <w:right w:val="nil"/>
            </w:tcBorders>
            <w:shd w:val="clear" w:color="000000" w:fill="FFFFFF"/>
            <w:noWrap/>
            <w:vAlign w:val="center"/>
          </w:tcPr>
          <w:p w14:paraId="399E5435" w14:textId="77777777" w:rsidR="00B414AE" w:rsidRPr="004E5A6E" w:rsidRDefault="00B414AE" w:rsidP="00D6295F">
            <w:pPr>
              <w:jc w:val="right"/>
              <w:rPr>
                <w:b/>
                <w:bCs/>
                <w:color w:val="auto"/>
                <w:sz w:val="18"/>
                <w:szCs w:val="18"/>
                <w:lang w:val="sq-AL"/>
              </w:rPr>
            </w:pPr>
          </w:p>
        </w:tc>
        <w:tc>
          <w:tcPr>
            <w:tcW w:w="1124" w:type="dxa"/>
            <w:tcBorders>
              <w:top w:val="nil"/>
              <w:left w:val="nil"/>
              <w:bottom w:val="nil"/>
              <w:right w:val="single" w:sz="8" w:space="0" w:color="auto"/>
            </w:tcBorders>
            <w:shd w:val="clear" w:color="000000" w:fill="FFFFFF"/>
            <w:noWrap/>
            <w:vAlign w:val="center"/>
          </w:tcPr>
          <w:p w14:paraId="0A1157A4" w14:textId="77777777" w:rsidR="00B414AE" w:rsidRPr="004E5A6E" w:rsidRDefault="00B414AE" w:rsidP="00D6295F">
            <w:pPr>
              <w:jc w:val="right"/>
              <w:rPr>
                <w:b/>
                <w:bCs/>
                <w:color w:val="auto"/>
                <w:sz w:val="18"/>
                <w:szCs w:val="18"/>
                <w:lang w:val="sq-AL"/>
              </w:rPr>
            </w:pPr>
          </w:p>
        </w:tc>
        <w:tc>
          <w:tcPr>
            <w:tcW w:w="968" w:type="dxa"/>
            <w:tcBorders>
              <w:top w:val="nil"/>
              <w:left w:val="nil"/>
              <w:bottom w:val="nil"/>
              <w:right w:val="single" w:sz="4" w:space="0" w:color="auto"/>
            </w:tcBorders>
            <w:shd w:val="clear" w:color="000000" w:fill="FFFFFF"/>
          </w:tcPr>
          <w:p w14:paraId="565BDC82" w14:textId="323D874B" w:rsidR="00B414AE" w:rsidRPr="004E5A6E" w:rsidRDefault="00B414AE" w:rsidP="00D6295F">
            <w:pPr>
              <w:jc w:val="right"/>
              <w:rPr>
                <w:bCs/>
                <w:color w:val="auto"/>
                <w:sz w:val="18"/>
                <w:szCs w:val="18"/>
                <w:lang w:val="sq-AL"/>
              </w:rPr>
            </w:pPr>
            <w:r w:rsidRPr="004E5A6E">
              <w:rPr>
                <w:bCs/>
                <w:color w:val="auto"/>
                <w:sz w:val="18"/>
                <w:szCs w:val="18"/>
                <w:lang w:val="sq-AL"/>
              </w:rPr>
              <w:t>174.1</w:t>
            </w:r>
          </w:p>
        </w:tc>
      </w:tr>
      <w:tr w:rsidR="00EF20FB" w:rsidRPr="004E5A6E" w14:paraId="362265F9" w14:textId="77777777" w:rsidTr="003B3804">
        <w:trPr>
          <w:trHeight w:val="119"/>
        </w:trPr>
        <w:tc>
          <w:tcPr>
            <w:tcW w:w="5684" w:type="dxa"/>
            <w:tcBorders>
              <w:top w:val="nil"/>
              <w:left w:val="single" w:sz="4" w:space="0" w:color="auto"/>
              <w:bottom w:val="nil"/>
              <w:right w:val="single" w:sz="8" w:space="0" w:color="auto"/>
            </w:tcBorders>
            <w:shd w:val="clear" w:color="000000" w:fill="FFFFFF"/>
            <w:noWrap/>
            <w:vAlign w:val="center"/>
          </w:tcPr>
          <w:p w14:paraId="7D6263CD" w14:textId="67D8BC59" w:rsidR="00EF20FB" w:rsidRPr="004E5A6E" w:rsidRDefault="00EF20FB" w:rsidP="00EF20FB">
            <w:pPr>
              <w:rPr>
                <w:bCs/>
                <w:i/>
                <w:color w:val="auto"/>
                <w:sz w:val="18"/>
                <w:szCs w:val="18"/>
                <w:lang w:val="sq-AL"/>
              </w:rPr>
            </w:pPr>
            <w:r w:rsidRPr="004E5A6E">
              <w:rPr>
                <w:bCs/>
                <w:i/>
                <w:color w:val="auto"/>
                <w:sz w:val="18"/>
                <w:szCs w:val="18"/>
                <w:lang w:val="sq-AL"/>
              </w:rPr>
              <w:t xml:space="preserve">                                       Shpenzimet Komunale</w:t>
            </w:r>
          </w:p>
        </w:tc>
        <w:tc>
          <w:tcPr>
            <w:tcW w:w="892" w:type="dxa"/>
            <w:tcBorders>
              <w:top w:val="nil"/>
              <w:left w:val="nil"/>
              <w:bottom w:val="nil"/>
              <w:right w:val="nil"/>
            </w:tcBorders>
            <w:shd w:val="clear" w:color="000000" w:fill="FFFFFF"/>
            <w:noWrap/>
            <w:vAlign w:val="center"/>
          </w:tcPr>
          <w:p w14:paraId="429BA795" w14:textId="77777777" w:rsidR="00EF20FB" w:rsidRPr="004E5A6E" w:rsidRDefault="00EF20FB" w:rsidP="00D6295F">
            <w:pPr>
              <w:jc w:val="right"/>
              <w:rPr>
                <w:b/>
                <w:bCs/>
                <w:color w:val="auto"/>
                <w:sz w:val="18"/>
                <w:szCs w:val="18"/>
                <w:lang w:val="sq-AL"/>
              </w:rPr>
            </w:pPr>
          </w:p>
        </w:tc>
        <w:tc>
          <w:tcPr>
            <w:tcW w:w="1124" w:type="dxa"/>
            <w:tcBorders>
              <w:top w:val="nil"/>
              <w:left w:val="nil"/>
              <w:bottom w:val="nil"/>
              <w:right w:val="single" w:sz="8" w:space="0" w:color="auto"/>
            </w:tcBorders>
            <w:shd w:val="clear" w:color="000000" w:fill="FFFFFF"/>
            <w:noWrap/>
            <w:vAlign w:val="center"/>
          </w:tcPr>
          <w:p w14:paraId="6878DF8F" w14:textId="77777777" w:rsidR="00EF20FB" w:rsidRPr="004E5A6E" w:rsidRDefault="00EF20FB" w:rsidP="00D6295F">
            <w:pPr>
              <w:jc w:val="right"/>
              <w:rPr>
                <w:b/>
                <w:bCs/>
                <w:color w:val="auto"/>
                <w:sz w:val="18"/>
                <w:szCs w:val="18"/>
                <w:lang w:val="sq-AL"/>
              </w:rPr>
            </w:pPr>
          </w:p>
        </w:tc>
        <w:tc>
          <w:tcPr>
            <w:tcW w:w="968" w:type="dxa"/>
            <w:tcBorders>
              <w:top w:val="nil"/>
              <w:left w:val="nil"/>
              <w:bottom w:val="nil"/>
              <w:right w:val="single" w:sz="4" w:space="0" w:color="auto"/>
            </w:tcBorders>
            <w:shd w:val="clear" w:color="000000" w:fill="FFFFFF"/>
          </w:tcPr>
          <w:p w14:paraId="00256864" w14:textId="00BE920E" w:rsidR="00EF20FB" w:rsidRPr="004E5A6E" w:rsidRDefault="00EF20FB" w:rsidP="00D6295F">
            <w:pPr>
              <w:jc w:val="right"/>
              <w:rPr>
                <w:bCs/>
                <w:color w:val="auto"/>
                <w:sz w:val="18"/>
                <w:szCs w:val="18"/>
                <w:lang w:val="sq-AL"/>
              </w:rPr>
            </w:pPr>
            <w:r w:rsidRPr="004E5A6E">
              <w:rPr>
                <w:bCs/>
                <w:color w:val="auto"/>
                <w:sz w:val="18"/>
                <w:szCs w:val="18"/>
                <w:lang w:val="sq-AL"/>
              </w:rPr>
              <w:t>0.2</w:t>
            </w:r>
          </w:p>
        </w:tc>
      </w:tr>
      <w:tr w:rsidR="00F010B4" w:rsidRPr="004E5A6E" w14:paraId="3FD060AE" w14:textId="77777777" w:rsidTr="003B3804">
        <w:trPr>
          <w:trHeight w:val="88"/>
        </w:trPr>
        <w:tc>
          <w:tcPr>
            <w:tcW w:w="5684" w:type="dxa"/>
            <w:tcBorders>
              <w:top w:val="single" w:sz="8" w:space="0" w:color="auto"/>
              <w:left w:val="single" w:sz="4" w:space="0" w:color="auto"/>
              <w:bottom w:val="nil"/>
              <w:right w:val="single" w:sz="8" w:space="0" w:color="auto"/>
            </w:tcBorders>
            <w:shd w:val="clear" w:color="000000" w:fill="FFFFFF"/>
            <w:noWrap/>
            <w:vAlign w:val="center"/>
            <w:hideMark/>
          </w:tcPr>
          <w:p w14:paraId="3D10F99C" w14:textId="77777777" w:rsidR="00F010B4" w:rsidRPr="004E5A6E" w:rsidRDefault="00F010B4" w:rsidP="00D6295F">
            <w:pPr>
              <w:ind w:firstLineChars="100" w:firstLine="181"/>
              <w:rPr>
                <w:b/>
                <w:bCs/>
                <w:color w:val="auto"/>
                <w:sz w:val="18"/>
                <w:szCs w:val="18"/>
                <w:lang w:val="sq-AL"/>
              </w:rPr>
            </w:pPr>
            <w:r w:rsidRPr="004E5A6E">
              <w:rPr>
                <w:b/>
                <w:bCs/>
                <w:color w:val="auto"/>
                <w:sz w:val="18"/>
                <w:szCs w:val="18"/>
                <w:lang w:val="sq-AL"/>
              </w:rPr>
              <w:t>2.2 Shpenzimet kapitale</w:t>
            </w:r>
          </w:p>
        </w:tc>
        <w:tc>
          <w:tcPr>
            <w:tcW w:w="892" w:type="dxa"/>
            <w:tcBorders>
              <w:top w:val="single" w:sz="8" w:space="0" w:color="auto"/>
              <w:left w:val="nil"/>
              <w:bottom w:val="nil"/>
              <w:right w:val="nil"/>
            </w:tcBorders>
            <w:shd w:val="clear" w:color="000000" w:fill="FFFFFF"/>
            <w:noWrap/>
            <w:vAlign w:val="center"/>
            <w:hideMark/>
          </w:tcPr>
          <w:p w14:paraId="4F4497AF" w14:textId="77777777" w:rsidR="00F010B4" w:rsidRPr="004E5A6E" w:rsidRDefault="00F010B4" w:rsidP="00D6295F">
            <w:pPr>
              <w:jc w:val="right"/>
              <w:rPr>
                <w:b/>
                <w:bCs/>
                <w:color w:val="auto"/>
                <w:sz w:val="18"/>
                <w:szCs w:val="18"/>
                <w:lang w:val="sq-AL"/>
              </w:rPr>
            </w:pPr>
            <w:r w:rsidRPr="004E5A6E">
              <w:rPr>
                <w:b/>
                <w:bCs/>
                <w:color w:val="auto"/>
                <w:sz w:val="18"/>
                <w:szCs w:val="18"/>
                <w:lang w:val="sq-AL"/>
              </w:rPr>
              <w:t>531.2</w:t>
            </w:r>
          </w:p>
        </w:tc>
        <w:tc>
          <w:tcPr>
            <w:tcW w:w="1124" w:type="dxa"/>
            <w:tcBorders>
              <w:top w:val="single" w:sz="8" w:space="0" w:color="auto"/>
              <w:left w:val="nil"/>
              <w:bottom w:val="nil"/>
              <w:right w:val="single" w:sz="8" w:space="0" w:color="auto"/>
            </w:tcBorders>
            <w:shd w:val="clear" w:color="000000" w:fill="FFFFFF"/>
            <w:noWrap/>
            <w:vAlign w:val="center"/>
            <w:hideMark/>
          </w:tcPr>
          <w:p w14:paraId="157BEF64" w14:textId="77777777" w:rsidR="00F010B4" w:rsidRPr="004E5A6E" w:rsidRDefault="00F010B4" w:rsidP="00D6295F">
            <w:pPr>
              <w:jc w:val="right"/>
              <w:rPr>
                <w:b/>
                <w:bCs/>
                <w:color w:val="auto"/>
                <w:sz w:val="18"/>
                <w:szCs w:val="18"/>
                <w:lang w:val="sq-AL"/>
              </w:rPr>
            </w:pPr>
            <w:r w:rsidRPr="004E5A6E">
              <w:rPr>
                <w:b/>
                <w:bCs/>
                <w:color w:val="auto"/>
                <w:sz w:val="18"/>
                <w:szCs w:val="18"/>
                <w:lang w:val="sq-AL"/>
              </w:rPr>
              <w:t>729.9</w:t>
            </w:r>
          </w:p>
        </w:tc>
        <w:tc>
          <w:tcPr>
            <w:tcW w:w="968" w:type="dxa"/>
            <w:tcBorders>
              <w:top w:val="single" w:sz="8" w:space="0" w:color="auto"/>
              <w:left w:val="nil"/>
              <w:bottom w:val="nil"/>
              <w:right w:val="single" w:sz="4" w:space="0" w:color="auto"/>
            </w:tcBorders>
            <w:shd w:val="clear" w:color="000000" w:fill="FFFFFF"/>
          </w:tcPr>
          <w:p w14:paraId="4E9B887F" w14:textId="77777777" w:rsidR="00F010B4" w:rsidRPr="004E5A6E" w:rsidRDefault="00F010B4" w:rsidP="00D6295F">
            <w:pPr>
              <w:jc w:val="right"/>
              <w:rPr>
                <w:b/>
                <w:bCs/>
                <w:color w:val="auto"/>
                <w:sz w:val="18"/>
                <w:szCs w:val="18"/>
                <w:lang w:val="sq-AL"/>
              </w:rPr>
            </w:pPr>
            <w:r w:rsidRPr="004E5A6E">
              <w:rPr>
                <w:b/>
                <w:bCs/>
                <w:color w:val="auto"/>
                <w:sz w:val="18"/>
                <w:szCs w:val="18"/>
                <w:lang w:val="sq-AL"/>
              </w:rPr>
              <w:t>247.5</w:t>
            </w:r>
          </w:p>
        </w:tc>
      </w:tr>
      <w:tr w:rsidR="00F010B4" w:rsidRPr="004E5A6E" w14:paraId="5A793A1A" w14:textId="77777777" w:rsidTr="003B3804">
        <w:trPr>
          <w:trHeight w:val="119"/>
        </w:trPr>
        <w:tc>
          <w:tcPr>
            <w:tcW w:w="5684" w:type="dxa"/>
            <w:tcBorders>
              <w:top w:val="nil"/>
              <w:left w:val="single" w:sz="4" w:space="0" w:color="auto"/>
              <w:bottom w:val="nil"/>
              <w:right w:val="single" w:sz="8" w:space="0" w:color="auto"/>
            </w:tcBorders>
            <w:shd w:val="clear" w:color="000000" w:fill="FFFFFF"/>
            <w:noWrap/>
            <w:vAlign w:val="center"/>
            <w:hideMark/>
          </w:tcPr>
          <w:p w14:paraId="3819C64F" w14:textId="05034C12" w:rsidR="00F010B4" w:rsidRPr="004E5A6E" w:rsidRDefault="00B414AE" w:rsidP="00D6295F">
            <w:pPr>
              <w:ind w:firstLineChars="300" w:firstLine="540"/>
              <w:rPr>
                <w:iCs/>
                <w:color w:val="auto"/>
                <w:sz w:val="18"/>
                <w:szCs w:val="18"/>
                <w:lang w:val="sq-AL"/>
              </w:rPr>
            </w:pPr>
            <w:r w:rsidRPr="004E5A6E">
              <w:rPr>
                <w:iCs/>
                <w:color w:val="auto"/>
                <w:sz w:val="18"/>
                <w:szCs w:val="18"/>
                <w:lang w:val="sq-AL"/>
              </w:rPr>
              <w:t>Financimi nga Buxheti i rregullt</w:t>
            </w:r>
          </w:p>
        </w:tc>
        <w:tc>
          <w:tcPr>
            <w:tcW w:w="892" w:type="dxa"/>
            <w:tcBorders>
              <w:top w:val="nil"/>
              <w:left w:val="nil"/>
              <w:bottom w:val="nil"/>
              <w:right w:val="nil"/>
            </w:tcBorders>
            <w:shd w:val="clear" w:color="000000" w:fill="FFFFFF"/>
            <w:noWrap/>
            <w:vAlign w:val="center"/>
            <w:hideMark/>
          </w:tcPr>
          <w:p w14:paraId="4FD98908" w14:textId="77777777" w:rsidR="00F010B4" w:rsidRPr="004E5A6E" w:rsidRDefault="00F010B4" w:rsidP="00D6295F">
            <w:pPr>
              <w:jc w:val="right"/>
              <w:rPr>
                <w:color w:val="auto"/>
                <w:sz w:val="18"/>
                <w:szCs w:val="18"/>
                <w:lang w:val="sq-AL"/>
              </w:rPr>
            </w:pPr>
            <w:r w:rsidRPr="004E5A6E">
              <w:rPr>
                <w:color w:val="auto"/>
                <w:sz w:val="18"/>
                <w:szCs w:val="18"/>
                <w:lang w:val="sq-AL"/>
              </w:rPr>
              <w:t>386.8</w:t>
            </w:r>
          </w:p>
        </w:tc>
        <w:tc>
          <w:tcPr>
            <w:tcW w:w="1124" w:type="dxa"/>
            <w:tcBorders>
              <w:top w:val="nil"/>
              <w:left w:val="nil"/>
              <w:bottom w:val="nil"/>
              <w:right w:val="single" w:sz="8" w:space="0" w:color="auto"/>
            </w:tcBorders>
            <w:shd w:val="clear" w:color="000000" w:fill="FFFFFF"/>
            <w:noWrap/>
            <w:vAlign w:val="center"/>
            <w:hideMark/>
          </w:tcPr>
          <w:p w14:paraId="676AEAEB" w14:textId="77777777" w:rsidR="00F010B4" w:rsidRPr="004E5A6E" w:rsidRDefault="00F010B4" w:rsidP="00D6295F">
            <w:pPr>
              <w:jc w:val="right"/>
              <w:rPr>
                <w:color w:val="auto"/>
                <w:sz w:val="18"/>
                <w:szCs w:val="18"/>
                <w:lang w:val="sq-AL"/>
              </w:rPr>
            </w:pPr>
            <w:r w:rsidRPr="004E5A6E">
              <w:rPr>
                <w:color w:val="auto"/>
                <w:sz w:val="18"/>
                <w:szCs w:val="18"/>
                <w:lang w:val="sq-AL"/>
              </w:rPr>
              <w:t>397.4</w:t>
            </w:r>
          </w:p>
        </w:tc>
        <w:tc>
          <w:tcPr>
            <w:tcW w:w="968" w:type="dxa"/>
            <w:tcBorders>
              <w:top w:val="nil"/>
              <w:left w:val="nil"/>
              <w:bottom w:val="nil"/>
              <w:right w:val="single" w:sz="4" w:space="0" w:color="auto"/>
            </w:tcBorders>
            <w:shd w:val="clear" w:color="000000" w:fill="FFFFFF"/>
          </w:tcPr>
          <w:p w14:paraId="0BC3329C" w14:textId="77777777" w:rsidR="00F010B4" w:rsidRPr="004E5A6E" w:rsidRDefault="00F010B4" w:rsidP="00D6295F">
            <w:pPr>
              <w:jc w:val="right"/>
              <w:rPr>
                <w:color w:val="auto"/>
                <w:sz w:val="18"/>
                <w:szCs w:val="18"/>
                <w:highlight w:val="yellow"/>
                <w:lang w:val="sq-AL"/>
              </w:rPr>
            </w:pPr>
          </w:p>
        </w:tc>
      </w:tr>
      <w:tr w:rsidR="00F010B4" w:rsidRPr="004E5A6E" w14:paraId="35C6B321" w14:textId="77777777" w:rsidTr="003B3804">
        <w:trPr>
          <w:trHeight w:val="119"/>
        </w:trPr>
        <w:tc>
          <w:tcPr>
            <w:tcW w:w="5684" w:type="dxa"/>
            <w:tcBorders>
              <w:top w:val="nil"/>
              <w:left w:val="single" w:sz="4" w:space="0" w:color="auto"/>
              <w:bottom w:val="nil"/>
              <w:right w:val="single" w:sz="8" w:space="0" w:color="auto"/>
            </w:tcBorders>
            <w:shd w:val="clear" w:color="000000" w:fill="FFFFFF"/>
            <w:noWrap/>
            <w:vAlign w:val="center"/>
            <w:hideMark/>
          </w:tcPr>
          <w:p w14:paraId="77B6D075" w14:textId="2C4BC46F" w:rsidR="00F010B4" w:rsidRPr="004E5A6E" w:rsidRDefault="00B414AE" w:rsidP="00B414AE">
            <w:pPr>
              <w:ind w:firstLineChars="300" w:firstLine="540"/>
              <w:rPr>
                <w:iCs/>
                <w:color w:val="auto"/>
                <w:sz w:val="18"/>
                <w:szCs w:val="18"/>
                <w:lang w:val="sq-AL"/>
              </w:rPr>
            </w:pPr>
            <w:r w:rsidRPr="004E5A6E">
              <w:rPr>
                <w:iCs/>
                <w:color w:val="auto"/>
                <w:sz w:val="18"/>
                <w:szCs w:val="18"/>
                <w:lang w:val="sq-AL"/>
              </w:rPr>
              <w:t>Financimi nga Klauzola e I</w:t>
            </w:r>
            <w:r w:rsidR="00F010B4" w:rsidRPr="004E5A6E">
              <w:rPr>
                <w:iCs/>
                <w:color w:val="auto"/>
                <w:sz w:val="18"/>
                <w:szCs w:val="18"/>
                <w:lang w:val="sq-AL"/>
              </w:rPr>
              <w:t>nvestimit</w:t>
            </w:r>
          </w:p>
        </w:tc>
        <w:tc>
          <w:tcPr>
            <w:tcW w:w="892" w:type="dxa"/>
            <w:tcBorders>
              <w:top w:val="nil"/>
              <w:left w:val="nil"/>
              <w:bottom w:val="nil"/>
              <w:right w:val="nil"/>
            </w:tcBorders>
            <w:shd w:val="clear" w:color="000000" w:fill="FFFFFF"/>
            <w:noWrap/>
            <w:vAlign w:val="center"/>
            <w:hideMark/>
          </w:tcPr>
          <w:p w14:paraId="3B68109D" w14:textId="77777777" w:rsidR="00F010B4" w:rsidRPr="004E5A6E" w:rsidRDefault="00F010B4" w:rsidP="00D6295F">
            <w:pPr>
              <w:jc w:val="right"/>
              <w:rPr>
                <w:color w:val="auto"/>
                <w:sz w:val="18"/>
                <w:szCs w:val="18"/>
                <w:lang w:val="sq-AL"/>
              </w:rPr>
            </w:pPr>
            <w:r w:rsidRPr="004E5A6E">
              <w:rPr>
                <w:color w:val="auto"/>
                <w:sz w:val="18"/>
                <w:szCs w:val="18"/>
                <w:lang w:val="sq-AL"/>
              </w:rPr>
              <w:t>12.5</w:t>
            </w:r>
          </w:p>
        </w:tc>
        <w:tc>
          <w:tcPr>
            <w:tcW w:w="1124" w:type="dxa"/>
            <w:tcBorders>
              <w:top w:val="nil"/>
              <w:left w:val="nil"/>
              <w:bottom w:val="nil"/>
              <w:right w:val="single" w:sz="8" w:space="0" w:color="auto"/>
            </w:tcBorders>
            <w:shd w:val="clear" w:color="000000" w:fill="FFFFFF"/>
            <w:noWrap/>
            <w:vAlign w:val="center"/>
            <w:hideMark/>
          </w:tcPr>
          <w:p w14:paraId="22523778" w14:textId="77777777" w:rsidR="00F010B4" w:rsidRPr="004E5A6E" w:rsidRDefault="00F010B4" w:rsidP="00D6295F">
            <w:pPr>
              <w:jc w:val="right"/>
              <w:rPr>
                <w:color w:val="auto"/>
                <w:sz w:val="18"/>
                <w:szCs w:val="18"/>
                <w:lang w:val="sq-AL"/>
              </w:rPr>
            </w:pPr>
            <w:r w:rsidRPr="004E5A6E">
              <w:rPr>
                <w:color w:val="auto"/>
                <w:sz w:val="18"/>
                <w:szCs w:val="18"/>
                <w:lang w:val="sq-AL"/>
              </w:rPr>
              <w:t>147.5</w:t>
            </w:r>
          </w:p>
        </w:tc>
        <w:tc>
          <w:tcPr>
            <w:tcW w:w="968" w:type="dxa"/>
            <w:tcBorders>
              <w:top w:val="nil"/>
              <w:left w:val="nil"/>
              <w:bottom w:val="nil"/>
              <w:right w:val="single" w:sz="4" w:space="0" w:color="auto"/>
            </w:tcBorders>
            <w:shd w:val="clear" w:color="000000" w:fill="FFFFFF"/>
          </w:tcPr>
          <w:p w14:paraId="4726C7AB" w14:textId="77777777" w:rsidR="00F010B4" w:rsidRPr="004E5A6E" w:rsidRDefault="00F010B4" w:rsidP="00D6295F">
            <w:pPr>
              <w:jc w:val="right"/>
              <w:rPr>
                <w:color w:val="auto"/>
                <w:sz w:val="18"/>
                <w:szCs w:val="18"/>
                <w:highlight w:val="yellow"/>
                <w:lang w:val="sq-AL"/>
              </w:rPr>
            </w:pPr>
          </w:p>
        </w:tc>
      </w:tr>
      <w:tr w:rsidR="00F010B4" w:rsidRPr="004E5A6E" w14:paraId="2526C117" w14:textId="77777777" w:rsidTr="003B3804">
        <w:trPr>
          <w:trHeight w:val="119"/>
        </w:trPr>
        <w:tc>
          <w:tcPr>
            <w:tcW w:w="5684" w:type="dxa"/>
            <w:tcBorders>
              <w:top w:val="nil"/>
              <w:left w:val="single" w:sz="4" w:space="0" w:color="auto"/>
              <w:bottom w:val="nil"/>
              <w:right w:val="single" w:sz="8" w:space="0" w:color="auto"/>
            </w:tcBorders>
            <w:shd w:val="clear" w:color="000000" w:fill="FFFFFF"/>
            <w:noWrap/>
            <w:vAlign w:val="center"/>
            <w:hideMark/>
          </w:tcPr>
          <w:p w14:paraId="22D2C1D2" w14:textId="13C4554B" w:rsidR="00F010B4" w:rsidRPr="004E5A6E" w:rsidRDefault="00B414AE" w:rsidP="00D6295F">
            <w:pPr>
              <w:ind w:firstLineChars="300" w:firstLine="540"/>
              <w:rPr>
                <w:iCs/>
                <w:color w:val="auto"/>
                <w:sz w:val="18"/>
                <w:szCs w:val="18"/>
                <w:lang w:val="sq-AL"/>
              </w:rPr>
            </w:pPr>
            <w:r w:rsidRPr="004E5A6E">
              <w:rPr>
                <w:iCs/>
                <w:color w:val="auto"/>
                <w:sz w:val="18"/>
                <w:szCs w:val="18"/>
                <w:lang w:val="sq-AL"/>
              </w:rPr>
              <w:t>Të hyrat</w:t>
            </w:r>
            <w:r w:rsidR="00F010B4" w:rsidRPr="004E5A6E">
              <w:rPr>
                <w:iCs/>
                <w:color w:val="auto"/>
                <w:sz w:val="18"/>
                <w:szCs w:val="18"/>
                <w:lang w:val="sq-AL"/>
              </w:rPr>
              <w:t xml:space="preserve"> nga likuidimi</w:t>
            </w:r>
            <w:r w:rsidRPr="004E5A6E">
              <w:rPr>
                <w:iCs/>
                <w:color w:val="auto"/>
                <w:sz w:val="18"/>
                <w:szCs w:val="18"/>
                <w:lang w:val="sq-AL"/>
              </w:rPr>
              <w:t xml:space="preserve"> (AKP)</w:t>
            </w:r>
          </w:p>
        </w:tc>
        <w:tc>
          <w:tcPr>
            <w:tcW w:w="892" w:type="dxa"/>
            <w:tcBorders>
              <w:top w:val="nil"/>
              <w:left w:val="nil"/>
              <w:bottom w:val="nil"/>
              <w:right w:val="nil"/>
            </w:tcBorders>
            <w:shd w:val="clear" w:color="000000" w:fill="FFFFFF"/>
            <w:noWrap/>
            <w:vAlign w:val="center"/>
            <w:hideMark/>
          </w:tcPr>
          <w:p w14:paraId="0A625E0C" w14:textId="77777777" w:rsidR="00F010B4" w:rsidRPr="004E5A6E" w:rsidRDefault="00F010B4" w:rsidP="00D6295F">
            <w:pPr>
              <w:jc w:val="right"/>
              <w:rPr>
                <w:color w:val="auto"/>
                <w:sz w:val="18"/>
                <w:szCs w:val="18"/>
                <w:lang w:val="sq-AL"/>
              </w:rPr>
            </w:pPr>
            <w:r w:rsidRPr="004E5A6E">
              <w:rPr>
                <w:color w:val="auto"/>
                <w:sz w:val="18"/>
                <w:szCs w:val="18"/>
                <w:lang w:val="sq-AL"/>
              </w:rPr>
              <w:t>131.9</w:t>
            </w:r>
          </w:p>
        </w:tc>
        <w:tc>
          <w:tcPr>
            <w:tcW w:w="1124" w:type="dxa"/>
            <w:tcBorders>
              <w:top w:val="nil"/>
              <w:left w:val="nil"/>
              <w:bottom w:val="nil"/>
              <w:right w:val="single" w:sz="8" w:space="0" w:color="auto"/>
            </w:tcBorders>
            <w:shd w:val="clear" w:color="000000" w:fill="FFFFFF"/>
            <w:noWrap/>
            <w:vAlign w:val="center"/>
            <w:hideMark/>
          </w:tcPr>
          <w:p w14:paraId="7ABEB425" w14:textId="77777777" w:rsidR="00F010B4" w:rsidRPr="004E5A6E" w:rsidRDefault="00F010B4" w:rsidP="00D6295F">
            <w:pPr>
              <w:jc w:val="right"/>
              <w:rPr>
                <w:color w:val="auto"/>
                <w:sz w:val="18"/>
                <w:szCs w:val="18"/>
                <w:lang w:val="sq-AL"/>
              </w:rPr>
            </w:pPr>
            <w:r w:rsidRPr="004E5A6E">
              <w:rPr>
                <w:color w:val="auto"/>
                <w:sz w:val="18"/>
                <w:szCs w:val="18"/>
                <w:lang w:val="sq-AL"/>
              </w:rPr>
              <w:t>185</w:t>
            </w:r>
          </w:p>
        </w:tc>
        <w:tc>
          <w:tcPr>
            <w:tcW w:w="968" w:type="dxa"/>
            <w:tcBorders>
              <w:top w:val="nil"/>
              <w:left w:val="nil"/>
              <w:bottom w:val="nil"/>
              <w:right w:val="single" w:sz="4" w:space="0" w:color="auto"/>
            </w:tcBorders>
            <w:shd w:val="clear" w:color="000000" w:fill="FFFFFF"/>
          </w:tcPr>
          <w:p w14:paraId="0111DBB8" w14:textId="77777777" w:rsidR="00F010B4" w:rsidRPr="004E5A6E" w:rsidRDefault="00F010B4" w:rsidP="00D6295F">
            <w:pPr>
              <w:jc w:val="right"/>
              <w:rPr>
                <w:color w:val="auto"/>
                <w:sz w:val="18"/>
                <w:szCs w:val="18"/>
                <w:highlight w:val="yellow"/>
                <w:lang w:val="sq-AL"/>
              </w:rPr>
            </w:pPr>
          </w:p>
        </w:tc>
      </w:tr>
      <w:tr w:rsidR="00F010B4" w:rsidRPr="004E5A6E" w14:paraId="2C3E6540" w14:textId="77777777" w:rsidTr="003B3804">
        <w:trPr>
          <w:trHeight w:val="119"/>
        </w:trPr>
        <w:tc>
          <w:tcPr>
            <w:tcW w:w="5684" w:type="dxa"/>
            <w:tcBorders>
              <w:top w:val="nil"/>
              <w:left w:val="single" w:sz="4" w:space="0" w:color="auto"/>
              <w:bottom w:val="single" w:sz="4" w:space="0" w:color="auto"/>
              <w:right w:val="single" w:sz="8" w:space="0" w:color="auto"/>
            </w:tcBorders>
            <w:shd w:val="clear" w:color="000000" w:fill="FFFFFF"/>
            <w:noWrap/>
            <w:vAlign w:val="center"/>
            <w:hideMark/>
          </w:tcPr>
          <w:p w14:paraId="5ACA5F61" w14:textId="77777777" w:rsidR="00F010B4" w:rsidRPr="004E5A6E" w:rsidRDefault="00F010B4" w:rsidP="00D6295F">
            <w:pPr>
              <w:ind w:firstLineChars="100" w:firstLine="181"/>
              <w:rPr>
                <w:b/>
                <w:bCs/>
                <w:color w:val="auto"/>
                <w:sz w:val="18"/>
                <w:szCs w:val="18"/>
                <w:lang w:val="sq-AL"/>
              </w:rPr>
            </w:pPr>
            <w:r w:rsidRPr="004E5A6E">
              <w:rPr>
                <w:b/>
                <w:bCs/>
                <w:color w:val="auto"/>
                <w:sz w:val="18"/>
                <w:szCs w:val="18"/>
                <w:lang w:val="sq-AL"/>
              </w:rPr>
              <w:t>2.3 Interesi i borxhit publik</w:t>
            </w:r>
          </w:p>
        </w:tc>
        <w:tc>
          <w:tcPr>
            <w:tcW w:w="892" w:type="dxa"/>
            <w:tcBorders>
              <w:top w:val="nil"/>
              <w:left w:val="nil"/>
              <w:bottom w:val="single" w:sz="4" w:space="0" w:color="auto"/>
              <w:right w:val="nil"/>
            </w:tcBorders>
            <w:shd w:val="clear" w:color="000000" w:fill="FFFFFF"/>
            <w:noWrap/>
            <w:vAlign w:val="center"/>
            <w:hideMark/>
          </w:tcPr>
          <w:p w14:paraId="20B9F148" w14:textId="77777777" w:rsidR="00F010B4" w:rsidRPr="004E5A6E" w:rsidRDefault="00F010B4" w:rsidP="00D6295F">
            <w:pPr>
              <w:jc w:val="right"/>
              <w:rPr>
                <w:b/>
                <w:bCs/>
                <w:color w:val="auto"/>
                <w:sz w:val="18"/>
                <w:szCs w:val="18"/>
                <w:lang w:val="sq-AL"/>
              </w:rPr>
            </w:pPr>
            <w:r w:rsidRPr="004E5A6E">
              <w:rPr>
                <w:b/>
                <w:bCs/>
                <w:color w:val="auto"/>
                <w:sz w:val="18"/>
                <w:szCs w:val="18"/>
                <w:lang w:val="sq-AL"/>
              </w:rPr>
              <w:t>23.5</w:t>
            </w:r>
          </w:p>
        </w:tc>
        <w:tc>
          <w:tcPr>
            <w:tcW w:w="1124" w:type="dxa"/>
            <w:tcBorders>
              <w:top w:val="nil"/>
              <w:left w:val="nil"/>
              <w:bottom w:val="single" w:sz="4" w:space="0" w:color="auto"/>
              <w:right w:val="single" w:sz="8" w:space="0" w:color="auto"/>
            </w:tcBorders>
            <w:shd w:val="clear" w:color="000000" w:fill="FFFFFF"/>
            <w:noWrap/>
            <w:vAlign w:val="center"/>
            <w:hideMark/>
          </w:tcPr>
          <w:p w14:paraId="186A1BA5" w14:textId="77777777" w:rsidR="00F010B4" w:rsidRPr="004E5A6E" w:rsidRDefault="00F010B4" w:rsidP="00D6295F">
            <w:pPr>
              <w:jc w:val="right"/>
              <w:rPr>
                <w:b/>
                <w:bCs/>
                <w:color w:val="auto"/>
                <w:sz w:val="18"/>
                <w:szCs w:val="18"/>
                <w:lang w:val="sq-AL"/>
              </w:rPr>
            </w:pPr>
            <w:r w:rsidRPr="004E5A6E">
              <w:rPr>
                <w:b/>
                <w:bCs/>
                <w:color w:val="auto"/>
                <w:sz w:val="18"/>
                <w:szCs w:val="18"/>
                <w:lang w:val="sq-AL"/>
              </w:rPr>
              <w:t>30</w:t>
            </w:r>
          </w:p>
        </w:tc>
        <w:tc>
          <w:tcPr>
            <w:tcW w:w="968" w:type="dxa"/>
            <w:tcBorders>
              <w:top w:val="nil"/>
              <w:left w:val="nil"/>
              <w:bottom w:val="single" w:sz="4" w:space="0" w:color="auto"/>
              <w:right w:val="single" w:sz="4" w:space="0" w:color="auto"/>
            </w:tcBorders>
            <w:shd w:val="clear" w:color="000000" w:fill="FFFFFF"/>
          </w:tcPr>
          <w:p w14:paraId="39B33D2B" w14:textId="77777777" w:rsidR="00F010B4" w:rsidRPr="004E5A6E" w:rsidRDefault="00F010B4" w:rsidP="00D6295F">
            <w:pPr>
              <w:jc w:val="right"/>
              <w:rPr>
                <w:b/>
                <w:bCs/>
                <w:color w:val="auto"/>
                <w:sz w:val="18"/>
                <w:szCs w:val="18"/>
                <w:highlight w:val="yellow"/>
                <w:lang w:val="sq-AL"/>
              </w:rPr>
            </w:pPr>
          </w:p>
        </w:tc>
      </w:tr>
      <w:tr w:rsidR="00F010B4" w:rsidRPr="004E5A6E" w14:paraId="426113E4" w14:textId="77777777" w:rsidTr="003B3804">
        <w:trPr>
          <w:trHeight w:val="119"/>
        </w:trPr>
        <w:tc>
          <w:tcPr>
            <w:tcW w:w="5684" w:type="dxa"/>
            <w:tcBorders>
              <w:top w:val="single" w:sz="4" w:space="0" w:color="auto"/>
              <w:left w:val="single" w:sz="4" w:space="0" w:color="auto"/>
              <w:bottom w:val="nil"/>
              <w:right w:val="single" w:sz="8" w:space="0" w:color="auto"/>
            </w:tcBorders>
            <w:shd w:val="clear" w:color="000000" w:fill="FFFFFF"/>
            <w:noWrap/>
            <w:vAlign w:val="center"/>
            <w:hideMark/>
          </w:tcPr>
          <w:p w14:paraId="70BF1ECA" w14:textId="5EEF0D77" w:rsidR="00F010B4" w:rsidRPr="004E5A6E" w:rsidRDefault="00B414AE" w:rsidP="00D6295F">
            <w:pPr>
              <w:rPr>
                <w:b/>
                <w:color w:val="auto"/>
                <w:sz w:val="18"/>
                <w:szCs w:val="18"/>
                <w:lang w:val="sq-AL"/>
              </w:rPr>
            </w:pPr>
            <w:r w:rsidRPr="004E5A6E">
              <w:rPr>
                <w:b/>
                <w:color w:val="auto"/>
                <w:sz w:val="18"/>
                <w:szCs w:val="18"/>
                <w:lang w:val="sq-AL"/>
              </w:rPr>
              <w:t>Deficiti buxhetor (sipas rregullës</w:t>
            </w:r>
            <w:r w:rsidR="00F010B4" w:rsidRPr="004E5A6E">
              <w:rPr>
                <w:b/>
                <w:color w:val="auto"/>
                <w:sz w:val="18"/>
                <w:szCs w:val="18"/>
                <w:lang w:val="sq-AL"/>
              </w:rPr>
              <w:t xml:space="preserve"> fiskal</w:t>
            </w:r>
            <w:r w:rsidRPr="004E5A6E">
              <w:rPr>
                <w:b/>
                <w:color w:val="auto"/>
                <w:sz w:val="18"/>
                <w:szCs w:val="18"/>
                <w:lang w:val="sq-AL"/>
              </w:rPr>
              <w:t>e</w:t>
            </w:r>
            <w:r w:rsidR="00F010B4" w:rsidRPr="004E5A6E">
              <w:rPr>
                <w:b/>
                <w:color w:val="auto"/>
                <w:sz w:val="18"/>
                <w:szCs w:val="18"/>
                <w:lang w:val="sq-AL"/>
              </w:rPr>
              <w:t>) si% e PBB-së</w:t>
            </w:r>
          </w:p>
        </w:tc>
        <w:tc>
          <w:tcPr>
            <w:tcW w:w="892" w:type="dxa"/>
            <w:tcBorders>
              <w:top w:val="single" w:sz="4" w:space="0" w:color="auto"/>
              <w:left w:val="nil"/>
              <w:bottom w:val="nil"/>
              <w:right w:val="nil"/>
            </w:tcBorders>
            <w:shd w:val="clear" w:color="000000" w:fill="FFFFFF"/>
            <w:noWrap/>
            <w:vAlign w:val="center"/>
            <w:hideMark/>
          </w:tcPr>
          <w:p w14:paraId="6F0D23B7" w14:textId="77777777" w:rsidR="00F010B4" w:rsidRPr="004E5A6E" w:rsidRDefault="00F010B4" w:rsidP="00D6295F">
            <w:pPr>
              <w:jc w:val="right"/>
              <w:rPr>
                <w:b/>
                <w:color w:val="auto"/>
                <w:sz w:val="18"/>
                <w:szCs w:val="18"/>
                <w:lang w:val="sq-AL"/>
              </w:rPr>
            </w:pPr>
            <w:r w:rsidRPr="004E5A6E">
              <w:rPr>
                <w:b/>
                <w:color w:val="auto"/>
                <w:sz w:val="18"/>
                <w:szCs w:val="18"/>
                <w:lang w:val="sq-AL"/>
              </w:rPr>
              <w:t>-0.4%</w:t>
            </w:r>
          </w:p>
        </w:tc>
        <w:tc>
          <w:tcPr>
            <w:tcW w:w="1124" w:type="dxa"/>
            <w:tcBorders>
              <w:top w:val="single" w:sz="4" w:space="0" w:color="auto"/>
              <w:left w:val="nil"/>
              <w:bottom w:val="nil"/>
              <w:right w:val="single" w:sz="8" w:space="0" w:color="auto"/>
            </w:tcBorders>
            <w:shd w:val="clear" w:color="000000" w:fill="FFFFFF"/>
            <w:noWrap/>
            <w:vAlign w:val="center"/>
            <w:hideMark/>
          </w:tcPr>
          <w:p w14:paraId="662018E4" w14:textId="77777777" w:rsidR="00F010B4" w:rsidRPr="004E5A6E" w:rsidRDefault="00F010B4" w:rsidP="00D6295F">
            <w:pPr>
              <w:jc w:val="right"/>
              <w:rPr>
                <w:b/>
                <w:color w:val="auto"/>
                <w:sz w:val="18"/>
                <w:szCs w:val="18"/>
                <w:lang w:val="sq-AL"/>
              </w:rPr>
            </w:pPr>
            <w:r w:rsidRPr="004E5A6E">
              <w:rPr>
                <w:b/>
                <w:color w:val="auto"/>
                <w:sz w:val="18"/>
                <w:szCs w:val="18"/>
                <w:lang w:val="sq-AL"/>
              </w:rPr>
              <w:t>-6.5%</w:t>
            </w:r>
          </w:p>
        </w:tc>
        <w:tc>
          <w:tcPr>
            <w:tcW w:w="968" w:type="dxa"/>
            <w:tcBorders>
              <w:top w:val="single" w:sz="4" w:space="0" w:color="auto"/>
              <w:left w:val="nil"/>
              <w:bottom w:val="nil"/>
              <w:right w:val="single" w:sz="4" w:space="0" w:color="auto"/>
            </w:tcBorders>
            <w:shd w:val="clear" w:color="000000" w:fill="FFFFFF"/>
          </w:tcPr>
          <w:p w14:paraId="7867D4F1" w14:textId="77777777" w:rsidR="00F010B4" w:rsidRPr="004E5A6E" w:rsidRDefault="00F010B4" w:rsidP="00D6295F">
            <w:pPr>
              <w:jc w:val="right"/>
              <w:rPr>
                <w:b/>
                <w:color w:val="auto"/>
                <w:sz w:val="18"/>
                <w:szCs w:val="18"/>
                <w:lang w:val="sq-AL"/>
              </w:rPr>
            </w:pPr>
            <w:r w:rsidRPr="004E5A6E">
              <w:rPr>
                <w:b/>
                <w:color w:val="auto"/>
                <w:sz w:val="18"/>
                <w:szCs w:val="18"/>
                <w:lang w:val="sq-AL"/>
              </w:rPr>
              <w:t>-4.5%</w:t>
            </w:r>
          </w:p>
        </w:tc>
      </w:tr>
      <w:tr w:rsidR="00F010B4" w:rsidRPr="004E5A6E" w14:paraId="539E2599" w14:textId="77777777" w:rsidTr="003B3804">
        <w:trPr>
          <w:trHeight w:val="119"/>
        </w:trPr>
        <w:tc>
          <w:tcPr>
            <w:tcW w:w="5684" w:type="dxa"/>
            <w:tcBorders>
              <w:top w:val="nil"/>
              <w:left w:val="single" w:sz="4" w:space="0" w:color="auto"/>
              <w:bottom w:val="single" w:sz="4" w:space="0" w:color="auto"/>
              <w:right w:val="single" w:sz="8" w:space="0" w:color="auto"/>
            </w:tcBorders>
            <w:shd w:val="clear" w:color="000000" w:fill="FFFFFF"/>
            <w:noWrap/>
            <w:vAlign w:val="center"/>
            <w:hideMark/>
          </w:tcPr>
          <w:p w14:paraId="2144F2DD" w14:textId="01355674" w:rsidR="00F010B4" w:rsidRPr="004E5A6E" w:rsidRDefault="00B414AE" w:rsidP="00B414AE">
            <w:pPr>
              <w:rPr>
                <w:b/>
                <w:color w:val="auto"/>
                <w:sz w:val="18"/>
                <w:szCs w:val="18"/>
                <w:lang w:val="sq-AL"/>
              </w:rPr>
            </w:pPr>
            <w:r w:rsidRPr="004E5A6E">
              <w:rPr>
                <w:b/>
                <w:color w:val="auto"/>
                <w:sz w:val="18"/>
                <w:szCs w:val="18"/>
                <w:lang w:val="sq-AL"/>
              </w:rPr>
              <w:t>Bilanci i shfrytëzueshëm</w:t>
            </w:r>
            <w:r w:rsidR="00F010B4" w:rsidRPr="004E5A6E">
              <w:rPr>
                <w:b/>
                <w:color w:val="auto"/>
                <w:sz w:val="18"/>
                <w:szCs w:val="18"/>
                <w:lang w:val="sq-AL"/>
              </w:rPr>
              <w:t xml:space="preserve"> bankar si% e PBB-së</w:t>
            </w:r>
          </w:p>
        </w:tc>
        <w:tc>
          <w:tcPr>
            <w:tcW w:w="892" w:type="dxa"/>
            <w:tcBorders>
              <w:top w:val="nil"/>
              <w:left w:val="nil"/>
              <w:bottom w:val="single" w:sz="4" w:space="0" w:color="auto"/>
              <w:right w:val="nil"/>
            </w:tcBorders>
            <w:shd w:val="clear" w:color="000000" w:fill="FFFFFF"/>
            <w:noWrap/>
            <w:vAlign w:val="center"/>
            <w:hideMark/>
          </w:tcPr>
          <w:p w14:paraId="6D25C460" w14:textId="77777777" w:rsidR="00F010B4" w:rsidRPr="004E5A6E" w:rsidRDefault="00F010B4" w:rsidP="00D6295F">
            <w:pPr>
              <w:jc w:val="right"/>
              <w:rPr>
                <w:b/>
                <w:color w:val="auto"/>
                <w:sz w:val="18"/>
                <w:szCs w:val="18"/>
                <w:lang w:val="sq-AL"/>
              </w:rPr>
            </w:pPr>
            <w:r w:rsidRPr="004E5A6E">
              <w:rPr>
                <w:b/>
                <w:color w:val="auto"/>
                <w:sz w:val="18"/>
                <w:szCs w:val="18"/>
                <w:lang w:val="sq-AL"/>
              </w:rPr>
              <w:t>5.0%</w:t>
            </w:r>
          </w:p>
        </w:tc>
        <w:tc>
          <w:tcPr>
            <w:tcW w:w="1124" w:type="dxa"/>
            <w:tcBorders>
              <w:top w:val="nil"/>
              <w:left w:val="nil"/>
              <w:bottom w:val="single" w:sz="4" w:space="0" w:color="auto"/>
              <w:right w:val="single" w:sz="8" w:space="0" w:color="auto"/>
            </w:tcBorders>
            <w:shd w:val="clear" w:color="000000" w:fill="FFFFFF"/>
            <w:noWrap/>
            <w:vAlign w:val="center"/>
            <w:hideMark/>
          </w:tcPr>
          <w:p w14:paraId="5CEB8AA3" w14:textId="77777777" w:rsidR="00F010B4" w:rsidRPr="004E5A6E" w:rsidRDefault="00F010B4" w:rsidP="00D6295F">
            <w:pPr>
              <w:jc w:val="right"/>
              <w:rPr>
                <w:b/>
                <w:color w:val="auto"/>
                <w:sz w:val="18"/>
                <w:szCs w:val="18"/>
                <w:lang w:val="sq-AL"/>
              </w:rPr>
            </w:pPr>
            <w:r w:rsidRPr="004E5A6E">
              <w:rPr>
                <w:b/>
                <w:color w:val="auto"/>
                <w:sz w:val="18"/>
                <w:szCs w:val="18"/>
                <w:lang w:val="sq-AL"/>
              </w:rPr>
              <w:t>3.1%</w:t>
            </w:r>
          </w:p>
        </w:tc>
        <w:tc>
          <w:tcPr>
            <w:tcW w:w="968" w:type="dxa"/>
            <w:tcBorders>
              <w:top w:val="nil"/>
              <w:left w:val="nil"/>
              <w:bottom w:val="single" w:sz="4" w:space="0" w:color="auto"/>
              <w:right w:val="single" w:sz="4" w:space="0" w:color="auto"/>
            </w:tcBorders>
            <w:shd w:val="clear" w:color="000000" w:fill="FFFFFF"/>
          </w:tcPr>
          <w:p w14:paraId="5332817B" w14:textId="77777777" w:rsidR="00F010B4" w:rsidRPr="004E5A6E" w:rsidRDefault="00F010B4" w:rsidP="00D6295F">
            <w:pPr>
              <w:jc w:val="right"/>
              <w:rPr>
                <w:b/>
                <w:color w:val="auto"/>
                <w:sz w:val="18"/>
                <w:szCs w:val="18"/>
                <w:lang w:val="sq-AL"/>
              </w:rPr>
            </w:pPr>
            <w:r w:rsidRPr="004E5A6E">
              <w:rPr>
                <w:b/>
                <w:color w:val="auto"/>
                <w:sz w:val="18"/>
                <w:szCs w:val="18"/>
                <w:lang w:val="sq-AL"/>
              </w:rPr>
              <w:t>4.9%</w:t>
            </w:r>
          </w:p>
        </w:tc>
      </w:tr>
    </w:tbl>
    <w:p w14:paraId="75153738" w14:textId="77777777" w:rsidR="00F010B4" w:rsidRPr="004E5A6E" w:rsidRDefault="00F010B4" w:rsidP="00F010B4">
      <w:pPr>
        <w:rPr>
          <w:color w:val="auto"/>
          <w:lang w:val="sq-AL"/>
        </w:rPr>
      </w:pPr>
    </w:p>
    <w:p w14:paraId="0AE2B9F1" w14:textId="77777777" w:rsidR="00F010B4" w:rsidRPr="004E5A6E" w:rsidRDefault="00F010B4" w:rsidP="00F010B4">
      <w:pPr>
        <w:rPr>
          <w:color w:val="auto"/>
          <w:lang w:val="sq-AL"/>
        </w:rPr>
      </w:pPr>
    </w:p>
    <w:p w14:paraId="7644095D" w14:textId="3D10477D" w:rsidR="00EF20FB" w:rsidRPr="004E5A6E" w:rsidRDefault="00EF20FB" w:rsidP="00EF20FB">
      <w:pPr>
        <w:spacing w:after="120" w:line="276" w:lineRule="auto"/>
        <w:jc w:val="both"/>
        <w:rPr>
          <w:b/>
          <w:color w:val="auto"/>
          <w:lang w:val="sq-AL"/>
        </w:rPr>
      </w:pPr>
      <w:bookmarkStart w:id="169" w:name="_Toc531359885"/>
      <w:r w:rsidRPr="004E5A6E">
        <w:rPr>
          <w:b/>
          <w:color w:val="auto"/>
          <w:lang w:val="sq-AL"/>
        </w:rPr>
        <w:t>Përmbledhje e implikimeve fiskale të krizës Covid-19</w:t>
      </w:r>
    </w:p>
    <w:p w14:paraId="69628ECC" w14:textId="1F905888" w:rsidR="00EF20FB" w:rsidRPr="004E5A6E" w:rsidRDefault="00EF20FB" w:rsidP="00EF20FB">
      <w:pPr>
        <w:spacing w:after="120" w:line="276" w:lineRule="auto"/>
        <w:jc w:val="both"/>
        <w:rPr>
          <w:color w:val="auto"/>
          <w:lang w:val="sq-AL"/>
        </w:rPr>
      </w:pPr>
      <w:r w:rsidRPr="004E5A6E">
        <w:rPr>
          <w:color w:val="auto"/>
          <w:lang w:val="sq-AL"/>
        </w:rPr>
        <w:t>Pas përhapjes së COVID-19, Qeveria e Kosovës ndërmori një sërë masash kufizuese dhe një Paketë Fiskale Emergjente, e cila synonte të adresonte problemet socio-ekonomike të shkaktuara nga pandemia e COVID-19. Kjo paketë përbëhej nga gjithsej 15 masa, të cilat synonin të siguronin ndihmë të menjëhershme të qytetarëve dhe bizneseve që u ndikuan më shumë nga masat e vendosura nga qeveria në lidhje me kufizimin e aktivitetit ekonomik për disa sektorë dhe lëvizjen e qytetarëve. Paketa u zgjerua më vonë si pjesë e Programit të Reformës Ekonomike dhe deri në fund të Tetorit, rreth 210 milion Euro në total janë disbursuar në lidhje me zbutjen e pasojave të pandemisë.</w:t>
      </w:r>
    </w:p>
    <w:p w14:paraId="7C4F4CFF" w14:textId="4B777541" w:rsidR="00EF20FB" w:rsidRPr="004E5A6E" w:rsidRDefault="00EF20FB" w:rsidP="00EF20FB">
      <w:pPr>
        <w:spacing w:after="120" w:line="276" w:lineRule="auto"/>
        <w:jc w:val="both"/>
        <w:rPr>
          <w:color w:val="auto"/>
          <w:lang w:val="sq-AL"/>
        </w:rPr>
      </w:pPr>
      <w:r w:rsidRPr="004E5A6E">
        <w:rPr>
          <w:color w:val="auto"/>
          <w:lang w:val="sq-AL"/>
        </w:rPr>
        <w:t xml:space="preserve">Përveç këtyre masave të ndihmës, qeveria gjithashtu u ka siguruar bizneseve shtyrjet e pagesave të taksave, dhe pse pjesa më e madhe e tyre duhej të paguheshin brenda vitit 2020. Ka qenë vetëm një masë që ka shtyrë këstet e pagesave në 2021, dhe kjo është tarifa koncesionare e paguar nga Aeroporti </w:t>
      </w:r>
      <w:r w:rsidR="004A6A22" w:rsidRPr="004E5A6E">
        <w:rPr>
          <w:color w:val="auto"/>
          <w:lang w:val="sq-AL"/>
        </w:rPr>
        <w:t>Ndërkombëtar</w:t>
      </w:r>
      <w:r w:rsidRPr="004E5A6E">
        <w:rPr>
          <w:color w:val="auto"/>
          <w:lang w:val="sq-AL"/>
        </w:rPr>
        <w:t xml:space="preserve"> i Prishtinës </w:t>
      </w:r>
      <w:r w:rsidR="004A6A22" w:rsidRPr="004E5A6E">
        <w:rPr>
          <w:color w:val="auto"/>
          <w:lang w:val="sq-AL"/>
        </w:rPr>
        <w:t>“Adem Jashari” |</w:t>
      </w:r>
      <w:r w:rsidRPr="004E5A6E">
        <w:rPr>
          <w:color w:val="auto"/>
          <w:lang w:val="sq-AL"/>
        </w:rPr>
        <w:t>(-0.15% e PBB-së). Sidoqoftë, një faktor tjetër që ka kontribuar në të</w:t>
      </w:r>
      <w:r w:rsidR="004A6A22" w:rsidRPr="004E5A6E">
        <w:rPr>
          <w:color w:val="auto"/>
          <w:lang w:val="sq-AL"/>
        </w:rPr>
        <w:t xml:space="preserve"> ardhura shtesë p</w:t>
      </w:r>
      <w:r w:rsidRPr="004E5A6E">
        <w:rPr>
          <w:color w:val="auto"/>
          <w:lang w:val="sq-AL"/>
        </w:rPr>
        <w:t>ë</w:t>
      </w:r>
      <w:r w:rsidR="004A6A22" w:rsidRPr="004E5A6E">
        <w:rPr>
          <w:color w:val="auto"/>
          <w:lang w:val="sq-AL"/>
        </w:rPr>
        <w:t>r buxhetin</w:t>
      </w:r>
      <w:r w:rsidRPr="004E5A6E">
        <w:rPr>
          <w:color w:val="auto"/>
          <w:lang w:val="sq-AL"/>
        </w:rPr>
        <w:t xml:space="preserve"> për shkak të COVID, është një grant shtesë nga Bashkimi Evropian përmes Kontratës së Reziliencës (+ 0.31% të PBB-së). Ndikimi neto i këtyre dy komponentëve në të ardhurat paraqitet në tabelën më poshtë.</w:t>
      </w:r>
    </w:p>
    <w:p w14:paraId="05B9E432" w14:textId="40DA2BDC" w:rsidR="00EF20FB" w:rsidRPr="004E5A6E" w:rsidRDefault="00EF20FB" w:rsidP="00EF20FB">
      <w:pPr>
        <w:spacing w:after="120" w:line="276" w:lineRule="auto"/>
        <w:jc w:val="both"/>
        <w:rPr>
          <w:color w:val="auto"/>
          <w:lang w:val="sq-AL"/>
        </w:rPr>
      </w:pPr>
      <w:r w:rsidRPr="004E5A6E">
        <w:rPr>
          <w:color w:val="auto"/>
          <w:lang w:val="sq-AL"/>
        </w:rPr>
        <w:t xml:space="preserve">Sidoqoftë, të ardhurat janë ndikuar nga ngadalësimi i aktivitetit ekonomik dhe masat e kontrollit që kanë kufizuar veprimtarinë e tyre. Ndikimi në këtë krizë është më i theksuar në vitin 2020 (2.3% e PBB-së), megjithatë pritet të ketë një efekt </w:t>
      </w:r>
      <w:r w:rsidR="004A6A22" w:rsidRPr="004E5A6E">
        <w:rPr>
          <w:color w:val="auto"/>
          <w:lang w:val="sq-AL"/>
        </w:rPr>
        <w:t xml:space="preserve">negativ </w:t>
      </w:r>
      <w:r w:rsidRPr="004E5A6E">
        <w:rPr>
          <w:color w:val="auto"/>
          <w:lang w:val="sq-AL"/>
        </w:rPr>
        <w:t>edhe në periudhën afatmesme.</w:t>
      </w:r>
    </w:p>
    <w:p w14:paraId="2483CD9F" w14:textId="7945661B" w:rsidR="00EF20FB" w:rsidRPr="004E5A6E" w:rsidRDefault="00EF20FB" w:rsidP="00EF20FB">
      <w:pPr>
        <w:spacing w:after="120" w:line="276" w:lineRule="auto"/>
        <w:jc w:val="both"/>
        <w:rPr>
          <w:b/>
          <w:color w:val="auto"/>
          <w:lang w:val="sq-AL"/>
        </w:rPr>
      </w:pPr>
      <w:r w:rsidRPr="004E5A6E">
        <w:rPr>
          <w:color w:val="auto"/>
          <w:lang w:val="sq-AL"/>
        </w:rPr>
        <w:t>Sidoqoftë, kriza ka sjellë nevojën për financim shtesë. Qeveria ka marrë financim</w:t>
      </w:r>
      <w:r w:rsidR="004A6A22" w:rsidRPr="004E5A6E">
        <w:rPr>
          <w:color w:val="auto"/>
          <w:lang w:val="sq-AL"/>
        </w:rPr>
        <w:t xml:space="preserve"> shtesë në vlerë prej 207 milionë</w:t>
      </w:r>
      <w:r w:rsidRPr="004E5A6E">
        <w:rPr>
          <w:color w:val="auto"/>
          <w:lang w:val="sq-AL"/>
        </w:rPr>
        <w:t xml:space="preserve"> Euro në</w:t>
      </w:r>
      <w:r w:rsidR="004A6A22" w:rsidRPr="004E5A6E">
        <w:rPr>
          <w:color w:val="auto"/>
          <w:lang w:val="sq-AL"/>
        </w:rPr>
        <w:t xml:space="preserve"> vitin 2020, nga të cilat 52 milionë</w:t>
      </w:r>
      <w:r w:rsidRPr="004E5A6E">
        <w:rPr>
          <w:color w:val="auto"/>
          <w:lang w:val="sq-AL"/>
        </w:rPr>
        <w:t xml:space="preserve"> Euro nga Instrumenti i F</w:t>
      </w:r>
      <w:r w:rsidR="00547EE6" w:rsidRPr="004E5A6E">
        <w:rPr>
          <w:color w:val="auto"/>
          <w:lang w:val="sq-AL"/>
        </w:rPr>
        <w:t>inancimit të Shpejtë të FMN-së; 50 milionë Euro</w:t>
      </w:r>
      <w:r w:rsidRPr="004E5A6E">
        <w:rPr>
          <w:color w:val="auto"/>
          <w:lang w:val="sq-AL"/>
        </w:rPr>
        <w:t xml:space="preserve"> nga Asi</w:t>
      </w:r>
      <w:r w:rsidR="00547EE6" w:rsidRPr="004E5A6E">
        <w:rPr>
          <w:color w:val="auto"/>
          <w:lang w:val="sq-AL"/>
        </w:rPr>
        <w:t>stenca Makro Financiare e BE-së; 50 milionë Euro borxh i brendshëm shtes</w:t>
      </w:r>
      <w:r w:rsidRPr="004E5A6E">
        <w:rPr>
          <w:color w:val="auto"/>
          <w:lang w:val="sq-AL"/>
        </w:rPr>
        <w:t>ë</w:t>
      </w:r>
      <w:r w:rsidR="00547EE6" w:rsidRPr="004E5A6E">
        <w:rPr>
          <w:color w:val="auto"/>
          <w:lang w:val="sq-AL"/>
        </w:rPr>
        <w:t xml:space="preserve"> nëpërmjet</w:t>
      </w:r>
      <w:r w:rsidRPr="004E5A6E">
        <w:rPr>
          <w:color w:val="auto"/>
          <w:lang w:val="sq-AL"/>
        </w:rPr>
        <w:t xml:space="preserve"> vendosje</w:t>
      </w:r>
      <w:r w:rsidR="00547EE6" w:rsidRPr="004E5A6E">
        <w:rPr>
          <w:color w:val="auto"/>
          <w:lang w:val="sq-AL"/>
        </w:rPr>
        <w:t xml:space="preserve">s private në Fondin e Kursimeve Pensionale të Kosovës; 18,8 milionë Euro nga Këshilli Evropian; </w:t>
      </w:r>
      <w:r w:rsidR="00D05E71" w:rsidRPr="004E5A6E">
        <w:rPr>
          <w:color w:val="auto"/>
          <w:lang w:val="sq-AL"/>
        </w:rPr>
        <w:t xml:space="preserve">dhe </w:t>
      </w:r>
      <w:r w:rsidRPr="004E5A6E">
        <w:rPr>
          <w:color w:val="auto"/>
          <w:lang w:val="sq-AL"/>
        </w:rPr>
        <w:t>36.5</w:t>
      </w:r>
      <w:r w:rsidR="00547EE6" w:rsidRPr="004E5A6E">
        <w:rPr>
          <w:color w:val="auto"/>
          <w:lang w:val="sq-AL"/>
        </w:rPr>
        <w:t xml:space="preserve"> milionë </w:t>
      </w:r>
      <w:r w:rsidRPr="004E5A6E">
        <w:rPr>
          <w:color w:val="auto"/>
          <w:lang w:val="sq-AL"/>
        </w:rPr>
        <w:t>Euro nga Banka Botërore. Kjo ka kontribuar në një rritje shtesë të borxhit publik me rreth 3.1% të PBB-së.</w:t>
      </w:r>
    </w:p>
    <w:p w14:paraId="6F740E06" w14:textId="7D8D85C6" w:rsidR="00EF20FB" w:rsidRPr="004E5A6E" w:rsidRDefault="004A6A22" w:rsidP="004A6A22">
      <w:pPr>
        <w:pStyle w:val="Caption"/>
        <w:keepNext/>
        <w:spacing w:after="0"/>
        <w:rPr>
          <w:rFonts w:ascii="Times New Roman" w:hAnsi="Times New Roman"/>
          <w:b/>
          <w:i w:val="0"/>
          <w:color w:val="auto"/>
          <w:lang w:val="sq-AL"/>
        </w:rPr>
      </w:pPr>
      <w:r w:rsidRPr="004E5A6E">
        <w:rPr>
          <w:rFonts w:ascii="Times New Roman" w:hAnsi="Times New Roman"/>
          <w:b/>
          <w:i w:val="0"/>
          <w:color w:val="auto"/>
          <w:lang w:val="sq-AL"/>
        </w:rPr>
        <w:t>Tabela 6 Vlerësimi i Impaktit Fiskal i krizës së Covid-19 në vitin 2020</w:t>
      </w:r>
    </w:p>
    <w:tbl>
      <w:tblPr>
        <w:tblW w:w="8929" w:type="dxa"/>
        <w:tblLook w:val="04A0" w:firstRow="1" w:lastRow="0" w:firstColumn="1" w:lastColumn="0" w:noHBand="0" w:noVBand="1"/>
      </w:tblPr>
      <w:tblGrid>
        <w:gridCol w:w="2502"/>
        <w:gridCol w:w="2078"/>
        <w:gridCol w:w="2250"/>
        <w:gridCol w:w="2099"/>
      </w:tblGrid>
      <w:tr w:rsidR="00EF20FB" w:rsidRPr="004E5A6E" w14:paraId="727BB0AA" w14:textId="77777777" w:rsidTr="00F40F2E">
        <w:trPr>
          <w:trHeight w:val="388"/>
        </w:trPr>
        <w:tc>
          <w:tcPr>
            <w:tcW w:w="2502"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524ADE09" w14:textId="77777777" w:rsidR="00EF20FB" w:rsidRPr="004E5A6E" w:rsidRDefault="00EF20FB" w:rsidP="00D05E71">
            <w:pPr>
              <w:rPr>
                <w:color w:val="auto"/>
                <w:sz w:val="20"/>
                <w:szCs w:val="20"/>
                <w:lang w:val="sq-AL"/>
              </w:rPr>
            </w:pPr>
            <w:r w:rsidRPr="004E5A6E">
              <w:rPr>
                <w:color w:val="auto"/>
                <w:sz w:val="20"/>
                <w:szCs w:val="20"/>
                <w:lang w:val="sq-AL"/>
              </w:rPr>
              <w:t>Ndikimi i vlerësuar fiskal i krizës Covid19 në 2020</w:t>
            </w:r>
          </w:p>
        </w:tc>
        <w:tc>
          <w:tcPr>
            <w:tcW w:w="2078" w:type="dxa"/>
            <w:tcBorders>
              <w:top w:val="single" w:sz="8" w:space="0" w:color="auto"/>
              <w:left w:val="nil"/>
              <w:bottom w:val="single" w:sz="4" w:space="0" w:color="auto"/>
              <w:right w:val="single" w:sz="4" w:space="0" w:color="auto"/>
            </w:tcBorders>
            <w:shd w:val="clear" w:color="auto" w:fill="auto"/>
            <w:vAlign w:val="bottom"/>
            <w:hideMark/>
          </w:tcPr>
          <w:p w14:paraId="1D34E1CD" w14:textId="77777777" w:rsidR="00EF20FB" w:rsidRPr="004E5A6E" w:rsidRDefault="00EF20FB" w:rsidP="00EF20FB">
            <w:pPr>
              <w:rPr>
                <w:color w:val="auto"/>
                <w:sz w:val="20"/>
                <w:szCs w:val="20"/>
                <w:lang w:val="sq-AL"/>
              </w:rPr>
            </w:pPr>
            <w:r w:rsidRPr="004E5A6E">
              <w:rPr>
                <w:color w:val="auto"/>
                <w:sz w:val="20"/>
                <w:szCs w:val="20"/>
                <w:lang w:val="sq-AL"/>
              </w:rPr>
              <w:t>Për shkak të masave diskrete të njëhershme (në% të PBB-së)</w:t>
            </w:r>
          </w:p>
        </w:tc>
        <w:tc>
          <w:tcPr>
            <w:tcW w:w="2250" w:type="dxa"/>
            <w:tcBorders>
              <w:top w:val="single" w:sz="8" w:space="0" w:color="auto"/>
              <w:left w:val="nil"/>
              <w:bottom w:val="single" w:sz="4" w:space="0" w:color="auto"/>
              <w:right w:val="single" w:sz="4" w:space="0" w:color="auto"/>
            </w:tcBorders>
            <w:shd w:val="clear" w:color="auto" w:fill="auto"/>
            <w:vAlign w:val="bottom"/>
            <w:hideMark/>
          </w:tcPr>
          <w:p w14:paraId="10C749D8" w14:textId="423B4223" w:rsidR="00EF20FB" w:rsidRPr="004E5A6E" w:rsidRDefault="00EF20FB" w:rsidP="00EF20FB">
            <w:pPr>
              <w:rPr>
                <w:color w:val="auto"/>
                <w:sz w:val="20"/>
                <w:szCs w:val="20"/>
                <w:lang w:val="sq-AL"/>
              </w:rPr>
            </w:pPr>
            <w:r w:rsidRPr="004E5A6E">
              <w:rPr>
                <w:color w:val="auto"/>
                <w:sz w:val="20"/>
                <w:szCs w:val="20"/>
                <w:lang w:val="sq-AL"/>
              </w:rPr>
              <w:t xml:space="preserve">Për shkak të </w:t>
            </w:r>
            <w:r w:rsidR="00D05E71" w:rsidRPr="004E5A6E">
              <w:rPr>
                <w:color w:val="auto"/>
                <w:sz w:val="20"/>
                <w:szCs w:val="20"/>
                <w:lang w:val="sq-AL"/>
              </w:rPr>
              <w:t>masave të mëtejshme diskrecionar</w:t>
            </w:r>
            <w:r w:rsidRPr="004E5A6E">
              <w:rPr>
                <w:color w:val="auto"/>
                <w:sz w:val="20"/>
                <w:szCs w:val="20"/>
                <w:lang w:val="sq-AL"/>
              </w:rPr>
              <w:t>e (në% të PBB-së)</w:t>
            </w:r>
          </w:p>
        </w:tc>
        <w:tc>
          <w:tcPr>
            <w:tcW w:w="2099" w:type="dxa"/>
            <w:tcBorders>
              <w:top w:val="single" w:sz="8" w:space="0" w:color="auto"/>
              <w:left w:val="nil"/>
              <w:bottom w:val="single" w:sz="4" w:space="0" w:color="auto"/>
              <w:right w:val="single" w:sz="8" w:space="0" w:color="auto"/>
            </w:tcBorders>
            <w:shd w:val="clear" w:color="auto" w:fill="auto"/>
            <w:vAlign w:val="bottom"/>
            <w:hideMark/>
          </w:tcPr>
          <w:p w14:paraId="4868AB2D" w14:textId="77777777" w:rsidR="00EF20FB" w:rsidRPr="004E5A6E" w:rsidRDefault="00EF20FB" w:rsidP="00EF20FB">
            <w:pPr>
              <w:rPr>
                <w:color w:val="auto"/>
                <w:sz w:val="20"/>
                <w:szCs w:val="20"/>
                <w:lang w:val="sq-AL"/>
              </w:rPr>
            </w:pPr>
            <w:r w:rsidRPr="004E5A6E">
              <w:rPr>
                <w:color w:val="auto"/>
                <w:sz w:val="20"/>
                <w:szCs w:val="20"/>
                <w:lang w:val="sq-AL"/>
              </w:rPr>
              <w:t>Për shkak të ngadalësimit të aktivitetit ekonomik (në% të PBB-së)</w:t>
            </w:r>
          </w:p>
        </w:tc>
      </w:tr>
      <w:tr w:rsidR="00EF20FB" w:rsidRPr="004E5A6E" w14:paraId="4F975FC9" w14:textId="77777777" w:rsidTr="00F40F2E">
        <w:trPr>
          <w:trHeight w:val="253"/>
        </w:trPr>
        <w:tc>
          <w:tcPr>
            <w:tcW w:w="2502" w:type="dxa"/>
            <w:tcBorders>
              <w:top w:val="nil"/>
              <w:left w:val="single" w:sz="8" w:space="0" w:color="auto"/>
              <w:bottom w:val="single" w:sz="4" w:space="0" w:color="auto"/>
              <w:right w:val="single" w:sz="4" w:space="0" w:color="auto"/>
            </w:tcBorders>
            <w:shd w:val="clear" w:color="auto" w:fill="auto"/>
            <w:noWrap/>
            <w:vAlign w:val="bottom"/>
            <w:hideMark/>
          </w:tcPr>
          <w:p w14:paraId="0E35695D" w14:textId="77777777" w:rsidR="00EF20FB" w:rsidRPr="004E5A6E" w:rsidRDefault="00EF20FB" w:rsidP="00EF20FB">
            <w:pPr>
              <w:rPr>
                <w:color w:val="auto"/>
                <w:sz w:val="20"/>
                <w:szCs w:val="20"/>
                <w:lang w:val="sq-AL"/>
              </w:rPr>
            </w:pPr>
            <w:r w:rsidRPr="004E5A6E">
              <w:rPr>
                <w:color w:val="auto"/>
                <w:sz w:val="20"/>
                <w:szCs w:val="20"/>
                <w:lang w:val="sq-AL"/>
              </w:rPr>
              <w:t>Për shpenzimet e buxhetit</w:t>
            </w:r>
          </w:p>
        </w:tc>
        <w:tc>
          <w:tcPr>
            <w:tcW w:w="2078" w:type="dxa"/>
            <w:tcBorders>
              <w:top w:val="nil"/>
              <w:left w:val="nil"/>
              <w:bottom w:val="single" w:sz="4" w:space="0" w:color="auto"/>
              <w:right w:val="single" w:sz="4" w:space="0" w:color="auto"/>
            </w:tcBorders>
            <w:shd w:val="clear" w:color="auto" w:fill="auto"/>
            <w:noWrap/>
            <w:vAlign w:val="bottom"/>
            <w:hideMark/>
          </w:tcPr>
          <w:p w14:paraId="3217D526" w14:textId="490137A8" w:rsidR="00EF20FB" w:rsidRPr="004E5A6E" w:rsidRDefault="00EF20FB" w:rsidP="00D05E71">
            <w:pPr>
              <w:jc w:val="center"/>
              <w:rPr>
                <w:color w:val="auto"/>
                <w:sz w:val="20"/>
                <w:szCs w:val="20"/>
                <w:lang w:val="sq-AL"/>
              </w:rPr>
            </w:pPr>
          </w:p>
        </w:tc>
        <w:tc>
          <w:tcPr>
            <w:tcW w:w="2250" w:type="dxa"/>
            <w:tcBorders>
              <w:top w:val="nil"/>
              <w:left w:val="nil"/>
              <w:bottom w:val="single" w:sz="4" w:space="0" w:color="auto"/>
              <w:right w:val="single" w:sz="4" w:space="0" w:color="auto"/>
            </w:tcBorders>
            <w:shd w:val="clear" w:color="auto" w:fill="auto"/>
            <w:noWrap/>
            <w:vAlign w:val="bottom"/>
            <w:hideMark/>
          </w:tcPr>
          <w:p w14:paraId="5758EDC4" w14:textId="4EC0FEA6" w:rsidR="00EF20FB" w:rsidRPr="004E5A6E" w:rsidRDefault="00D05E71" w:rsidP="00D05E71">
            <w:pPr>
              <w:jc w:val="center"/>
              <w:rPr>
                <w:color w:val="auto"/>
                <w:sz w:val="20"/>
                <w:szCs w:val="20"/>
                <w:lang w:val="sq-AL"/>
              </w:rPr>
            </w:pPr>
            <w:r w:rsidRPr="004E5A6E">
              <w:rPr>
                <w:color w:val="auto"/>
                <w:sz w:val="20"/>
                <w:szCs w:val="20"/>
                <w:lang w:val="sq-AL"/>
              </w:rPr>
              <w:t>3.6%</w:t>
            </w:r>
          </w:p>
        </w:tc>
        <w:tc>
          <w:tcPr>
            <w:tcW w:w="2099" w:type="dxa"/>
            <w:tcBorders>
              <w:top w:val="nil"/>
              <w:left w:val="nil"/>
              <w:bottom w:val="single" w:sz="4" w:space="0" w:color="auto"/>
              <w:right w:val="single" w:sz="8" w:space="0" w:color="auto"/>
            </w:tcBorders>
            <w:shd w:val="clear" w:color="auto" w:fill="auto"/>
            <w:noWrap/>
            <w:vAlign w:val="bottom"/>
            <w:hideMark/>
          </w:tcPr>
          <w:p w14:paraId="09A665AD" w14:textId="5CF5FF3E" w:rsidR="00EF20FB" w:rsidRPr="004E5A6E" w:rsidRDefault="00EF20FB" w:rsidP="00D05E71">
            <w:pPr>
              <w:jc w:val="center"/>
              <w:rPr>
                <w:color w:val="auto"/>
                <w:sz w:val="20"/>
                <w:szCs w:val="20"/>
                <w:lang w:val="sq-AL"/>
              </w:rPr>
            </w:pPr>
          </w:p>
        </w:tc>
      </w:tr>
      <w:tr w:rsidR="00EF20FB" w:rsidRPr="004E5A6E" w14:paraId="773D5770" w14:textId="77777777" w:rsidTr="00F40F2E">
        <w:trPr>
          <w:trHeight w:val="253"/>
        </w:trPr>
        <w:tc>
          <w:tcPr>
            <w:tcW w:w="2502" w:type="dxa"/>
            <w:tcBorders>
              <w:top w:val="nil"/>
              <w:left w:val="single" w:sz="8" w:space="0" w:color="auto"/>
              <w:bottom w:val="single" w:sz="4" w:space="0" w:color="auto"/>
              <w:right w:val="single" w:sz="4" w:space="0" w:color="auto"/>
            </w:tcBorders>
            <w:shd w:val="clear" w:color="auto" w:fill="auto"/>
            <w:noWrap/>
            <w:vAlign w:val="bottom"/>
            <w:hideMark/>
          </w:tcPr>
          <w:p w14:paraId="7D4275DC" w14:textId="77777777" w:rsidR="00EF20FB" w:rsidRPr="004E5A6E" w:rsidRDefault="00EF20FB" w:rsidP="00EF20FB">
            <w:pPr>
              <w:rPr>
                <w:color w:val="auto"/>
                <w:sz w:val="20"/>
                <w:szCs w:val="20"/>
                <w:lang w:val="sq-AL"/>
              </w:rPr>
            </w:pPr>
            <w:r w:rsidRPr="004E5A6E">
              <w:rPr>
                <w:color w:val="auto"/>
                <w:sz w:val="20"/>
                <w:szCs w:val="20"/>
                <w:lang w:val="sq-AL"/>
              </w:rPr>
              <w:t>Për të hyrat e buxhetit</w:t>
            </w:r>
          </w:p>
        </w:tc>
        <w:tc>
          <w:tcPr>
            <w:tcW w:w="2078" w:type="dxa"/>
            <w:tcBorders>
              <w:top w:val="nil"/>
              <w:left w:val="nil"/>
              <w:bottom w:val="single" w:sz="4" w:space="0" w:color="auto"/>
              <w:right w:val="single" w:sz="4" w:space="0" w:color="auto"/>
            </w:tcBorders>
            <w:shd w:val="clear" w:color="auto" w:fill="auto"/>
            <w:noWrap/>
            <w:vAlign w:val="bottom"/>
            <w:hideMark/>
          </w:tcPr>
          <w:p w14:paraId="79B082F0" w14:textId="644DDEAA" w:rsidR="00EF20FB" w:rsidRPr="004E5A6E" w:rsidRDefault="00D05E71" w:rsidP="00D05E71">
            <w:pPr>
              <w:jc w:val="center"/>
              <w:rPr>
                <w:color w:val="auto"/>
                <w:sz w:val="20"/>
                <w:szCs w:val="20"/>
                <w:lang w:val="sq-AL"/>
              </w:rPr>
            </w:pPr>
            <w:r w:rsidRPr="004E5A6E">
              <w:rPr>
                <w:color w:val="auto"/>
                <w:sz w:val="20"/>
                <w:szCs w:val="20"/>
                <w:lang w:val="sq-AL"/>
              </w:rPr>
              <w:t>0.16%</w:t>
            </w:r>
          </w:p>
        </w:tc>
        <w:tc>
          <w:tcPr>
            <w:tcW w:w="2250" w:type="dxa"/>
            <w:tcBorders>
              <w:top w:val="nil"/>
              <w:left w:val="nil"/>
              <w:bottom w:val="single" w:sz="4" w:space="0" w:color="auto"/>
              <w:right w:val="single" w:sz="4" w:space="0" w:color="auto"/>
            </w:tcBorders>
            <w:shd w:val="clear" w:color="auto" w:fill="auto"/>
            <w:noWrap/>
            <w:vAlign w:val="bottom"/>
            <w:hideMark/>
          </w:tcPr>
          <w:p w14:paraId="039C2182" w14:textId="1A64043D" w:rsidR="00EF20FB" w:rsidRPr="004E5A6E" w:rsidRDefault="00EF20FB" w:rsidP="00D05E71">
            <w:pPr>
              <w:jc w:val="center"/>
              <w:rPr>
                <w:color w:val="auto"/>
                <w:sz w:val="20"/>
                <w:szCs w:val="20"/>
                <w:lang w:val="sq-AL"/>
              </w:rPr>
            </w:pPr>
          </w:p>
        </w:tc>
        <w:tc>
          <w:tcPr>
            <w:tcW w:w="2099" w:type="dxa"/>
            <w:tcBorders>
              <w:top w:val="nil"/>
              <w:left w:val="nil"/>
              <w:bottom w:val="single" w:sz="4" w:space="0" w:color="auto"/>
              <w:right w:val="single" w:sz="8" w:space="0" w:color="auto"/>
            </w:tcBorders>
            <w:shd w:val="clear" w:color="auto" w:fill="auto"/>
            <w:noWrap/>
            <w:vAlign w:val="bottom"/>
            <w:hideMark/>
          </w:tcPr>
          <w:p w14:paraId="17BE367F" w14:textId="0A0361E5" w:rsidR="00EF20FB" w:rsidRPr="004E5A6E" w:rsidRDefault="00D05E71" w:rsidP="00D05E71">
            <w:pPr>
              <w:jc w:val="center"/>
              <w:rPr>
                <w:color w:val="auto"/>
                <w:sz w:val="20"/>
                <w:szCs w:val="20"/>
                <w:lang w:val="sq-AL"/>
              </w:rPr>
            </w:pPr>
            <w:r w:rsidRPr="004E5A6E">
              <w:rPr>
                <w:color w:val="auto"/>
                <w:sz w:val="20"/>
                <w:szCs w:val="20"/>
                <w:lang w:val="sq-AL"/>
              </w:rPr>
              <w:t>-2.3%</w:t>
            </w:r>
          </w:p>
        </w:tc>
      </w:tr>
      <w:tr w:rsidR="00EF20FB" w:rsidRPr="004E5A6E" w14:paraId="6463F357" w14:textId="77777777" w:rsidTr="00F40F2E">
        <w:trPr>
          <w:trHeight w:val="253"/>
        </w:trPr>
        <w:tc>
          <w:tcPr>
            <w:tcW w:w="2502" w:type="dxa"/>
            <w:tcBorders>
              <w:top w:val="nil"/>
              <w:left w:val="single" w:sz="8" w:space="0" w:color="auto"/>
              <w:bottom w:val="single" w:sz="4" w:space="0" w:color="auto"/>
              <w:right w:val="single" w:sz="4" w:space="0" w:color="auto"/>
            </w:tcBorders>
            <w:shd w:val="clear" w:color="auto" w:fill="auto"/>
            <w:noWrap/>
            <w:vAlign w:val="bottom"/>
            <w:hideMark/>
          </w:tcPr>
          <w:p w14:paraId="07505176" w14:textId="77777777" w:rsidR="00EF20FB" w:rsidRPr="004E5A6E" w:rsidRDefault="00EF20FB" w:rsidP="00EF20FB">
            <w:pPr>
              <w:rPr>
                <w:color w:val="auto"/>
                <w:sz w:val="20"/>
                <w:szCs w:val="20"/>
                <w:lang w:val="sq-AL"/>
              </w:rPr>
            </w:pPr>
            <w:r w:rsidRPr="004E5A6E">
              <w:rPr>
                <w:color w:val="auto"/>
                <w:sz w:val="20"/>
                <w:szCs w:val="20"/>
                <w:lang w:val="sq-AL"/>
              </w:rPr>
              <w:t>Ndikimi total i buxhetit</w:t>
            </w:r>
          </w:p>
        </w:tc>
        <w:tc>
          <w:tcPr>
            <w:tcW w:w="2078" w:type="dxa"/>
            <w:tcBorders>
              <w:top w:val="nil"/>
              <w:left w:val="nil"/>
              <w:bottom w:val="single" w:sz="4" w:space="0" w:color="auto"/>
              <w:right w:val="single" w:sz="4" w:space="0" w:color="auto"/>
            </w:tcBorders>
            <w:shd w:val="clear" w:color="auto" w:fill="auto"/>
            <w:noWrap/>
            <w:vAlign w:val="bottom"/>
            <w:hideMark/>
          </w:tcPr>
          <w:p w14:paraId="2F51D364" w14:textId="3ECF377A" w:rsidR="00EF20FB" w:rsidRPr="004E5A6E" w:rsidRDefault="00D05E71" w:rsidP="00D05E71">
            <w:pPr>
              <w:jc w:val="center"/>
              <w:rPr>
                <w:color w:val="auto"/>
                <w:sz w:val="20"/>
                <w:szCs w:val="20"/>
                <w:lang w:val="sq-AL"/>
              </w:rPr>
            </w:pPr>
            <w:r w:rsidRPr="004E5A6E">
              <w:rPr>
                <w:color w:val="auto"/>
                <w:sz w:val="20"/>
                <w:szCs w:val="20"/>
                <w:lang w:val="sq-AL"/>
              </w:rPr>
              <w:t>0.16%</w:t>
            </w:r>
          </w:p>
        </w:tc>
        <w:tc>
          <w:tcPr>
            <w:tcW w:w="2250" w:type="dxa"/>
            <w:tcBorders>
              <w:top w:val="nil"/>
              <w:left w:val="nil"/>
              <w:bottom w:val="single" w:sz="4" w:space="0" w:color="auto"/>
              <w:right w:val="single" w:sz="4" w:space="0" w:color="auto"/>
            </w:tcBorders>
            <w:shd w:val="clear" w:color="auto" w:fill="auto"/>
            <w:noWrap/>
            <w:vAlign w:val="bottom"/>
            <w:hideMark/>
          </w:tcPr>
          <w:p w14:paraId="71276DA8" w14:textId="2E902062" w:rsidR="00EF20FB" w:rsidRPr="004E5A6E" w:rsidRDefault="00D05E71" w:rsidP="00D05E71">
            <w:pPr>
              <w:jc w:val="center"/>
              <w:rPr>
                <w:color w:val="auto"/>
                <w:sz w:val="20"/>
                <w:szCs w:val="20"/>
                <w:lang w:val="sq-AL"/>
              </w:rPr>
            </w:pPr>
            <w:r w:rsidRPr="004E5A6E">
              <w:rPr>
                <w:color w:val="auto"/>
                <w:sz w:val="20"/>
                <w:szCs w:val="20"/>
                <w:lang w:val="sq-AL"/>
              </w:rPr>
              <w:t>3.6%</w:t>
            </w:r>
          </w:p>
        </w:tc>
        <w:tc>
          <w:tcPr>
            <w:tcW w:w="2099" w:type="dxa"/>
            <w:tcBorders>
              <w:top w:val="nil"/>
              <w:left w:val="nil"/>
              <w:bottom w:val="single" w:sz="4" w:space="0" w:color="auto"/>
              <w:right w:val="single" w:sz="8" w:space="0" w:color="auto"/>
            </w:tcBorders>
            <w:shd w:val="clear" w:color="auto" w:fill="auto"/>
            <w:noWrap/>
            <w:vAlign w:val="bottom"/>
            <w:hideMark/>
          </w:tcPr>
          <w:p w14:paraId="10A6A711" w14:textId="6A371A01" w:rsidR="00EF20FB" w:rsidRPr="004E5A6E" w:rsidRDefault="00D05E71" w:rsidP="00D05E71">
            <w:pPr>
              <w:jc w:val="center"/>
              <w:rPr>
                <w:color w:val="auto"/>
                <w:sz w:val="20"/>
                <w:szCs w:val="20"/>
                <w:lang w:val="sq-AL"/>
              </w:rPr>
            </w:pPr>
            <w:r w:rsidRPr="004E5A6E">
              <w:rPr>
                <w:color w:val="auto"/>
                <w:sz w:val="20"/>
                <w:szCs w:val="20"/>
                <w:lang w:val="sq-AL"/>
              </w:rPr>
              <w:t>-2.3%</w:t>
            </w:r>
          </w:p>
        </w:tc>
      </w:tr>
      <w:tr w:rsidR="00EF20FB" w:rsidRPr="004E5A6E" w14:paraId="610726C1" w14:textId="77777777" w:rsidTr="00F40F2E">
        <w:trPr>
          <w:trHeight w:val="253"/>
        </w:trPr>
        <w:tc>
          <w:tcPr>
            <w:tcW w:w="2502" w:type="dxa"/>
            <w:tcBorders>
              <w:top w:val="nil"/>
              <w:left w:val="single" w:sz="8" w:space="0" w:color="auto"/>
              <w:bottom w:val="single" w:sz="4" w:space="0" w:color="auto"/>
              <w:right w:val="single" w:sz="4" w:space="0" w:color="auto"/>
            </w:tcBorders>
            <w:shd w:val="clear" w:color="auto" w:fill="auto"/>
            <w:noWrap/>
            <w:vAlign w:val="bottom"/>
            <w:hideMark/>
          </w:tcPr>
          <w:p w14:paraId="697B4B56" w14:textId="77777777" w:rsidR="00EF20FB" w:rsidRPr="004E5A6E" w:rsidRDefault="00EF20FB" w:rsidP="00EF20FB">
            <w:pPr>
              <w:rPr>
                <w:color w:val="auto"/>
                <w:sz w:val="20"/>
                <w:szCs w:val="20"/>
                <w:lang w:val="sq-AL"/>
              </w:rPr>
            </w:pPr>
            <w:r w:rsidRPr="004E5A6E">
              <w:rPr>
                <w:color w:val="auto"/>
                <w:sz w:val="20"/>
                <w:szCs w:val="20"/>
                <w:lang w:val="sq-AL"/>
              </w:rPr>
              <w:t>Për borxhin publik</w:t>
            </w:r>
          </w:p>
        </w:tc>
        <w:tc>
          <w:tcPr>
            <w:tcW w:w="2078" w:type="dxa"/>
            <w:tcBorders>
              <w:top w:val="nil"/>
              <w:left w:val="nil"/>
              <w:bottom w:val="single" w:sz="4" w:space="0" w:color="auto"/>
              <w:right w:val="single" w:sz="4" w:space="0" w:color="auto"/>
            </w:tcBorders>
            <w:shd w:val="clear" w:color="auto" w:fill="auto"/>
            <w:noWrap/>
            <w:vAlign w:val="bottom"/>
            <w:hideMark/>
          </w:tcPr>
          <w:p w14:paraId="3A061050" w14:textId="5EED805D" w:rsidR="00EF20FB" w:rsidRPr="004E5A6E" w:rsidRDefault="00D05E71" w:rsidP="00D05E71">
            <w:pPr>
              <w:jc w:val="center"/>
              <w:rPr>
                <w:color w:val="auto"/>
                <w:sz w:val="20"/>
                <w:szCs w:val="20"/>
                <w:lang w:val="sq-AL"/>
              </w:rPr>
            </w:pPr>
            <w:r w:rsidRPr="004E5A6E">
              <w:rPr>
                <w:color w:val="auto"/>
                <w:sz w:val="20"/>
                <w:szCs w:val="20"/>
                <w:lang w:val="sq-AL"/>
              </w:rPr>
              <w:t>3.1%</w:t>
            </w:r>
          </w:p>
        </w:tc>
        <w:tc>
          <w:tcPr>
            <w:tcW w:w="2250" w:type="dxa"/>
            <w:tcBorders>
              <w:top w:val="nil"/>
              <w:left w:val="nil"/>
              <w:bottom w:val="single" w:sz="4" w:space="0" w:color="auto"/>
              <w:right w:val="single" w:sz="4" w:space="0" w:color="auto"/>
            </w:tcBorders>
            <w:shd w:val="clear" w:color="auto" w:fill="auto"/>
            <w:noWrap/>
            <w:vAlign w:val="bottom"/>
            <w:hideMark/>
          </w:tcPr>
          <w:p w14:paraId="15ACA063" w14:textId="58624E1E" w:rsidR="00EF20FB" w:rsidRPr="004E5A6E" w:rsidRDefault="00EF20FB" w:rsidP="00D05E71">
            <w:pPr>
              <w:jc w:val="center"/>
              <w:rPr>
                <w:color w:val="auto"/>
                <w:sz w:val="20"/>
                <w:szCs w:val="20"/>
                <w:lang w:val="sq-AL"/>
              </w:rPr>
            </w:pPr>
          </w:p>
        </w:tc>
        <w:tc>
          <w:tcPr>
            <w:tcW w:w="2099" w:type="dxa"/>
            <w:tcBorders>
              <w:top w:val="nil"/>
              <w:left w:val="nil"/>
              <w:bottom w:val="single" w:sz="4" w:space="0" w:color="auto"/>
              <w:right w:val="single" w:sz="8" w:space="0" w:color="auto"/>
            </w:tcBorders>
            <w:shd w:val="clear" w:color="auto" w:fill="auto"/>
            <w:noWrap/>
            <w:vAlign w:val="bottom"/>
            <w:hideMark/>
          </w:tcPr>
          <w:p w14:paraId="1A91A8D8" w14:textId="4E5BC909" w:rsidR="00EF20FB" w:rsidRPr="004E5A6E" w:rsidRDefault="00EF20FB" w:rsidP="00D05E71">
            <w:pPr>
              <w:jc w:val="center"/>
              <w:rPr>
                <w:color w:val="auto"/>
                <w:sz w:val="20"/>
                <w:szCs w:val="20"/>
                <w:lang w:val="sq-AL"/>
              </w:rPr>
            </w:pPr>
          </w:p>
        </w:tc>
      </w:tr>
      <w:tr w:rsidR="00EF20FB" w:rsidRPr="004E5A6E" w14:paraId="58C76E82" w14:textId="77777777" w:rsidTr="00F40F2E">
        <w:trPr>
          <w:trHeight w:val="268"/>
        </w:trPr>
        <w:tc>
          <w:tcPr>
            <w:tcW w:w="2502" w:type="dxa"/>
            <w:tcBorders>
              <w:top w:val="nil"/>
              <w:left w:val="single" w:sz="8" w:space="0" w:color="auto"/>
              <w:bottom w:val="single" w:sz="8" w:space="0" w:color="auto"/>
              <w:right w:val="single" w:sz="4" w:space="0" w:color="auto"/>
            </w:tcBorders>
            <w:shd w:val="clear" w:color="auto" w:fill="auto"/>
            <w:noWrap/>
            <w:vAlign w:val="bottom"/>
            <w:hideMark/>
          </w:tcPr>
          <w:p w14:paraId="6A66B478" w14:textId="77777777" w:rsidR="00EF20FB" w:rsidRPr="004E5A6E" w:rsidRDefault="00EF20FB" w:rsidP="00EF20FB">
            <w:pPr>
              <w:rPr>
                <w:color w:val="auto"/>
                <w:sz w:val="20"/>
                <w:szCs w:val="20"/>
                <w:lang w:val="sq-AL"/>
              </w:rPr>
            </w:pPr>
            <w:r w:rsidRPr="004E5A6E">
              <w:rPr>
                <w:color w:val="auto"/>
                <w:sz w:val="20"/>
                <w:szCs w:val="20"/>
                <w:lang w:val="sq-AL"/>
              </w:rPr>
              <w:t>Për detyrimet e kushtëzuara</w:t>
            </w:r>
          </w:p>
        </w:tc>
        <w:tc>
          <w:tcPr>
            <w:tcW w:w="2078" w:type="dxa"/>
            <w:tcBorders>
              <w:top w:val="nil"/>
              <w:left w:val="nil"/>
              <w:bottom w:val="single" w:sz="8" w:space="0" w:color="auto"/>
              <w:right w:val="single" w:sz="4" w:space="0" w:color="auto"/>
            </w:tcBorders>
            <w:shd w:val="clear" w:color="auto" w:fill="auto"/>
            <w:noWrap/>
            <w:vAlign w:val="bottom"/>
            <w:hideMark/>
          </w:tcPr>
          <w:p w14:paraId="01265130" w14:textId="323C4CF1" w:rsidR="00EF20FB" w:rsidRPr="004E5A6E" w:rsidRDefault="00EF20FB" w:rsidP="00D05E71">
            <w:pPr>
              <w:jc w:val="center"/>
              <w:rPr>
                <w:color w:val="auto"/>
                <w:sz w:val="20"/>
                <w:szCs w:val="20"/>
                <w:lang w:val="sq-AL"/>
              </w:rPr>
            </w:pPr>
          </w:p>
        </w:tc>
        <w:tc>
          <w:tcPr>
            <w:tcW w:w="2250" w:type="dxa"/>
            <w:tcBorders>
              <w:top w:val="nil"/>
              <w:left w:val="nil"/>
              <w:bottom w:val="single" w:sz="8" w:space="0" w:color="auto"/>
              <w:right w:val="single" w:sz="4" w:space="0" w:color="auto"/>
            </w:tcBorders>
            <w:shd w:val="clear" w:color="auto" w:fill="auto"/>
            <w:noWrap/>
            <w:vAlign w:val="bottom"/>
            <w:hideMark/>
          </w:tcPr>
          <w:p w14:paraId="36056000" w14:textId="4E6077E4" w:rsidR="00EF20FB" w:rsidRPr="004E5A6E" w:rsidRDefault="00EF20FB" w:rsidP="00D05E71">
            <w:pPr>
              <w:jc w:val="center"/>
              <w:rPr>
                <w:color w:val="auto"/>
                <w:sz w:val="20"/>
                <w:szCs w:val="20"/>
                <w:lang w:val="sq-AL"/>
              </w:rPr>
            </w:pPr>
          </w:p>
        </w:tc>
        <w:tc>
          <w:tcPr>
            <w:tcW w:w="2099" w:type="dxa"/>
            <w:tcBorders>
              <w:top w:val="nil"/>
              <w:left w:val="nil"/>
              <w:bottom w:val="single" w:sz="8" w:space="0" w:color="auto"/>
              <w:right w:val="single" w:sz="8" w:space="0" w:color="auto"/>
            </w:tcBorders>
            <w:shd w:val="clear" w:color="auto" w:fill="auto"/>
            <w:noWrap/>
            <w:vAlign w:val="bottom"/>
            <w:hideMark/>
          </w:tcPr>
          <w:p w14:paraId="0740B75F" w14:textId="65E44476" w:rsidR="00EF20FB" w:rsidRPr="004E5A6E" w:rsidRDefault="00EF20FB" w:rsidP="00D05E71">
            <w:pPr>
              <w:jc w:val="center"/>
              <w:rPr>
                <w:color w:val="auto"/>
                <w:sz w:val="20"/>
                <w:szCs w:val="20"/>
                <w:lang w:val="sq-AL"/>
              </w:rPr>
            </w:pPr>
          </w:p>
        </w:tc>
      </w:tr>
    </w:tbl>
    <w:p w14:paraId="0429C632" w14:textId="77777777" w:rsidR="00EF20FB" w:rsidRPr="004E5A6E" w:rsidRDefault="00EF20FB" w:rsidP="00D05E71">
      <w:pPr>
        <w:pStyle w:val="ERPL2"/>
        <w:numPr>
          <w:ilvl w:val="0"/>
          <w:numId w:val="0"/>
        </w:numPr>
        <w:rPr>
          <w:rFonts w:ascii="Times New Roman" w:hAnsi="Times New Roman"/>
          <w:lang w:val="sq-AL"/>
        </w:rPr>
      </w:pPr>
    </w:p>
    <w:p w14:paraId="3703FCF6" w14:textId="77777777" w:rsidR="00F010B4" w:rsidRPr="004E5A6E" w:rsidRDefault="00F010B4" w:rsidP="00F010B4">
      <w:pPr>
        <w:pStyle w:val="ERPL2"/>
        <w:ind w:hanging="704"/>
        <w:rPr>
          <w:rFonts w:ascii="Times New Roman" w:hAnsi="Times New Roman"/>
          <w:lang w:val="sq-AL"/>
        </w:rPr>
      </w:pPr>
      <w:bookmarkStart w:id="170" w:name="_Toc57720380"/>
      <w:r w:rsidRPr="004E5A6E">
        <w:rPr>
          <w:rFonts w:ascii="Times New Roman" w:hAnsi="Times New Roman"/>
          <w:lang w:val="sq-AL"/>
        </w:rPr>
        <w:t>Planet e Buxhetit për vitin 2021</w:t>
      </w:r>
      <w:bookmarkEnd w:id="170"/>
    </w:p>
    <w:bookmarkEnd w:id="169"/>
    <w:p w14:paraId="2F0C3BDD" w14:textId="7D1C417B" w:rsidR="00F010B4" w:rsidRPr="004E5A6E" w:rsidRDefault="00F010B4" w:rsidP="00F010B4">
      <w:pPr>
        <w:spacing w:before="240" w:after="120" w:line="276" w:lineRule="auto"/>
        <w:jc w:val="both"/>
        <w:rPr>
          <w:color w:val="auto"/>
          <w:lang w:val="sq-AL"/>
        </w:rPr>
      </w:pPr>
      <w:r w:rsidRPr="004E5A6E">
        <w:rPr>
          <w:color w:val="auto"/>
          <w:lang w:val="sq-AL"/>
        </w:rPr>
        <w:t>Të hyrat e buxhetit për vitin 2021 pritet të stabilizohen dhe të shënojnë një rritje me</w:t>
      </w:r>
      <w:r w:rsidR="00D05E71" w:rsidRPr="004E5A6E">
        <w:rPr>
          <w:color w:val="auto"/>
          <w:lang w:val="sq-AL"/>
        </w:rPr>
        <w:t xml:space="preserve"> rreth</w:t>
      </w:r>
      <w:r w:rsidRPr="004E5A6E">
        <w:rPr>
          <w:color w:val="auto"/>
          <w:lang w:val="sq-AL"/>
        </w:rPr>
        <w:t xml:space="preserve"> 5.4% krahasuar me buxhetin e rishikuar për vitin 2020, megjithatë, pasiguritë e përgjithshme që vijnë nga situata e krijuar nga COVID-19, mund të ndikojnë në ndryshimin (rishikimin) e të ardhurave në periudhën afatmesme. Nëse krahasojmë vitin 2021 me </w:t>
      </w:r>
      <w:r w:rsidR="00D05E71" w:rsidRPr="004E5A6E">
        <w:rPr>
          <w:color w:val="auto"/>
          <w:lang w:val="sq-AL"/>
        </w:rPr>
        <w:t>vlerësimet</w:t>
      </w:r>
      <w:r w:rsidRPr="004E5A6E">
        <w:rPr>
          <w:color w:val="auto"/>
          <w:lang w:val="sq-AL"/>
        </w:rPr>
        <w:t xml:space="preserve"> për vitin 2020, parashikohet një rritje prej 9.9%. Kjo për arsye se shuma e të hyrave totale në fund të vitit 2020 pritet të jetë më e ulët se ajo e parashikuar në rishikimin e buxhetit për vitin 2020.</w:t>
      </w:r>
    </w:p>
    <w:p w14:paraId="0361669B" w14:textId="024AE944" w:rsidR="00F010B4" w:rsidRPr="004E5A6E" w:rsidRDefault="00F010B4" w:rsidP="00F010B4">
      <w:pPr>
        <w:spacing w:before="240" w:after="120" w:line="276" w:lineRule="auto"/>
        <w:jc w:val="both"/>
        <w:rPr>
          <w:color w:val="auto"/>
          <w:lang w:val="sq-AL"/>
        </w:rPr>
      </w:pPr>
      <w:r w:rsidRPr="004E5A6E">
        <w:rPr>
          <w:color w:val="auto"/>
          <w:lang w:val="sq-AL"/>
        </w:rPr>
        <w:t xml:space="preserve">Të hyrat nga </w:t>
      </w:r>
      <w:r w:rsidRPr="004E5A6E">
        <w:rPr>
          <w:b/>
          <w:color w:val="auto"/>
          <w:lang w:val="sq-AL"/>
        </w:rPr>
        <w:t>tatimet indirekte</w:t>
      </w:r>
      <w:r w:rsidRPr="004E5A6E">
        <w:rPr>
          <w:color w:val="auto"/>
          <w:lang w:val="sq-AL"/>
        </w:rPr>
        <w:t xml:space="preserve"> do të vazhdojnë të kenë pjesën më të lartë në të hyrat totale, me rreth 75% në vitin 2021, dhe pritet të rriten me rreth 6.8% krahasuar me Buxhetin e Rishikuar të vitit 2020. Sidoqoftë, krahasuar me </w:t>
      </w:r>
      <w:r w:rsidR="00D05E71" w:rsidRPr="004E5A6E">
        <w:rPr>
          <w:color w:val="auto"/>
          <w:lang w:val="sq-AL"/>
        </w:rPr>
        <w:t>vlerësimin për mbylljen e vitit</w:t>
      </w:r>
      <w:r w:rsidRPr="004E5A6E">
        <w:rPr>
          <w:color w:val="auto"/>
          <w:lang w:val="sq-AL"/>
        </w:rPr>
        <w:t xml:space="preserve"> 2020, ato pritet të rriten me 10.8%. </w:t>
      </w:r>
    </w:p>
    <w:p w14:paraId="4AA9E934" w14:textId="1E1AA9B9" w:rsidR="00F010B4" w:rsidRPr="004E5A6E" w:rsidRDefault="00F010B4" w:rsidP="00F010B4">
      <w:pPr>
        <w:spacing w:before="240" w:after="120" w:line="276" w:lineRule="auto"/>
        <w:jc w:val="both"/>
        <w:rPr>
          <w:color w:val="auto"/>
          <w:lang w:val="sq-AL"/>
        </w:rPr>
      </w:pPr>
      <w:r w:rsidRPr="004E5A6E">
        <w:rPr>
          <w:b/>
          <w:color w:val="auto"/>
          <w:lang w:val="sq-AL"/>
        </w:rPr>
        <w:t xml:space="preserve">TVSH </w:t>
      </w:r>
      <w:r w:rsidR="00D05E71" w:rsidRPr="004E5A6E">
        <w:rPr>
          <w:color w:val="auto"/>
          <w:lang w:val="sq-AL"/>
        </w:rPr>
        <w:t>pritet të rritet me 8.5% krahasuar me Rishikimin e Buxhetit për vitin 2020,</w:t>
      </w:r>
      <w:r w:rsidRPr="004E5A6E">
        <w:rPr>
          <w:color w:val="auto"/>
          <w:lang w:val="sq-AL"/>
        </w:rPr>
        <w:t xml:space="preserve"> e nxitur nga rritja e importeve të mallrave dhe konsumit të përgjithshëm. Vlen të përmendet gjithashtu se një efekt pozitiv në TVSH-në e brendshme vjen edhe nga eksportet e shërbimeve të udhëtimit, të cilat kryesisht përfaqësojnë konsumin e emigrantëve gjatë qëndrimit të tyre në Kosovë. Këto parashikime gjithashtu marrin në konsideratë vendimin e Qeverisë për të zbritur TVSH-në për disa kategori produktesh (si pjesë e Ligjit të Riparimit). Nëse</w:t>
      </w:r>
      <w:r w:rsidR="00D05E71" w:rsidRPr="004E5A6E">
        <w:rPr>
          <w:color w:val="auto"/>
          <w:lang w:val="sq-AL"/>
        </w:rPr>
        <w:t xml:space="preserve"> i</w:t>
      </w:r>
      <w:r w:rsidRPr="004E5A6E">
        <w:rPr>
          <w:color w:val="auto"/>
          <w:lang w:val="sq-AL"/>
        </w:rPr>
        <w:t xml:space="preserve"> krahasojmë parashikimet me </w:t>
      </w:r>
      <w:r w:rsidR="00D05E71" w:rsidRPr="004E5A6E">
        <w:rPr>
          <w:color w:val="auto"/>
          <w:lang w:val="sq-AL"/>
        </w:rPr>
        <w:t xml:space="preserve"> vlerësimin </w:t>
      </w:r>
      <w:r w:rsidRPr="004E5A6E">
        <w:rPr>
          <w:color w:val="auto"/>
          <w:lang w:val="sq-AL"/>
        </w:rPr>
        <w:t xml:space="preserve">për vitin 2020, ajo do të reflektojë një rritje rreth 10.5%. </w:t>
      </w:r>
      <w:r w:rsidRPr="004E5A6E">
        <w:rPr>
          <w:b/>
          <w:color w:val="auto"/>
          <w:lang w:val="sq-AL"/>
        </w:rPr>
        <w:t xml:space="preserve">Të hyrat e akcizës </w:t>
      </w:r>
      <w:r w:rsidRPr="004E5A6E">
        <w:rPr>
          <w:color w:val="auto"/>
          <w:lang w:val="sq-AL"/>
        </w:rPr>
        <w:t>parashikohet të rriten me 0.3% gjatë vitit 2021 krahasuar me buxhetin e rishikuar por nëse krahasojmë me planet e realizimit për vitin 2020 d</w:t>
      </w:r>
      <w:r w:rsidR="00D05E71" w:rsidRPr="004E5A6E">
        <w:rPr>
          <w:color w:val="auto"/>
          <w:lang w:val="sq-AL"/>
        </w:rPr>
        <w:t xml:space="preserve">o të jetë një rritje më e lartë, </w:t>
      </w:r>
      <w:r w:rsidRPr="004E5A6E">
        <w:rPr>
          <w:color w:val="auto"/>
          <w:lang w:val="sq-AL"/>
        </w:rPr>
        <w:t xml:space="preserve">me </w:t>
      </w:r>
      <w:r w:rsidR="00D05E71" w:rsidRPr="004E5A6E">
        <w:rPr>
          <w:color w:val="auto"/>
          <w:lang w:val="sq-AL"/>
        </w:rPr>
        <w:t xml:space="preserve">rreth </w:t>
      </w:r>
      <w:r w:rsidRPr="004E5A6E">
        <w:rPr>
          <w:color w:val="auto"/>
          <w:lang w:val="sq-AL"/>
        </w:rPr>
        <w:t xml:space="preserve">8.0%. Ndërsa, </w:t>
      </w:r>
      <w:r w:rsidR="00D05E71" w:rsidRPr="004E5A6E">
        <w:rPr>
          <w:color w:val="auto"/>
          <w:lang w:val="sq-AL"/>
        </w:rPr>
        <w:t xml:space="preserve">të hyrat nga </w:t>
      </w:r>
      <w:r w:rsidR="00D05E71" w:rsidRPr="004E5A6E">
        <w:rPr>
          <w:b/>
          <w:color w:val="auto"/>
          <w:lang w:val="sq-AL"/>
        </w:rPr>
        <w:t xml:space="preserve">detyrimi doganor </w:t>
      </w:r>
      <w:r w:rsidR="00D05E71" w:rsidRPr="004E5A6E">
        <w:rPr>
          <w:color w:val="auto"/>
          <w:lang w:val="sq-AL"/>
        </w:rPr>
        <w:t>pritet të rritet</w:t>
      </w:r>
      <w:r w:rsidRPr="004E5A6E">
        <w:rPr>
          <w:color w:val="auto"/>
          <w:lang w:val="sq-AL"/>
        </w:rPr>
        <w:t xml:space="preserve"> ndjeshëm me 20.7% në të njëjtën periudhë bazuar në rritjen e importeve të mallrave dhe do të jetë një rritje e ngjashme edhe kur krahasohet me planet e realizimit për fundvitin 2020 (22.0% rritje). </w:t>
      </w:r>
    </w:p>
    <w:p w14:paraId="73643FC3" w14:textId="77777777" w:rsidR="00F010B4" w:rsidRPr="004E5A6E" w:rsidRDefault="00F010B4" w:rsidP="00F010B4">
      <w:pPr>
        <w:spacing w:before="240" w:after="120" w:line="276" w:lineRule="auto"/>
        <w:jc w:val="both"/>
        <w:rPr>
          <w:color w:val="auto"/>
          <w:lang w:val="sq-AL"/>
        </w:rPr>
      </w:pPr>
      <w:r w:rsidRPr="004E5A6E">
        <w:rPr>
          <w:color w:val="auto"/>
          <w:lang w:val="sq-AL"/>
        </w:rPr>
        <w:t xml:space="preserve">Të hyrat nga </w:t>
      </w:r>
      <w:r w:rsidRPr="004E5A6E">
        <w:rPr>
          <w:b/>
          <w:color w:val="auto"/>
          <w:lang w:val="sq-AL"/>
        </w:rPr>
        <w:t>tatimet direkte</w:t>
      </w:r>
      <w:r w:rsidRPr="004E5A6E">
        <w:rPr>
          <w:color w:val="auto"/>
          <w:lang w:val="sq-AL"/>
        </w:rPr>
        <w:t xml:space="preserve"> gjatë vitit 2021 pritet të rriten me rreth 4.6% krahasuar me Buxhetin e Rishikuar të vitit 2020 dhe të përbëjnë 15.7% të të hyrave totale. Kjo rritje e dukshme në vitin 2021, vjen kryesisht si rezultat i efektit bazë dhe një rimëkëmbje të ekonomisë pas tkurrjes së aktivitetit ekonomik në vitin 2020. Sidoqoftë, krahasuar me planin e realizimit për vitin 2020, rritja pritet të jetë edhe më e lartë, rreth 11.5%.</w:t>
      </w:r>
    </w:p>
    <w:p w14:paraId="67EF0DCE" w14:textId="77777777" w:rsidR="00F010B4" w:rsidRPr="004E5A6E" w:rsidRDefault="00F010B4" w:rsidP="00F010B4">
      <w:pPr>
        <w:spacing w:before="240" w:after="120" w:line="276" w:lineRule="auto"/>
        <w:jc w:val="both"/>
        <w:rPr>
          <w:color w:val="auto"/>
          <w:lang w:val="sq-AL"/>
        </w:rPr>
      </w:pPr>
      <w:r w:rsidRPr="004E5A6E">
        <w:rPr>
          <w:b/>
          <w:color w:val="auto"/>
          <w:lang w:val="sq-AL"/>
        </w:rPr>
        <w:t xml:space="preserve">Të hyrat jo-tatimore </w:t>
      </w:r>
      <w:r w:rsidRPr="004E5A6E">
        <w:rPr>
          <w:color w:val="auto"/>
          <w:lang w:val="sq-AL"/>
        </w:rPr>
        <w:t xml:space="preserve">gjatë vitit 2021 parashikohet të kenë një rritje prej 13.4% dhe të arrijnë shumën prej 214.3 milion euro. Një nga faktorët kontribues në këtë rritje është shtyrja e pagesave të tatimeve koncesionare për vitin 2020 e cila pritet të realizohet në vitin e ardhshëm buxhetor. Në krahasim me planin e realizimit për vitin 2020, pritet një rritje më e lartë me rreth 25%. </w:t>
      </w:r>
    </w:p>
    <w:p w14:paraId="58F17C50" w14:textId="77777777" w:rsidR="00F010B4" w:rsidRPr="004E5A6E" w:rsidRDefault="00F010B4" w:rsidP="00F010B4">
      <w:pPr>
        <w:spacing w:before="240" w:after="120" w:line="276" w:lineRule="auto"/>
        <w:jc w:val="both"/>
        <w:rPr>
          <w:color w:val="auto"/>
          <w:lang w:val="sq-AL"/>
        </w:rPr>
      </w:pPr>
      <w:r w:rsidRPr="004E5A6E">
        <w:rPr>
          <w:b/>
          <w:color w:val="auto"/>
          <w:lang w:val="sq-AL"/>
        </w:rPr>
        <w:t xml:space="preserve">Shpenzimet totale të buxhetit </w:t>
      </w:r>
      <w:r w:rsidRPr="004E5A6E">
        <w:rPr>
          <w:color w:val="auto"/>
          <w:lang w:val="sq-AL"/>
        </w:rPr>
        <w:t>në vitin 2021 pritet të bien me 7.9% krahasuar me shpenzimet e planifikuara në Buxhetin e Rishikuar për vitin 2020, por krahasuar me shumën më të ulët të ekzekutimit të shpenzimeve për këtë vit, shpenzimet do të kenë një rritje prej 12.8%. Viti 2021 karakterizohet nga një rënie në disa nga kategoritë e shpenzimeve kryesisht për shkak të efektit bazë të vitit 2020, kur kishte një rritje të konsiderueshme në disa kategori si rezultat i masave stimuluese fiskale të qeverisë, të cilat janë planifikuar të vazhdojnë gjatë vitit 2021, por në një normë më të ulët.</w:t>
      </w:r>
    </w:p>
    <w:p w14:paraId="433AF928" w14:textId="77777777" w:rsidR="00F010B4" w:rsidRPr="004E5A6E" w:rsidRDefault="00F010B4" w:rsidP="00F010B4">
      <w:pPr>
        <w:spacing w:before="240" w:after="120" w:line="276" w:lineRule="auto"/>
        <w:jc w:val="both"/>
        <w:rPr>
          <w:color w:val="auto"/>
          <w:lang w:val="sq-AL"/>
        </w:rPr>
      </w:pPr>
      <w:r w:rsidRPr="004E5A6E">
        <w:rPr>
          <w:b/>
          <w:color w:val="auto"/>
          <w:lang w:val="sq-AL"/>
        </w:rPr>
        <w:t>Shpenzimet totale aktuale</w:t>
      </w:r>
      <w:r w:rsidRPr="004E5A6E">
        <w:rPr>
          <w:color w:val="auto"/>
          <w:lang w:val="sq-AL"/>
        </w:rPr>
        <w:t xml:space="preserve"> gjatë vitit 2021 janë planifikuar të bien me 5.5% krahasuar me Buxhetin e Rishikuar, duke arritur vlerën e 1757.9 milion euro, nga të cilat rreth 182.4 milion euro janë planifikuar nën Programin e Rimëkëmbjes Ekonomike. Në krahasim me pritjet për vitin 2020, kjo kategori do të ketë një rritje të lehtë me rreth 0.3%.</w:t>
      </w:r>
    </w:p>
    <w:p w14:paraId="4875432E" w14:textId="77777777" w:rsidR="00F010B4" w:rsidRPr="004E5A6E" w:rsidRDefault="00F010B4" w:rsidP="00F010B4">
      <w:pPr>
        <w:spacing w:before="240" w:after="120" w:line="276" w:lineRule="auto"/>
        <w:jc w:val="both"/>
        <w:rPr>
          <w:color w:val="auto"/>
          <w:lang w:val="sq-AL"/>
        </w:rPr>
      </w:pPr>
      <w:r w:rsidRPr="004E5A6E">
        <w:rPr>
          <w:color w:val="auto"/>
          <w:lang w:val="sq-AL"/>
        </w:rPr>
        <w:t xml:space="preserve">Shpenzimet e rregullta për kategorinë e </w:t>
      </w:r>
      <w:r w:rsidRPr="004E5A6E">
        <w:rPr>
          <w:b/>
          <w:color w:val="auto"/>
          <w:lang w:val="sq-AL"/>
        </w:rPr>
        <w:t>pagave dhe shtesave</w:t>
      </w:r>
      <w:r w:rsidRPr="004E5A6E">
        <w:rPr>
          <w:color w:val="auto"/>
          <w:lang w:val="sq-AL"/>
        </w:rPr>
        <w:t xml:space="preserve"> (të rregullta) janë planifikuar të jenë 625.3 milion euro dhe për të shënuar një rritje me 0.7%, duke qëndruar brenda rregullit fiskal. Ndërsa krahasuar me planin e realizimit për vitin 2020, do të jetë një rritje prej 2.0%.</w:t>
      </w:r>
    </w:p>
    <w:p w14:paraId="559F18C5" w14:textId="77777777" w:rsidR="00F010B4" w:rsidRPr="004E5A6E" w:rsidRDefault="00F010B4" w:rsidP="00F010B4">
      <w:pPr>
        <w:spacing w:before="240" w:after="120" w:line="276" w:lineRule="auto"/>
        <w:jc w:val="both"/>
        <w:rPr>
          <w:color w:val="auto"/>
          <w:lang w:val="sq-AL"/>
        </w:rPr>
      </w:pPr>
      <w:r w:rsidRPr="004E5A6E">
        <w:rPr>
          <w:color w:val="auto"/>
          <w:lang w:val="sq-AL"/>
        </w:rPr>
        <w:t xml:space="preserve">Shpenzimet në kategorinë e </w:t>
      </w:r>
      <w:r w:rsidRPr="004E5A6E">
        <w:rPr>
          <w:b/>
          <w:color w:val="auto"/>
          <w:lang w:val="sq-AL"/>
        </w:rPr>
        <w:t>mallrave dhe shërbimeve</w:t>
      </w:r>
      <w:r w:rsidRPr="004E5A6E">
        <w:rPr>
          <w:color w:val="auto"/>
          <w:lang w:val="sq-AL"/>
        </w:rPr>
        <w:t xml:space="preserve"> (të rregullta) janë planifikuar të bien me 1.5% krahasuar me Buxhetin e Rishikuar për vitin 2020 por krahasuar me ekzekutimin e pritur në 2020, kjo kategori do të ketë një rritje prej 20.6%. Në këtë kategori të shpenzimeve janë akomoduar shpenzimet për zgjedhjet komunale dhe regjistrimin në vitin 2021. </w:t>
      </w:r>
    </w:p>
    <w:p w14:paraId="53862E55" w14:textId="77777777" w:rsidR="00F010B4" w:rsidRPr="004E5A6E" w:rsidRDefault="00F010B4" w:rsidP="00F010B4">
      <w:pPr>
        <w:spacing w:before="240" w:after="120" w:line="276" w:lineRule="auto"/>
        <w:jc w:val="both"/>
        <w:rPr>
          <w:color w:val="auto"/>
          <w:lang w:val="sq-AL"/>
        </w:rPr>
      </w:pPr>
      <w:r w:rsidRPr="004E5A6E">
        <w:rPr>
          <w:b/>
          <w:color w:val="auto"/>
          <w:lang w:val="sq-AL"/>
        </w:rPr>
        <w:t xml:space="preserve">Subvencionet dhe transferet </w:t>
      </w:r>
      <w:r w:rsidRPr="004E5A6E">
        <w:rPr>
          <w:color w:val="auto"/>
          <w:lang w:val="sq-AL"/>
        </w:rPr>
        <w:t xml:space="preserve">(e rregullta) gjatë vitit 2021 pritet të bien me 5.2% kryesisht si rezultat i shpenzimeve të larta në vitin 2020 dhe pritet të kenë një pjesë prej 9.0% në lidhje me PBB-në e parashikuar për 2021. Nëse e krahasojmë këtë shumë me planin e ekzekutimit për vitin 2020, ne presim një rënie të lehtë me rreth 0.2%. </w:t>
      </w:r>
    </w:p>
    <w:p w14:paraId="5DAC5AE1" w14:textId="77777777" w:rsidR="00F010B4" w:rsidRPr="004E5A6E" w:rsidRDefault="00F010B4" w:rsidP="00F010B4">
      <w:pPr>
        <w:spacing w:before="240" w:after="120" w:line="276" w:lineRule="auto"/>
        <w:jc w:val="both"/>
        <w:rPr>
          <w:color w:val="auto"/>
          <w:lang w:val="sq-AL"/>
        </w:rPr>
      </w:pPr>
      <w:r w:rsidRPr="004E5A6E">
        <w:rPr>
          <w:b/>
          <w:color w:val="auto"/>
          <w:lang w:val="sq-AL"/>
        </w:rPr>
        <w:t xml:space="preserve">Shpenzimet kapitale </w:t>
      </w:r>
      <w:r w:rsidRPr="004E5A6E">
        <w:rPr>
          <w:color w:val="auto"/>
          <w:lang w:val="sq-AL"/>
        </w:rPr>
        <w:t>përbëjnë një pjesë të konsiderueshme të shpenzimeve totale dhe pritet të përfaqësojnë rreth 25.5% të shpenzimeve totale në 2021. Gjatë kësaj periudhe pritet zbatimi i projekteve kapitale bazuar në një listë të prioriteteve që përmbajnë projekte me ndikim në përmirësimin e rrjetit të transportit, përmirësimin e rrjetit elektrik dhe përmirësimin e kushteve në arsim, sistemin social dhe shëndetësor. Pjesa më e madhe e investimeve kapitale pritet të financohet nga buxheti i rregullt, por një numër i madh i projekteve në sektorë të ndryshëm janë planifikuar të financohen nga huatë e jashtme përmes klauzolës së investimeve. Ndërsa 40.7 milion euro janë ndarë për kategorinë aktuale të rezervës.</w:t>
      </w:r>
    </w:p>
    <w:p w14:paraId="2DE32D36" w14:textId="77777777" w:rsidR="003B3804" w:rsidRPr="004E5A6E" w:rsidRDefault="00F010B4" w:rsidP="003B3804">
      <w:pPr>
        <w:spacing w:before="240" w:after="120" w:line="276" w:lineRule="auto"/>
        <w:jc w:val="both"/>
        <w:rPr>
          <w:color w:val="auto"/>
          <w:lang w:val="sq-AL"/>
        </w:rPr>
      </w:pPr>
      <w:r w:rsidRPr="004E5A6E">
        <w:rPr>
          <w:color w:val="auto"/>
          <w:lang w:val="sq-AL"/>
        </w:rPr>
        <w:t>Programi i rimëkëmbjes ekonomike parashikon shpenzimet në vlerë prej 182.4 milion euro për vitin 2021. Shpenzimet sipas këtij programi përbëjnë 2.6% të PBB-së së parashikuar për vitin 2021. Pjesa më e madhe e këtyre shpenzimeve i dedikohet kategorisë së subvencioneve dhe transfereve, e cila përbën 58.2% të të gjitha shpenzimeve ose 106.1 milion euro. Për pagat dhe shtesat janë planifikuar të ndahen 14 milion euro, 10 milion euro për mallra dhe shërbime, 7.9 milion euro për mbështetje për komunat dhe 44.4 milion euro janë shpenzime kapitale të financuara nga klauzola e i</w:t>
      </w:r>
      <w:r w:rsidR="003B3804" w:rsidRPr="004E5A6E">
        <w:rPr>
          <w:color w:val="auto"/>
          <w:lang w:val="sq-AL"/>
        </w:rPr>
        <w:t>nvestimeve dhe nën-huamarrjet).</w:t>
      </w:r>
    </w:p>
    <w:p w14:paraId="5AF10D07" w14:textId="3EAB4C53" w:rsidR="003B3804" w:rsidRPr="004E5A6E" w:rsidRDefault="003B3804" w:rsidP="003B3804">
      <w:pPr>
        <w:pStyle w:val="ERPL2"/>
        <w:spacing w:before="240" w:after="120" w:line="276" w:lineRule="auto"/>
        <w:ind w:hanging="704"/>
        <w:rPr>
          <w:lang w:val="sq-AL"/>
        </w:rPr>
      </w:pPr>
      <w:bookmarkStart w:id="171" w:name="_Toc57720381"/>
      <w:r w:rsidRPr="004E5A6E">
        <w:rPr>
          <w:rFonts w:ascii="Times New Roman" w:hAnsi="Times New Roman"/>
          <w:lang w:val="sq-AL"/>
        </w:rPr>
        <w:t>Perspektiva buxhetore afatmesme</w:t>
      </w:r>
      <w:bookmarkEnd w:id="171"/>
    </w:p>
    <w:p w14:paraId="68205C79" w14:textId="77777777" w:rsidR="003B3804" w:rsidRPr="004E5A6E" w:rsidRDefault="00F010B4" w:rsidP="003B3804">
      <w:pPr>
        <w:spacing w:before="240" w:after="120" w:line="276" w:lineRule="auto"/>
        <w:jc w:val="both"/>
        <w:rPr>
          <w:color w:val="auto"/>
          <w:lang w:val="sq-AL"/>
        </w:rPr>
      </w:pPr>
      <w:r w:rsidRPr="004E5A6E">
        <w:rPr>
          <w:color w:val="auto"/>
          <w:lang w:val="sq-AL"/>
        </w:rPr>
        <w:t>Në dy vitet e ardhshme (2022 - 2023), të ardhurat totale të buxhetit pritet të rriten me n</w:t>
      </w:r>
      <w:r w:rsidR="003B3804" w:rsidRPr="004E5A6E">
        <w:rPr>
          <w:color w:val="auto"/>
          <w:lang w:val="sq-AL"/>
        </w:rPr>
        <w:t xml:space="preserve">jë mesatare prej 5.5%. </w:t>
      </w:r>
    </w:p>
    <w:p w14:paraId="45360C91" w14:textId="77777777" w:rsidR="003B3804" w:rsidRPr="004E5A6E" w:rsidRDefault="00F010B4" w:rsidP="003B3804">
      <w:pPr>
        <w:spacing w:before="240" w:after="120" w:line="276" w:lineRule="auto"/>
        <w:jc w:val="both"/>
        <w:rPr>
          <w:color w:val="auto"/>
          <w:lang w:val="sq-AL"/>
        </w:rPr>
      </w:pPr>
      <w:r w:rsidRPr="004E5A6E">
        <w:rPr>
          <w:color w:val="auto"/>
          <w:lang w:val="sq-AL"/>
        </w:rPr>
        <w:t xml:space="preserve">Të hyrat </w:t>
      </w:r>
      <w:r w:rsidRPr="004E5A6E">
        <w:rPr>
          <w:b/>
          <w:color w:val="auto"/>
          <w:lang w:val="sq-AL"/>
        </w:rPr>
        <w:t>nga tatimi mbi të ardhurat e korporatave</w:t>
      </w:r>
      <w:r w:rsidRPr="004E5A6E">
        <w:rPr>
          <w:color w:val="auto"/>
          <w:lang w:val="sq-AL"/>
        </w:rPr>
        <w:t xml:space="preserve"> parashikohet të rriten mesatarisht me 5.3%, duke arritur në 105.2 milion euro deri në vitin 2023. </w:t>
      </w:r>
      <w:r w:rsidRPr="004E5A6E">
        <w:rPr>
          <w:b/>
          <w:color w:val="auto"/>
          <w:lang w:val="sq-AL"/>
        </w:rPr>
        <w:t>TVSH-ja e brendshme</w:t>
      </w:r>
      <w:r w:rsidRPr="004E5A6E">
        <w:rPr>
          <w:color w:val="auto"/>
          <w:lang w:val="sq-AL"/>
        </w:rPr>
        <w:t xml:space="preserve"> parashikohet të rritet me 4.3% në periudhën afatmesme, duke arritur shumën prej 265.4 milion euro deri në 2023. Ndërsa, të hyrat nga tatimi mbi të ardhurat personale parashikohet të rriten me 5.3% mesatarisht për periudhën afatmesme. Rritja më e theksuar është në të ardhurat</w:t>
      </w:r>
      <w:r w:rsidR="001D56A6" w:rsidRPr="004E5A6E">
        <w:rPr>
          <w:color w:val="auto"/>
          <w:lang w:val="sq-AL"/>
        </w:rPr>
        <w:t xml:space="preserve"> e tatime</w:t>
      </w:r>
      <w:r w:rsidR="003B3804" w:rsidRPr="004E5A6E">
        <w:rPr>
          <w:color w:val="auto"/>
          <w:lang w:val="sq-AL"/>
        </w:rPr>
        <w:t>ve të pronës me 20.3%.</w:t>
      </w:r>
    </w:p>
    <w:p w14:paraId="31878E24" w14:textId="77777777" w:rsidR="003B3804" w:rsidRPr="004E5A6E" w:rsidRDefault="00F010B4" w:rsidP="003B3804">
      <w:pPr>
        <w:spacing w:before="240" w:after="120" w:line="276" w:lineRule="auto"/>
        <w:jc w:val="both"/>
        <w:rPr>
          <w:color w:val="auto"/>
          <w:lang w:val="sq-AL"/>
        </w:rPr>
      </w:pPr>
      <w:r w:rsidRPr="004E5A6E">
        <w:rPr>
          <w:color w:val="auto"/>
          <w:lang w:val="sq-AL"/>
        </w:rPr>
        <w:t xml:space="preserve">Të hyrat e mbledhura nga </w:t>
      </w:r>
      <w:r w:rsidRPr="004E5A6E">
        <w:rPr>
          <w:b/>
          <w:color w:val="auto"/>
          <w:lang w:val="sq-AL"/>
        </w:rPr>
        <w:t>TVSH-ja kufitare</w:t>
      </w:r>
      <w:r w:rsidRPr="004E5A6E">
        <w:rPr>
          <w:color w:val="auto"/>
          <w:lang w:val="sq-AL"/>
        </w:rPr>
        <w:t xml:space="preserve"> parashikohet të rriten me 6.0%, mesatarisht. Rritja e parashikuar është theksuar më shumë në 2022 (me rreth 7.2%), duke reflektuar ecurinë e importeve të mallrave. Gjatë periudhës afatmesme, të ardhurat nga akciza pritet të rriten me një mesatare prej 4.2%, në përputhje me PBB-në reale. Ndërsa, të ardhurat nga detyrimet doganore pritet të rriten me një mesatare prej 6.5. Rritja kryesisht drejtohet nga rritja e bazës tatimore të secilit lloj të tatimeve, por duke marrë parasysh edhe efektin negativ të marrëveshjes së tregtisë së li</w:t>
      </w:r>
      <w:r w:rsidR="003B3804" w:rsidRPr="004E5A6E">
        <w:rPr>
          <w:color w:val="auto"/>
          <w:lang w:val="sq-AL"/>
        </w:rPr>
        <w:t xml:space="preserve">rë me Turqinë dhe MSA-në.      </w:t>
      </w:r>
    </w:p>
    <w:p w14:paraId="5C271FDA" w14:textId="4DF1C121" w:rsidR="00F40F2E" w:rsidRPr="004E5A6E" w:rsidRDefault="001D56A6" w:rsidP="003B3804">
      <w:pPr>
        <w:spacing w:before="240" w:after="120" w:line="276" w:lineRule="auto"/>
        <w:jc w:val="both"/>
        <w:rPr>
          <w:color w:val="auto"/>
          <w:lang w:val="sq-AL"/>
        </w:rPr>
      </w:pPr>
      <w:r w:rsidRPr="004E5A6E">
        <w:rPr>
          <w:b/>
          <w:color w:val="auto"/>
          <w:lang w:val="sq-AL"/>
        </w:rPr>
        <w:t>Të hyrat</w:t>
      </w:r>
      <w:r w:rsidR="00F010B4" w:rsidRPr="004E5A6E">
        <w:rPr>
          <w:b/>
          <w:color w:val="auto"/>
          <w:lang w:val="sq-AL"/>
        </w:rPr>
        <w:t xml:space="preserve"> jo-tatimore </w:t>
      </w:r>
      <w:r w:rsidR="00F010B4" w:rsidRPr="004E5A6E">
        <w:rPr>
          <w:color w:val="auto"/>
          <w:lang w:val="sq-AL"/>
        </w:rPr>
        <w:t xml:space="preserve">pritet të ndjekin trendin e tyre historik dhe të kenë një rritje prej 5.3% në periudhën 2022-2023, megjithatë, ato parashikohet të mbajnë të njëjtin nivel me përqindjen e PBB-së me 3.0% për periudhën afatmesme. Të </w:t>
      </w:r>
      <w:r w:rsidR="00F40F2E" w:rsidRPr="004E5A6E">
        <w:rPr>
          <w:color w:val="auto"/>
          <w:lang w:val="sq-AL"/>
        </w:rPr>
        <w:t>hyrat</w:t>
      </w:r>
      <w:r w:rsidR="00F010B4" w:rsidRPr="004E5A6E">
        <w:rPr>
          <w:color w:val="auto"/>
          <w:lang w:val="sq-AL"/>
        </w:rPr>
        <w:t xml:space="preserve"> nga tarifat koncesionare pritet të rriten mesatarisht me 10.5% për per</w:t>
      </w:r>
      <w:r w:rsidR="00F40F2E" w:rsidRPr="004E5A6E">
        <w:rPr>
          <w:color w:val="auto"/>
          <w:lang w:val="sq-AL"/>
        </w:rPr>
        <w:t xml:space="preserve">iudhën afatmesme dhe të hyrat nga renta </w:t>
      </w:r>
      <w:r w:rsidR="004569ED" w:rsidRPr="004E5A6E">
        <w:rPr>
          <w:color w:val="auto"/>
          <w:lang w:val="sq-AL"/>
        </w:rPr>
        <w:t>minerare</w:t>
      </w:r>
      <w:r w:rsidR="00F010B4" w:rsidRPr="004E5A6E">
        <w:rPr>
          <w:color w:val="auto"/>
          <w:lang w:val="sq-AL"/>
        </w:rPr>
        <w:t xml:space="preserve"> pritet të mbajnë të njëjtin niv</w:t>
      </w:r>
      <w:r w:rsidR="003B3804" w:rsidRPr="004E5A6E">
        <w:rPr>
          <w:color w:val="auto"/>
          <w:lang w:val="sq-AL"/>
        </w:rPr>
        <w:t>el me një vit më parë.</w:t>
      </w:r>
    </w:p>
    <w:p w14:paraId="63FDC795" w14:textId="77777777" w:rsidR="00F40F2E" w:rsidRPr="004E5A6E" w:rsidRDefault="00F40F2E" w:rsidP="00F010B4">
      <w:pPr>
        <w:rPr>
          <w:b/>
          <w:color w:val="auto"/>
          <w:sz w:val="20"/>
          <w:lang w:val="sq-AL"/>
        </w:rPr>
      </w:pPr>
    </w:p>
    <w:p w14:paraId="2F9ADD6E" w14:textId="5245C244" w:rsidR="00F010B4" w:rsidRPr="004E5A6E" w:rsidRDefault="00F010B4" w:rsidP="00F010B4">
      <w:pPr>
        <w:rPr>
          <w:b/>
          <w:color w:val="auto"/>
          <w:sz w:val="20"/>
          <w:lang w:val="sq-AL"/>
        </w:rPr>
      </w:pPr>
      <w:bookmarkStart w:id="172" w:name="_Toc57722685"/>
      <w:r w:rsidRPr="004E5A6E">
        <w:rPr>
          <w:b/>
          <w:color w:val="auto"/>
          <w:sz w:val="20"/>
          <w:lang w:val="sq-AL"/>
        </w:rPr>
        <w:t xml:space="preserve">Figura </w:t>
      </w:r>
      <w:r w:rsidR="00CA51E9" w:rsidRPr="004E5A6E">
        <w:rPr>
          <w:b/>
          <w:color w:val="auto"/>
          <w:sz w:val="20"/>
          <w:lang w:val="sq-AL"/>
        </w:rPr>
        <w:fldChar w:fldCharType="begin"/>
      </w:r>
      <w:r w:rsidR="00CA51E9" w:rsidRPr="004E5A6E">
        <w:rPr>
          <w:b/>
          <w:color w:val="auto"/>
          <w:sz w:val="20"/>
          <w:lang w:val="sq-AL"/>
        </w:rPr>
        <w:instrText xml:space="preserve"> SEQ Figure \* ARABIC </w:instrText>
      </w:r>
      <w:r w:rsidR="00CA51E9" w:rsidRPr="004E5A6E">
        <w:rPr>
          <w:b/>
          <w:color w:val="auto"/>
          <w:sz w:val="20"/>
          <w:lang w:val="sq-AL"/>
        </w:rPr>
        <w:fldChar w:fldCharType="separate"/>
      </w:r>
      <w:r w:rsidR="00FA7C77" w:rsidRPr="004E5A6E">
        <w:rPr>
          <w:b/>
          <w:noProof/>
          <w:color w:val="auto"/>
          <w:sz w:val="20"/>
          <w:lang w:val="sq-AL"/>
        </w:rPr>
        <w:t>10</w:t>
      </w:r>
      <w:r w:rsidR="00CA51E9" w:rsidRPr="004E5A6E">
        <w:rPr>
          <w:b/>
          <w:color w:val="auto"/>
          <w:sz w:val="20"/>
          <w:lang w:val="sq-AL"/>
        </w:rPr>
        <w:fldChar w:fldCharType="end"/>
      </w:r>
      <w:r w:rsidRPr="004E5A6E">
        <w:rPr>
          <w:b/>
          <w:color w:val="auto"/>
          <w:sz w:val="20"/>
          <w:lang w:val="sq-AL"/>
        </w:rPr>
        <w:t xml:space="preserve"> Struktura e të hyrave</w:t>
      </w:r>
      <w:bookmarkEnd w:id="172"/>
    </w:p>
    <w:p w14:paraId="632D88FE" w14:textId="77777777" w:rsidR="00F010B4" w:rsidRPr="004E5A6E" w:rsidRDefault="00B76A86" w:rsidP="00F010B4">
      <w:pPr>
        <w:rPr>
          <w:color w:val="auto"/>
          <w:lang w:val="sq-AL"/>
        </w:rPr>
      </w:pPr>
      <w:r w:rsidRPr="004E5A6E">
        <w:rPr>
          <w:b/>
          <w:noProof/>
          <w:lang w:val="en-US"/>
        </w:rPr>
        <w:drawing>
          <wp:inline distT="0" distB="0" distL="0" distR="0" wp14:anchorId="5517C73B" wp14:editId="7DF77624">
            <wp:extent cx="5334000" cy="2181225"/>
            <wp:effectExtent l="0" t="0" r="0" b="9525"/>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4ED75C7" w14:textId="77777777" w:rsidR="00F010B4" w:rsidRPr="004E5A6E" w:rsidRDefault="00F010B4" w:rsidP="00F010B4">
      <w:pPr>
        <w:rPr>
          <w:color w:val="auto"/>
          <w:lang w:val="sq-AL"/>
        </w:rPr>
      </w:pPr>
    </w:p>
    <w:p w14:paraId="41FEBF98" w14:textId="77777777" w:rsidR="003B3804" w:rsidRPr="004E5A6E" w:rsidRDefault="003B3804" w:rsidP="00F010B4">
      <w:pPr>
        <w:jc w:val="both"/>
        <w:rPr>
          <w:color w:val="auto"/>
          <w:lang w:val="sq-AL"/>
        </w:rPr>
      </w:pPr>
    </w:p>
    <w:p w14:paraId="45726786" w14:textId="77777777" w:rsidR="003B3804" w:rsidRPr="004E5A6E" w:rsidRDefault="00F010B4" w:rsidP="003B3804">
      <w:pPr>
        <w:spacing w:before="120"/>
        <w:jc w:val="both"/>
        <w:rPr>
          <w:color w:val="auto"/>
          <w:lang w:val="sq-AL"/>
        </w:rPr>
      </w:pPr>
      <w:r w:rsidRPr="004E5A6E">
        <w:rPr>
          <w:color w:val="auto"/>
          <w:lang w:val="sq-AL"/>
        </w:rPr>
        <w:t xml:space="preserve">Gjatë viteve në vijim, 2022 dhe 2023, shpenzimet totale janë planifikuar të rriten me një normë mesatare prej 0.5%. Shpenzimet aktuale të rregullta janë planifikuar të rriten me rreth 1.1%, me rritjen më të lartë në kategorinë e </w:t>
      </w:r>
      <w:r w:rsidRPr="004E5A6E">
        <w:rPr>
          <w:b/>
          <w:color w:val="auto"/>
          <w:lang w:val="sq-AL"/>
        </w:rPr>
        <w:t>mallrave dhe shërbimeve</w:t>
      </w:r>
      <w:r w:rsidRPr="004E5A6E">
        <w:rPr>
          <w:color w:val="auto"/>
          <w:lang w:val="sq-AL"/>
        </w:rPr>
        <w:t xml:space="preserve"> me një mesatare prej 5.8% për një periudhë afatmesme.  Shpenzimet për </w:t>
      </w:r>
      <w:r w:rsidRPr="004E5A6E">
        <w:rPr>
          <w:b/>
          <w:color w:val="auto"/>
          <w:lang w:val="sq-AL"/>
        </w:rPr>
        <w:t>paga dhe shtesa</w:t>
      </w:r>
      <w:r w:rsidRPr="004E5A6E">
        <w:rPr>
          <w:color w:val="auto"/>
          <w:lang w:val="sq-AL"/>
        </w:rPr>
        <w:t xml:space="preserve"> janë planifikuar të rriten me një mesatare prej 1.6%, ndërsa kategoria e </w:t>
      </w:r>
      <w:r w:rsidRPr="004E5A6E">
        <w:rPr>
          <w:b/>
          <w:color w:val="auto"/>
          <w:lang w:val="sq-AL"/>
        </w:rPr>
        <w:t>subvencioneve dhe transfereve</w:t>
      </w:r>
      <w:r w:rsidRPr="004E5A6E">
        <w:rPr>
          <w:color w:val="auto"/>
          <w:lang w:val="sq-AL"/>
        </w:rPr>
        <w:t xml:space="preserve"> me një mesatare prej 1.2%</w:t>
      </w:r>
    </w:p>
    <w:p w14:paraId="62C29EAE" w14:textId="50FA661B" w:rsidR="00B600AE" w:rsidRPr="004E5A6E" w:rsidRDefault="00B600AE" w:rsidP="003B3804">
      <w:pPr>
        <w:spacing w:before="120"/>
        <w:jc w:val="both"/>
        <w:rPr>
          <w:color w:val="auto"/>
          <w:lang w:val="sq-AL"/>
        </w:rPr>
      </w:pPr>
      <w:r w:rsidRPr="004E5A6E">
        <w:rPr>
          <w:b/>
          <w:color w:val="auto"/>
          <w:lang w:val="sq-AL"/>
        </w:rPr>
        <w:t xml:space="preserve">Shpenzimet kapitale </w:t>
      </w:r>
      <w:r w:rsidRPr="004E5A6E">
        <w:rPr>
          <w:bCs/>
          <w:color w:val="auto"/>
          <w:lang w:val="sq-AL"/>
        </w:rPr>
        <w:t>planifikohet të rriten mesatarisht me rreth 8.0%.</w:t>
      </w:r>
      <w:r w:rsidRPr="004E5A6E">
        <w:rPr>
          <w:lang w:val="sq-AL"/>
        </w:rPr>
        <w:t xml:space="preserve"> </w:t>
      </w:r>
      <w:r w:rsidRPr="004E5A6E">
        <w:rPr>
          <w:color w:val="auto"/>
          <w:lang w:val="sq-AL"/>
        </w:rPr>
        <w:t>Vlen të përmendet se gjatë vitit 2022 dhe 2023, asnjë fond nuk është planifikuar nga procesi i privatizimit. Si pjesë e PBB-së, shpenzimet kapitale pritet të jenë 9.0% në vitin 2022 dhe 9.1% në vitin 2023.</w:t>
      </w:r>
    </w:p>
    <w:p w14:paraId="5F4E7704" w14:textId="77777777" w:rsidR="00B600AE" w:rsidRPr="004E5A6E" w:rsidRDefault="00B600AE" w:rsidP="00B600AE">
      <w:pPr>
        <w:rPr>
          <w:color w:val="auto"/>
          <w:lang w:val="sq-AL"/>
        </w:rPr>
      </w:pPr>
    </w:p>
    <w:p w14:paraId="3E642CE0" w14:textId="17A40C33" w:rsidR="003B3804" w:rsidRPr="004E5A6E" w:rsidRDefault="00CA51E9" w:rsidP="00CA51E9">
      <w:pPr>
        <w:pStyle w:val="Caption"/>
        <w:keepNext/>
        <w:rPr>
          <w:rFonts w:ascii="Times New Roman" w:hAnsi="Times New Roman"/>
          <w:b/>
          <w:i w:val="0"/>
          <w:color w:val="auto"/>
          <w:sz w:val="20"/>
          <w:lang w:val="sq-AL"/>
        </w:rPr>
      </w:pPr>
      <w:r w:rsidRPr="004E5A6E">
        <w:rPr>
          <w:noProof/>
          <w:lang w:val="en-US"/>
        </w:rPr>
        <mc:AlternateContent>
          <mc:Choice Requires="wps">
            <w:drawing>
              <wp:anchor distT="0" distB="0" distL="114300" distR="114300" simplePos="0" relativeHeight="251799040" behindDoc="0" locked="0" layoutInCell="1" allowOverlap="1" wp14:anchorId="05E45165" wp14:editId="07D79E74">
                <wp:simplePos x="0" y="0"/>
                <wp:positionH relativeFrom="margin">
                  <wp:align>left</wp:align>
                </wp:positionH>
                <wp:positionV relativeFrom="paragraph">
                  <wp:posOffset>0</wp:posOffset>
                </wp:positionV>
                <wp:extent cx="5438775" cy="142875"/>
                <wp:effectExtent l="0" t="0" r="9525" b="9525"/>
                <wp:wrapSquare wrapText="bothSides"/>
                <wp:docPr id="5" name="Text Box 5"/>
                <wp:cNvGraphicFramePr/>
                <a:graphic xmlns:a="http://schemas.openxmlformats.org/drawingml/2006/main">
                  <a:graphicData uri="http://schemas.microsoft.com/office/word/2010/wordprocessingShape">
                    <wps:wsp>
                      <wps:cNvSpPr txBox="1"/>
                      <wps:spPr>
                        <a:xfrm>
                          <a:off x="0" y="0"/>
                          <a:ext cx="5438775" cy="142875"/>
                        </a:xfrm>
                        <a:prstGeom prst="rect">
                          <a:avLst/>
                        </a:prstGeom>
                        <a:solidFill>
                          <a:prstClr val="white"/>
                        </a:solidFill>
                        <a:ln>
                          <a:noFill/>
                        </a:ln>
                        <a:effectLst/>
                      </wps:spPr>
                      <wps:txbx>
                        <w:txbxContent>
                          <w:p w14:paraId="0177D7BA" w14:textId="578D4441" w:rsidR="00713DEA" w:rsidRPr="00CA51E9" w:rsidRDefault="00713DEA" w:rsidP="00CA51E9">
                            <w:pPr>
                              <w:pStyle w:val="Caption"/>
                              <w:rPr>
                                <w:rFonts w:ascii="Times New Roman" w:hAnsi="Times New Roman"/>
                                <w:b/>
                                <w:i w:val="0"/>
                                <w:color w:val="auto"/>
                                <w:sz w:val="20"/>
                                <w:lang w:val="sq-AL"/>
                              </w:rPr>
                            </w:pPr>
                            <w:bookmarkStart w:id="173" w:name="_Toc57722686"/>
                            <w:r w:rsidRPr="00CA51E9">
                              <w:rPr>
                                <w:rFonts w:ascii="Times New Roman" w:hAnsi="Times New Roman"/>
                                <w:b/>
                                <w:i w:val="0"/>
                                <w:color w:val="auto"/>
                                <w:sz w:val="20"/>
                                <w:lang w:val="sq-AL"/>
                              </w:rPr>
                              <w:t xml:space="preserve">Figure </w:t>
                            </w:r>
                            <w:r w:rsidRPr="00CA51E9">
                              <w:rPr>
                                <w:rFonts w:ascii="Times New Roman" w:hAnsi="Times New Roman"/>
                                <w:b/>
                                <w:i w:val="0"/>
                                <w:color w:val="auto"/>
                                <w:sz w:val="20"/>
                                <w:lang w:val="sq-AL"/>
                              </w:rPr>
                              <w:fldChar w:fldCharType="begin"/>
                            </w:r>
                            <w:r w:rsidRPr="00CA51E9">
                              <w:rPr>
                                <w:rFonts w:ascii="Times New Roman" w:hAnsi="Times New Roman"/>
                                <w:b/>
                                <w:i w:val="0"/>
                                <w:color w:val="auto"/>
                                <w:sz w:val="20"/>
                                <w:lang w:val="sq-AL"/>
                              </w:rPr>
                              <w:instrText xml:space="preserve"> SEQ Figure \* ARABIC </w:instrText>
                            </w:r>
                            <w:r w:rsidRPr="00CA51E9">
                              <w:rPr>
                                <w:rFonts w:ascii="Times New Roman" w:hAnsi="Times New Roman"/>
                                <w:b/>
                                <w:i w:val="0"/>
                                <w:color w:val="auto"/>
                                <w:sz w:val="20"/>
                                <w:lang w:val="sq-AL"/>
                              </w:rPr>
                              <w:fldChar w:fldCharType="separate"/>
                            </w:r>
                            <w:r>
                              <w:rPr>
                                <w:rFonts w:ascii="Times New Roman" w:hAnsi="Times New Roman"/>
                                <w:b/>
                                <w:i w:val="0"/>
                                <w:noProof/>
                                <w:color w:val="auto"/>
                                <w:sz w:val="20"/>
                                <w:lang w:val="sq-AL"/>
                              </w:rPr>
                              <w:t>11</w:t>
                            </w:r>
                            <w:r w:rsidRPr="00CA51E9">
                              <w:rPr>
                                <w:rFonts w:ascii="Times New Roman" w:hAnsi="Times New Roman"/>
                                <w:b/>
                                <w:i w:val="0"/>
                                <w:color w:val="auto"/>
                                <w:sz w:val="20"/>
                                <w:lang w:val="sq-AL"/>
                              </w:rPr>
                              <w:fldChar w:fldCharType="end"/>
                            </w:r>
                            <w:r w:rsidRPr="00CA51E9">
                              <w:rPr>
                                <w:rFonts w:ascii="Times New Roman" w:hAnsi="Times New Roman"/>
                                <w:b/>
                                <w:i w:val="0"/>
                                <w:color w:val="auto"/>
                                <w:sz w:val="20"/>
                                <w:lang w:val="sq-AL"/>
                              </w:rPr>
                              <w:t xml:space="preserve"> Struktura e shpenzimeve buxhetore</w:t>
                            </w:r>
                            <w:bookmarkEnd w:id="17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E45165" id="Text Box 5" o:spid="_x0000_s1032" type="#_x0000_t202" style="position:absolute;margin-left:0;margin-top:0;width:428.25pt;height:11.25pt;z-index:2517990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" stroked="f">
                <v:textbox inset="0,0,0,0">
                  <w:txbxContent>
                    <w:p w14:paraId="0177D7BA" w14:textId="578D4441" w:rsidR="00713DEA" w:rsidRPr="00CA51E9" w:rsidRDefault="00713DEA" w:rsidP="00CA51E9">
                      <w:pPr>
                        <w:pStyle w:val="Caption"/>
                        <w:rPr>
                          <w:rFonts w:ascii="Times New Roman" w:hAnsi="Times New Roman"/>
                          <w:b/>
                          <w:i w:val="0"/>
                          <w:color w:val="auto"/>
                          <w:sz w:val="20"/>
                          <w:lang w:val="sq-AL"/>
                        </w:rPr>
                      </w:pPr>
                      <w:bookmarkStart w:id="174" w:name="_Toc57722686"/>
                      <w:r w:rsidRPr="00CA51E9">
                        <w:rPr>
                          <w:rFonts w:ascii="Times New Roman" w:hAnsi="Times New Roman"/>
                          <w:b/>
                          <w:i w:val="0"/>
                          <w:color w:val="auto"/>
                          <w:sz w:val="20"/>
                          <w:lang w:val="sq-AL"/>
                        </w:rPr>
                        <w:t xml:space="preserve">Figure </w:t>
                      </w:r>
                      <w:r w:rsidRPr="00CA51E9">
                        <w:rPr>
                          <w:rFonts w:ascii="Times New Roman" w:hAnsi="Times New Roman"/>
                          <w:b/>
                          <w:i w:val="0"/>
                          <w:color w:val="auto"/>
                          <w:sz w:val="20"/>
                          <w:lang w:val="sq-AL"/>
                        </w:rPr>
                        <w:fldChar w:fldCharType="begin"/>
                      </w:r>
                      <w:r w:rsidRPr="00CA51E9">
                        <w:rPr>
                          <w:rFonts w:ascii="Times New Roman" w:hAnsi="Times New Roman"/>
                          <w:b/>
                          <w:i w:val="0"/>
                          <w:color w:val="auto"/>
                          <w:sz w:val="20"/>
                          <w:lang w:val="sq-AL"/>
                        </w:rPr>
                        <w:instrText xml:space="preserve"> SEQ Figure \* ARABIC </w:instrText>
                      </w:r>
                      <w:r w:rsidRPr="00CA51E9">
                        <w:rPr>
                          <w:rFonts w:ascii="Times New Roman" w:hAnsi="Times New Roman"/>
                          <w:b/>
                          <w:i w:val="0"/>
                          <w:color w:val="auto"/>
                          <w:sz w:val="20"/>
                          <w:lang w:val="sq-AL"/>
                        </w:rPr>
                        <w:fldChar w:fldCharType="separate"/>
                      </w:r>
                      <w:r>
                        <w:rPr>
                          <w:rFonts w:ascii="Times New Roman" w:hAnsi="Times New Roman"/>
                          <w:b/>
                          <w:i w:val="0"/>
                          <w:noProof/>
                          <w:color w:val="auto"/>
                          <w:sz w:val="20"/>
                          <w:lang w:val="sq-AL"/>
                        </w:rPr>
                        <w:t>11</w:t>
                      </w:r>
                      <w:r w:rsidRPr="00CA51E9">
                        <w:rPr>
                          <w:rFonts w:ascii="Times New Roman" w:hAnsi="Times New Roman"/>
                          <w:b/>
                          <w:i w:val="0"/>
                          <w:color w:val="auto"/>
                          <w:sz w:val="20"/>
                          <w:lang w:val="sq-AL"/>
                        </w:rPr>
                        <w:fldChar w:fldCharType="end"/>
                      </w:r>
                      <w:r w:rsidRPr="00CA51E9">
                        <w:rPr>
                          <w:rFonts w:ascii="Times New Roman" w:hAnsi="Times New Roman"/>
                          <w:b/>
                          <w:i w:val="0"/>
                          <w:color w:val="auto"/>
                          <w:sz w:val="20"/>
                          <w:lang w:val="sq-AL"/>
                        </w:rPr>
                        <w:t xml:space="preserve"> Struktura e shpenzimeve buxhetore</w:t>
                      </w:r>
                      <w:bookmarkEnd w:id="174"/>
                    </w:p>
                  </w:txbxContent>
                </v:textbox>
                <w10:wrap type="square" anchorx="margin"/>
              </v:shape>
            </w:pict>
          </mc:Fallback>
        </mc:AlternateContent>
      </w:r>
      <w:r w:rsidR="003B3804" w:rsidRPr="004E5A6E">
        <w:rPr>
          <w:noProof/>
          <w:lang w:val="en-US"/>
        </w:rPr>
        <w:drawing>
          <wp:anchor distT="0" distB="0" distL="114300" distR="114300" simplePos="0" relativeHeight="251792896" behindDoc="0" locked="0" layoutInCell="1" allowOverlap="1" wp14:anchorId="192EEDEE" wp14:editId="6EC9A626">
            <wp:simplePos x="0" y="0"/>
            <wp:positionH relativeFrom="margin">
              <wp:align>left</wp:align>
            </wp:positionH>
            <wp:positionV relativeFrom="paragraph">
              <wp:posOffset>228600</wp:posOffset>
            </wp:positionV>
            <wp:extent cx="5438775" cy="2609850"/>
            <wp:effectExtent l="0" t="0" r="9525"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bookmarkStart w:id="175" w:name="_Toc57198268"/>
      <w:bookmarkStart w:id="176" w:name="_Toc57720382"/>
    </w:p>
    <w:p w14:paraId="2264642F" w14:textId="77777777" w:rsidR="00B600AE" w:rsidRPr="004E5A6E" w:rsidRDefault="00B600AE" w:rsidP="00B600AE">
      <w:pPr>
        <w:pStyle w:val="ERPL3"/>
        <w:ind w:left="720"/>
        <w:rPr>
          <w:rFonts w:ascii="Times New Roman" w:hAnsi="Times New Roman"/>
          <w:lang w:val="sq-AL"/>
        </w:rPr>
      </w:pPr>
      <w:r w:rsidRPr="004E5A6E">
        <w:rPr>
          <w:rFonts w:ascii="Times New Roman" w:hAnsi="Times New Roman"/>
          <w:lang w:val="sq-AL"/>
        </w:rPr>
        <w:t>Vlerësimi i ndikimit fiskal të disa reformave kryesore strukturore</w:t>
      </w:r>
      <w:bookmarkEnd w:id="175"/>
      <w:bookmarkEnd w:id="176"/>
    </w:p>
    <w:p w14:paraId="0064286F" w14:textId="77777777" w:rsidR="00B600AE" w:rsidRPr="004E5A6E" w:rsidRDefault="00B600AE" w:rsidP="00B600AE">
      <w:pPr>
        <w:rPr>
          <w:color w:val="auto"/>
          <w:lang w:val="sq-AL"/>
        </w:rPr>
      </w:pPr>
      <w:r w:rsidRPr="004E5A6E">
        <w:rPr>
          <w:color w:val="auto"/>
          <w:lang w:val="sq-AL"/>
        </w:rPr>
        <w:t>Ky seksion do të përditësohet në draftin përfundimtar me përfundimin e vlerësimit të ndikimit ekonomik deri në pesë masa kryesore.</w:t>
      </w:r>
    </w:p>
    <w:p w14:paraId="1D6FD722" w14:textId="77777777" w:rsidR="00B600AE" w:rsidRPr="004E5A6E" w:rsidRDefault="00B600AE" w:rsidP="00B600AE">
      <w:pPr>
        <w:pStyle w:val="ERPL2"/>
        <w:ind w:left="426"/>
        <w:rPr>
          <w:rFonts w:ascii="Times New Roman" w:hAnsi="Times New Roman"/>
          <w:lang w:val="sq-AL"/>
        </w:rPr>
      </w:pPr>
      <w:bookmarkStart w:id="177" w:name="_Toc57720383"/>
      <w:r w:rsidRPr="004E5A6E">
        <w:rPr>
          <w:rFonts w:ascii="Times New Roman" w:hAnsi="Times New Roman"/>
          <w:lang w:val="sq-AL"/>
        </w:rPr>
        <w:t>Bilanci strukturor fiskal</w:t>
      </w:r>
      <w:bookmarkEnd w:id="177"/>
      <w:r w:rsidRPr="004E5A6E">
        <w:rPr>
          <w:rFonts w:ascii="Times New Roman" w:hAnsi="Times New Roman"/>
          <w:lang w:val="sq-AL"/>
        </w:rPr>
        <w:t xml:space="preserve"> </w:t>
      </w:r>
    </w:p>
    <w:p w14:paraId="4A4D977C" w14:textId="77777777" w:rsidR="003B3804" w:rsidRPr="004E5A6E" w:rsidRDefault="008D6F20" w:rsidP="003B3804">
      <w:pPr>
        <w:spacing w:before="120" w:line="276" w:lineRule="auto"/>
        <w:jc w:val="both"/>
        <w:rPr>
          <w:color w:val="auto"/>
          <w:lang w:val="sq-AL"/>
        </w:rPr>
      </w:pPr>
      <w:r w:rsidRPr="004E5A6E">
        <w:rPr>
          <w:color w:val="auto"/>
          <w:lang w:val="sq-AL"/>
        </w:rPr>
        <w:t>Bilanci strukturor përfaqëson bilancin fiskal të qeverisë, të korrigjuar nga efektet apo luhatjet e ciklit të biznesit, të cilat nuk janë nën kontrollin direkt të qeverisë. Shpesh argumentohet se bilanci i përgjithshëm fiskal nuk ofron një panoramë gjithëpërfshirëse të pozicionit fiskal sepse ky pozicion ndikohet në një masë të konsiderueshme edhe nga ciklet e biznesit në të cilat një ekonomi kalon. Gjatë periudhave, kur një ekonomi përjeton përshpejtim të rritjes ekonomike, të hyrat tatimore kanë tendencën të rriten; ndërsa në kushtet ngadalësimit ekonomik, të hyrat tatimore, veçanërisht të hyrat nga të ardhurat dhe konsumi, zvogëlohen</w:t>
      </w:r>
      <w:r w:rsidR="00D54609" w:rsidRPr="004E5A6E">
        <w:rPr>
          <w:color w:val="auto"/>
          <w:lang w:val="sq-AL"/>
        </w:rPr>
        <w:t>, ndërsa në të njëjtë kohë shpenzimi qeveritar rritet, kryesisht si rezul</w:t>
      </w:r>
      <w:r w:rsidR="00DF448D" w:rsidRPr="004E5A6E">
        <w:rPr>
          <w:color w:val="auto"/>
          <w:lang w:val="sq-AL"/>
        </w:rPr>
        <w:t>tat i shpenzimeve më të larta në beneficione të papunësisë</w:t>
      </w:r>
      <w:r w:rsidR="008D6FC9" w:rsidRPr="004E5A6E">
        <w:rPr>
          <w:rStyle w:val="FootnoteReference"/>
          <w:color w:val="auto"/>
          <w:lang w:val="sq-AL"/>
        </w:rPr>
        <w:footnoteReference w:id="10"/>
      </w:r>
      <w:r w:rsidRPr="004E5A6E">
        <w:rPr>
          <w:color w:val="auto"/>
          <w:lang w:val="sq-AL"/>
        </w:rPr>
        <w:t>. Këto zhvillime në treguesit fiskalë, të cilat ndodhin pa asnjë lloj ndërhyrje diskrecionare nga qeveria, ndihmojnë në zbutjen e luhatjeve ekonomike, dhe për këtë arsye njihen si “stabilizatorë automatikë”. Bilanci fiskal strukturor (i zhveshur nga cikli biznesor) synon të mas</w:t>
      </w:r>
      <w:r w:rsidR="00DF448D" w:rsidRPr="004E5A6E">
        <w:rPr>
          <w:color w:val="auto"/>
          <w:lang w:val="sq-AL"/>
        </w:rPr>
        <w:t>ë</w:t>
      </w:r>
      <w:r w:rsidRPr="004E5A6E">
        <w:rPr>
          <w:color w:val="auto"/>
          <w:lang w:val="sq-AL"/>
        </w:rPr>
        <w:t xml:space="preserve"> pozicionin fiskal të pastruar nga këta stabilizatorë, me qëllimin për të kuptuar më mirë shkallën dhe intensitetin e politikës diskrecionare fiskale.</w:t>
      </w:r>
    </w:p>
    <w:p w14:paraId="5D75BD28" w14:textId="77777777" w:rsidR="003B3804" w:rsidRPr="004E5A6E" w:rsidRDefault="008D6F20" w:rsidP="003B3804">
      <w:pPr>
        <w:spacing w:before="120" w:line="276" w:lineRule="auto"/>
        <w:jc w:val="both"/>
        <w:rPr>
          <w:color w:val="auto"/>
          <w:lang w:val="sq-AL"/>
        </w:rPr>
      </w:pPr>
      <w:r w:rsidRPr="004E5A6E">
        <w:rPr>
          <w:lang w:val="sq-AL"/>
        </w:rPr>
        <w:t>Për të përftuar bilancin strukturor është e rëndësishme që të izolohet komponentit ciklik i bilancit fiskal, i cili vjen si rezultat i hendekut të prodhimit në ekonomi. Në rastin, kur një ekonomi është në nivelin e saj potencial (hendeku i prodhimit është zero), ky komponent ciklik i bilancit fiskal do të jetë zero dhe rrjedhimisht bilanci aktual fiskal përfaqëson në të njëjtën kohë edhe bilancin strukturor. Vlerësimi i bilancit strukturor i paraqitur në këtë seksion, duhet të interpretohet me një shkallë të lartë të kujdesit, duke marrë parasysh disponueshmërinë e kufizuar të të dhënave të BPV-së. Në këtë version të përditësuar të PRE-së, bilanci strukturor është vlerësuar duke përdorur të dhënat vjetore që mbulojnë periudhën 2007 - 2023 (17 observime, 4 prej të cilave projeksione).</w:t>
      </w:r>
    </w:p>
    <w:p w14:paraId="3EED4CAB" w14:textId="77777777" w:rsidR="003B3804" w:rsidRPr="004E5A6E" w:rsidRDefault="008D6F20" w:rsidP="003B3804">
      <w:pPr>
        <w:spacing w:before="120" w:line="276" w:lineRule="auto"/>
        <w:jc w:val="both"/>
        <w:rPr>
          <w:color w:val="auto"/>
          <w:lang w:val="sq-AL"/>
        </w:rPr>
      </w:pPr>
      <w:r w:rsidRPr="004E5A6E">
        <w:rPr>
          <w:lang w:val="sq-AL"/>
        </w:rPr>
        <w:t>Variablat e përdorura në këtë kalkulim janë: BPV-ja reale, BPV-ja potenciale (e kalkuluar sipas funksionit të prodhimit Cobb-Douglas), hendeku i prodhimit</w:t>
      </w:r>
      <w:r w:rsidR="00CA6085" w:rsidRPr="004E5A6E">
        <w:rPr>
          <w:lang w:val="sq-AL"/>
        </w:rPr>
        <w:t xml:space="preserve">; </w:t>
      </w:r>
      <w:r w:rsidRPr="004E5A6E">
        <w:rPr>
          <w:lang w:val="sq-AL"/>
        </w:rPr>
        <w:t xml:space="preserve"> të hyrat buxhetore (të hyrat tatimore (në terma realë), jo-tatimore (në terma realë), grantet, shpenzimet (në terma realë), dhe elasticiteti i ndryshimit vjetor të të hyrave tatimore (në terma realë) ndaj ndryshimit vjetor të BPV-së reale (i ka</w:t>
      </w:r>
      <w:r w:rsidR="00CA6085" w:rsidRPr="004E5A6E">
        <w:rPr>
          <w:lang w:val="sq-AL"/>
        </w:rPr>
        <w:t>lkuluar përmes regresionit MKV- Metoda e Katrorëve të Vegjël</w:t>
      </w:r>
      <w:r w:rsidRPr="004E5A6E">
        <w:rPr>
          <w:lang w:val="sq-AL"/>
        </w:rPr>
        <w:t>). Vlen të ceket, se për t’i kthyer në terma realë variablat: të hyrat tatimore, jo-tatimore, dhe shpenzimet, është përdorur Indeksi i Çmimeve të Konsumit.</w:t>
      </w:r>
    </w:p>
    <w:p w14:paraId="0B3471DC" w14:textId="30A3113E" w:rsidR="00CA6085" w:rsidRPr="004E5A6E" w:rsidRDefault="008D6F20" w:rsidP="003B3804">
      <w:pPr>
        <w:spacing w:before="120" w:line="276" w:lineRule="auto"/>
        <w:jc w:val="both"/>
        <w:rPr>
          <w:color w:val="auto"/>
          <w:lang w:val="sq-AL"/>
        </w:rPr>
      </w:pPr>
      <w:r w:rsidRPr="004E5A6E">
        <w:rPr>
          <w:lang w:val="sq-AL"/>
        </w:rPr>
        <w:t>Për t’i zhveshur nga cikli i biznesit, apo për t’i ‘rregulluar’, variablat e nevojshme për këtë kalkulim është përdorur formula në vijim:</w:t>
      </w:r>
    </w:p>
    <w:p w14:paraId="60D3BC0C" w14:textId="77777777" w:rsidR="008D6F20" w:rsidRPr="004E5A6E" w:rsidRDefault="008D6F20" w:rsidP="00CA6085">
      <w:pPr>
        <w:spacing w:before="120"/>
        <w:jc w:val="both"/>
        <w:rPr>
          <w:lang w:val="sq-AL"/>
        </w:rPr>
      </w:pPr>
      <m:oMathPara>
        <m:oMath>
          <m:r>
            <w:rPr>
              <w:rFonts w:ascii="Cambria Math" w:hAnsi="Cambria Math"/>
              <w:sz w:val="22"/>
              <w:szCs w:val="22"/>
              <w:lang w:val="sq-AL"/>
            </w:rPr>
            <m:t>Variabla e rregulluar=Variabla e parregulluar</m:t>
          </m:r>
          <m:sSup>
            <m:sSupPr>
              <m:ctrlPr>
                <w:rPr>
                  <w:rFonts w:ascii="Cambria Math" w:hAnsi="Cambria Math"/>
                  <w:i/>
                  <w:sz w:val="22"/>
                  <w:szCs w:val="22"/>
                  <w:lang w:val="sq-AL"/>
                </w:rPr>
              </m:ctrlPr>
            </m:sSupPr>
            <m:e>
              <m:r>
                <w:rPr>
                  <w:rFonts w:ascii="Cambria Math" w:hAnsi="Cambria Math"/>
                  <w:sz w:val="22"/>
                  <w:szCs w:val="22"/>
                  <w:lang w:val="sq-AL"/>
                </w:rPr>
                <m:t>*(</m:t>
              </m:r>
              <m:f>
                <m:fPr>
                  <m:ctrlPr>
                    <w:rPr>
                      <w:rFonts w:ascii="Cambria Math" w:hAnsi="Cambria Math"/>
                      <w:i/>
                      <w:sz w:val="22"/>
                      <w:szCs w:val="22"/>
                      <w:lang w:val="sq-AL"/>
                    </w:rPr>
                  </m:ctrlPr>
                </m:fPr>
                <m:num>
                  <m:r>
                    <w:rPr>
                      <w:rFonts w:ascii="Cambria Math" w:hAnsi="Cambria Math"/>
                      <w:sz w:val="22"/>
                      <w:szCs w:val="22"/>
                      <w:lang w:val="sq-AL"/>
                    </w:rPr>
                    <m:t>1</m:t>
                  </m:r>
                </m:num>
                <m:den>
                  <m:r>
                    <w:rPr>
                      <w:rFonts w:ascii="Cambria Math" w:hAnsi="Cambria Math"/>
                      <w:sz w:val="22"/>
                      <w:szCs w:val="22"/>
                      <w:lang w:val="sq-AL"/>
                    </w:rPr>
                    <m:t>Hendeku i Prodhimit</m:t>
                  </m:r>
                </m:den>
              </m:f>
              <m:r>
                <w:rPr>
                  <w:rFonts w:ascii="Cambria Math" w:hAnsi="Cambria Math"/>
                  <w:sz w:val="22"/>
                  <w:szCs w:val="22"/>
                  <w:lang w:val="sq-AL"/>
                </w:rPr>
                <m:t>)</m:t>
              </m:r>
            </m:e>
            <m:sup>
              <m:r>
                <w:rPr>
                  <w:rFonts w:ascii="Cambria Math" w:hAnsi="Cambria Math"/>
                  <w:sz w:val="22"/>
                  <w:szCs w:val="22"/>
                  <w:lang w:val="sq-AL"/>
                </w:rPr>
                <m:t>Elasticiteti</m:t>
              </m:r>
            </m:sup>
          </m:sSup>
        </m:oMath>
      </m:oMathPara>
    </w:p>
    <w:p w14:paraId="4707A43C" w14:textId="77777777" w:rsidR="00CA6085" w:rsidRPr="004E5A6E" w:rsidRDefault="00CA6085" w:rsidP="00CA6085">
      <w:pPr>
        <w:spacing w:before="120"/>
        <w:jc w:val="both"/>
        <w:rPr>
          <w:lang w:val="sq-AL"/>
        </w:rPr>
      </w:pPr>
    </w:p>
    <w:p w14:paraId="1B7FF61B" w14:textId="77777777" w:rsidR="003B3804" w:rsidRPr="004E5A6E" w:rsidRDefault="008D6F20" w:rsidP="003B3804">
      <w:pPr>
        <w:spacing w:before="120" w:line="276" w:lineRule="auto"/>
        <w:jc w:val="both"/>
        <w:rPr>
          <w:lang w:val="sq-AL"/>
        </w:rPr>
      </w:pPr>
      <w:r w:rsidRPr="004E5A6E">
        <w:rPr>
          <w:lang w:val="sq-AL"/>
        </w:rPr>
        <w:t xml:space="preserve">Për të hyrat tatimore, siç u cek më </w:t>
      </w:r>
      <w:r w:rsidR="00CA6085" w:rsidRPr="004E5A6E">
        <w:rPr>
          <w:lang w:val="sq-AL"/>
        </w:rPr>
        <w:t>herët</w:t>
      </w:r>
      <w:r w:rsidRPr="004E5A6E">
        <w:rPr>
          <w:lang w:val="sq-AL"/>
        </w:rPr>
        <w:t xml:space="preserve">, është përdorur elasticiteti i ndryshimit vjetor të të hyrave tatimore (në terma realë) ndaj ndryshimit vjetor të BPV-së reale (i kalkuluar përmes regresionit MKV (Metoda e Katrorëve të Vegjël)). Ky elasticitet ka vlerën 1.19. Ky elasticitet tregon se të hyrat tatimore në mënyrë joproporcionale rritën </w:t>
      </w:r>
      <w:r w:rsidR="00CA6085" w:rsidRPr="004E5A6E">
        <w:rPr>
          <w:lang w:val="sq-AL"/>
        </w:rPr>
        <w:t>më shumë se sa që rritet BPV-ja, gjë që mund të shpjegohet nga disa faktorë. Një faktor mund të jetë se seritë</w:t>
      </w:r>
      <w:r w:rsidR="001D56A6" w:rsidRPr="004E5A6E">
        <w:rPr>
          <w:lang w:val="sq-AL"/>
        </w:rPr>
        <w:t xml:space="preserve"> kohore të të</w:t>
      </w:r>
      <w:r w:rsidR="00CA6085" w:rsidRPr="004E5A6E">
        <w:rPr>
          <w:lang w:val="sq-AL"/>
        </w:rPr>
        <w:t xml:space="preserve"> hyrave tatimor</w:t>
      </w:r>
      <w:r w:rsidR="001D56A6" w:rsidRPr="004E5A6E">
        <w:rPr>
          <w:lang w:val="sq-AL"/>
        </w:rPr>
        <w:t>e</w:t>
      </w:r>
      <w:r w:rsidR="00CA6085" w:rsidRPr="004E5A6E">
        <w:rPr>
          <w:lang w:val="sq-AL"/>
        </w:rPr>
        <w:t xml:space="preserve"> nuk jan</w:t>
      </w:r>
      <w:r w:rsidR="001D56A6" w:rsidRPr="004E5A6E">
        <w:rPr>
          <w:lang w:val="sq-AL"/>
        </w:rPr>
        <w:t>ë</w:t>
      </w:r>
      <w:r w:rsidR="00CA6085" w:rsidRPr="004E5A6E">
        <w:rPr>
          <w:lang w:val="sq-AL"/>
        </w:rPr>
        <w:t xml:space="preserve"> t</w:t>
      </w:r>
      <w:r w:rsidR="001D56A6" w:rsidRPr="004E5A6E">
        <w:rPr>
          <w:lang w:val="sq-AL"/>
        </w:rPr>
        <w:t>ë</w:t>
      </w:r>
      <w:r w:rsidR="00CA6085" w:rsidRPr="004E5A6E">
        <w:rPr>
          <w:lang w:val="sq-AL"/>
        </w:rPr>
        <w:t xml:space="preserve"> </w:t>
      </w:r>
      <w:r w:rsidR="001D56A6" w:rsidRPr="004E5A6E">
        <w:rPr>
          <w:lang w:val="sq-AL"/>
        </w:rPr>
        <w:t>korrigjuara</w:t>
      </w:r>
      <w:r w:rsidR="00CA6085" w:rsidRPr="004E5A6E">
        <w:rPr>
          <w:lang w:val="sq-AL"/>
        </w:rPr>
        <w:t xml:space="preserve"> apo t</w:t>
      </w:r>
      <w:r w:rsidR="001D56A6" w:rsidRPr="004E5A6E">
        <w:rPr>
          <w:lang w:val="sq-AL"/>
        </w:rPr>
        <w:t>ë</w:t>
      </w:r>
      <w:r w:rsidR="00CA6085" w:rsidRPr="004E5A6E">
        <w:rPr>
          <w:lang w:val="sq-AL"/>
        </w:rPr>
        <w:t xml:space="preserve"> axhustuar</w:t>
      </w:r>
      <w:r w:rsidR="001D56A6" w:rsidRPr="004E5A6E">
        <w:rPr>
          <w:lang w:val="sq-AL"/>
        </w:rPr>
        <w:t>a</w:t>
      </w:r>
      <w:r w:rsidR="00CA6085" w:rsidRPr="004E5A6E">
        <w:rPr>
          <w:lang w:val="sq-AL"/>
        </w:rPr>
        <w:t xml:space="preserve"> p</w:t>
      </w:r>
      <w:r w:rsidR="001D56A6" w:rsidRPr="004E5A6E">
        <w:rPr>
          <w:lang w:val="sq-AL"/>
        </w:rPr>
        <w:t>ë</w:t>
      </w:r>
      <w:r w:rsidR="00CA6085" w:rsidRPr="004E5A6E">
        <w:rPr>
          <w:lang w:val="sq-AL"/>
        </w:rPr>
        <w:t>r</w:t>
      </w:r>
      <w:r w:rsidR="001D56A6" w:rsidRPr="004E5A6E">
        <w:rPr>
          <w:lang w:val="sq-AL"/>
        </w:rPr>
        <w:t xml:space="preserve"> ndryshimet diskrecionare të politikave. Një arsye tjetër mund t’i atribuohet shtrembërimeve</w:t>
      </w:r>
      <w:r w:rsidR="00CA6085" w:rsidRPr="004E5A6E">
        <w:rPr>
          <w:lang w:val="sq-AL"/>
        </w:rPr>
        <w:t xml:space="preserve"> të</w:t>
      </w:r>
      <w:r w:rsidR="001D56A6" w:rsidRPr="004E5A6E">
        <w:rPr>
          <w:lang w:val="sq-AL"/>
        </w:rPr>
        <w:t xml:space="preserve"> shkaktuara nga sektori jo-formal, i cili mund të ndikojë elasticitetin e taksave ndaj BPV-së. </w:t>
      </w:r>
    </w:p>
    <w:p w14:paraId="399AB890" w14:textId="0929CDD7" w:rsidR="001D56A6" w:rsidRPr="004E5A6E" w:rsidRDefault="008D6F20" w:rsidP="003B3804">
      <w:pPr>
        <w:spacing w:before="120" w:line="276" w:lineRule="auto"/>
        <w:jc w:val="both"/>
        <w:rPr>
          <w:lang w:val="sq-AL"/>
        </w:rPr>
      </w:pPr>
      <w:r w:rsidRPr="004E5A6E">
        <w:rPr>
          <w:lang w:val="sq-AL"/>
        </w:rPr>
        <w:t>Ndërsa sa i përket elasticiteti</w:t>
      </w:r>
      <w:r w:rsidR="003B3804" w:rsidRPr="004E5A6E">
        <w:rPr>
          <w:lang w:val="sq-AL"/>
        </w:rPr>
        <w:t>t</w:t>
      </w:r>
      <w:r w:rsidRPr="004E5A6E">
        <w:rPr>
          <w:lang w:val="sq-AL"/>
        </w:rPr>
        <w:t xml:space="preserve"> të përdorur për të ‘rregulluar’ të hyrat jo-tatimore është përdorur vlera 1.00. </w:t>
      </w:r>
      <w:r w:rsidR="001D56A6" w:rsidRPr="004E5A6E">
        <w:rPr>
          <w:lang w:val="sq-AL"/>
        </w:rPr>
        <w:t>Shpjegimi</w:t>
      </w:r>
      <w:r w:rsidRPr="004E5A6E">
        <w:rPr>
          <w:lang w:val="sq-AL"/>
        </w:rPr>
        <w:t xml:space="preserve"> për përdorimin e kësaj vlere bazohet në faktin se të hyrat jo-tatimore zakonisht lëvizin njëtrajtshëm me BPV-në</w:t>
      </w:r>
      <w:r w:rsidR="001D56A6" w:rsidRPr="004E5A6E">
        <w:rPr>
          <w:lang w:val="sq-AL"/>
        </w:rPr>
        <w:t>. Gjithashtu, duke marrë</w:t>
      </w:r>
      <w:r w:rsidRPr="004E5A6E">
        <w:rPr>
          <w:lang w:val="sq-AL"/>
        </w:rPr>
        <w:t xml:space="preserve"> parasysh faktin se Kosova nuk ka stabilizues automatikë (sikurse beneficionet e të papunëve), pra shpenzimet nuk varen nga gjendja ciklike e ekonomisë, </w:t>
      </w:r>
      <w:r w:rsidR="001D56A6" w:rsidRPr="004E5A6E">
        <w:rPr>
          <w:lang w:val="sq-AL"/>
        </w:rPr>
        <w:t xml:space="preserve">është zgjedhur të mos aplikohet asnjë lloj axhustimi në asnjërën prej kategorive të shpenzimeve. </w:t>
      </w:r>
    </w:p>
    <w:p w14:paraId="121A7EC3" w14:textId="77777777" w:rsidR="001D56A6" w:rsidRPr="004E5A6E" w:rsidRDefault="001D56A6" w:rsidP="008D6F20">
      <w:pPr>
        <w:jc w:val="both"/>
        <w:rPr>
          <w:lang w:val="sq-AL"/>
        </w:rPr>
      </w:pPr>
    </w:p>
    <w:p w14:paraId="6401F010" w14:textId="547B37AC" w:rsidR="008D6F20" w:rsidRPr="004E5A6E" w:rsidRDefault="008D6F20" w:rsidP="008D6F20">
      <w:pPr>
        <w:jc w:val="both"/>
        <w:rPr>
          <w:lang w:val="sq-AL"/>
        </w:rPr>
      </w:pPr>
      <w:r w:rsidRPr="004E5A6E">
        <w:rPr>
          <w:lang w:val="sq-AL"/>
        </w:rPr>
        <w:t xml:space="preserve">Pasi të jenë rregulluar variablat e lartpërmendura, </w:t>
      </w:r>
      <w:r w:rsidR="00592490" w:rsidRPr="004E5A6E">
        <w:rPr>
          <w:lang w:val="sq-AL"/>
        </w:rPr>
        <w:t>bilanci</w:t>
      </w:r>
      <w:r w:rsidRPr="004E5A6E">
        <w:rPr>
          <w:lang w:val="sq-AL"/>
        </w:rPr>
        <w:t xml:space="preserve"> primar strukturor është</w:t>
      </w:r>
      <w:r w:rsidR="00592490" w:rsidRPr="004E5A6E">
        <w:rPr>
          <w:lang w:val="sq-AL"/>
        </w:rPr>
        <w:t xml:space="preserve"> llogaritur si më poshtë</w:t>
      </w:r>
      <w:r w:rsidRPr="004E5A6E">
        <w:rPr>
          <w:lang w:val="sq-AL"/>
        </w:rPr>
        <w:t>:</w:t>
      </w:r>
    </w:p>
    <w:p w14:paraId="718B8FD9" w14:textId="77777777" w:rsidR="001D56A6" w:rsidRPr="004E5A6E" w:rsidRDefault="001D56A6" w:rsidP="008D6F20">
      <w:pPr>
        <w:jc w:val="both"/>
        <w:rPr>
          <w:lang w:val="sq-AL"/>
        </w:rPr>
      </w:pPr>
    </w:p>
    <w:p w14:paraId="396374B6" w14:textId="77777777" w:rsidR="008D6F20" w:rsidRPr="004E5A6E" w:rsidRDefault="008D6F20" w:rsidP="008D6F20">
      <w:pPr>
        <w:jc w:val="both"/>
        <w:rPr>
          <w:sz w:val="20"/>
          <w:szCs w:val="20"/>
          <w:lang w:val="sq-AL"/>
        </w:rPr>
      </w:pPr>
      <m:oMathPara>
        <m:oMath>
          <m:r>
            <w:rPr>
              <w:rFonts w:ascii="Cambria Math" w:hAnsi="Cambria Math"/>
              <w:sz w:val="20"/>
              <w:szCs w:val="20"/>
              <w:lang w:val="sq-AL"/>
            </w:rPr>
            <m:t>Bilanci Primar Strukturor=Të hyrat tatimore+Të hyrat jotatimore+Grantet-Shpenzimet</m:t>
          </m:r>
        </m:oMath>
      </m:oMathPara>
    </w:p>
    <w:p w14:paraId="16139F13" w14:textId="77777777" w:rsidR="00592490" w:rsidRPr="004E5A6E" w:rsidRDefault="00592490" w:rsidP="008D6F20">
      <w:pPr>
        <w:jc w:val="both"/>
        <w:rPr>
          <w:sz w:val="20"/>
          <w:szCs w:val="20"/>
          <w:lang w:val="sq-AL"/>
        </w:rPr>
      </w:pPr>
    </w:p>
    <w:p w14:paraId="09CA4A5D" w14:textId="77777777" w:rsidR="00592490" w:rsidRPr="004E5A6E" w:rsidRDefault="00592490" w:rsidP="008D6F20">
      <w:pPr>
        <w:jc w:val="both"/>
        <w:rPr>
          <w:sz w:val="20"/>
          <w:szCs w:val="20"/>
          <w:lang w:val="sq-AL"/>
        </w:rPr>
      </w:pPr>
    </w:p>
    <w:p w14:paraId="23CA555F" w14:textId="77777777" w:rsidR="003B3804" w:rsidRPr="004E5A6E" w:rsidRDefault="003B3804" w:rsidP="00592490">
      <w:pPr>
        <w:pStyle w:val="Caption"/>
        <w:keepNext/>
        <w:rPr>
          <w:rFonts w:ascii="Times New Roman" w:hAnsi="Times New Roman"/>
          <w:b/>
          <w:i w:val="0"/>
          <w:color w:val="auto"/>
          <w:sz w:val="20"/>
          <w:lang w:val="sq-AL"/>
        </w:rPr>
      </w:pPr>
    </w:p>
    <w:p w14:paraId="712352F3" w14:textId="6B4E5A5D" w:rsidR="00CA51E9" w:rsidRPr="004E5A6E" w:rsidRDefault="00CA51E9" w:rsidP="00CA51E9">
      <w:pPr>
        <w:pStyle w:val="Caption"/>
        <w:keepNext/>
        <w:rPr>
          <w:rFonts w:ascii="Times New Roman" w:hAnsi="Times New Roman"/>
          <w:b/>
          <w:i w:val="0"/>
          <w:color w:val="auto"/>
          <w:sz w:val="20"/>
          <w:lang w:val="sq-AL"/>
        </w:rPr>
      </w:pPr>
      <w:bookmarkStart w:id="178" w:name="_Toc57722687"/>
      <w:r w:rsidRPr="004E5A6E">
        <w:rPr>
          <w:rFonts w:ascii="Times New Roman" w:hAnsi="Times New Roman"/>
          <w:b/>
          <w:i w:val="0"/>
          <w:color w:val="auto"/>
          <w:sz w:val="20"/>
          <w:lang w:val="sq-AL"/>
        </w:rPr>
        <w:t xml:space="preserve">Figura </w:t>
      </w:r>
      <w:r w:rsidRPr="004E5A6E">
        <w:rPr>
          <w:rFonts w:ascii="Times New Roman" w:hAnsi="Times New Roman"/>
          <w:b/>
          <w:i w:val="0"/>
          <w:color w:val="auto"/>
          <w:sz w:val="20"/>
          <w:lang w:val="sq-AL"/>
        </w:rPr>
        <w:fldChar w:fldCharType="begin"/>
      </w:r>
      <w:r w:rsidRPr="004E5A6E">
        <w:rPr>
          <w:rFonts w:ascii="Times New Roman" w:hAnsi="Times New Roman"/>
          <w:b/>
          <w:i w:val="0"/>
          <w:color w:val="auto"/>
          <w:sz w:val="20"/>
          <w:lang w:val="sq-AL"/>
        </w:rPr>
        <w:instrText xml:space="preserve"> SEQ Figure \* ARABIC </w:instrText>
      </w:r>
      <w:r w:rsidRPr="004E5A6E">
        <w:rPr>
          <w:rFonts w:ascii="Times New Roman" w:hAnsi="Times New Roman"/>
          <w:b/>
          <w:i w:val="0"/>
          <w:color w:val="auto"/>
          <w:sz w:val="20"/>
          <w:lang w:val="sq-AL"/>
        </w:rPr>
        <w:fldChar w:fldCharType="separate"/>
      </w:r>
      <w:r w:rsidR="00FA7C77" w:rsidRPr="004E5A6E">
        <w:rPr>
          <w:rFonts w:ascii="Times New Roman" w:hAnsi="Times New Roman"/>
          <w:b/>
          <w:i w:val="0"/>
          <w:noProof/>
          <w:color w:val="auto"/>
          <w:sz w:val="20"/>
          <w:lang w:val="sq-AL"/>
        </w:rPr>
        <w:t>12</w:t>
      </w:r>
      <w:r w:rsidRPr="004E5A6E">
        <w:rPr>
          <w:rFonts w:ascii="Times New Roman" w:hAnsi="Times New Roman"/>
          <w:b/>
          <w:i w:val="0"/>
          <w:color w:val="auto"/>
          <w:sz w:val="20"/>
          <w:lang w:val="sq-AL"/>
        </w:rPr>
        <w:fldChar w:fldCharType="end"/>
      </w:r>
      <w:r w:rsidRPr="004E5A6E">
        <w:rPr>
          <w:rFonts w:ascii="Times New Roman" w:hAnsi="Times New Roman"/>
          <w:b/>
          <w:i w:val="0"/>
          <w:color w:val="auto"/>
          <w:sz w:val="20"/>
          <w:lang w:val="sq-AL"/>
        </w:rPr>
        <w:t xml:space="preserve"> Bilanci Primar i Pa-axhustuar; Bilanci primar strukturor dhe hendeku i prodhimit (2007- 2023)</w:t>
      </w:r>
      <w:bookmarkEnd w:id="178"/>
    </w:p>
    <w:p w14:paraId="7280DD8C" w14:textId="77777777" w:rsidR="008D6F20" w:rsidRPr="004E5A6E" w:rsidRDefault="008D6F20" w:rsidP="008D6F20">
      <w:pPr>
        <w:jc w:val="both"/>
        <w:rPr>
          <w:lang w:val="sq-AL"/>
        </w:rPr>
      </w:pPr>
      <w:r w:rsidRPr="004E5A6E">
        <w:rPr>
          <w:noProof/>
          <w:lang w:val="en-US"/>
        </w:rPr>
        <w:drawing>
          <wp:inline distT="0" distB="0" distL="0" distR="0" wp14:anchorId="79DE5E48" wp14:editId="62D3F574">
            <wp:extent cx="5695950" cy="3020752"/>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23345" cy="3035280"/>
                    </a:xfrm>
                    <a:prstGeom prst="rect">
                      <a:avLst/>
                    </a:prstGeom>
                    <a:noFill/>
                  </pic:spPr>
                </pic:pic>
              </a:graphicData>
            </a:graphic>
          </wp:inline>
        </w:drawing>
      </w:r>
    </w:p>
    <w:p w14:paraId="7CAD25F9" w14:textId="77777777" w:rsidR="00592490" w:rsidRPr="004E5A6E" w:rsidRDefault="00592490" w:rsidP="008D6F20">
      <w:pPr>
        <w:jc w:val="both"/>
        <w:rPr>
          <w:lang w:val="sq-AL"/>
        </w:rPr>
      </w:pPr>
    </w:p>
    <w:p w14:paraId="580C28EB" w14:textId="21349B60" w:rsidR="009C5C0C" w:rsidRPr="004E5A6E" w:rsidRDefault="00592490" w:rsidP="009C5C0C">
      <w:pPr>
        <w:jc w:val="both"/>
        <w:rPr>
          <w:lang w:val="sq-AL"/>
        </w:rPr>
      </w:pPr>
      <w:r w:rsidRPr="004E5A6E">
        <w:rPr>
          <w:lang w:val="sq-AL"/>
        </w:rPr>
        <w:t xml:space="preserve">Grafiku 12 tregon ecurinë e ndërlidhjes ndërmjet bilancit primar të pa-axhustuar, bilancit strukturor dhe hendekut të prodhimit. Bilanci primar strukturor </w:t>
      </w:r>
      <w:r w:rsidR="008D6F20" w:rsidRPr="004E5A6E">
        <w:rPr>
          <w:lang w:val="sq-AL"/>
        </w:rPr>
        <w:t>t</w:t>
      </w:r>
      <w:r w:rsidR="009C5C0C" w:rsidRPr="004E5A6E">
        <w:rPr>
          <w:lang w:val="sq-AL"/>
        </w:rPr>
        <w:t>regon se sa</w:t>
      </w:r>
      <w:r w:rsidR="008D6F20" w:rsidRPr="004E5A6E">
        <w:rPr>
          <w:lang w:val="sq-AL"/>
        </w:rPr>
        <w:t xml:space="preserve"> do të ishte bilanci primar sikur BPV-ja aktuale të ishte e barabartë me atë potenciale (apo shkurtimisht, sikur bilanci primar të zhvishej nga cikli biznesor).</w:t>
      </w:r>
      <w:r w:rsidR="009C5C0C" w:rsidRPr="004E5A6E">
        <w:rPr>
          <w:lang w:val="sq-AL"/>
        </w:rPr>
        <w:t xml:space="preserve"> Për më tepër, grafiku tregon se</w:t>
      </w:r>
      <w:r w:rsidR="008D6F20" w:rsidRPr="004E5A6E">
        <w:rPr>
          <w:lang w:val="sq-AL"/>
        </w:rPr>
        <w:t xml:space="preserve"> si gjatë periudhave kur ekonomia operon nën potencial (hendeku i prodhimit ka vlerë negative), edhe bilanci primar strukturor është më i lartë se bilanci primar i parregulluar, dhe anasjelltas. </w:t>
      </w:r>
      <w:r w:rsidR="009C5C0C" w:rsidRPr="004E5A6E">
        <w:rPr>
          <w:lang w:val="sq-AL"/>
        </w:rPr>
        <w:t>Bazuar në këto rezultate, periudhat gjatë të cilave ekonomia ka operuar nën potencialin e vet janë viti 2014 dhe 2020 e tutje (periudha e parashikimit). Gjatë periudhave të tjera, ekonomia mesatarisht ka qenë lehtësisht mbi potencialin e vet.</w:t>
      </w:r>
    </w:p>
    <w:p w14:paraId="0BE1FFC3" w14:textId="77777777" w:rsidR="009C5C0C" w:rsidRPr="004E5A6E" w:rsidRDefault="009C5C0C" w:rsidP="009C5C0C">
      <w:pPr>
        <w:jc w:val="both"/>
        <w:rPr>
          <w:lang w:val="sq-AL"/>
        </w:rPr>
      </w:pPr>
    </w:p>
    <w:p w14:paraId="6DDD98B2" w14:textId="242602FA" w:rsidR="008D6F20" w:rsidRPr="004E5A6E" w:rsidRDefault="008D6F20" w:rsidP="009C5C0C">
      <w:pPr>
        <w:jc w:val="both"/>
        <w:rPr>
          <w:lang w:val="sq-AL"/>
        </w:rPr>
      </w:pPr>
      <w:r w:rsidRPr="004E5A6E">
        <w:rPr>
          <w:lang w:val="sq-AL"/>
        </w:rPr>
        <w:t>Mirëpo, për të kuptuar më mirë rezultatet nga ky kalkulim duhet të analizohet më së shumti pozita fiskale (‘</w:t>
      </w:r>
      <w:r w:rsidRPr="004E5A6E">
        <w:rPr>
          <w:i/>
          <w:iCs/>
          <w:lang w:val="sq-AL"/>
        </w:rPr>
        <w:t>fiscal stance</w:t>
      </w:r>
      <w:r w:rsidRPr="004E5A6E">
        <w:rPr>
          <w:lang w:val="sq-AL"/>
        </w:rPr>
        <w:t xml:space="preserve">’). Kjo variabël tregon </w:t>
      </w:r>
      <w:r w:rsidR="009C5C0C" w:rsidRPr="004E5A6E">
        <w:rPr>
          <w:lang w:val="sq-AL"/>
        </w:rPr>
        <w:t>nëse pozita fiskale e shtetit ka qenë</w:t>
      </w:r>
      <w:r w:rsidRPr="004E5A6E">
        <w:rPr>
          <w:lang w:val="sq-AL"/>
        </w:rPr>
        <w:t xml:space="preserve"> ekspansioniste apo shtrënguese (tkurrëse)</w:t>
      </w:r>
      <w:r w:rsidR="009C5C0C" w:rsidRPr="004E5A6E">
        <w:rPr>
          <w:lang w:val="sq-AL"/>
        </w:rPr>
        <w:t xml:space="preserve"> gjatë periudhë së marrë në konsideratë në këtë analizë</w:t>
      </w:r>
      <w:r w:rsidRPr="004E5A6E">
        <w:rPr>
          <w:lang w:val="sq-AL"/>
        </w:rPr>
        <w:t>.</w:t>
      </w:r>
      <w:r w:rsidRPr="004E5A6E">
        <w:rPr>
          <w:rStyle w:val="FootnoteReference"/>
          <w:lang w:val="sq-AL"/>
        </w:rPr>
        <w:footnoteReference w:id="11"/>
      </w:r>
      <w:r w:rsidR="009C5C0C" w:rsidRPr="004E5A6E">
        <w:rPr>
          <w:lang w:val="sq-AL"/>
        </w:rPr>
        <w:t xml:space="preserve"> Në bazë të shifrave nga Grafku 13</w:t>
      </w:r>
      <w:r w:rsidRPr="004E5A6E">
        <w:rPr>
          <w:lang w:val="sq-AL"/>
        </w:rPr>
        <w:t xml:space="preserve">, shihet se </w:t>
      </w:r>
      <w:r w:rsidR="009C5C0C" w:rsidRPr="004E5A6E">
        <w:rPr>
          <w:lang w:val="sq-AL"/>
        </w:rPr>
        <w:t>Kosova</w:t>
      </w:r>
      <w:r w:rsidRPr="004E5A6E">
        <w:rPr>
          <w:lang w:val="sq-AL"/>
        </w:rPr>
        <w:t xml:space="preserve"> prej vitit 2012 e tutje (edhe në vitet e parashikuara 2020-2023) ka ndjekur dhe pritet të ndjekë një politikë fiskale ekspansioniste. </w:t>
      </w:r>
    </w:p>
    <w:p w14:paraId="7739D769" w14:textId="4696B17D" w:rsidR="009C5C0C" w:rsidRPr="004E5A6E" w:rsidRDefault="009C5C0C" w:rsidP="009C5C0C">
      <w:pPr>
        <w:jc w:val="both"/>
        <w:rPr>
          <w:lang w:val="sq-AL"/>
        </w:rPr>
      </w:pPr>
      <w:r w:rsidRPr="004E5A6E">
        <w:rPr>
          <w:lang w:val="sq-AL"/>
        </w:rPr>
        <w:t>Së fundi, variabla ‘Impulsi Fiskal’, llogaritur si ndryshimi vjetor i pozitës fiskale, mat kontributin e buxhetit në kërkesën agregate ku vlerat negative tregojnë një shtim të impulsit fiskal, ndërsa ato pozitive një tërheqje të impulsit fiskal në kërkesën agregate. Nga kalku</w:t>
      </w:r>
      <w:r w:rsidR="00CC6B0D" w:rsidRPr="004E5A6E">
        <w:rPr>
          <w:lang w:val="sq-AL"/>
        </w:rPr>
        <w:t xml:space="preserve">limet e shfaqura në Grafikun 13 </w:t>
      </w:r>
      <w:r w:rsidRPr="004E5A6E">
        <w:rPr>
          <w:lang w:val="sq-AL"/>
        </w:rPr>
        <w:t xml:space="preserve">vërehet se masat e ndërmarra nga Qeveritë që qeverisën gjatë periudhës së pandemisë kanë shtuar dhe pritet të shtojnë impulsin fiskal në </w:t>
      </w:r>
      <w:r w:rsidR="00CC6B0D" w:rsidRPr="004E5A6E">
        <w:rPr>
          <w:lang w:val="sq-AL"/>
        </w:rPr>
        <w:t>kërkesën</w:t>
      </w:r>
      <w:r w:rsidRPr="004E5A6E">
        <w:rPr>
          <w:lang w:val="sq-AL"/>
        </w:rPr>
        <w:t xml:space="preserve"> agregate gjatë dy viteve më të ndikuara nga pandemia (2020 dhe 2021)</w:t>
      </w:r>
      <w:r w:rsidR="00CC6B0D" w:rsidRPr="004E5A6E">
        <w:rPr>
          <w:lang w:val="sq-AL"/>
        </w:rPr>
        <w:t xml:space="preserve">. </w:t>
      </w:r>
      <w:r w:rsidRPr="004E5A6E">
        <w:rPr>
          <w:lang w:val="sq-AL"/>
        </w:rPr>
        <w:t xml:space="preserve"> </w:t>
      </w:r>
      <w:r w:rsidR="00CC6B0D" w:rsidRPr="004E5A6E">
        <w:rPr>
          <w:lang w:val="sq-AL"/>
        </w:rPr>
        <w:t xml:space="preserve">Vlera më të lartë që prej vitit 2010 arriti vlerën </w:t>
      </w:r>
      <w:r w:rsidRPr="004E5A6E">
        <w:rPr>
          <w:lang w:val="sq-AL"/>
        </w:rPr>
        <w:t>përkatësisht (minus) - 1.7</w:t>
      </w:r>
      <w:r w:rsidR="00CC6B0D" w:rsidRPr="004E5A6E">
        <w:rPr>
          <w:lang w:val="sq-AL"/>
        </w:rPr>
        <w:t xml:space="preserve"> përqind</w:t>
      </w:r>
      <w:r w:rsidRPr="004E5A6E">
        <w:rPr>
          <w:lang w:val="sq-AL"/>
        </w:rPr>
        <w:t xml:space="preserve"> gjatë secilit vit – 2020 dhe 2021. Poashtu, shihet edhe ndryshimi i madh në impulsin fiskal nga viti 2019 në 2020 (pre</w:t>
      </w:r>
      <w:r w:rsidR="00CC6B0D" w:rsidRPr="004E5A6E">
        <w:rPr>
          <w:lang w:val="sq-AL"/>
        </w:rPr>
        <w:t xml:space="preserve">j 0.1 përqind në -1.7 përqind). </w:t>
      </w:r>
    </w:p>
    <w:p w14:paraId="4BB80B56" w14:textId="77777777" w:rsidR="009C5C0C" w:rsidRPr="004E5A6E" w:rsidRDefault="009C5C0C" w:rsidP="009C5C0C">
      <w:pPr>
        <w:jc w:val="both"/>
        <w:rPr>
          <w:lang w:val="sq-AL"/>
        </w:rPr>
      </w:pPr>
    </w:p>
    <w:p w14:paraId="4D39843C" w14:textId="61BC8122" w:rsidR="00FA7C77" w:rsidRPr="004E5A6E" w:rsidRDefault="00FA7C77" w:rsidP="00FA7C77">
      <w:pPr>
        <w:jc w:val="both"/>
        <w:rPr>
          <w:rFonts w:eastAsia="Cambria"/>
          <w:b/>
          <w:iCs/>
          <w:color w:val="auto"/>
          <w:sz w:val="20"/>
          <w:szCs w:val="18"/>
          <w:lang w:val="sq-AL"/>
        </w:rPr>
      </w:pPr>
      <w:bookmarkStart w:id="179" w:name="_Toc57722688"/>
      <w:r w:rsidRPr="004E5A6E">
        <w:rPr>
          <w:rFonts w:eastAsia="Cambria"/>
          <w:b/>
          <w:iCs/>
          <w:color w:val="auto"/>
          <w:sz w:val="20"/>
          <w:szCs w:val="18"/>
          <w:lang w:val="sq-AL"/>
        </w:rPr>
        <w:t xml:space="preserve">Figura </w:t>
      </w:r>
      <w:r w:rsidRPr="004E5A6E">
        <w:rPr>
          <w:rFonts w:eastAsia="Cambria"/>
          <w:b/>
          <w:iCs/>
          <w:color w:val="auto"/>
          <w:sz w:val="20"/>
          <w:szCs w:val="18"/>
          <w:lang w:val="sq-AL"/>
        </w:rPr>
        <w:fldChar w:fldCharType="begin"/>
      </w:r>
      <w:r w:rsidRPr="004E5A6E">
        <w:rPr>
          <w:rFonts w:eastAsia="Cambria"/>
          <w:b/>
          <w:iCs/>
          <w:color w:val="auto"/>
          <w:sz w:val="20"/>
          <w:szCs w:val="18"/>
          <w:lang w:val="sq-AL"/>
        </w:rPr>
        <w:instrText xml:space="preserve"> SEQ Figure \* ARABIC </w:instrText>
      </w:r>
      <w:r w:rsidRPr="004E5A6E">
        <w:rPr>
          <w:rFonts w:eastAsia="Cambria"/>
          <w:b/>
          <w:iCs/>
          <w:color w:val="auto"/>
          <w:sz w:val="20"/>
          <w:szCs w:val="18"/>
          <w:lang w:val="sq-AL"/>
        </w:rPr>
        <w:fldChar w:fldCharType="separate"/>
      </w:r>
      <w:r w:rsidRPr="004E5A6E">
        <w:rPr>
          <w:rFonts w:eastAsia="Cambria"/>
          <w:b/>
          <w:iCs/>
          <w:color w:val="auto"/>
          <w:sz w:val="20"/>
          <w:szCs w:val="18"/>
          <w:lang w:val="sq-AL"/>
        </w:rPr>
        <w:t>13</w:t>
      </w:r>
      <w:r w:rsidRPr="004E5A6E">
        <w:rPr>
          <w:rFonts w:eastAsia="Cambria"/>
          <w:b/>
          <w:iCs/>
          <w:color w:val="auto"/>
          <w:sz w:val="20"/>
          <w:szCs w:val="18"/>
          <w:lang w:val="sq-AL"/>
        </w:rPr>
        <w:fldChar w:fldCharType="end"/>
      </w:r>
      <w:r w:rsidRPr="004E5A6E">
        <w:rPr>
          <w:rFonts w:eastAsia="Cambria"/>
          <w:b/>
          <w:iCs/>
          <w:color w:val="auto"/>
          <w:sz w:val="20"/>
          <w:szCs w:val="18"/>
          <w:lang w:val="sq-AL"/>
        </w:rPr>
        <w:t xml:space="preserve"> Bilanci Primar Strukturor, Pozicioni Fiskal dhe Impulsi Fiskal</w:t>
      </w:r>
      <w:bookmarkEnd w:id="179"/>
    </w:p>
    <w:p w14:paraId="6937C638" w14:textId="75C08EF9" w:rsidR="008D6F20" w:rsidRPr="004E5A6E" w:rsidRDefault="008D6F20" w:rsidP="008D6F20">
      <w:pPr>
        <w:spacing w:before="240"/>
        <w:jc w:val="both"/>
        <w:rPr>
          <w:lang w:val="sq-AL"/>
        </w:rPr>
      </w:pPr>
      <w:r w:rsidRPr="004E5A6E">
        <w:rPr>
          <w:noProof/>
          <w:lang w:val="en-US"/>
        </w:rPr>
        <w:drawing>
          <wp:inline distT="0" distB="0" distL="0" distR="0" wp14:anchorId="787C425F" wp14:editId="520B318B">
            <wp:extent cx="5696523" cy="280416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42287" cy="2826688"/>
                    </a:xfrm>
                    <a:prstGeom prst="rect">
                      <a:avLst/>
                    </a:prstGeom>
                    <a:noFill/>
                  </pic:spPr>
                </pic:pic>
              </a:graphicData>
            </a:graphic>
          </wp:inline>
        </w:drawing>
      </w:r>
    </w:p>
    <w:p w14:paraId="1BBC3F5E" w14:textId="77777777" w:rsidR="00B600AE" w:rsidRPr="004E5A6E" w:rsidRDefault="00B600AE" w:rsidP="008D6F20">
      <w:pPr>
        <w:pStyle w:val="HTMLPreformatted"/>
        <w:shd w:val="clear" w:color="auto" w:fill="FFFFFF"/>
        <w:spacing w:before="240" w:after="120" w:line="276" w:lineRule="auto"/>
        <w:jc w:val="both"/>
        <w:rPr>
          <w:rFonts w:ascii="Times New Roman" w:hAnsi="Times New Roman" w:cs="Times New Roman"/>
          <w:sz w:val="24"/>
          <w:szCs w:val="24"/>
          <w:lang w:val="sq-AL"/>
        </w:rPr>
      </w:pPr>
      <w:r w:rsidRPr="004E5A6E">
        <w:rPr>
          <w:lang w:val="sq-AL"/>
        </w:rPr>
        <w:t xml:space="preserve"> </w:t>
      </w:r>
      <w:bookmarkEnd w:id="132"/>
    </w:p>
    <w:p w14:paraId="1FD7B7A4" w14:textId="77777777" w:rsidR="00B600AE" w:rsidRPr="004E5A6E" w:rsidRDefault="00B600AE" w:rsidP="00B600AE">
      <w:pPr>
        <w:spacing w:line="276" w:lineRule="auto"/>
        <w:rPr>
          <w:rFonts w:eastAsiaTheme="minorHAnsi"/>
          <w:color w:val="auto"/>
          <w:lang w:val="sq-AL"/>
        </w:rPr>
      </w:pPr>
    </w:p>
    <w:p w14:paraId="31ACD4CA" w14:textId="77777777" w:rsidR="00B600AE" w:rsidRPr="004E5A6E" w:rsidRDefault="00B600AE" w:rsidP="00B600AE">
      <w:pPr>
        <w:pStyle w:val="ERPL2"/>
        <w:ind w:left="0" w:firstLine="0"/>
        <w:rPr>
          <w:rFonts w:ascii="Times New Roman" w:hAnsi="Times New Roman"/>
          <w:lang w:val="sq-AL"/>
        </w:rPr>
      </w:pPr>
      <w:bookmarkStart w:id="180" w:name="_Toc57720384"/>
      <w:r w:rsidRPr="004E5A6E">
        <w:rPr>
          <w:rFonts w:ascii="Times New Roman" w:hAnsi="Times New Roman"/>
          <w:lang w:val="sq-AL"/>
        </w:rPr>
        <w:t>Nivelet dhe zhvillimet e borxhit, analiza e operacioneve të mëposhtme dhe rregullimet e flukseve të stoqeve</w:t>
      </w:r>
      <w:bookmarkEnd w:id="180"/>
      <w:r w:rsidRPr="004E5A6E">
        <w:rPr>
          <w:rFonts w:ascii="Times New Roman" w:hAnsi="Times New Roman"/>
          <w:lang w:val="sq-AL"/>
        </w:rPr>
        <w:t xml:space="preserve"> </w:t>
      </w:r>
    </w:p>
    <w:p w14:paraId="4E6C046D" w14:textId="77777777" w:rsidR="00B600AE" w:rsidRPr="004E5A6E" w:rsidRDefault="00B600AE" w:rsidP="00B600AE">
      <w:pPr>
        <w:autoSpaceDE w:val="0"/>
        <w:autoSpaceDN w:val="0"/>
        <w:adjustRightInd w:val="0"/>
        <w:spacing w:before="240" w:after="120" w:line="276" w:lineRule="auto"/>
        <w:jc w:val="both"/>
        <w:rPr>
          <w:rFonts w:eastAsia="Calibri"/>
          <w:color w:val="auto"/>
          <w:lang w:val="sq-AL"/>
        </w:rPr>
      </w:pPr>
      <w:r w:rsidRPr="004E5A6E">
        <w:rPr>
          <w:rFonts w:eastAsia="Calibri"/>
          <w:color w:val="auto"/>
          <w:lang w:val="sq-AL"/>
        </w:rPr>
        <w:t xml:space="preserve">Kosova ka adaptuar një kornizë mjaft të matur ligjore me qëllim të parandalimit të praktikave të paqëndrueshme të borxhit. Ligji nr. 03/L-175 për Borxhet Publike i jep Ministrit të Financave të drejtën ekskluzive për të hyrë në hua dhe për të negociuar kushtet e borxhit ndërkombëtar në emër të Republikës së Kosovës. Sipas Kushtetutës, të gjitha marrëveshjet ndërkombëtare duhet të ratifikohen në Kuvend nga një shumicë prej dy të tretat e votave..  </w:t>
      </w:r>
    </w:p>
    <w:p w14:paraId="20F2A889" w14:textId="77777777" w:rsidR="00B600AE" w:rsidRPr="004E5A6E" w:rsidRDefault="00B600AE" w:rsidP="00B600AE">
      <w:pPr>
        <w:autoSpaceDE w:val="0"/>
        <w:autoSpaceDN w:val="0"/>
        <w:adjustRightInd w:val="0"/>
        <w:spacing w:before="240" w:after="120" w:line="276" w:lineRule="auto"/>
        <w:jc w:val="both"/>
        <w:rPr>
          <w:rFonts w:eastAsia="Calibri"/>
          <w:color w:val="auto"/>
          <w:lang w:val="sq-AL"/>
        </w:rPr>
      </w:pPr>
      <w:r w:rsidRPr="004E5A6E">
        <w:rPr>
          <w:rFonts w:eastAsia="Calibri"/>
          <w:color w:val="auto"/>
          <w:lang w:val="sq-AL"/>
        </w:rPr>
        <w:t xml:space="preserve">Ligji për Borxhin Publik përfshin dispozita që sigurojnë stabilitet fiskal, përfshirë tavanin e borxhit publik prej 40% të BPV-së si dhe kufizime të caktuara në huamarrjen komunale. Për qëllime të kalkulimit të indikatorit Borxhi Publik ndaj BPV-së, garancitë shtetërore llogariten si borxh shtetëror. Ligji për Borxhin Publik obligon raportim të rregullt në Kuvend (neni 15) përmes përgatitjes së Programit të Borxhit Shtetëror, i cili përfshin strategjinë afatmesme të borxhit që duhet të dorëzohet për miratim në Qeveri dhe për informim në Kuvend. </w:t>
      </w:r>
    </w:p>
    <w:p w14:paraId="18384891" w14:textId="77777777" w:rsidR="00B600AE" w:rsidRPr="004E5A6E" w:rsidRDefault="00B600AE" w:rsidP="00B600AE">
      <w:pPr>
        <w:autoSpaceDE w:val="0"/>
        <w:autoSpaceDN w:val="0"/>
        <w:adjustRightInd w:val="0"/>
        <w:spacing w:before="240" w:after="120" w:line="276" w:lineRule="auto"/>
        <w:jc w:val="both"/>
        <w:rPr>
          <w:rFonts w:eastAsia="Calibri"/>
          <w:color w:val="auto"/>
          <w:lang w:val="sq-AL"/>
        </w:rPr>
      </w:pPr>
      <w:r w:rsidRPr="004E5A6E">
        <w:rPr>
          <w:rFonts w:eastAsia="Calibri"/>
          <w:color w:val="auto"/>
          <w:lang w:val="sq-AL"/>
        </w:rPr>
        <w:t>Sa i përket kufizimeve të tjera për Borxhin Publik, në këtë drejtim është bërë një amendament dhe është shtuar në Ligjin për Menaxhimin e Financave Publike dhe Përgjegjësitë (LMFPP), i cili kufizon deficitin vjetor të buxhetit jo më shumë se 2% të BPV-së së parashikuar. Një tjetër ndryshim i LMFPP-së është shtuar në vitin 2015, i cili lejon qeverinë të kontraktojë borxhin që tejkalon rregullin fiskal prej 2%, vetëm nëse financimi ofrohet nga institucionet financiare ndërkombëtare dhe dedikohet për projekte kapitale (klauzola e investimeve).</w:t>
      </w:r>
    </w:p>
    <w:p w14:paraId="4244B060" w14:textId="77777777" w:rsidR="00B600AE" w:rsidRPr="004E5A6E" w:rsidRDefault="00B600AE" w:rsidP="00B600AE">
      <w:pPr>
        <w:autoSpaceDE w:val="0"/>
        <w:autoSpaceDN w:val="0"/>
        <w:adjustRightInd w:val="0"/>
        <w:spacing w:before="240" w:after="120" w:line="276" w:lineRule="auto"/>
        <w:jc w:val="both"/>
        <w:rPr>
          <w:rFonts w:eastAsia="Calibri"/>
          <w:color w:val="auto"/>
          <w:lang w:val="sq-AL"/>
        </w:rPr>
      </w:pPr>
      <w:r w:rsidRPr="004E5A6E">
        <w:rPr>
          <w:rFonts w:eastAsia="Calibri"/>
          <w:color w:val="auto"/>
          <w:lang w:val="sq-AL"/>
        </w:rPr>
        <w:t xml:space="preserve">Ministria e Financave ka nxjerrë rregullore për borxhin ndërkombëtar dhe borxhin e brendshëm që i kontribuojnë menaxhimit më efikas të borxhit publik. Bazuar në Rregulloren për Emetimin dhe Administrimin e Borxheve Shtetërore, Garancive Shtetërore dhe Borxheve Komunale huat ndërkombëtare negociohen nga një ekip zyrtar që përbëhet nga anëtarë të departamenteve të ndryshme: Divizioni për Menaxhimin e Borxhit (DMB), Departamenti Ligjor, Kabineti i Ministrit, Departamenti i Politikave Makroekonomike dhe Bashkëpunim Ndërkombëtar Financiar, Departamenti i Buxhetit dhe Organizatat përkatëse buxhetore. Emetimi i letrave të brendshme me vlerë të qeverisë autorizohet me Ligjin për Borxhet Publike, dhe është i rregulluar me Rregulloren për Tregun Primar dhe Sekondar të Letrave me Vlerë të Qeverisë nr. 01-2014. </w:t>
      </w:r>
    </w:p>
    <w:p w14:paraId="602F3A93" w14:textId="77777777" w:rsidR="00B600AE" w:rsidRPr="004E5A6E" w:rsidRDefault="00B600AE" w:rsidP="00B600AE">
      <w:pPr>
        <w:autoSpaceDE w:val="0"/>
        <w:autoSpaceDN w:val="0"/>
        <w:adjustRightInd w:val="0"/>
        <w:spacing w:before="240" w:after="120" w:line="276" w:lineRule="auto"/>
        <w:jc w:val="both"/>
        <w:rPr>
          <w:rFonts w:eastAsia="Calibri"/>
          <w:color w:val="auto"/>
          <w:lang w:val="sq-AL"/>
        </w:rPr>
      </w:pPr>
      <w:r w:rsidRPr="004E5A6E">
        <w:rPr>
          <w:rFonts w:eastAsia="Calibri"/>
          <w:color w:val="auto"/>
          <w:lang w:val="sq-AL"/>
        </w:rPr>
        <w:t xml:space="preserve">Emetimi i Letrave me Vlerë të Qeverisë (borxhi i brendshëm) autorizohet me Ligjin për Borxhet Publike dhe është i rregulluar me Rregulloren MF-BQK Nr. 01-2014 për Tregun Primar dhe Sekondar të Letrave me Vlerë të Qeverisë. Praktikat e deritanishme të menaxhimit të borxhit shtetëror janë në përputhje të plotë me kërkesat që dalin nga legjislacioni primar dhe sekondar. </w:t>
      </w:r>
    </w:p>
    <w:p w14:paraId="0EE7023B" w14:textId="77777777" w:rsidR="00B600AE" w:rsidRPr="004E5A6E" w:rsidRDefault="00B600AE" w:rsidP="00B600AE">
      <w:pPr>
        <w:autoSpaceDE w:val="0"/>
        <w:autoSpaceDN w:val="0"/>
        <w:adjustRightInd w:val="0"/>
        <w:spacing w:before="240" w:after="120" w:line="276" w:lineRule="auto"/>
        <w:jc w:val="both"/>
        <w:rPr>
          <w:rFonts w:eastAsia="Calibri"/>
          <w:color w:val="auto"/>
          <w:lang w:val="sq-AL"/>
        </w:rPr>
      </w:pPr>
      <w:r w:rsidRPr="004E5A6E">
        <w:rPr>
          <w:rFonts w:eastAsia="Calibri"/>
          <w:color w:val="auto"/>
          <w:lang w:val="sq-AL"/>
        </w:rPr>
        <w:t>Me qëllim të avancimit dhe përshtatjes së infrastrukturës ligjore me standardet e Bashkimit Evropian dhe praktikat më të mira ndërkombëtare, gjatë vitit 2018 legjislacioni primar dhe sekondar i është nënshtruar procesit të rishikimit, proces ky i paraparë të përfundonte në gjysmën e parë të vitit 2020. Për shkak të situatës së krijuar nga pandemia, ligji i ri pritet të miratohet ndoshta nga fundi i vitit 2020.</w:t>
      </w:r>
    </w:p>
    <w:p w14:paraId="4F4D4954" w14:textId="77777777" w:rsidR="00B600AE" w:rsidRPr="004E5A6E" w:rsidRDefault="00B600AE" w:rsidP="00B600AE">
      <w:pPr>
        <w:autoSpaceDE w:val="0"/>
        <w:autoSpaceDN w:val="0"/>
        <w:adjustRightInd w:val="0"/>
        <w:spacing w:before="240" w:after="120" w:line="276" w:lineRule="auto"/>
        <w:jc w:val="both"/>
        <w:rPr>
          <w:rFonts w:eastAsia="Calibri"/>
          <w:color w:val="auto"/>
          <w:lang w:val="sq-AL"/>
        </w:rPr>
      </w:pPr>
      <w:r w:rsidRPr="004E5A6E">
        <w:rPr>
          <w:rFonts w:eastAsia="Calibri"/>
          <w:color w:val="auto"/>
          <w:lang w:val="sq-AL"/>
        </w:rPr>
        <w:t xml:space="preserve">Tabela më poshtë tregon nivelet e borxhit gjatë gjithë viteve. </w:t>
      </w:r>
    </w:p>
    <w:p w14:paraId="630308AF" w14:textId="77777777" w:rsidR="00B600AE" w:rsidRPr="004E5A6E" w:rsidRDefault="00B600AE" w:rsidP="00B600AE">
      <w:pPr>
        <w:keepNext/>
        <w:spacing w:before="240"/>
        <w:rPr>
          <w:rFonts w:eastAsia="Cambria"/>
          <w:b/>
          <w:iCs/>
          <w:color w:val="auto"/>
          <w:sz w:val="18"/>
          <w:szCs w:val="18"/>
          <w:lang w:val="sq-AL"/>
        </w:rPr>
      </w:pPr>
      <w:bookmarkStart w:id="181" w:name="_Toc57724400"/>
      <w:r w:rsidRPr="004E5A6E">
        <w:rPr>
          <w:rFonts w:eastAsia="Cambria"/>
          <w:b/>
          <w:iCs/>
          <w:color w:val="auto"/>
          <w:sz w:val="18"/>
          <w:szCs w:val="18"/>
          <w:lang w:val="sq-AL"/>
        </w:rPr>
        <w:t xml:space="preserve">Tabela </w:t>
      </w:r>
      <w:r w:rsidRPr="004E5A6E">
        <w:rPr>
          <w:rFonts w:eastAsia="Cambria"/>
          <w:b/>
          <w:iCs/>
          <w:color w:val="auto"/>
          <w:sz w:val="18"/>
          <w:szCs w:val="18"/>
          <w:lang w:val="sq-AL"/>
        </w:rPr>
        <w:fldChar w:fldCharType="begin"/>
      </w:r>
      <w:r w:rsidRPr="004E5A6E">
        <w:rPr>
          <w:rFonts w:eastAsia="Cambria"/>
          <w:b/>
          <w:iCs/>
          <w:color w:val="auto"/>
          <w:sz w:val="18"/>
          <w:szCs w:val="18"/>
          <w:lang w:val="sq-AL"/>
        </w:rPr>
        <w:instrText xml:space="preserve"> SEQ Table \* ARABIC </w:instrText>
      </w:r>
      <w:r w:rsidRPr="004E5A6E">
        <w:rPr>
          <w:rFonts w:eastAsia="Cambria"/>
          <w:b/>
          <w:iCs/>
          <w:color w:val="auto"/>
          <w:sz w:val="18"/>
          <w:szCs w:val="18"/>
          <w:lang w:val="sq-AL"/>
        </w:rPr>
        <w:fldChar w:fldCharType="separate"/>
      </w:r>
      <w:r w:rsidRPr="004E5A6E">
        <w:rPr>
          <w:rFonts w:eastAsia="Cambria"/>
          <w:b/>
          <w:iCs/>
          <w:color w:val="auto"/>
          <w:sz w:val="18"/>
          <w:szCs w:val="18"/>
          <w:lang w:val="sq-AL"/>
        </w:rPr>
        <w:t>14</w:t>
      </w:r>
      <w:r w:rsidRPr="004E5A6E">
        <w:rPr>
          <w:rFonts w:eastAsia="Cambria"/>
          <w:b/>
          <w:iCs/>
          <w:color w:val="auto"/>
          <w:sz w:val="18"/>
          <w:szCs w:val="18"/>
          <w:lang w:val="sq-AL"/>
        </w:rPr>
        <w:fldChar w:fldCharType="end"/>
      </w:r>
      <w:r w:rsidRPr="004E5A6E">
        <w:rPr>
          <w:rFonts w:eastAsia="Cambria"/>
          <w:b/>
          <w:iCs/>
          <w:color w:val="auto"/>
          <w:sz w:val="18"/>
          <w:szCs w:val="18"/>
          <w:lang w:val="sq-AL"/>
        </w:rPr>
        <w:t>. Borxhi i përgjithshëm i qeverisë, në milion euro (përveç nëse tregohet ndryshe)</w:t>
      </w:r>
      <w:bookmarkEnd w:id="181"/>
    </w:p>
    <w:tbl>
      <w:tblPr>
        <w:tblStyle w:val="GridTable1Light-Accent12"/>
        <w:tblW w:w="8629" w:type="dxa"/>
        <w:tblLayout w:type="fixed"/>
        <w:tblLook w:val="04A0" w:firstRow="1" w:lastRow="0" w:firstColumn="1" w:lastColumn="0" w:noHBand="0" w:noVBand="1"/>
      </w:tblPr>
      <w:tblGrid>
        <w:gridCol w:w="1998"/>
        <w:gridCol w:w="947"/>
        <w:gridCol w:w="947"/>
        <w:gridCol w:w="1024"/>
        <w:gridCol w:w="902"/>
        <w:gridCol w:w="917"/>
        <w:gridCol w:w="947"/>
        <w:gridCol w:w="947"/>
      </w:tblGrid>
      <w:tr w:rsidR="00B600AE" w:rsidRPr="004E5A6E" w14:paraId="3DEB3CC4" w14:textId="77777777" w:rsidTr="003B3804">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998" w:type="dxa"/>
            <w:noWrap/>
            <w:vAlign w:val="center"/>
            <w:hideMark/>
          </w:tcPr>
          <w:p w14:paraId="0671145E" w14:textId="77777777" w:rsidR="00B600AE" w:rsidRPr="004E5A6E" w:rsidRDefault="00B600AE" w:rsidP="00D6295F">
            <w:pPr>
              <w:spacing w:line="276" w:lineRule="auto"/>
              <w:rPr>
                <w:color w:val="auto"/>
                <w:sz w:val="20"/>
                <w:szCs w:val="20"/>
                <w:lang w:val="sq-AL"/>
              </w:rPr>
            </w:pPr>
            <w:bookmarkStart w:id="182" w:name="OLE_LINK1"/>
            <w:r w:rsidRPr="004E5A6E">
              <w:rPr>
                <w:color w:val="auto"/>
                <w:sz w:val="20"/>
                <w:szCs w:val="20"/>
                <w:lang w:val="sq-AL"/>
              </w:rPr>
              <w:t>Përshkrimi</w:t>
            </w:r>
          </w:p>
        </w:tc>
        <w:tc>
          <w:tcPr>
            <w:tcW w:w="947" w:type="dxa"/>
            <w:vAlign w:val="center"/>
            <w:hideMark/>
          </w:tcPr>
          <w:p w14:paraId="3B27181D" w14:textId="77777777" w:rsidR="00B600AE" w:rsidRPr="004E5A6E" w:rsidRDefault="00B600AE" w:rsidP="00D6295F">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lang w:val="sq-AL"/>
              </w:rPr>
            </w:pPr>
            <w:r w:rsidRPr="004E5A6E">
              <w:rPr>
                <w:color w:val="auto"/>
                <w:sz w:val="18"/>
                <w:lang w:val="sq-AL"/>
              </w:rPr>
              <w:t>2017</w:t>
            </w:r>
          </w:p>
        </w:tc>
        <w:tc>
          <w:tcPr>
            <w:tcW w:w="947" w:type="dxa"/>
            <w:vAlign w:val="center"/>
            <w:hideMark/>
          </w:tcPr>
          <w:p w14:paraId="65D4F2B0" w14:textId="77777777" w:rsidR="00B600AE" w:rsidRPr="004E5A6E" w:rsidRDefault="00B600AE" w:rsidP="00D6295F">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lang w:val="sq-AL"/>
              </w:rPr>
            </w:pPr>
            <w:r w:rsidRPr="004E5A6E">
              <w:rPr>
                <w:color w:val="auto"/>
                <w:sz w:val="18"/>
                <w:lang w:val="sq-AL"/>
              </w:rPr>
              <w:t>2018</w:t>
            </w:r>
          </w:p>
        </w:tc>
        <w:tc>
          <w:tcPr>
            <w:tcW w:w="1024" w:type="dxa"/>
            <w:vAlign w:val="center"/>
          </w:tcPr>
          <w:p w14:paraId="356F4831" w14:textId="77777777" w:rsidR="00B600AE" w:rsidRPr="004E5A6E" w:rsidRDefault="00B600AE" w:rsidP="00D6295F">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lang w:val="sq-AL"/>
              </w:rPr>
            </w:pPr>
            <w:r w:rsidRPr="004E5A6E">
              <w:rPr>
                <w:color w:val="auto"/>
                <w:sz w:val="20"/>
                <w:szCs w:val="20"/>
                <w:lang w:val="sq-AL"/>
              </w:rPr>
              <w:t>2019</w:t>
            </w:r>
          </w:p>
        </w:tc>
        <w:tc>
          <w:tcPr>
            <w:tcW w:w="902" w:type="dxa"/>
            <w:vAlign w:val="center"/>
            <w:hideMark/>
          </w:tcPr>
          <w:p w14:paraId="09315C1E" w14:textId="77777777" w:rsidR="00B600AE" w:rsidRPr="004E5A6E" w:rsidRDefault="00B600AE" w:rsidP="00D6295F">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lang w:val="sq-AL"/>
              </w:rPr>
            </w:pPr>
            <w:r w:rsidRPr="004E5A6E">
              <w:rPr>
                <w:color w:val="auto"/>
                <w:sz w:val="18"/>
                <w:lang w:val="sq-AL"/>
              </w:rPr>
              <w:t>P.2020</w:t>
            </w:r>
          </w:p>
        </w:tc>
        <w:tc>
          <w:tcPr>
            <w:tcW w:w="917" w:type="dxa"/>
            <w:vAlign w:val="center"/>
            <w:hideMark/>
          </w:tcPr>
          <w:p w14:paraId="45A795FB" w14:textId="77777777" w:rsidR="00B600AE" w:rsidRPr="004E5A6E" w:rsidRDefault="00B600AE" w:rsidP="00D6295F">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lang w:val="sq-AL"/>
              </w:rPr>
            </w:pPr>
            <w:r w:rsidRPr="004E5A6E">
              <w:rPr>
                <w:color w:val="auto"/>
                <w:sz w:val="18"/>
                <w:lang w:val="sq-AL"/>
              </w:rPr>
              <w:t>P.2021</w:t>
            </w:r>
          </w:p>
        </w:tc>
        <w:tc>
          <w:tcPr>
            <w:tcW w:w="947" w:type="dxa"/>
            <w:vAlign w:val="center"/>
          </w:tcPr>
          <w:p w14:paraId="4931A908" w14:textId="77777777" w:rsidR="00B600AE" w:rsidRPr="004E5A6E" w:rsidRDefault="00B600AE" w:rsidP="00D6295F">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18"/>
                <w:lang w:val="sq-AL"/>
              </w:rPr>
            </w:pPr>
            <w:r w:rsidRPr="004E5A6E">
              <w:rPr>
                <w:color w:val="auto"/>
                <w:sz w:val="18"/>
                <w:lang w:val="sq-AL"/>
              </w:rPr>
              <w:t>P.2022</w:t>
            </w:r>
          </w:p>
        </w:tc>
        <w:tc>
          <w:tcPr>
            <w:tcW w:w="947" w:type="dxa"/>
            <w:vAlign w:val="center"/>
          </w:tcPr>
          <w:p w14:paraId="112E727F" w14:textId="77777777" w:rsidR="00B600AE" w:rsidRPr="004E5A6E" w:rsidRDefault="00B600AE" w:rsidP="00D6295F">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18"/>
                <w:lang w:val="sq-AL"/>
              </w:rPr>
            </w:pPr>
            <w:r w:rsidRPr="004E5A6E">
              <w:rPr>
                <w:color w:val="auto"/>
                <w:sz w:val="18"/>
                <w:lang w:val="sq-AL"/>
              </w:rPr>
              <w:t>P.2023</w:t>
            </w:r>
          </w:p>
        </w:tc>
      </w:tr>
      <w:tr w:rsidR="00B600AE" w:rsidRPr="004E5A6E" w14:paraId="1914991C" w14:textId="77777777" w:rsidTr="003B3804">
        <w:trPr>
          <w:trHeight w:val="289"/>
        </w:trPr>
        <w:tc>
          <w:tcPr>
            <w:cnfStyle w:val="001000000000" w:firstRow="0" w:lastRow="0" w:firstColumn="1" w:lastColumn="0" w:oddVBand="0" w:evenVBand="0" w:oddHBand="0" w:evenHBand="0" w:firstRowFirstColumn="0" w:firstRowLastColumn="0" w:lastRowFirstColumn="0" w:lastRowLastColumn="0"/>
            <w:tcW w:w="1998" w:type="dxa"/>
            <w:noWrap/>
            <w:vAlign w:val="center"/>
            <w:hideMark/>
          </w:tcPr>
          <w:p w14:paraId="048701C0" w14:textId="77777777" w:rsidR="00B600AE" w:rsidRPr="004E5A6E" w:rsidRDefault="00B600AE" w:rsidP="00D6295F">
            <w:pPr>
              <w:spacing w:line="276" w:lineRule="auto"/>
              <w:rPr>
                <w:color w:val="auto"/>
                <w:sz w:val="20"/>
                <w:szCs w:val="20"/>
                <w:lang w:val="sq-AL"/>
              </w:rPr>
            </w:pPr>
            <w:r w:rsidRPr="004E5A6E">
              <w:rPr>
                <w:color w:val="auto"/>
                <w:sz w:val="20"/>
                <w:szCs w:val="20"/>
                <w:lang w:val="sq-AL"/>
              </w:rPr>
              <w:t>Borxhi Ndërkombëtar</w:t>
            </w:r>
          </w:p>
        </w:tc>
        <w:tc>
          <w:tcPr>
            <w:tcW w:w="947" w:type="dxa"/>
            <w:vAlign w:val="center"/>
          </w:tcPr>
          <w:p w14:paraId="4A5ACE5C"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18"/>
                <w:lang w:val="sq-AL"/>
              </w:rPr>
            </w:pPr>
            <w:r w:rsidRPr="004E5A6E">
              <w:rPr>
                <w:color w:val="auto"/>
                <w:sz w:val="18"/>
                <w:lang w:val="sq-AL"/>
              </w:rPr>
              <w:t>422.2</w:t>
            </w:r>
          </w:p>
        </w:tc>
        <w:tc>
          <w:tcPr>
            <w:tcW w:w="947" w:type="dxa"/>
            <w:vAlign w:val="center"/>
          </w:tcPr>
          <w:p w14:paraId="18AB6E53"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18"/>
                <w:lang w:val="sq-AL"/>
              </w:rPr>
            </w:pPr>
            <w:r w:rsidRPr="004E5A6E">
              <w:rPr>
                <w:color w:val="auto"/>
                <w:sz w:val="18"/>
                <w:lang w:val="sq-AL"/>
              </w:rPr>
              <w:t>416.4</w:t>
            </w:r>
          </w:p>
        </w:tc>
        <w:tc>
          <w:tcPr>
            <w:tcW w:w="1024" w:type="dxa"/>
            <w:vAlign w:val="center"/>
          </w:tcPr>
          <w:p w14:paraId="03B423E6"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sq-AL"/>
              </w:rPr>
            </w:pPr>
            <w:r w:rsidRPr="004E5A6E">
              <w:rPr>
                <w:color w:val="auto"/>
                <w:sz w:val="18"/>
                <w:szCs w:val="18"/>
                <w:lang w:val="sq-AL"/>
              </w:rPr>
              <w:t>409.1</w:t>
            </w:r>
          </w:p>
        </w:tc>
        <w:tc>
          <w:tcPr>
            <w:tcW w:w="902" w:type="dxa"/>
            <w:vAlign w:val="center"/>
          </w:tcPr>
          <w:p w14:paraId="30D1D572"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sq-AL"/>
              </w:rPr>
            </w:pPr>
            <w:r w:rsidRPr="004E5A6E">
              <w:rPr>
                <w:color w:val="auto"/>
                <w:sz w:val="18"/>
                <w:szCs w:val="18"/>
                <w:lang w:val="sq-AL"/>
              </w:rPr>
              <w:t xml:space="preserve">719.5       </w:t>
            </w:r>
          </w:p>
        </w:tc>
        <w:tc>
          <w:tcPr>
            <w:tcW w:w="917" w:type="dxa"/>
            <w:vAlign w:val="center"/>
          </w:tcPr>
          <w:p w14:paraId="7CF6344D"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sq-AL"/>
              </w:rPr>
            </w:pPr>
            <w:r w:rsidRPr="004E5A6E">
              <w:rPr>
                <w:color w:val="auto"/>
                <w:sz w:val="18"/>
                <w:szCs w:val="18"/>
                <w:lang w:val="sq-AL"/>
              </w:rPr>
              <w:t xml:space="preserve">1,111.2          </w:t>
            </w:r>
          </w:p>
        </w:tc>
        <w:tc>
          <w:tcPr>
            <w:tcW w:w="947" w:type="dxa"/>
            <w:vAlign w:val="center"/>
          </w:tcPr>
          <w:p w14:paraId="0C416F87"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sq-AL"/>
              </w:rPr>
            </w:pPr>
            <w:r w:rsidRPr="004E5A6E">
              <w:rPr>
                <w:color w:val="auto"/>
                <w:sz w:val="18"/>
                <w:szCs w:val="18"/>
                <w:lang w:val="sq-AL"/>
              </w:rPr>
              <w:t xml:space="preserve">  1,386.6 </w:t>
            </w:r>
          </w:p>
        </w:tc>
        <w:tc>
          <w:tcPr>
            <w:tcW w:w="947" w:type="dxa"/>
            <w:vAlign w:val="center"/>
          </w:tcPr>
          <w:p w14:paraId="456043C4"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sq-AL"/>
              </w:rPr>
            </w:pPr>
            <w:r w:rsidRPr="004E5A6E">
              <w:rPr>
                <w:color w:val="auto"/>
                <w:sz w:val="18"/>
                <w:szCs w:val="18"/>
                <w:lang w:val="sq-AL"/>
              </w:rPr>
              <w:t xml:space="preserve">  1,625.4 </w:t>
            </w:r>
          </w:p>
        </w:tc>
      </w:tr>
      <w:tr w:rsidR="00B600AE" w:rsidRPr="004E5A6E" w14:paraId="414BD792" w14:textId="77777777" w:rsidTr="003B3804">
        <w:trPr>
          <w:trHeight w:val="289"/>
        </w:trPr>
        <w:tc>
          <w:tcPr>
            <w:cnfStyle w:val="001000000000" w:firstRow="0" w:lastRow="0" w:firstColumn="1" w:lastColumn="0" w:oddVBand="0" w:evenVBand="0" w:oddHBand="0" w:evenHBand="0" w:firstRowFirstColumn="0" w:firstRowLastColumn="0" w:lastRowFirstColumn="0" w:lastRowLastColumn="0"/>
            <w:tcW w:w="1998" w:type="dxa"/>
            <w:noWrap/>
            <w:vAlign w:val="center"/>
            <w:hideMark/>
          </w:tcPr>
          <w:p w14:paraId="46429805" w14:textId="77777777" w:rsidR="00B600AE" w:rsidRPr="004E5A6E" w:rsidRDefault="00B600AE" w:rsidP="00D6295F">
            <w:pPr>
              <w:spacing w:line="276" w:lineRule="auto"/>
              <w:rPr>
                <w:color w:val="auto"/>
                <w:sz w:val="20"/>
                <w:szCs w:val="20"/>
                <w:lang w:val="sq-AL"/>
              </w:rPr>
            </w:pPr>
            <w:r w:rsidRPr="004E5A6E">
              <w:rPr>
                <w:color w:val="auto"/>
                <w:sz w:val="20"/>
                <w:szCs w:val="20"/>
                <w:lang w:val="sq-AL"/>
              </w:rPr>
              <w:t>Borxhi i Brendshëm</w:t>
            </w:r>
          </w:p>
        </w:tc>
        <w:tc>
          <w:tcPr>
            <w:tcW w:w="947" w:type="dxa"/>
            <w:vAlign w:val="center"/>
          </w:tcPr>
          <w:p w14:paraId="03CED149"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18"/>
                <w:lang w:val="sq-AL"/>
              </w:rPr>
            </w:pPr>
            <w:r w:rsidRPr="004E5A6E">
              <w:rPr>
                <w:color w:val="auto"/>
                <w:sz w:val="18"/>
                <w:lang w:val="sq-AL"/>
              </w:rPr>
              <w:t>574.3</w:t>
            </w:r>
          </w:p>
        </w:tc>
        <w:tc>
          <w:tcPr>
            <w:tcW w:w="947" w:type="dxa"/>
            <w:vAlign w:val="center"/>
          </w:tcPr>
          <w:p w14:paraId="303F8C5A"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18"/>
                <w:lang w:val="sq-AL"/>
              </w:rPr>
            </w:pPr>
            <w:r w:rsidRPr="004E5A6E">
              <w:rPr>
                <w:color w:val="auto"/>
                <w:sz w:val="18"/>
                <w:lang w:val="sq-AL"/>
              </w:rPr>
              <w:t>676.6</w:t>
            </w:r>
          </w:p>
        </w:tc>
        <w:tc>
          <w:tcPr>
            <w:tcW w:w="1024" w:type="dxa"/>
            <w:vAlign w:val="center"/>
          </w:tcPr>
          <w:p w14:paraId="10F82054"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sq-AL"/>
              </w:rPr>
            </w:pPr>
            <w:r w:rsidRPr="004E5A6E">
              <w:rPr>
                <w:color w:val="auto"/>
                <w:sz w:val="18"/>
                <w:szCs w:val="18"/>
                <w:lang w:val="sq-AL"/>
              </w:rPr>
              <w:t>791.9</w:t>
            </w:r>
          </w:p>
        </w:tc>
        <w:tc>
          <w:tcPr>
            <w:tcW w:w="902" w:type="dxa"/>
            <w:vAlign w:val="center"/>
          </w:tcPr>
          <w:p w14:paraId="19FD02DF"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sq-AL"/>
              </w:rPr>
            </w:pPr>
            <w:r w:rsidRPr="004E5A6E">
              <w:rPr>
                <w:color w:val="auto"/>
                <w:sz w:val="18"/>
                <w:szCs w:val="18"/>
                <w:lang w:val="sq-AL"/>
              </w:rPr>
              <w:t xml:space="preserve">      962.1 </w:t>
            </w:r>
          </w:p>
        </w:tc>
        <w:tc>
          <w:tcPr>
            <w:tcW w:w="917" w:type="dxa"/>
            <w:vAlign w:val="center"/>
          </w:tcPr>
          <w:p w14:paraId="1A63DC03"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sq-AL"/>
              </w:rPr>
            </w:pPr>
            <w:r w:rsidRPr="004E5A6E">
              <w:rPr>
                <w:color w:val="auto"/>
                <w:sz w:val="18"/>
                <w:szCs w:val="18"/>
                <w:lang w:val="sq-AL"/>
              </w:rPr>
              <w:t xml:space="preserve">     1,132.1 </w:t>
            </w:r>
          </w:p>
        </w:tc>
        <w:tc>
          <w:tcPr>
            <w:tcW w:w="947" w:type="dxa"/>
            <w:vAlign w:val="center"/>
          </w:tcPr>
          <w:p w14:paraId="03FC1F02"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sq-AL"/>
              </w:rPr>
            </w:pPr>
            <w:r w:rsidRPr="004E5A6E">
              <w:rPr>
                <w:color w:val="auto"/>
                <w:sz w:val="18"/>
                <w:szCs w:val="18"/>
                <w:lang w:val="sq-AL"/>
              </w:rPr>
              <w:t xml:space="preserve">   1,282.1 </w:t>
            </w:r>
          </w:p>
        </w:tc>
        <w:tc>
          <w:tcPr>
            <w:tcW w:w="947" w:type="dxa"/>
            <w:vAlign w:val="center"/>
          </w:tcPr>
          <w:p w14:paraId="7A3E40E0"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sq-AL"/>
              </w:rPr>
            </w:pPr>
            <w:r w:rsidRPr="004E5A6E">
              <w:rPr>
                <w:color w:val="auto"/>
                <w:sz w:val="18"/>
                <w:szCs w:val="18"/>
                <w:lang w:val="sq-AL"/>
              </w:rPr>
              <w:t xml:space="preserve">     1,432.1 </w:t>
            </w:r>
          </w:p>
        </w:tc>
      </w:tr>
      <w:tr w:rsidR="00B600AE" w:rsidRPr="004E5A6E" w14:paraId="05FC55C7" w14:textId="77777777" w:rsidTr="003B3804">
        <w:trPr>
          <w:trHeight w:val="289"/>
        </w:trPr>
        <w:tc>
          <w:tcPr>
            <w:cnfStyle w:val="001000000000" w:firstRow="0" w:lastRow="0" w:firstColumn="1" w:lastColumn="0" w:oddVBand="0" w:evenVBand="0" w:oddHBand="0" w:evenHBand="0" w:firstRowFirstColumn="0" w:firstRowLastColumn="0" w:lastRowFirstColumn="0" w:lastRowLastColumn="0"/>
            <w:tcW w:w="1998" w:type="dxa"/>
            <w:noWrap/>
            <w:vAlign w:val="center"/>
            <w:hideMark/>
          </w:tcPr>
          <w:p w14:paraId="1599E22B" w14:textId="77777777" w:rsidR="00B600AE" w:rsidRPr="004E5A6E" w:rsidRDefault="00B600AE" w:rsidP="00D6295F">
            <w:pPr>
              <w:spacing w:line="276" w:lineRule="auto"/>
              <w:rPr>
                <w:color w:val="auto"/>
                <w:sz w:val="20"/>
                <w:szCs w:val="20"/>
                <w:lang w:val="sq-AL"/>
              </w:rPr>
            </w:pPr>
            <w:r w:rsidRPr="004E5A6E">
              <w:rPr>
                <w:color w:val="auto"/>
                <w:sz w:val="20"/>
                <w:szCs w:val="20"/>
                <w:lang w:val="sq-AL"/>
              </w:rPr>
              <w:t>Borxhi i Përgjithshëm i Qeverisë</w:t>
            </w:r>
          </w:p>
        </w:tc>
        <w:tc>
          <w:tcPr>
            <w:tcW w:w="947" w:type="dxa"/>
            <w:vAlign w:val="center"/>
          </w:tcPr>
          <w:p w14:paraId="4B865533"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18"/>
                <w:lang w:val="sq-AL"/>
              </w:rPr>
            </w:pPr>
            <w:r w:rsidRPr="004E5A6E">
              <w:rPr>
                <w:color w:val="auto"/>
                <w:sz w:val="18"/>
                <w:lang w:val="sq-AL"/>
              </w:rPr>
              <w:t>996.5</w:t>
            </w:r>
          </w:p>
        </w:tc>
        <w:tc>
          <w:tcPr>
            <w:tcW w:w="947" w:type="dxa"/>
            <w:vAlign w:val="center"/>
          </w:tcPr>
          <w:p w14:paraId="7B7F6D99"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18"/>
                <w:lang w:val="sq-AL"/>
              </w:rPr>
            </w:pPr>
            <w:r w:rsidRPr="004E5A6E">
              <w:rPr>
                <w:color w:val="auto"/>
                <w:sz w:val="18"/>
                <w:lang w:val="sq-AL"/>
              </w:rPr>
              <w:t>1,093.0</w:t>
            </w:r>
          </w:p>
        </w:tc>
        <w:tc>
          <w:tcPr>
            <w:tcW w:w="1024" w:type="dxa"/>
            <w:vAlign w:val="center"/>
          </w:tcPr>
          <w:p w14:paraId="629C923F"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bCs/>
                <w:color w:val="auto"/>
                <w:sz w:val="18"/>
                <w:szCs w:val="18"/>
                <w:lang w:val="sq-AL"/>
              </w:rPr>
            </w:pPr>
            <w:r w:rsidRPr="004E5A6E">
              <w:rPr>
                <w:bCs/>
                <w:color w:val="auto"/>
                <w:sz w:val="18"/>
                <w:szCs w:val="18"/>
                <w:lang w:val="sq-AL"/>
              </w:rPr>
              <w:t>1,201.1</w:t>
            </w:r>
          </w:p>
        </w:tc>
        <w:tc>
          <w:tcPr>
            <w:tcW w:w="902" w:type="dxa"/>
            <w:vAlign w:val="center"/>
          </w:tcPr>
          <w:p w14:paraId="2BA36AE8"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b/>
                <w:bCs/>
                <w:color w:val="auto"/>
                <w:sz w:val="18"/>
                <w:szCs w:val="18"/>
                <w:lang w:val="sq-AL"/>
              </w:rPr>
            </w:pPr>
            <w:r w:rsidRPr="004E5A6E">
              <w:rPr>
                <w:b/>
                <w:bCs/>
                <w:color w:val="auto"/>
                <w:sz w:val="18"/>
                <w:szCs w:val="18"/>
                <w:lang w:val="sq-AL"/>
              </w:rPr>
              <w:t xml:space="preserve">                1,681.6 </w:t>
            </w:r>
          </w:p>
        </w:tc>
        <w:tc>
          <w:tcPr>
            <w:tcW w:w="917" w:type="dxa"/>
            <w:vAlign w:val="center"/>
          </w:tcPr>
          <w:p w14:paraId="37490EF6"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b/>
                <w:bCs/>
                <w:color w:val="auto"/>
                <w:sz w:val="18"/>
                <w:szCs w:val="18"/>
                <w:lang w:val="sq-AL"/>
              </w:rPr>
            </w:pPr>
            <w:r w:rsidRPr="004E5A6E">
              <w:rPr>
                <w:b/>
                <w:bCs/>
                <w:color w:val="auto"/>
                <w:sz w:val="18"/>
                <w:szCs w:val="18"/>
                <w:lang w:val="sq-AL"/>
              </w:rPr>
              <w:t xml:space="preserve">             2,243.2 </w:t>
            </w:r>
          </w:p>
        </w:tc>
        <w:tc>
          <w:tcPr>
            <w:tcW w:w="947" w:type="dxa"/>
            <w:vAlign w:val="center"/>
          </w:tcPr>
          <w:p w14:paraId="08CFD48E"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b/>
                <w:bCs/>
                <w:color w:val="auto"/>
                <w:sz w:val="18"/>
                <w:szCs w:val="18"/>
                <w:lang w:val="sq-AL"/>
              </w:rPr>
            </w:pPr>
            <w:r w:rsidRPr="004E5A6E">
              <w:rPr>
                <w:b/>
                <w:bCs/>
                <w:color w:val="auto"/>
                <w:sz w:val="18"/>
                <w:szCs w:val="18"/>
                <w:lang w:val="sq-AL"/>
              </w:rPr>
              <w:t xml:space="preserve">             2,668.7 </w:t>
            </w:r>
          </w:p>
        </w:tc>
        <w:tc>
          <w:tcPr>
            <w:tcW w:w="947" w:type="dxa"/>
            <w:vAlign w:val="center"/>
          </w:tcPr>
          <w:p w14:paraId="2819EF41"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b/>
                <w:bCs/>
                <w:color w:val="auto"/>
                <w:sz w:val="18"/>
                <w:szCs w:val="18"/>
                <w:lang w:val="sq-AL"/>
              </w:rPr>
            </w:pPr>
            <w:r w:rsidRPr="004E5A6E">
              <w:rPr>
                <w:b/>
                <w:bCs/>
                <w:color w:val="auto"/>
                <w:sz w:val="18"/>
                <w:szCs w:val="18"/>
                <w:lang w:val="sq-AL"/>
              </w:rPr>
              <w:t xml:space="preserve">          3,057.5 </w:t>
            </w:r>
          </w:p>
        </w:tc>
      </w:tr>
      <w:tr w:rsidR="00B600AE" w:rsidRPr="004E5A6E" w14:paraId="0E96BC1B" w14:textId="77777777" w:rsidTr="003B3804">
        <w:trPr>
          <w:trHeight w:val="289"/>
        </w:trPr>
        <w:tc>
          <w:tcPr>
            <w:cnfStyle w:val="001000000000" w:firstRow="0" w:lastRow="0" w:firstColumn="1" w:lastColumn="0" w:oddVBand="0" w:evenVBand="0" w:oddHBand="0" w:evenHBand="0" w:firstRowFirstColumn="0" w:firstRowLastColumn="0" w:lastRowFirstColumn="0" w:lastRowLastColumn="0"/>
            <w:tcW w:w="1998" w:type="dxa"/>
            <w:noWrap/>
            <w:vAlign w:val="center"/>
            <w:hideMark/>
          </w:tcPr>
          <w:p w14:paraId="3C735982" w14:textId="77777777" w:rsidR="00B600AE" w:rsidRPr="004E5A6E" w:rsidRDefault="00B600AE" w:rsidP="00D6295F">
            <w:pPr>
              <w:spacing w:line="276" w:lineRule="auto"/>
              <w:rPr>
                <w:color w:val="auto"/>
                <w:sz w:val="20"/>
                <w:szCs w:val="20"/>
                <w:lang w:val="sq-AL"/>
              </w:rPr>
            </w:pPr>
            <w:r w:rsidRPr="004E5A6E">
              <w:rPr>
                <w:color w:val="auto"/>
                <w:sz w:val="20"/>
                <w:szCs w:val="20"/>
                <w:lang w:val="sq-AL"/>
              </w:rPr>
              <w:t>Garancitë Shtetërore</w:t>
            </w:r>
          </w:p>
        </w:tc>
        <w:tc>
          <w:tcPr>
            <w:tcW w:w="947" w:type="dxa"/>
            <w:vAlign w:val="center"/>
          </w:tcPr>
          <w:p w14:paraId="303D9C21"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18"/>
                <w:lang w:val="sq-AL"/>
              </w:rPr>
            </w:pPr>
            <w:r w:rsidRPr="004E5A6E">
              <w:rPr>
                <w:color w:val="auto"/>
                <w:sz w:val="18"/>
                <w:lang w:val="sq-AL"/>
              </w:rPr>
              <w:t>44.0</w:t>
            </w:r>
          </w:p>
        </w:tc>
        <w:tc>
          <w:tcPr>
            <w:tcW w:w="947" w:type="dxa"/>
            <w:vAlign w:val="center"/>
          </w:tcPr>
          <w:p w14:paraId="469B77E7"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18"/>
                <w:lang w:val="sq-AL"/>
              </w:rPr>
            </w:pPr>
            <w:r w:rsidRPr="004E5A6E">
              <w:rPr>
                <w:color w:val="auto"/>
                <w:sz w:val="18"/>
                <w:lang w:val="sq-AL"/>
              </w:rPr>
              <w:t>44.0</w:t>
            </w:r>
          </w:p>
        </w:tc>
        <w:tc>
          <w:tcPr>
            <w:tcW w:w="1024" w:type="dxa"/>
            <w:vAlign w:val="center"/>
          </w:tcPr>
          <w:p w14:paraId="5553B18F"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sq-AL"/>
              </w:rPr>
            </w:pPr>
            <w:r w:rsidRPr="004E5A6E">
              <w:rPr>
                <w:color w:val="auto"/>
                <w:sz w:val="18"/>
                <w:szCs w:val="18"/>
                <w:lang w:val="sq-AL"/>
              </w:rPr>
              <w:t>42.7</w:t>
            </w:r>
          </w:p>
        </w:tc>
        <w:tc>
          <w:tcPr>
            <w:tcW w:w="902" w:type="dxa"/>
            <w:vAlign w:val="center"/>
          </w:tcPr>
          <w:p w14:paraId="06CF9039"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sq-AL"/>
              </w:rPr>
            </w:pPr>
            <w:r w:rsidRPr="004E5A6E">
              <w:rPr>
                <w:color w:val="auto"/>
                <w:sz w:val="18"/>
                <w:szCs w:val="18"/>
                <w:lang w:val="sq-AL"/>
              </w:rPr>
              <w:t>31.65</w:t>
            </w:r>
          </w:p>
        </w:tc>
        <w:tc>
          <w:tcPr>
            <w:tcW w:w="917" w:type="dxa"/>
            <w:vAlign w:val="center"/>
          </w:tcPr>
          <w:p w14:paraId="63DC82F1"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sq-AL"/>
              </w:rPr>
            </w:pPr>
            <w:r w:rsidRPr="004E5A6E">
              <w:rPr>
                <w:color w:val="auto"/>
                <w:sz w:val="18"/>
                <w:szCs w:val="18"/>
                <w:lang w:val="sq-AL"/>
              </w:rPr>
              <w:t>30.63</w:t>
            </w:r>
          </w:p>
        </w:tc>
        <w:tc>
          <w:tcPr>
            <w:tcW w:w="947" w:type="dxa"/>
            <w:vAlign w:val="center"/>
          </w:tcPr>
          <w:p w14:paraId="1D984626"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sq-AL"/>
              </w:rPr>
            </w:pPr>
            <w:r w:rsidRPr="004E5A6E">
              <w:rPr>
                <w:color w:val="auto"/>
                <w:sz w:val="18"/>
                <w:szCs w:val="18"/>
                <w:lang w:val="sq-AL"/>
              </w:rPr>
              <w:t>29.61</w:t>
            </w:r>
          </w:p>
        </w:tc>
        <w:tc>
          <w:tcPr>
            <w:tcW w:w="947" w:type="dxa"/>
            <w:vAlign w:val="center"/>
          </w:tcPr>
          <w:p w14:paraId="75C7D72C"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18"/>
                <w:szCs w:val="18"/>
                <w:lang w:val="sq-AL"/>
              </w:rPr>
            </w:pPr>
            <w:r w:rsidRPr="004E5A6E">
              <w:rPr>
                <w:color w:val="auto"/>
                <w:sz w:val="18"/>
                <w:szCs w:val="18"/>
                <w:lang w:val="sq-AL"/>
              </w:rPr>
              <w:t>28.59</w:t>
            </w:r>
          </w:p>
        </w:tc>
      </w:tr>
      <w:tr w:rsidR="00B600AE" w:rsidRPr="004E5A6E" w14:paraId="33746E31" w14:textId="77777777" w:rsidTr="003B3804">
        <w:trPr>
          <w:trHeight w:val="289"/>
        </w:trPr>
        <w:tc>
          <w:tcPr>
            <w:cnfStyle w:val="001000000000" w:firstRow="0" w:lastRow="0" w:firstColumn="1" w:lastColumn="0" w:oddVBand="0" w:evenVBand="0" w:oddHBand="0" w:evenHBand="0" w:firstRowFirstColumn="0" w:firstRowLastColumn="0" w:lastRowFirstColumn="0" w:lastRowLastColumn="0"/>
            <w:tcW w:w="1998" w:type="dxa"/>
            <w:noWrap/>
            <w:vAlign w:val="center"/>
            <w:hideMark/>
          </w:tcPr>
          <w:p w14:paraId="47BB1ADF" w14:textId="77777777" w:rsidR="00B600AE" w:rsidRPr="004E5A6E" w:rsidRDefault="00B600AE" w:rsidP="00D6295F">
            <w:pPr>
              <w:spacing w:line="276" w:lineRule="auto"/>
              <w:rPr>
                <w:color w:val="auto"/>
                <w:sz w:val="20"/>
                <w:szCs w:val="20"/>
                <w:lang w:val="sq-AL"/>
              </w:rPr>
            </w:pPr>
            <w:r w:rsidRPr="004E5A6E">
              <w:rPr>
                <w:color w:val="auto"/>
                <w:sz w:val="20"/>
                <w:szCs w:val="20"/>
                <w:lang w:val="sq-AL"/>
              </w:rPr>
              <w:t>Borxhi/BPV</w:t>
            </w:r>
          </w:p>
        </w:tc>
        <w:tc>
          <w:tcPr>
            <w:tcW w:w="947" w:type="dxa"/>
            <w:vAlign w:val="center"/>
          </w:tcPr>
          <w:p w14:paraId="7002A64A"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b/>
                <w:color w:val="auto"/>
                <w:sz w:val="18"/>
                <w:lang w:val="sq-AL"/>
              </w:rPr>
            </w:pPr>
            <w:r w:rsidRPr="004E5A6E">
              <w:rPr>
                <w:b/>
                <w:color w:val="auto"/>
                <w:sz w:val="18"/>
                <w:lang w:val="sq-AL"/>
              </w:rPr>
              <w:t>16.62%</w:t>
            </w:r>
          </w:p>
        </w:tc>
        <w:tc>
          <w:tcPr>
            <w:tcW w:w="947" w:type="dxa"/>
            <w:vAlign w:val="center"/>
          </w:tcPr>
          <w:p w14:paraId="30B25773"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b/>
                <w:color w:val="auto"/>
                <w:sz w:val="18"/>
                <w:lang w:val="sq-AL"/>
              </w:rPr>
            </w:pPr>
            <w:r w:rsidRPr="004E5A6E">
              <w:rPr>
                <w:b/>
                <w:color w:val="auto"/>
                <w:sz w:val="18"/>
                <w:lang w:val="sq-AL"/>
              </w:rPr>
              <w:t>16.91%</w:t>
            </w:r>
          </w:p>
        </w:tc>
        <w:tc>
          <w:tcPr>
            <w:tcW w:w="1024" w:type="dxa"/>
            <w:vAlign w:val="center"/>
          </w:tcPr>
          <w:p w14:paraId="44D1A647"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b/>
                <w:color w:val="auto"/>
                <w:sz w:val="18"/>
                <w:lang w:val="sq-AL"/>
              </w:rPr>
            </w:pPr>
            <w:r w:rsidRPr="004E5A6E">
              <w:rPr>
                <w:b/>
                <w:color w:val="auto"/>
                <w:sz w:val="18"/>
                <w:lang w:val="sq-AL"/>
              </w:rPr>
              <w:t>17.46%</w:t>
            </w:r>
          </w:p>
        </w:tc>
        <w:tc>
          <w:tcPr>
            <w:tcW w:w="902" w:type="dxa"/>
            <w:vAlign w:val="center"/>
          </w:tcPr>
          <w:p w14:paraId="39E4C0EB"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b/>
                <w:bCs/>
                <w:color w:val="auto"/>
                <w:sz w:val="18"/>
                <w:szCs w:val="18"/>
                <w:lang w:val="sq-AL"/>
              </w:rPr>
            </w:pPr>
            <w:r w:rsidRPr="004E5A6E">
              <w:rPr>
                <w:b/>
                <w:bCs/>
                <w:color w:val="auto"/>
                <w:sz w:val="18"/>
                <w:szCs w:val="18"/>
                <w:lang w:val="sq-AL"/>
              </w:rPr>
              <w:t>24.61%</w:t>
            </w:r>
          </w:p>
        </w:tc>
        <w:tc>
          <w:tcPr>
            <w:tcW w:w="917" w:type="dxa"/>
            <w:vAlign w:val="center"/>
          </w:tcPr>
          <w:p w14:paraId="17C9CA05"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b/>
                <w:bCs/>
                <w:color w:val="auto"/>
                <w:sz w:val="18"/>
                <w:szCs w:val="18"/>
                <w:lang w:val="sq-AL"/>
              </w:rPr>
            </w:pPr>
            <w:r w:rsidRPr="004E5A6E">
              <w:rPr>
                <w:b/>
                <w:bCs/>
                <w:color w:val="auto"/>
                <w:sz w:val="18"/>
                <w:szCs w:val="18"/>
                <w:lang w:val="sq-AL"/>
              </w:rPr>
              <w:t>31.88%</w:t>
            </w:r>
          </w:p>
        </w:tc>
        <w:tc>
          <w:tcPr>
            <w:tcW w:w="947" w:type="dxa"/>
            <w:vAlign w:val="center"/>
          </w:tcPr>
          <w:p w14:paraId="3357E2B5"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b/>
                <w:bCs/>
                <w:color w:val="auto"/>
                <w:sz w:val="18"/>
                <w:szCs w:val="18"/>
                <w:lang w:val="sq-AL"/>
              </w:rPr>
            </w:pPr>
            <w:r w:rsidRPr="004E5A6E">
              <w:rPr>
                <w:b/>
                <w:bCs/>
                <w:color w:val="auto"/>
                <w:sz w:val="18"/>
                <w:szCs w:val="18"/>
                <w:lang w:val="sq-AL"/>
              </w:rPr>
              <w:t>35.94%</w:t>
            </w:r>
          </w:p>
        </w:tc>
        <w:tc>
          <w:tcPr>
            <w:tcW w:w="947" w:type="dxa"/>
            <w:vAlign w:val="center"/>
          </w:tcPr>
          <w:p w14:paraId="4DA0F8C5"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b/>
                <w:bCs/>
                <w:color w:val="auto"/>
                <w:sz w:val="18"/>
                <w:szCs w:val="18"/>
                <w:lang w:val="sq-AL"/>
              </w:rPr>
            </w:pPr>
            <w:r w:rsidRPr="004E5A6E">
              <w:rPr>
                <w:b/>
                <w:bCs/>
                <w:color w:val="auto"/>
                <w:sz w:val="18"/>
                <w:szCs w:val="18"/>
                <w:lang w:val="sq-AL"/>
              </w:rPr>
              <w:t>38.93%</w:t>
            </w:r>
          </w:p>
        </w:tc>
      </w:tr>
    </w:tbl>
    <w:p w14:paraId="3827A267" w14:textId="77777777" w:rsidR="003B3804" w:rsidRPr="004E5A6E" w:rsidRDefault="003B3804" w:rsidP="00B600AE">
      <w:pPr>
        <w:rPr>
          <w:b/>
          <w:color w:val="auto"/>
          <w:kern w:val="28"/>
          <w:lang w:val="sq-AL"/>
        </w:rPr>
      </w:pPr>
      <w:bookmarkStart w:id="183" w:name="_Toc535935593"/>
      <w:bookmarkStart w:id="184" w:name="_Toc535996479"/>
      <w:bookmarkStart w:id="185" w:name="_Toc535996521"/>
      <w:bookmarkStart w:id="186" w:name="_Toc536007380"/>
      <w:bookmarkStart w:id="187" w:name="_Toc536007434"/>
      <w:bookmarkStart w:id="188" w:name="_Toc535935594"/>
      <w:bookmarkStart w:id="189" w:name="_Toc535996480"/>
      <w:bookmarkStart w:id="190" w:name="_Toc535996522"/>
      <w:bookmarkStart w:id="191" w:name="_Toc536007381"/>
      <w:bookmarkStart w:id="192" w:name="_Toc536007435"/>
      <w:bookmarkEnd w:id="182"/>
      <w:bookmarkEnd w:id="183"/>
      <w:bookmarkEnd w:id="184"/>
      <w:bookmarkEnd w:id="185"/>
      <w:bookmarkEnd w:id="186"/>
      <w:bookmarkEnd w:id="187"/>
      <w:bookmarkEnd w:id="188"/>
      <w:bookmarkEnd w:id="189"/>
      <w:bookmarkEnd w:id="190"/>
      <w:bookmarkEnd w:id="191"/>
      <w:bookmarkEnd w:id="192"/>
    </w:p>
    <w:p w14:paraId="5B3134FA" w14:textId="77777777" w:rsidR="00B600AE" w:rsidRPr="004E5A6E" w:rsidRDefault="00B600AE" w:rsidP="00B600AE">
      <w:pPr>
        <w:rPr>
          <w:b/>
          <w:lang w:val="sq-AL"/>
        </w:rPr>
      </w:pPr>
      <w:r w:rsidRPr="004E5A6E">
        <w:rPr>
          <w:b/>
          <w:lang w:val="sq-AL"/>
        </w:rPr>
        <w:t xml:space="preserve">Detyrimet Kontigjente </w:t>
      </w:r>
    </w:p>
    <w:p w14:paraId="09CA47B2" w14:textId="77777777" w:rsidR="00B600AE" w:rsidRPr="004E5A6E" w:rsidRDefault="00B600AE" w:rsidP="00B600AE">
      <w:pPr>
        <w:spacing w:before="240" w:after="240" w:line="276" w:lineRule="auto"/>
        <w:jc w:val="both"/>
        <w:rPr>
          <w:color w:val="auto"/>
          <w:lang w:val="sq-AL"/>
        </w:rPr>
      </w:pPr>
      <w:r w:rsidRPr="004E5A6E">
        <w:rPr>
          <w:color w:val="auto"/>
          <w:lang w:val="sq-AL"/>
        </w:rPr>
        <w:t xml:space="preserve">Në fund të vitit 2019 portofoli i garancioneve shtetërore përbëhej nga tre Garanci Shtetërore: </w:t>
      </w:r>
    </w:p>
    <w:p w14:paraId="302D2838" w14:textId="77777777" w:rsidR="00B600AE" w:rsidRPr="004E5A6E" w:rsidRDefault="00B600AE" w:rsidP="0068706C">
      <w:pPr>
        <w:numPr>
          <w:ilvl w:val="0"/>
          <w:numId w:val="6"/>
        </w:numPr>
        <w:spacing w:before="240" w:after="240" w:line="276" w:lineRule="auto"/>
        <w:contextualSpacing/>
        <w:jc w:val="both"/>
        <w:rPr>
          <w:color w:val="auto"/>
          <w:lang w:val="sq-AL"/>
        </w:rPr>
      </w:pPr>
      <w:r w:rsidRPr="004E5A6E">
        <w:rPr>
          <w:color w:val="auto"/>
          <w:lang w:val="sq-AL"/>
        </w:rPr>
        <w:t>garancia e parë shtetërore u lëshua në shumën prej 10 milion euro, drejt FSDK-së për linjën kreditore të siguruar nga BERZH. Linja e kredisë nuk është tërhequr akoma dhe data e fundit e disponueshmërisë është dhjetor 2020.</w:t>
      </w:r>
    </w:p>
    <w:p w14:paraId="4F6CBACB" w14:textId="77777777" w:rsidR="00B600AE" w:rsidRPr="004E5A6E" w:rsidRDefault="00B600AE" w:rsidP="0068706C">
      <w:pPr>
        <w:numPr>
          <w:ilvl w:val="0"/>
          <w:numId w:val="6"/>
        </w:numPr>
        <w:spacing w:before="240" w:after="240" w:line="276" w:lineRule="auto"/>
        <w:contextualSpacing/>
        <w:jc w:val="both"/>
        <w:rPr>
          <w:color w:val="auto"/>
          <w:lang w:val="sq-AL"/>
        </w:rPr>
      </w:pPr>
      <w:r w:rsidRPr="004E5A6E">
        <w:rPr>
          <w:color w:val="auto"/>
          <w:lang w:val="sq-AL"/>
        </w:rPr>
        <w:t>garancia e dytë shtetërore ndërkombëtare, i është lëshuar në vitin 2016 ndërmarrjes publike lokale Trafiku Urban, për kredinë e dhënë nga BERZH në vlerë prej 10 milion euro. Kredia ishte disbursuar plotësisht dhe ripagimi i saj filloi në vitin 2018.</w:t>
      </w:r>
    </w:p>
    <w:p w14:paraId="1946DE68" w14:textId="77777777" w:rsidR="00B600AE" w:rsidRPr="004E5A6E" w:rsidRDefault="00B600AE" w:rsidP="0068706C">
      <w:pPr>
        <w:numPr>
          <w:ilvl w:val="0"/>
          <w:numId w:val="6"/>
        </w:numPr>
        <w:spacing w:before="240" w:after="240" w:line="276" w:lineRule="auto"/>
        <w:contextualSpacing/>
        <w:jc w:val="both"/>
        <w:rPr>
          <w:color w:val="auto"/>
          <w:lang w:val="sq-AL"/>
        </w:rPr>
      </w:pPr>
      <w:r w:rsidRPr="004E5A6E">
        <w:rPr>
          <w:color w:val="auto"/>
          <w:lang w:val="sq-AL"/>
        </w:rPr>
        <w:t>garancia e tretë është lëshuar në vitin 2016 në shumën prej 24 milion euro, për të garantuar linjën e dytë kreditore të FSDK-së. Linja kreditore nuk është tërhequr akoma dhe data e fundit e disponueshmërisë është dhjetor 2023.</w:t>
      </w:r>
    </w:p>
    <w:p w14:paraId="4ECEFB65" w14:textId="77777777" w:rsidR="00B600AE" w:rsidRPr="004E5A6E" w:rsidRDefault="00B600AE" w:rsidP="00B600AE">
      <w:pPr>
        <w:rPr>
          <w:color w:val="auto"/>
          <w:lang w:val="sq-AL"/>
        </w:rPr>
      </w:pPr>
      <w:r w:rsidRPr="004E5A6E">
        <w:rPr>
          <w:color w:val="auto"/>
          <w:lang w:val="sq-AL"/>
        </w:rPr>
        <w:t xml:space="preserve">Siç tregohet në tabelën më poshtë, shuma e garancive shtetërore është në rënie. Gjatë vitit 2020, Qeveria nuk ka hyrë në marrëveshje të reja të garancisë shtetërore. </w:t>
      </w:r>
    </w:p>
    <w:p w14:paraId="758F33B2" w14:textId="77777777" w:rsidR="00B600AE" w:rsidRPr="004E5A6E" w:rsidRDefault="00B600AE" w:rsidP="00B600AE">
      <w:pPr>
        <w:keepNext/>
        <w:spacing w:before="240"/>
        <w:rPr>
          <w:rFonts w:eastAsia="Cambria"/>
          <w:b/>
          <w:iCs/>
          <w:color w:val="auto"/>
          <w:sz w:val="18"/>
          <w:szCs w:val="18"/>
          <w:lang w:val="sq-AL"/>
        </w:rPr>
      </w:pPr>
      <w:bookmarkStart w:id="193" w:name="_Toc57724401"/>
      <w:r w:rsidRPr="004E5A6E">
        <w:rPr>
          <w:rFonts w:eastAsia="Cambria"/>
          <w:b/>
          <w:iCs/>
          <w:color w:val="auto"/>
          <w:sz w:val="18"/>
          <w:szCs w:val="18"/>
          <w:lang w:val="sq-AL"/>
        </w:rPr>
        <w:t xml:space="preserve">Tabela </w:t>
      </w:r>
      <w:r w:rsidRPr="004E5A6E">
        <w:rPr>
          <w:rFonts w:eastAsia="Cambria"/>
          <w:b/>
          <w:iCs/>
          <w:color w:val="auto"/>
          <w:sz w:val="18"/>
          <w:szCs w:val="18"/>
          <w:lang w:val="sq-AL"/>
        </w:rPr>
        <w:fldChar w:fldCharType="begin"/>
      </w:r>
      <w:r w:rsidRPr="004E5A6E">
        <w:rPr>
          <w:rFonts w:eastAsia="Cambria"/>
          <w:b/>
          <w:iCs/>
          <w:color w:val="auto"/>
          <w:sz w:val="18"/>
          <w:szCs w:val="18"/>
          <w:lang w:val="sq-AL"/>
        </w:rPr>
        <w:instrText xml:space="preserve"> SEQ Table \* ARABIC </w:instrText>
      </w:r>
      <w:r w:rsidRPr="004E5A6E">
        <w:rPr>
          <w:rFonts w:eastAsia="Cambria"/>
          <w:b/>
          <w:iCs/>
          <w:color w:val="auto"/>
          <w:sz w:val="18"/>
          <w:szCs w:val="18"/>
          <w:lang w:val="sq-AL"/>
        </w:rPr>
        <w:fldChar w:fldCharType="separate"/>
      </w:r>
      <w:r w:rsidRPr="004E5A6E">
        <w:rPr>
          <w:rFonts w:eastAsia="Cambria"/>
          <w:b/>
          <w:iCs/>
          <w:color w:val="auto"/>
          <w:sz w:val="18"/>
          <w:szCs w:val="18"/>
          <w:lang w:val="sq-AL"/>
        </w:rPr>
        <w:t>15</w:t>
      </w:r>
      <w:r w:rsidRPr="004E5A6E">
        <w:rPr>
          <w:rFonts w:eastAsia="Cambria"/>
          <w:b/>
          <w:iCs/>
          <w:color w:val="auto"/>
          <w:sz w:val="18"/>
          <w:szCs w:val="18"/>
          <w:lang w:val="sq-AL"/>
        </w:rPr>
        <w:fldChar w:fldCharType="end"/>
      </w:r>
      <w:r w:rsidRPr="004E5A6E">
        <w:rPr>
          <w:rFonts w:eastAsia="Cambria"/>
          <w:b/>
          <w:iCs/>
          <w:color w:val="auto"/>
          <w:sz w:val="18"/>
          <w:szCs w:val="18"/>
          <w:lang w:val="sq-AL"/>
        </w:rPr>
        <w:t>. Garancitë shtetërore</w:t>
      </w:r>
      <w:bookmarkEnd w:id="193"/>
    </w:p>
    <w:tbl>
      <w:tblPr>
        <w:tblStyle w:val="GridTable1Light-Accent12"/>
        <w:tblW w:w="5000" w:type="pct"/>
        <w:tblLayout w:type="fixed"/>
        <w:tblLook w:val="04A0" w:firstRow="1" w:lastRow="0" w:firstColumn="1" w:lastColumn="0" w:noHBand="0" w:noVBand="1"/>
      </w:tblPr>
      <w:tblGrid>
        <w:gridCol w:w="3424"/>
        <w:gridCol w:w="601"/>
        <w:gridCol w:w="722"/>
        <w:gridCol w:w="722"/>
        <w:gridCol w:w="722"/>
        <w:gridCol w:w="882"/>
        <w:gridCol w:w="774"/>
        <w:gridCol w:w="767"/>
      </w:tblGrid>
      <w:tr w:rsidR="00B600AE" w:rsidRPr="004E5A6E" w14:paraId="042998B7" w14:textId="77777777" w:rsidTr="00D6295F">
        <w:trPr>
          <w:cnfStyle w:val="100000000000" w:firstRow="1" w:lastRow="0" w:firstColumn="0" w:lastColumn="0" w:oddVBand="0" w:evenVBand="0" w:oddHBand="0"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988" w:type="pct"/>
            <w:noWrap/>
            <w:vAlign w:val="center"/>
          </w:tcPr>
          <w:p w14:paraId="11BF23FC" w14:textId="77777777" w:rsidR="00B600AE" w:rsidRPr="004E5A6E" w:rsidRDefault="00B600AE" w:rsidP="00D6295F">
            <w:pPr>
              <w:spacing w:line="276" w:lineRule="auto"/>
              <w:jc w:val="center"/>
              <w:rPr>
                <w:color w:val="auto"/>
                <w:sz w:val="20"/>
                <w:szCs w:val="20"/>
                <w:lang w:val="sq-AL"/>
              </w:rPr>
            </w:pPr>
          </w:p>
        </w:tc>
        <w:tc>
          <w:tcPr>
            <w:tcW w:w="349" w:type="pct"/>
            <w:vAlign w:val="center"/>
          </w:tcPr>
          <w:p w14:paraId="6CD438CF" w14:textId="77777777" w:rsidR="00B600AE" w:rsidRPr="004E5A6E" w:rsidRDefault="00B600AE" w:rsidP="00D6295F">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sq-AL"/>
              </w:rPr>
            </w:pPr>
            <w:r w:rsidRPr="004E5A6E">
              <w:rPr>
                <w:color w:val="auto"/>
                <w:sz w:val="18"/>
                <w:szCs w:val="18"/>
                <w:lang w:val="sq-AL"/>
              </w:rPr>
              <w:t>2017</w:t>
            </w:r>
          </w:p>
        </w:tc>
        <w:tc>
          <w:tcPr>
            <w:tcW w:w="419" w:type="pct"/>
            <w:vAlign w:val="center"/>
          </w:tcPr>
          <w:p w14:paraId="24945B3B" w14:textId="77777777" w:rsidR="00B600AE" w:rsidRPr="004E5A6E" w:rsidRDefault="00B600AE" w:rsidP="00D6295F">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sq-AL"/>
              </w:rPr>
            </w:pPr>
            <w:r w:rsidRPr="004E5A6E">
              <w:rPr>
                <w:color w:val="auto"/>
                <w:sz w:val="18"/>
                <w:szCs w:val="18"/>
                <w:lang w:val="sq-AL"/>
              </w:rPr>
              <w:t>2018</w:t>
            </w:r>
          </w:p>
        </w:tc>
        <w:tc>
          <w:tcPr>
            <w:tcW w:w="419" w:type="pct"/>
            <w:vAlign w:val="center"/>
          </w:tcPr>
          <w:p w14:paraId="6A7CADFD" w14:textId="77777777" w:rsidR="00B600AE" w:rsidRPr="004E5A6E" w:rsidRDefault="00B600AE" w:rsidP="00D6295F">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sq-AL"/>
              </w:rPr>
            </w:pPr>
            <w:r w:rsidRPr="004E5A6E">
              <w:rPr>
                <w:color w:val="auto"/>
                <w:sz w:val="18"/>
                <w:szCs w:val="18"/>
                <w:lang w:val="sq-AL"/>
              </w:rPr>
              <w:t>2019</w:t>
            </w:r>
          </w:p>
        </w:tc>
        <w:tc>
          <w:tcPr>
            <w:tcW w:w="419" w:type="pct"/>
            <w:vAlign w:val="center"/>
          </w:tcPr>
          <w:p w14:paraId="4C2BAEA8" w14:textId="77777777" w:rsidR="00B600AE" w:rsidRPr="004E5A6E" w:rsidRDefault="00B600AE" w:rsidP="00D6295F">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sq-AL"/>
              </w:rPr>
            </w:pPr>
            <w:r w:rsidRPr="004E5A6E">
              <w:rPr>
                <w:color w:val="auto"/>
                <w:sz w:val="18"/>
                <w:szCs w:val="18"/>
                <w:lang w:val="sq-AL"/>
              </w:rPr>
              <w:t>P.2020</w:t>
            </w:r>
          </w:p>
        </w:tc>
        <w:tc>
          <w:tcPr>
            <w:tcW w:w="512" w:type="pct"/>
            <w:vAlign w:val="center"/>
          </w:tcPr>
          <w:p w14:paraId="42D84483" w14:textId="77777777" w:rsidR="00B600AE" w:rsidRPr="004E5A6E" w:rsidRDefault="00B600AE" w:rsidP="00D6295F">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sq-AL"/>
              </w:rPr>
            </w:pPr>
            <w:r w:rsidRPr="004E5A6E">
              <w:rPr>
                <w:color w:val="auto"/>
                <w:sz w:val="18"/>
                <w:szCs w:val="18"/>
                <w:lang w:val="sq-AL"/>
              </w:rPr>
              <w:t>P.2021</w:t>
            </w:r>
          </w:p>
        </w:tc>
        <w:tc>
          <w:tcPr>
            <w:tcW w:w="449" w:type="pct"/>
            <w:vAlign w:val="center"/>
          </w:tcPr>
          <w:p w14:paraId="7DC93B7D" w14:textId="77777777" w:rsidR="00B600AE" w:rsidRPr="004E5A6E" w:rsidRDefault="00B600AE" w:rsidP="00D6295F">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sq-AL"/>
              </w:rPr>
            </w:pPr>
            <w:r w:rsidRPr="004E5A6E">
              <w:rPr>
                <w:color w:val="auto"/>
                <w:sz w:val="18"/>
                <w:szCs w:val="18"/>
                <w:lang w:val="sq-AL"/>
              </w:rPr>
              <w:t>P.2022</w:t>
            </w:r>
          </w:p>
        </w:tc>
        <w:tc>
          <w:tcPr>
            <w:tcW w:w="445" w:type="pct"/>
            <w:vAlign w:val="center"/>
          </w:tcPr>
          <w:p w14:paraId="2BFC2BD0" w14:textId="77777777" w:rsidR="00B600AE" w:rsidRPr="004E5A6E" w:rsidRDefault="00B600AE" w:rsidP="00D6295F">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sq-AL"/>
              </w:rPr>
            </w:pPr>
            <w:r w:rsidRPr="004E5A6E">
              <w:rPr>
                <w:color w:val="auto"/>
                <w:sz w:val="18"/>
                <w:szCs w:val="18"/>
                <w:lang w:val="sq-AL"/>
              </w:rPr>
              <w:t>P.2023</w:t>
            </w:r>
          </w:p>
        </w:tc>
      </w:tr>
      <w:tr w:rsidR="00B600AE" w:rsidRPr="004E5A6E" w14:paraId="62CD28CE" w14:textId="77777777" w:rsidTr="00D6295F">
        <w:trPr>
          <w:trHeight w:val="13"/>
        </w:trPr>
        <w:tc>
          <w:tcPr>
            <w:cnfStyle w:val="001000000000" w:firstRow="0" w:lastRow="0" w:firstColumn="1" w:lastColumn="0" w:oddVBand="0" w:evenVBand="0" w:oddHBand="0" w:evenHBand="0" w:firstRowFirstColumn="0" w:firstRowLastColumn="0" w:lastRowFirstColumn="0" w:lastRowLastColumn="0"/>
            <w:tcW w:w="1988" w:type="pct"/>
            <w:noWrap/>
            <w:vAlign w:val="center"/>
          </w:tcPr>
          <w:p w14:paraId="4AD46944" w14:textId="77777777" w:rsidR="00B600AE" w:rsidRPr="004E5A6E" w:rsidRDefault="00B600AE" w:rsidP="00D6295F">
            <w:pPr>
              <w:spacing w:line="276" w:lineRule="auto"/>
              <w:rPr>
                <w:color w:val="auto"/>
                <w:sz w:val="20"/>
                <w:szCs w:val="20"/>
                <w:lang w:val="sq-AL"/>
              </w:rPr>
            </w:pPr>
            <w:r w:rsidRPr="004E5A6E">
              <w:rPr>
                <w:color w:val="auto"/>
                <w:sz w:val="20"/>
                <w:szCs w:val="20"/>
                <w:lang w:val="sq-AL"/>
              </w:rPr>
              <w:t>Garancitë shtetërore</w:t>
            </w:r>
          </w:p>
        </w:tc>
        <w:tc>
          <w:tcPr>
            <w:tcW w:w="349" w:type="pct"/>
            <w:vAlign w:val="center"/>
          </w:tcPr>
          <w:p w14:paraId="51D725CD"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20"/>
                <w:szCs w:val="20"/>
                <w:lang w:val="sq-AL"/>
              </w:rPr>
            </w:pPr>
            <w:r w:rsidRPr="004E5A6E">
              <w:rPr>
                <w:color w:val="auto"/>
                <w:sz w:val="20"/>
                <w:szCs w:val="20"/>
                <w:lang w:val="sq-AL"/>
              </w:rPr>
              <w:t>44.0</w:t>
            </w:r>
          </w:p>
        </w:tc>
        <w:tc>
          <w:tcPr>
            <w:tcW w:w="419" w:type="pct"/>
            <w:vAlign w:val="center"/>
          </w:tcPr>
          <w:p w14:paraId="45D209FB"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20"/>
                <w:szCs w:val="20"/>
                <w:lang w:val="sq-AL"/>
              </w:rPr>
            </w:pPr>
            <w:r w:rsidRPr="004E5A6E">
              <w:rPr>
                <w:color w:val="auto"/>
                <w:sz w:val="20"/>
                <w:szCs w:val="20"/>
                <w:lang w:val="sq-AL"/>
              </w:rPr>
              <w:t>44.0</w:t>
            </w:r>
          </w:p>
        </w:tc>
        <w:tc>
          <w:tcPr>
            <w:tcW w:w="419" w:type="pct"/>
            <w:vAlign w:val="center"/>
          </w:tcPr>
          <w:p w14:paraId="25D5BA3A"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20"/>
                <w:szCs w:val="20"/>
                <w:lang w:val="sq-AL"/>
              </w:rPr>
            </w:pPr>
            <w:r w:rsidRPr="004E5A6E">
              <w:rPr>
                <w:color w:val="auto"/>
                <w:sz w:val="20"/>
                <w:szCs w:val="20"/>
                <w:lang w:val="sq-AL"/>
              </w:rPr>
              <w:t>42.7</w:t>
            </w:r>
          </w:p>
        </w:tc>
        <w:tc>
          <w:tcPr>
            <w:tcW w:w="419" w:type="pct"/>
            <w:vAlign w:val="center"/>
          </w:tcPr>
          <w:p w14:paraId="135606F5"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20"/>
                <w:szCs w:val="20"/>
                <w:lang w:val="sq-AL"/>
              </w:rPr>
            </w:pPr>
            <w:r w:rsidRPr="004E5A6E">
              <w:rPr>
                <w:color w:val="auto"/>
                <w:sz w:val="20"/>
                <w:szCs w:val="20"/>
                <w:lang w:val="sq-AL"/>
              </w:rPr>
              <w:t>31.7</w:t>
            </w:r>
          </w:p>
        </w:tc>
        <w:tc>
          <w:tcPr>
            <w:tcW w:w="512" w:type="pct"/>
            <w:vAlign w:val="center"/>
          </w:tcPr>
          <w:p w14:paraId="6655AE35"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20"/>
                <w:szCs w:val="20"/>
                <w:lang w:val="sq-AL"/>
              </w:rPr>
            </w:pPr>
            <w:r w:rsidRPr="004E5A6E">
              <w:rPr>
                <w:color w:val="auto"/>
                <w:sz w:val="20"/>
                <w:szCs w:val="20"/>
                <w:lang w:val="sq-AL"/>
              </w:rPr>
              <w:t>30.6</w:t>
            </w:r>
          </w:p>
        </w:tc>
        <w:tc>
          <w:tcPr>
            <w:tcW w:w="449" w:type="pct"/>
            <w:vAlign w:val="center"/>
          </w:tcPr>
          <w:p w14:paraId="000912DB"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20"/>
                <w:szCs w:val="20"/>
                <w:lang w:val="sq-AL"/>
              </w:rPr>
            </w:pPr>
            <w:r w:rsidRPr="004E5A6E">
              <w:rPr>
                <w:color w:val="auto"/>
                <w:sz w:val="20"/>
                <w:szCs w:val="20"/>
                <w:lang w:val="sq-AL"/>
              </w:rPr>
              <w:t>29.6</w:t>
            </w:r>
          </w:p>
        </w:tc>
        <w:tc>
          <w:tcPr>
            <w:tcW w:w="445" w:type="pct"/>
            <w:vAlign w:val="center"/>
          </w:tcPr>
          <w:p w14:paraId="772508BD"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20"/>
                <w:szCs w:val="20"/>
                <w:lang w:val="sq-AL"/>
              </w:rPr>
            </w:pPr>
            <w:r w:rsidRPr="004E5A6E">
              <w:rPr>
                <w:color w:val="auto"/>
                <w:sz w:val="20"/>
                <w:szCs w:val="20"/>
                <w:lang w:val="sq-AL"/>
              </w:rPr>
              <w:t>28.6</w:t>
            </w:r>
          </w:p>
        </w:tc>
      </w:tr>
      <w:tr w:rsidR="00B600AE" w:rsidRPr="004E5A6E" w14:paraId="1F3241B1" w14:textId="77777777" w:rsidTr="00D6295F">
        <w:trPr>
          <w:trHeight w:val="331"/>
        </w:trPr>
        <w:tc>
          <w:tcPr>
            <w:cnfStyle w:val="001000000000" w:firstRow="0" w:lastRow="0" w:firstColumn="1" w:lastColumn="0" w:oddVBand="0" w:evenVBand="0" w:oddHBand="0" w:evenHBand="0" w:firstRowFirstColumn="0" w:firstRowLastColumn="0" w:lastRowFirstColumn="0" w:lastRowLastColumn="0"/>
            <w:tcW w:w="1988" w:type="pct"/>
            <w:noWrap/>
            <w:vAlign w:val="center"/>
          </w:tcPr>
          <w:p w14:paraId="73A34EE9" w14:textId="77777777" w:rsidR="00B600AE" w:rsidRPr="004E5A6E" w:rsidRDefault="00B600AE" w:rsidP="00D6295F">
            <w:pPr>
              <w:spacing w:line="276" w:lineRule="auto"/>
              <w:rPr>
                <w:color w:val="auto"/>
                <w:sz w:val="20"/>
                <w:szCs w:val="20"/>
                <w:lang w:val="sq-AL"/>
              </w:rPr>
            </w:pPr>
            <w:r w:rsidRPr="004E5A6E">
              <w:rPr>
                <w:color w:val="auto"/>
                <w:sz w:val="20"/>
                <w:szCs w:val="20"/>
                <w:lang w:val="sq-AL"/>
              </w:rPr>
              <w:t>Garancioni për Linjën Kreditore të FSDK</w:t>
            </w:r>
          </w:p>
        </w:tc>
        <w:tc>
          <w:tcPr>
            <w:tcW w:w="349" w:type="pct"/>
            <w:vAlign w:val="center"/>
          </w:tcPr>
          <w:p w14:paraId="5B1725F2"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20"/>
                <w:szCs w:val="20"/>
                <w:lang w:val="sq-AL"/>
              </w:rPr>
            </w:pPr>
            <w:r w:rsidRPr="004E5A6E">
              <w:rPr>
                <w:color w:val="auto"/>
                <w:sz w:val="20"/>
                <w:szCs w:val="20"/>
                <w:lang w:val="sq-AL"/>
              </w:rPr>
              <w:t>10.0</w:t>
            </w:r>
          </w:p>
        </w:tc>
        <w:tc>
          <w:tcPr>
            <w:tcW w:w="419" w:type="pct"/>
            <w:vAlign w:val="center"/>
          </w:tcPr>
          <w:p w14:paraId="2217A4EF"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20"/>
                <w:szCs w:val="20"/>
                <w:lang w:val="sq-AL"/>
              </w:rPr>
            </w:pPr>
            <w:r w:rsidRPr="004E5A6E">
              <w:rPr>
                <w:color w:val="auto"/>
                <w:sz w:val="20"/>
                <w:szCs w:val="20"/>
                <w:lang w:val="sq-AL"/>
              </w:rPr>
              <w:t>10.0</w:t>
            </w:r>
          </w:p>
        </w:tc>
        <w:tc>
          <w:tcPr>
            <w:tcW w:w="419" w:type="pct"/>
            <w:vAlign w:val="center"/>
          </w:tcPr>
          <w:p w14:paraId="001F2D82"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20"/>
                <w:szCs w:val="20"/>
                <w:lang w:val="sq-AL"/>
              </w:rPr>
            </w:pPr>
            <w:r w:rsidRPr="004E5A6E">
              <w:rPr>
                <w:color w:val="auto"/>
                <w:sz w:val="20"/>
                <w:szCs w:val="20"/>
                <w:lang w:val="sq-AL"/>
              </w:rPr>
              <w:t>10.0</w:t>
            </w:r>
          </w:p>
        </w:tc>
        <w:tc>
          <w:tcPr>
            <w:tcW w:w="419" w:type="pct"/>
            <w:vAlign w:val="center"/>
          </w:tcPr>
          <w:p w14:paraId="47218F0C"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20"/>
                <w:szCs w:val="20"/>
                <w:lang w:val="sq-AL"/>
              </w:rPr>
            </w:pPr>
            <w:r w:rsidRPr="004E5A6E">
              <w:rPr>
                <w:color w:val="auto"/>
                <w:sz w:val="20"/>
                <w:szCs w:val="20"/>
                <w:lang w:val="sq-AL"/>
              </w:rPr>
              <w:t>0.0</w:t>
            </w:r>
          </w:p>
        </w:tc>
        <w:tc>
          <w:tcPr>
            <w:tcW w:w="512" w:type="pct"/>
            <w:vAlign w:val="center"/>
          </w:tcPr>
          <w:p w14:paraId="6D798963"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20"/>
                <w:szCs w:val="20"/>
                <w:lang w:val="sq-AL"/>
              </w:rPr>
            </w:pPr>
            <w:r w:rsidRPr="004E5A6E">
              <w:rPr>
                <w:color w:val="auto"/>
                <w:sz w:val="20"/>
                <w:szCs w:val="20"/>
                <w:lang w:val="sq-AL"/>
              </w:rPr>
              <w:t>0.0</w:t>
            </w:r>
          </w:p>
        </w:tc>
        <w:tc>
          <w:tcPr>
            <w:tcW w:w="449" w:type="pct"/>
            <w:vAlign w:val="center"/>
          </w:tcPr>
          <w:p w14:paraId="6A9894DF"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20"/>
                <w:szCs w:val="20"/>
                <w:lang w:val="sq-AL"/>
              </w:rPr>
            </w:pPr>
            <w:r w:rsidRPr="004E5A6E">
              <w:rPr>
                <w:color w:val="auto"/>
                <w:sz w:val="20"/>
                <w:szCs w:val="20"/>
                <w:lang w:val="sq-AL"/>
              </w:rPr>
              <w:t>0.0</w:t>
            </w:r>
          </w:p>
        </w:tc>
        <w:tc>
          <w:tcPr>
            <w:tcW w:w="445" w:type="pct"/>
            <w:vAlign w:val="center"/>
          </w:tcPr>
          <w:p w14:paraId="7A941D3A"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20"/>
                <w:szCs w:val="20"/>
                <w:lang w:val="sq-AL"/>
              </w:rPr>
            </w:pPr>
            <w:r w:rsidRPr="004E5A6E">
              <w:rPr>
                <w:color w:val="auto"/>
                <w:sz w:val="20"/>
                <w:szCs w:val="20"/>
                <w:lang w:val="sq-AL"/>
              </w:rPr>
              <w:t>0.0</w:t>
            </w:r>
          </w:p>
        </w:tc>
      </w:tr>
      <w:tr w:rsidR="00B600AE" w:rsidRPr="004E5A6E" w14:paraId="167A3785" w14:textId="77777777" w:rsidTr="00D6295F">
        <w:trPr>
          <w:trHeight w:val="13"/>
        </w:trPr>
        <w:tc>
          <w:tcPr>
            <w:cnfStyle w:val="001000000000" w:firstRow="0" w:lastRow="0" w:firstColumn="1" w:lastColumn="0" w:oddVBand="0" w:evenVBand="0" w:oddHBand="0" w:evenHBand="0" w:firstRowFirstColumn="0" w:firstRowLastColumn="0" w:lastRowFirstColumn="0" w:lastRowLastColumn="0"/>
            <w:tcW w:w="1988" w:type="pct"/>
            <w:noWrap/>
            <w:vAlign w:val="center"/>
          </w:tcPr>
          <w:p w14:paraId="660EF472" w14:textId="77777777" w:rsidR="00B600AE" w:rsidRPr="004E5A6E" w:rsidRDefault="00B600AE" w:rsidP="00D6295F">
            <w:pPr>
              <w:spacing w:line="276" w:lineRule="auto"/>
              <w:rPr>
                <w:color w:val="auto"/>
                <w:sz w:val="20"/>
                <w:szCs w:val="20"/>
                <w:lang w:val="sq-AL"/>
              </w:rPr>
            </w:pPr>
            <w:r w:rsidRPr="004E5A6E">
              <w:rPr>
                <w:color w:val="auto"/>
                <w:sz w:val="20"/>
                <w:szCs w:val="20"/>
                <w:lang w:val="sq-AL"/>
              </w:rPr>
              <w:t>Garanci për Trafikun Urban në Prishtinë</w:t>
            </w:r>
          </w:p>
        </w:tc>
        <w:tc>
          <w:tcPr>
            <w:tcW w:w="349" w:type="pct"/>
            <w:vAlign w:val="center"/>
          </w:tcPr>
          <w:p w14:paraId="66C4AEC0"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20"/>
                <w:szCs w:val="20"/>
                <w:lang w:val="sq-AL"/>
              </w:rPr>
            </w:pPr>
            <w:r w:rsidRPr="004E5A6E">
              <w:rPr>
                <w:color w:val="auto"/>
                <w:sz w:val="20"/>
                <w:szCs w:val="20"/>
                <w:lang w:val="sq-AL"/>
              </w:rPr>
              <w:t>10.0</w:t>
            </w:r>
          </w:p>
        </w:tc>
        <w:tc>
          <w:tcPr>
            <w:tcW w:w="419" w:type="pct"/>
            <w:vAlign w:val="center"/>
          </w:tcPr>
          <w:p w14:paraId="2270E6D3"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20"/>
                <w:szCs w:val="20"/>
                <w:lang w:val="sq-AL"/>
              </w:rPr>
            </w:pPr>
            <w:r w:rsidRPr="004E5A6E">
              <w:rPr>
                <w:color w:val="auto"/>
                <w:sz w:val="20"/>
                <w:szCs w:val="20"/>
                <w:lang w:val="sq-AL"/>
              </w:rPr>
              <w:t>10.0</w:t>
            </w:r>
          </w:p>
        </w:tc>
        <w:tc>
          <w:tcPr>
            <w:tcW w:w="419" w:type="pct"/>
            <w:vAlign w:val="center"/>
          </w:tcPr>
          <w:p w14:paraId="6053F5C8"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20"/>
                <w:szCs w:val="20"/>
                <w:lang w:val="sq-AL"/>
              </w:rPr>
            </w:pPr>
            <w:r w:rsidRPr="004E5A6E">
              <w:rPr>
                <w:color w:val="auto"/>
                <w:sz w:val="20"/>
                <w:szCs w:val="20"/>
                <w:lang w:val="sq-AL"/>
              </w:rPr>
              <w:t>8.7</w:t>
            </w:r>
          </w:p>
        </w:tc>
        <w:tc>
          <w:tcPr>
            <w:tcW w:w="419" w:type="pct"/>
            <w:vAlign w:val="center"/>
          </w:tcPr>
          <w:p w14:paraId="1008DE4A"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20"/>
                <w:szCs w:val="20"/>
                <w:lang w:val="sq-AL"/>
              </w:rPr>
            </w:pPr>
            <w:r w:rsidRPr="004E5A6E">
              <w:rPr>
                <w:color w:val="auto"/>
                <w:sz w:val="20"/>
                <w:szCs w:val="20"/>
                <w:lang w:val="sq-AL"/>
              </w:rPr>
              <w:t>7.7</w:t>
            </w:r>
          </w:p>
        </w:tc>
        <w:tc>
          <w:tcPr>
            <w:tcW w:w="512" w:type="pct"/>
            <w:vAlign w:val="center"/>
          </w:tcPr>
          <w:p w14:paraId="3F446E30"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20"/>
                <w:szCs w:val="20"/>
                <w:lang w:val="sq-AL"/>
              </w:rPr>
            </w:pPr>
            <w:r w:rsidRPr="004E5A6E">
              <w:rPr>
                <w:color w:val="auto"/>
                <w:sz w:val="20"/>
                <w:szCs w:val="20"/>
                <w:lang w:val="sq-AL"/>
              </w:rPr>
              <w:t>6.6</w:t>
            </w:r>
          </w:p>
        </w:tc>
        <w:tc>
          <w:tcPr>
            <w:tcW w:w="449" w:type="pct"/>
            <w:vAlign w:val="center"/>
          </w:tcPr>
          <w:p w14:paraId="3F43EED8"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20"/>
                <w:szCs w:val="20"/>
                <w:lang w:val="sq-AL"/>
              </w:rPr>
            </w:pPr>
            <w:r w:rsidRPr="004E5A6E">
              <w:rPr>
                <w:color w:val="auto"/>
                <w:sz w:val="20"/>
                <w:szCs w:val="20"/>
                <w:lang w:val="sq-AL"/>
              </w:rPr>
              <w:t>5.6</w:t>
            </w:r>
          </w:p>
        </w:tc>
        <w:tc>
          <w:tcPr>
            <w:tcW w:w="445" w:type="pct"/>
            <w:vAlign w:val="center"/>
          </w:tcPr>
          <w:p w14:paraId="2C2EB248"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20"/>
                <w:szCs w:val="20"/>
                <w:lang w:val="sq-AL"/>
              </w:rPr>
            </w:pPr>
            <w:r w:rsidRPr="004E5A6E">
              <w:rPr>
                <w:color w:val="auto"/>
                <w:sz w:val="20"/>
                <w:szCs w:val="20"/>
                <w:lang w:val="sq-AL"/>
              </w:rPr>
              <w:t>4.6</w:t>
            </w:r>
          </w:p>
        </w:tc>
      </w:tr>
      <w:tr w:rsidR="00B600AE" w:rsidRPr="004E5A6E" w14:paraId="60C73390" w14:textId="77777777" w:rsidTr="00D6295F">
        <w:trPr>
          <w:trHeight w:val="13"/>
        </w:trPr>
        <w:tc>
          <w:tcPr>
            <w:cnfStyle w:val="001000000000" w:firstRow="0" w:lastRow="0" w:firstColumn="1" w:lastColumn="0" w:oddVBand="0" w:evenVBand="0" w:oddHBand="0" w:evenHBand="0" w:firstRowFirstColumn="0" w:firstRowLastColumn="0" w:lastRowFirstColumn="0" w:lastRowLastColumn="0"/>
            <w:tcW w:w="1988" w:type="pct"/>
            <w:noWrap/>
            <w:vAlign w:val="center"/>
          </w:tcPr>
          <w:p w14:paraId="69B0A81B" w14:textId="77777777" w:rsidR="00B600AE" w:rsidRPr="004E5A6E" w:rsidRDefault="00B600AE" w:rsidP="00D6295F">
            <w:pPr>
              <w:spacing w:line="276" w:lineRule="auto"/>
              <w:rPr>
                <w:color w:val="auto"/>
                <w:sz w:val="20"/>
                <w:szCs w:val="20"/>
                <w:lang w:val="sq-AL"/>
              </w:rPr>
            </w:pPr>
            <w:r w:rsidRPr="004E5A6E">
              <w:rPr>
                <w:color w:val="auto"/>
                <w:sz w:val="20"/>
                <w:szCs w:val="20"/>
                <w:lang w:val="sq-AL"/>
              </w:rPr>
              <w:t>Garancioni për Linjën e Dytë Kreditore të FSDK</w:t>
            </w:r>
          </w:p>
        </w:tc>
        <w:tc>
          <w:tcPr>
            <w:tcW w:w="349" w:type="pct"/>
            <w:vAlign w:val="center"/>
          </w:tcPr>
          <w:p w14:paraId="392DF5E4"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20"/>
                <w:szCs w:val="20"/>
                <w:lang w:val="sq-AL"/>
              </w:rPr>
            </w:pPr>
            <w:r w:rsidRPr="004E5A6E">
              <w:rPr>
                <w:color w:val="auto"/>
                <w:sz w:val="20"/>
                <w:szCs w:val="20"/>
                <w:lang w:val="sq-AL"/>
              </w:rPr>
              <w:t>24.0</w:t>
            </w:r>
          </w:p>
        </w:tc>
        <w:tc>
          <w:tcPr>
            <w:tcW w:w="419" w:type="pct"/>
            <w:vAlign w:val="center"/>
          </w:tcPr>
          <w:p w14:paraId="333EFCC0"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20"/>
                <w:szCs w:val="20"/>
                <w:lang w:val="sq-AL"/>
              </w:rPr>
            </w:pPr>
            <w:r w:rsidRPr="004E5A6E">
              <w:rPr>
                <w:color w:val="auto"/>
                <w:sz w:val="20"/>
                <w:szCs w:val="20"/>
                <w:lang w:val="sq-AL"/>
              </w:rPr>
              <w:t>24.0</w:t>
            </w:r>
          </w:p>
        </w:tc>
        <w:tc>
          <w:tcPr>
            <w:tcW w:w="419" w:type="pct"/>
            <w:vAlign w:val="center"/>
          </w:tcPr>
          <w:p w14:paraId="12733230"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20"/>
                <w:szCs w:val="20"/>
                <w:lang w:val="sq-AL"/>
              </w:rPr>
            </w:pPr>
            <w:r w:rsidRPr="004E5A6E">
              <w:rPr>
                <w:color w:val="auto"/>
                <w:sz w:val="20"/>
                <w:szCs w:val="20"/>
                <w:lang w:val="sq-AL"/>
              </w:rPr>
              <w:t>24.0</w:t>
            </w:r>
          </w:p>
        </w:tc>
        <w:tc>
          <w:tcPr>
            <w:tcW w:w="419" w:type="pct"/>
            <w:vAlign w:val="center"/>
          </w:tcPr>
          <w:p w14:paraId="68590625"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20"/>
                <w:szCs w:val="20"/>
                <w:lang w:val="sq-AL"/>
              </w:rPr>
            </w:pPr>
            <w:r w:rsidRPr="004E5A6E">
              <w:rPr>
                <w:color w:val="auto"/>
                <w:sz w:val="20"/>
                <w:szCs w:val="20"/>
                <w:lang w:val="sq-AL"/>
              </w:rPr>
              <w:t>24.0</w:t>
            </w:r>
          </w:p>
        </w:tc>
        <w:tc>
          <w:tcPr>
            <w:tcW w:w="512" w:type="pct"/>
            <w:vAlign w:val="center"/>
          </w:tcPr>
          <w:p w14:paraId="3A4DA7D0"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20"/>
                <w:szCs w:val="20"/>
                <w:lang w:val="sq-AL"/>
              </w:rPr>
            </w:pPr>
            <w:r w:rsidRPr="004E5A6E">
              <w:rPr>
                <w:color w:val="auto"/>
                <w:sz w:val="20"/>
                <w:szCs w:val="20"/>
                <w:lang w:val="sq-AL"/>
              </w:rPr>
              <w:t>24.0</w:t>
            </w:r>
          </w:p>
        </w:tc>
        <w:tc>
          <w:tcPr>
            <w:tcW w:w="449" w:type="pct"/>
            <w:vAlign w:val="center"/>
          </w:tcPr>
          <w:p w14:paraId="502B9F64"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20"/>
                <w:szCs w:val="20"/>
                <w:lang w:val="sq-AL"/>
              </w:rPr>
            </w:pPr>
            <w:r w:rsidRPr="004E5A6E">
              <w:rPr>
                <w:color w:val="auto"/>
                <w:sz w:val="20"/>
                <w:szCs w:val="20"/>
                <w:lang w:val="sq-AL"/>
              </w:rPr>
              <w:t>24.0</w:t>
            </w:r>
          </w:p>
        </w:tc>
        <w:tc>
          <w:tcPr>
            <w:tcW w:w="445" w:type="pct"/>
            <w:vAlign w:val="center"/>
          </w:tcPr>
          <w:p w14:paraId="348EAE73"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20"/>
                <w:szCs w:val="20"/>
                <w:lang w:val="sq-AL"/>
              </w:rPr>
            </w:pPr>
            <w:r w:rsidRPr="004E5A6E">
              <w:rPr>
                <w:color w:val="auto"/>
                <w:sz w:val="20"/>
                <w:szCs w:val="20"/>
                <w:lang w:val="sq-AL"/>
              </w:rPr>
              <w:t>24.0</w:t>
            </w:r>
          </w:p>
        </w:tc>
      </w:tr>
      <w:tr w:rsidR="00B600AE" w:rsidRPr="004E5A6E" w14:paraId="7202AC37" w14:textId="77777777" w:rsidTr="00D6295F">
        <w:trPr>
          <w:trHeight w:val="78"/>
        </w:trPr>
        <w:tc>
          <w:tcPr>
            <w:cnfStyle w:val="001000000000" w:firstRow="0" w:lastRow="0" w:firstColumn="1" w:lastColumn="0" w:oddVBand="0" w:evenVBand="0" w:oddHBand="0" w:evenHBand="0" w:firstRowFirstColumn="0" w:firstRowLastColumn="0" w:lastRowFirstColumn="0" w:lastRowLastColumn="0"/>
            <w:tcW w:w="1988" w:type="pct"/>
            <w:noWrap/>
            <w:vAlign w:val="center"/>
          </w:tcPr>
          <w:p w14:paraId="55120795" w14:textId="77777777" w:rsidR="00B600AE" w:rsidRPr="004E5A6E" w:rsidRDefault="00B600AE" w:rsidP="00D6295F">
            <w:pPr>
              <w:spacing w:line="276" w:lineRule="auto"/>
              <w:rPr>
                <w:color w:val="auto"/>
                <w:sz w:val="20"/>
                <w:szCs w:val="20"/>
                <w:lang w:val="sq-AL"/>
              </w:rPr>
            </w:pPr>
            <w:r w:rsidRPr="004E5A6E">
              <w:rPr>
                <w:color w:val="auto"/>
                <w:sz w:val="20"/>
                <w:szCs w:val="20"/>
                <w:lang w:val="sq-AL"/>
              </w:rPr>
              <w:t>Garancitë shtetërore (% e BPV)</w:t>
            </w:r>
          </w:p>
        </w:tc>
        <w:tc>
          <w:tcPr>
            <w:tcW w:w="349" w:type="pct"/>
            <w:vAlign w:val="center"/>
          </w:tcPr>
          <w:p w14:paraId="2FB9CB07"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20"/>
                <w:szCs w:val="20"/>
                <w:lang w:val="sq-AL"/>
              </w:rPr>
            </w:pPr>
            <w:r w:rsidRPr="004E5A6E">
              <w:rPr>
                <w:color w:val="auto"/>
                <w:sz w:val="20"/>
                <w:szCs w:val="20"/>
                <w:lang w:val="sq-AL"/>
              </w:rPr>
              <w:t>0.7</w:t>
            </w:r>
          </w:p>
        </w:tc>
        <w:tc>
          <w:tcPr>
            <w:tcW w:w="419" w:type="pct"/>
            <w:vAlign w:val="center"/>
          </w:tcPr>
          <w:p w14:paraId="05AE949A"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20"/>
                <w:szCs w:val="20"/>
                <w:lang w:val="sq-AL"/>
              </w:rPr>
            </w:pPr>
            <w:r w:rsidRPr="004E5A6E">
              <w:rPr>
                <w:color w:val="auto"/>
                <w:sz w:val="20"/>
                <w:szCs w:val="20"/>
                <w:lang w:val="sq-AL"/>
              </w:rPr>
              <w:t>0.7</w:t>
            </w:r>
          </w:p>
        </w:tc>
        <w:tc>
          <w:tcPr>
            <w:tcW w:w="419" w:type="pct"/>
            <w:vAlign w:val="center"/>
          </w:tcPr>
          <w:p w14:paraId="15878F3F"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20"/>
                <w:szCs w:val="20"/>
                <w:lang w:val="sq-AL"/>
              </w:rPr>
            </w:pPr>
            <w:r w:rsidRPr="004E5A6E">
              <w:rPr>
                <w:color w:val="auto"/>
                <w:sz w:val="20"/>
                <w:szCs w:val="20"/>
                <w:lang w:val="sq-AL"/>
              </w:rPr>
              <w:t>0.6</w:t>
            </w:r>
          </w:p>
        </w:tc>
        <w:tc>
          <w:tcPr>
            <w:tcW w:w="419" w:type="pct"/>
            <w:vAlign w:val="center"/>
          </w:tcPr>
          <w:p w14:paraId="0C8F1950"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20"/>
                <w:szCs w:val="20"/>
                <w:lang w:val="sq-AL"/>
              </w:rPr>
            </w:pPr>
            <w:r w:rsidRPr="004E5A6E">
              <w:rPr>
                <w:color w:val="auto"/>
                <w:sz w:val="20"/>
                <w:szCs w:val="20"/>
                <w:lang w:val="sq-AL"/>
              </w:rPr>
              <w:t>0.5</w:t>
            </w:r>
          </w:p>
        </w:tc>
        <w:tc>
          <w:tcPr>
            <w:tcW w:w="512" w:type="pct"/>
            <w:vAlign w:val="center"/>
          </w:tcPr>
          <w:p w14:paraId="68CAD918"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20"/>
                <w:szCs w:val="20"/>
                <w:lang w:val="sq-AL"/>
              </w:rPr>
            </w:pPr>
            <w:r w:rsidRPr="004E5A6E">
              <w:rPr>
                <w:color w:val="auto"/>
                <w:sz w:val="20"/>
                <w:szCs w:val="20"/>
                <w:lang w:val="sq-AL"/>
              </w:rPr>
              <w:t>0.4</w:t>
            </w:r>
          </w:p>
        </w:tc>
        <w:tc>
          <w:tcPr>
            <w:tcW w:w="449" w:type="pct"/>
            <w:vAlign w:val="center"/>
          </w:tcPr>
          <w:p w14:paraId="48F74F0D"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20"/>
                <w:szCs w:val="20"/>
                <w:lang w:val="sq-AL"/>
              </w:rPr>
            </w:pPr>
            <w:r w:rsidRPr="004E5A6E">
              <w:rPr>
                <w:color w:val="auto"/>
                <w:sz w:val="20"/>
                <w:szCs w:val="20"/>
                <w:lang w:val="sq-AL"/>
              </w:rPr>
              <w:t>0.4</w:t>
            </w:r>
          </w:p>
        </w:tc>
        <w:tc>
          <w:tcPr>
            <w:tcW w:w="445" w:type="pct"/>
            <w:vAlign w:val="center"/>
          </w:tcPr>
          <w:p w14:paraId="52A07DB0" w14:textId="77777777" w:rsidR="00B600AE" w:rsidRPr="004E5A6E" w:rsidRDefault="00B600AE" w:rsidP="00D6295F">
            <w:pPr>
              <w:jc w:val="right"/>
              <w:cnfStyle w:val="000000000000" w:firstRow="0" w:lastRow="0" w:firstColumn="0" w:lastColumn="0" w:oddVBand="0" w:evenVBand="0" w:oddHBand="0" w:evenHBand="0" w:firstRowFirstColumn="0" w:firstRowLastColumn="0" w:lastRowFirstColumn="0" w:lastRowLastColumn="0"/>
              <w:rPr>
                <w:color w:val="auto"/>
                <w:sz w:val="20"/>
                <w:szCs w:val="20"/>
                <w:lang w:val="sq-AL"/>
              </w:rPr>
            </w:pPr>
            <w:r w:rsidRPr="004E5A6E">
              <w:rPr>
                <w:color w:val="auto"/>
                <w:sz w:val="20"/>
                <w:szCs w:val="20"/>
                <w:lang w:val="sq-AL"/>
              </w:rPr>
              <w:t>0.4</w:t>
            </w:r>
          </w:p>
        </w:tc>
      </w:tr>
    </w:tbl>
    <w:p w14:paraId="6B95ADAB" w14:textId="77777777" w:rsidR="00B600AE" w:rsidRPr="004E5A6E" w:rsidRDefault="00B600AE" w:rsidP="00B600AE">
      <w:pPr>
        <w:rPr>
          <w:color w:val="auto"/>
          <w:lang w:val="sq-AL"/>
        </w:rPr>
      </w:pPr>
    </w:p>
    <w:p w14:paraId="68346457" w14:textId="77777777" w:rsidR="00B600AE" w:rsidRPr="004E5A6E" w:rsidRDefault="00B600AE" w:rsidP="00B600AE">
      <w:pPr>
        <w:pStyle w:val="ERPL2"/>
        <w:numPr>
          <w:ilvl w:val="0"/>
          <w:numId w:val="0"/>
        </w:numPr>
        <w:rPr>
          <w:rFonts w:ascii="Times New Roman" w:hAnsi="Times New Roman"/>
          <w:lang w:val="sq-AL"/>
        </w:rPr>
      </w:pPr>
    </w:p>
    <w:p w14:paraId="3CFA5B1C" w14:textId="77777777" w:rsidR="00B600AE" w:rsidRPr="004E5A6E" w:rsidRDefault="00B600AE" w:rsidP="00B600AE">
      <w:pPr>
        <w:pStyle w:val="ERPL2"/>
        <w:ind w:left="426"/>
        <w:rPr>
          <w:rFonts w:ascii="Times New Roman" w:hAnsi="Times New Roman"/>
          <w:lang w:val="sq-AL"/>
        </w:rPr>
      </w:pPr>
      <w:bookmarkStart w:id="194" w:name="_Toc57720385"/>
      <w:r w:rsidRPr="004E5A6E">
        <w:rPr>
          <w:rFonts w:ascii="Times New Roman" w:hAnsi="Times New Roman"/>
          <w:lang w:val="sq-AL"/>
        </w:rPr>
        <w:t>Analiza e ndjeshmërisë dhe krahasimi me programin e mëparshëm</w:t>
      </w:r>
      <w:bookmarkEnd w:id="194"/>
      <w:r w:rsidRPr="004E5A6E">
        <w:rPr>
          <w:rFonts w:ascii="Times New Roman" w:hAnsi="Times New Roman"/>
          <w:lang w:val="sq-AL"/>
        </w:rPr>
        <w:t xml:space="preserve"> </w:t>
      </w:r>
    </w:p>
    <w:p w14:paraId="6B862486" w14:textId="77777777" w:rsidR="00B600AE" w:rsidRPr="004E5A6E" w:rsidRDefault="00B600AE" w:rsidP="00B600AE">
      <w:pPr>
        <w:pStyle w:val="ERPL3"/>
        <w:ind w:left="720"/>
        <w:rPr>
          <w:rFonts w:ascii="Times New Roman" w:hAnsi="Times New Roman"/>
          <w:lang w:val="sq-AL"/>
        </w:rPr>
      </w:pPr>
      <w:bookmarkStart w:id="195" w:name="_Toc57720386"/>
      <w:r w:rsidRPr="004E5A6E">
        <w:rPr>
          <w:rFonts w:ascii="Times New Roman" w:hAnsi="Times New Roman"/>
          <w:lang w:val="sq-AL"/>
        </w:rPr>
        <w:t>Krahasimi me programin e kaluar</w:t>
      </w:r>
      <w:bookmarkEnd w:id="195"/>
    </w:p>
    <w:p w14:paraId="3E38A50E" w14:textId="77777777" w:rsidR="000008D0" w:rsidRPr="004E5A6E" w:rsidRDefault="00B600AE" w:rsidP="003B3804">
      <w:pPr>
        <w:spacing w:before="120" w:line="276" w:lineRule="auto"/>
        <w:jc w:val="both"/>
        <w:rPr>
          <w:color w:val="auto"/>
          <w:lang w:val="sq-AL"/>
        </w:rPr>
      </w:pPr>
      <w:r w:rsidRPr="004E5A6E">
        <w:rPr>
          <w:color w:val="auto"/>
          <w:lang w:val="sq-AL"/>
        </w:rPr>
        <w:t xml:space="preserve">Për shkak të situatës së shkaktuar nga pandemia COVID-19, prioritetet e qeverisë orientohen drejt tejkalimit të krizës dhe rimëkëmbjes ekonomike. Prandaj, objektivat kryesorë të vendosur në ERP 2021-2023 janë: i) beteja për të mposhtur pandeminë, dhe ii) rimëkëmbja ekonomike pas pandemisë. Ndikimi i pandemisë në ekonominë dhe masat e marra nga qeveria kanë ndryshuar parashikimet makro-fiskale për këtë vit krahasuar me parashikimet ERP të vitit 2020, gjë që e ka bërë atë krahasim me programin e mëparshëm shumë të vështirë duke marrë parasysh shumë devijime. </w:t>
      </w:r>
    </w:p>
    <w:p w14:paraId="665DF2C3" w14:textId="1E20E4D4" w:rsidR="000008D0" w:rsidRPr="004E5A6E" w:rsidRDefault="00B600AE" w:rsidP="003B3804">
      <w:pPr>
        <w:spacing w:before="120" w:line="276" w:lineRule="auto"/>
        <w:jc w:val="both"/>
        <w:rPr>
          <w:color w:val="auto"/>
          <w:lang w:val="sq-AL"/>
        </w:rPr>
      </w:pPr>
      <w:r w:rsidRPr="004E5A6E">
        <w:rPr>
          <w:color w:val="auto"/>
          <w:lang w:val="sq-AL"/>
        </w:rPr>
        <w:t xml:space="preserve">Si rezultat i rënies së aktivitetit ekonomik, të hyrat </w:t>
      </w:r>
      <w:r w:rsidR="000008D0" w:rsidRPr="004E5A6E">
        <w:rPr>
          <w:color w:val="auto"/>
          <w:lang w:val="sq-AL"/>
        </w:rPr>
        <w:t>janë rishikuar</w:t>
      </w:r>
      <w:r w:rsidRPr="004E5A6E">
        <w:rPr>
          <w:color w:val="auto"/>
          <w:lang w:val="sq-AL"/>
        </w:rPr>
        <w:t xml:space="preserve"> ndjeshëm</w:t>
      </w:r>
      <w:r w:rsidR="000008D0" w:rsidRPr="004E5A6E">
        <w:rPr>
          <w:color w:val="auto"/>
          <w:lang w:val="sq-AL"/>
        </w:rPr>
        <w:t xml:space="preserve"> për poshtë</w:t>
      </w:r>
      <w:r w:rsidRPr="004E5A6E">
        <w:rPr>
          <w:color w:val="auto"/>
          <w:lang w:val="sq-AL"/>
        </w:rPr>
        <w:t xml:space="preserve">. </w:t>
      </w:r>
    </w:p>
    <w:p w14:paraId="3F3DC448" w14:textId="3D371DDF" w:rsidR="00B600AE" w:rsidRPr="004E5A6E" w:rsidRDefault="00B600AE" w:rsidP="003B3804">
      <w:pPr>
        <w:spacing w:before="120" w:line="276" w:lineRule="auto"/>
        <w:jc w:val="both"/>
        <w:rPr>
          <w:color w:val="auto"/>
          <w:lang w:val="sq-AL"/>
        </w:rPr>
      </w:pPr>
      <w:r w:rsidRPr="004E5A6E">
        <w:rPr>
          <w:color w:val="auto"/>
          <w:lang w:val="sq-AL"/>
        </w:rPr>
        <w:t>Krahasuar me ERP 2020, në ERP 2021, të hyrat parashikohet të jenë më të ulëta për vitin 2020 me 12.6% (-13.5% të hyrat tatimore dhe -16.4% të hyrat jo-tatimore), ndërsa për vitin 2021 të hyrat janë më të ulta për 11.2% (-12.0% të hyrat tatimore dhe -4.8% të hyrat jotatimore) dhe për 2022 më të ulëta për 10.6% (-11.5% të hyrat tatimore dhe -3.8% të hyrat jotatimore).</w:t>
      </w:r>
    </w:p>
    <w:p w14:paraId="716AAC1A" w14:textId="410A214E" w:rsidR="00B600AE" w:rsidRPr="004E5A6E" w:rsidRDefault="00B600AE" w:rsidP="003B3804">
      <w:pPr>
        <w:spacing w:before="120" w:line="276" w:lineRule="auto"/>
        <w:jc w:val="both"/>
        <w:rPr>
          <w:color w:val="auto"/>
          <w:lang w:val="sq-AL"/>
        </w:rPr>
      </w:pPr>
      <w:r w:rsidRPr="004E5A6E">
        <w:rPr>
          <w:color w:val="auto"/>
          <w:lang w:val="sq-AL"/>
        </w:rPr>
        <w:t>Nga ana tjetër, për të akomoduar iniciativa të reja për adresimin e pasojave socio-ekonomike të pandemisë, shpenzimet e përgjithshme janë rritur me 6.2% në viti</w:t>
      </w:r>
      <w:r w:rsidR="006205DE" w:rsidRPr="004E5A6E">
        <w:rPr>
          <w:color w:val="auto"/>
          <w:lang w:val="sq-AL"/>
        </w:rPr>
        <w:t>n 2020 (13.2% shpenzime rrjedhëse</w:t>
      </w:r>
      <w:r w:rsidRPr="004E5A6E">
        <w:rPr>
          <w:color w:val="auto"/>
          <w:lang w:val="sq-AL"/>
        </w:rPr>
        <w:t xml:space="preserve"> dhe -8.0% shpenzime kapitale), ndërsa për dy vitet e ardhshme shpenzimet kanë rënë për 5.2% dhe 9.2% për vitet 2021 dhe 2022, përkatësisht. </w:t>
      </w:r>
    </w:p>
    <w:p w14:paraId="0FF35DDF" w14:textId="77777777" w:rsidR="00B600AE" w:rsidRPr="004E5A6E" w:rsidRDefault="00B600AE" w:rsidP="003B3804">
      <w:pPr>
        <w:spacing w:before="120" w:line="276" w:lineRule="auto"/>
        <w:jc w:val="both"/>
        <w:rPr>
          <w:color w:val="auto"/>
          <w:lang w:val="sq-AL"/>
        </w:rPr>
      </w:pPr>
      <w:r w:rsidRPr="004E5A6E">
        <w:rPr>
          <w:color w:val="auto"/>
          <w:lang w:val="sq-AL"/>
        </w:rPr>
        <w:t xml:space="preserve">Si rezultat i të ardhurave më të ulëta dhe shpenzimeve më të larta, Qeveria miratoi një vendim për tejkalimin e përkohshëm të kufirit të deficitit buxhetor deri në 6.5% të PBB-së dhe uljen e kufirit të bilancit të pashpërndarë bankar deri në 3% të PBB. </w:t>
      </w:r>
    </w:p>
    <w:p w14:paraId="6864D454" w14:textId="77777777" w:rsidR="00B600AE" w:rsidRPr="004E5A6E" w:rsidRDefault="00B600AE" w:rsidP="003B3804">
      <w:pPr>
        <w:spacing w:before="120" w:line="276" w:lineRule="auto"/>
        <w:jc w:val="both"/>
        <w:rPr>
          <w:color w:val="auto"/>
          <w:lang w:val="sq-AL"/>
        </w:rPr>
      </w:pPr>
      <w:r w:rsidRPr="004E5A6E">
        <w:rPr>
          <w:color w:val="auto"/>
          <w:lang w:val="sq-AL"/>
        </w:rPr>
        <w:t>Deficiti fiskal, sipas rregullit fiskal, në vitin 2020 pritet të arrijë nivelin prej - 6.5% PBB (-451.1 milion €), ndërsa bilanci i pashpërndarë bankar do të jetë rreth 3.1% PBB (213.3 milion €).</w:t>
      </w:r>
      <w:r w:rsidRPr="004E5A6E">
        <w:rPr>
          <w:lang w:val="sq-AL"/>
        </w:rPr>
        <w:t xml:space="preserve"> </w:t>
      </w:r>
      <w:r w:rsidRPr="004E5A6E">
        <w:rPr>
          <w:color w:val="auto"/>
          <w:lang w:val="sq-AL"/>
        </w:rPr>
        <w:t xml:space="preserve">Në vitet në vijim (2021, 2022 dhe 2023), deficiti buxhetor pritet të ulet gradualisht në -4.8%, përkatësisht -2.1% dhe -1.5%. Ndërsa, bilanci i përdorshëm bankar pritet të jetë 3.1% e PBB-së në vitin 2021, 3.0% e PBB-së në vitin 2022 dhe 3.2% e PBB-së në vitin 2023.  </w:t>
      </w:r>
    </w:p>
    <w:p w14:paraId="3CAC7D96" w14:textId="1DCEFD85" w:rsidR="006205DE" w:rsidRPr="004E5A6E" w:rsidRDefault="006205DE" w:rsidP="003B3804">
      <w:pPr>
        <w:spacing w:before="120" w:line="276" w:lineRule="auto"/>
        <w:jc w:val="both"/>
        <w:rPr>
          <w:color w:val="auto"/>
          <w:lang w:val="sq-AL"/>
        </w:rPr>
      </w:pPr>
      <w:r w:rsidRPr="004E5A6E">
        <w:rPr>
          <w:color w:val="auto"/>
          <w:lang w:val="sq-AL"/>
        </w:rPr>
        <w:t>Një krahasim më i plotë me programin e mëparshëm është</w:t>
      </w:r>
      <w:r w:rsidR="003B3804" w:rsidRPr="004E5A6E">
        <w:rPr>
          <w:color w:val="auto"/>
          <w:lang w:val="sq-AL"/>
        </w:rPr>
        <w:t xml:space="preserve"> paraqitur në Aneks 1, tabela 9</w:t>
      </w:r>
      <w:r w:rsidRPr="004E5A6E">
        <w:rPr>
          <w:color w:val="auto"/>
          <w:lang w:val="sq-AL"/>
        </w:rPr>
        <w:t xml:space="preserve">. </w:t>
      </w:r>
    </w:p>
    <w:p w14:paraId="1830FC87" w14:textId="77777777" w:rsidR="00B600AE" w:rsidRPr="004E5A6E" w:rsidRDefault="00B600AE" w:rsidP="003B3804">
      <w:pPr>
        <w:spacing w:before="120" w:line="276" w:lineRule="auto"/>
        <w:jc w:val="both"/>
        <w:rPr>
          <w:color w:val="auto"/>
          <w:highlight w:val="yellow"/>
          <w:lang w:val="sq-AL"/>
        </w:rPr>
      </w:pPr>
    </w:p>
    <w:p w14:paraId="2A5483E3" w14:textId="77777777" w:rsidR="00B600AE" w:rsidRPr="004E5A6E" w:rsidRDefault="00B600AE" w:rsidP="00B600AE">
      <w:pPr>
        <w:pStyle w:val="ERPL2"/>
        <w:ind w:left="426"/>
        <w:rPr>
          <w:rFonts w:ascii="Times New Roman" w:hAnsi="Times New Roman"/>
          <w:lang w:val="sq-AL"/>
        </w:rPr>
      </w:pPr>
      <w:bookmarkStart w:id="196" w:name="_Toc57720387"/>
      <w:r w:rsidRPr="004E5A6E">
        <w:rPr>
          <w:rFonts w:ascii="Times New Roman" w:hAnsi="Times New Roman"/>
          <w:lang w:val="sq-AL"/>
        </w:rPr>
        <w:t>Cilësia e Financave Publike</w:t>
      </w:r>
      <w:bookmarkEnd w:id="196"/>
    </w:p>
    <w:p w14:paraId="075461D4" w14:textId="77777777" w:rsidR="00B600AE" w:rsidRPr="004E5A6E" w:rsidRDefault="00B600AE" w:rsidP="00B600AE">
      <w:pPr>
        <w:pStyle w:val="ERPL2"/>
        <w:ind w:left="426"/>
        <w:rPr>
          <w:rFonts w:ascii="Times New Roman" w:hAnsi="Times New Roman"/>
          <w:lang w:val="sq-AL"/>
        </w:rPr>
      </w:pPr>
      <w:bookmarkStart w:id="197" w:name="_Toc57720388"/>
      <w:r w:rsidRPr="004E5A6E">
        <w:rPr>
          <w:rFonts w:ascii="Times New Roman" w:hAnsi="Times New Roman"/>
          <w:lang w:val="sq-AL"/>
        </w:rPr>
        <w:t>Qeverisja fiskale dhe kornizat buxhetore</w:t>
      </w:r>
      <w:bookmarkEnd w:id="197"/>
    </w:p>
    <w:p w14:paraId="4B39A4A2" w14:textId="2AAA9A82" w:rsidR="00B600AE" w:rsidRPr="004E5A6E" w:rsidRDefault="00B600AE" w:rsidP="003B3804">
      <w:pPr>
        <w:spacing w:line="276" w:lineRule="auto"/>
        <w:jc w:val="both"/>
        <w:rPr>
          <w:color w:val="auto"/>
          <w:lang w:val="sq-AL"/>
        </w:rPr>
      </w:pPr>
      <w:bookmarkStart w:id="198" w:name="_Toc531359902"/>
      <w:r w:rsidRPr="004E5A6E">
        <w:rPr>
          <w:color w:val="auto"/>
          <w:lang w:val="sq-AL"/>
        </w:rPr>
        <w:t>Ndryshe nga vitet e mëparshme, për shkak të situatës së shkaktuar nga pandemia COVID-19, gjatë vitit 2020 ka pasur disa ndryshime në lidhje me qeverisjen fiskale dhe kornizat buxhetore. Për të krijuar hapësirën e nevojshme fiskale për të adresuar çështjet e shkaktuara nga kriza COVID-19 (rënia e të hyrave nga taksat dhe rritja e shpenzimeve), rregullat e mëposhtme fiskale</w:t>
      </w:r>
      <w:r w:rsidR="004569ED" w:rsidRPr="004E5A6E">
        <w:rPr>
          <w:color w:val="auto"/>
          <w:lang w:val="sq-AL"/>
        </w:rPr>
        <w:t xml:space="preserve"> përkohësisht</w:t>
      </w:r>
      <w:r w:rsidRPr="004E5A6E">
        <w:rPr>
          <w:color w:val="auto"/>
          <w:lang w:val="sq-AL"/>
        </w:rPr>
        <w:t xml:space="preserve"> u ndryshuan në fillim të qershorit</w:t>
      </w:r>
      <w:r w:rsidR="004569ED" w:rsidRPr="004E5A6E">
        <w:rPr>
          <w:rStyle w:val="FootnoteReference"/>
          <w:color w:val="auto"/>
          <w:lang w:val="sq-AL"/>
        </w:rPr>
        <w:footnoteReference w:id="12"/>
      </w:r>
      <w:r w:rsidRPr="004E5A6E">
        <w:rPr>
          <w:color w:val="auto"/>
          <w:lang w:val="sq-AL"/>
        </w:rPr>
        <w:t>:</w:t>
      </w:r>
    </w:p>
    <w:p w14:paraId="7D6DB18A" w14:textId="77777777" w:rsidR="00B600AE" w:rsidRPr="004E5A6E" w:rsidRDefault="00B600AE" w:rsidP="0068706C">
      <w:pPr>
        <w:pStyle w:val="ListParagraph"/>
        <w:numPr>
          <w:ilvl w:val="0"/>
          <w:numId w:val="4"/>
        </w:numPr>
        <w:spacing w:line="276" w:lineRule="auto"/>
        <w:rPr>
          <w:rFonts w:ascii="Times New Roman" w:eastAsia="Times New Roman" w:hAnsi="Times New Roman"/>
          <w:sz w:val="24"/>
          <w:szCs w:val="24"/>
          <w:lang w:val="sq-AL"/>
        </w:rPr>
      </w:pPr>
      <w:r w:rsidRPr="004E5A6E">
        <w:rPr>
          <w:rFonts w:ascii="Times New Roman" w:eastAsia="Times New Roman" w:hAnsi="Times New Roman"/>
          <w:sz w:val="24"/>
          <w:szCs w:val="24"/>
          <w:lang w:val="sq-AL"/>
        </w:rPr>
        <w:t>Deficiti fiskal është lejuar të arrijë 6.5 përqind të PBB-së, nga sa ishte 2 përqind e PBB-së më parë; dhe</w:t>
      </w:r>
    </w:p>
    <w:p w14:paraId="74410167" w14:textId="77777777" w:rsidR="00B600AE" w:rsidRPr="004E5A6E" w:rsidRDefault="00B600AE" w:rsidP="0068706C">
      <w:pPr>
        <w:pStyle w:val="ListParagraph"/>
        <w:numPr>
          <w:ilvl w:val="0"/>
          <w:numId w:val="4"/>
        </w:numPr>
        <w:spacing w:line="276" w:lineRule="auto"/>
        <w:rPr>
          <w:rFonts w:ascii="Times New Roman" w:eastAsia="Times New Roman" w:hAnsi="Times New Roman"/>
          <w:sz w:val="24"/>
          <w:szCs w:val="24"/>
          <w:lang w:val="sq-AL"/>
        </w:rPr>
      </w:pPr>
      <w:r w:rsidRPr="004E5A6E">
        <w:rPr>
          <w:rFonts w:ascii="Times New Roman" w:eastAsia="Times New Roman" w:hAnsi="Times New Roman"/>
          <w:sz w:val="24"/>
          <w:szCs w:val="24"/>
          <w:lang w:val="sq-AL"/>
        </w:rPr>
        <w:t>Bilanci bankar është lejuar të arrijë 3 përqind të PBB-së, nga sa ishte 4.5 përqind e PBB-së më parë.</w:t>
      </w:r>
    </w:p>
    <w:p w14:paraId="7CDFB96F" w14:textId="77777777" w:rsidR="00B600AE" w:rsidRPr="004E5A6E" w:rsidRDefault="00B600AE" w:rsidP="00B600AE">
      <w:pPr>
        <w:pStyle w:val="ERPL2"/>
        <w:ind w:left="426"/>
        <w:rPr>
          <w:rFonts w:ascii="Times New Roman" w:hAnsi="Times New Roman"/>
          <w:lang w:val="sq-AL"/>
        </w:rPr>
      </w:pPr>
      <w:bookmarkStart w:id="199" w:name="_Toc57720389"/>
      <w:bookmarkStart w:id="200" w:name="_Toc504051229"/>
      <w:bookmarkStart w:id="201" w:name="_Toc504051426"/>
      <w:bookmarkStart w:id="202" w:name="_Toc504338931"/>
      <w:bookmarkEnd w:id="198"/>
      <w:r w:rsidRPr="004E5A6E">
        <w:rPr>
          <w:rFonts w:ascii="Times New Roman" w:hAnsi="Times New Roman"/>
          <w:lang w:val="sq-AL"/>
        </w:rPr>
        <w:t>Qëndrueshmëria e Financave Publike</w:t>
      </w:r>
      <w:bookmarkEnd w:id="199"/>
      <w:r w:rsidRPr="004E5A6E">
        <w:rPr>
          <w:rFonts w:ascii="Times New Roman" w:hAnsi="Times New Roman"/>
          <w:lang w:val="sq-AL"/>
        </w:rPr>
        <w:t xml:space="preserve"> </w:t>
      </w:r>
    </w:p>
    <w:p w14:paraId="2DD9E29E" w14:textId="77777777" w:rsidR="00B600AE" w:rsidRPr="004E5A6E" w:rsidRDefault="00B600AE" w:rsidP="00B600AE">
      <w:pPr>
        <w:pStyle w:val="ERPL3"/>
        <w:ind w:left="720"/>
        <w:rPr>
          <w:rFonts w:ascii="Times New Roman" w:hAnsi="Times New Roman"/>
          <w:lang w:val="sq-AL"/>
        </w:rPr>
      </w:pPr>
      <w:bookmarkStart w:id="203" w:name="_Toc57198276"/>
      <w:bookmarkStart w:id="204" w:name="_Toc57720390"/>
      <w:bookmarkEnd w:id="200"/>
      <w:bookmarkEnd w:id="201"/>
      <w:bookmarkEnd w:id="202"/>
      <w:r w:rsidRPr="004E5A6E">
        <w:rPr>
          <w:rFonts w:ascii="Times New Roman" w:hAnsi="Times New Roman"/>
          <w:lang w:val="sq-AL"/>
        </w:rPr>
        <w:t>Qëndrueshmëria e borxhit</w:t>
      </w:r>
      <w:bookmarkEnd w:id="203"/>
      <w:bookmarkEnd w:id="204"/>
    </w:p>
    <w:p w14:paraId="25DA25F2" w14:textId="7085973D" w:rsidR="003B3804" w:rsidRPr="004E5A6E" w:rsidRDefault="00B600AE" w:rsidP="003B3804">
      <w:pPr>
        <w:rPr>
          <w:lang w:val="sq-AL"/>
        </w:rPr>
      </w:pPr>
      <w:r w:rsidRPr="004E5A6E">
        <w:rPr>
          <w:lang w:val="sq-AL"/>
        </w:rPr>
        <w:t>Analiza e Qëndrueshmërisë së Borxhit do të përfshihet në draftin përfundimtar.</w:t>
      </w:r>
    </w:p>
    <w:p w14:paraId="5007EDC1" w14:textId="77777777" w:rsidR="003B3804" w:rsidRPr="004E5A6E" w:rsidRDefault="003B3804" w:rsidP="003B3804">
      <w:pPr>
        <w:rPr>
          <w:lang w:val="sq-AL"/>
        </w:rPr>
      </w:pPr>
    </w:p>
    <w:p w14:paraId="5B38E2D9" w14:textId="77777777" w:rsidR="003B3804" w:rsidRPr="004E5A6E" w:rsidRDefault="003B3804" w:rsidP="003B3804">
      <w:pPr>
        <w:rPr>
          <w:lang w:val="sq-AL"/>
        </w:rPr>
      </w:pPr>
    </w:p>
    <w:p w14:paraId="30638197" w14:textId="77777777" w:rsidR="003B3804" w:rsidRPr="004E5A6E" w:rsidRDefault="003B3804" w:rsidP="003B3804">
      <w:pPr>
        <w:rPr>
          <w:lang w:val="sq-AL"/>
        </w:rPr>
      </w:pPr>
    </w:p>
    <w:p w14:paraId="746F40C3" w14:textId="77777777" w:rsidR="003B3804" w:rsidRPr="004E5A6E" w:rsidRDefault="003B3804" w:rsidP="003B3804">
      <w:pPr>
        <w:rPr>
          <w:lang w:val="sq-AL"/>
        </w:rPr>
      </w:pPr>
    </w:p>
    <w:p w14:paraId="6B1480E8" w14:textId="77777777" w:rsidR="003B3804" w:rsidRPr="004E5A6E" w:rsidRDefault="003B3804" w:rsidP="003B3804">
      <w:pPr>
        <w:rPr>
          <w:lang w:val="sq-AL"/>
        </w:rPr>
      </w:pPr>
    </w:p>
    <w:p w14:paraId="0CA23F18" w14:textId="77777777" w:rsidR="003B3804" w:rsidRPr="004E5A6E" w:rsidRDefault="003B3804" w:rsidP="003B3804">
      <w:pPr>
        <w:rPr>
          <w:lang w:val="sq-AL"/>
        </w:rPr>
      </w:pPr>
    </w:p>
    <w:p w14:paraId="475B241B" w14:textId="7AF7B82F" w:rsidR="003B3804" w:rsidRDefault="003B3804" w:rsidP="003B3804">
      <w:pPr>
        <w:rPr>
          <w:lang w:val="sq-AL"/>
        </w:rPr>
      </w:pPr>
    </w:p>
    <w:p w14:paraId="0C61D040" w14:textId="304AD8E8" w:rsidR="00CE4035" w:rsidRDefault="00CE4035" w:rsidP="003B3804">
      <w:pPr>
        <w:rPr>
          <w:lang w:val="sq-AL"/>
        </w:rPr>
      </w:pPr>
    </w:p>
    <w:p w14:paraId="42701A8B" w14:textId="53760B44" w:rsidR="00CE4035" w:rsidRDefault="00CE4035" w:rsidP="003B3804">
      <w:pPr>
        <w:rPr>
          <w:lang w:val="sq-AL"/>
        </w:rPr>
      </w:pPr>
    </w:p>
    <w:p w14:paraId="729B068B" w14:textId="4FFE0AD6" w:rsidR="00CE4035" w:rsidRDefault="00CE4035" w:rsidP="003B3804">
      <w:pPr>
        <w:rPr>
          <w:lang w:val="sq-AL"/>
        </w:rPr>
      </w:pPr>
    </w:p>
    <w:p w14:paraId="5FF28F61" w14:textId="19052398" w:rsidR="00CE4035" w:rsidRDefault="00CE4035" w:rsidP="003B3804">
      <w:pPr>
        <w:rPr>
          <w:lang w:val="sq-AL"/>
        </w:rPr>
      </w:pPr>
    </w:p>
    <w:p w14:paraId="75333FB4" w14:textId="553ADE80" w:rsidR="00CE4035" w:rsidRDefault="00CE4035" w:rsidP="003B3804">
      <w:pPr>
        <w:rPr>
          <w:lang w:val="sq-AL"/>
        </w:rPr>
      </w:pPr>
    </w:p>
    <w:p w14:paraId="4E76B708" w14:textId="0DBB90B3" w:rsidR="00CE4035" w:rsidRDefault="00CE4035" w:rsidP="003B3804">
      <w:pPr>
        <w:rPr>
          <w:lang w:val="sq-AL"/>
        </w:rPr>
      </w:pPr>
    </w:p>
    <w:p w14:paraId="6FAAD0A8" w14:textId="47CD5B8B" w:rsidR="00CE4035" w:rsidRDefault="00CE4035" w:rsidP="003B3804">
      <w:pPr>
        <w:rPr>
          <w:lang w:val="sq-AL"/>
        </w:rPr>
      </w:pPr>
    </w:p>
    <w:p w14:paraId="2CFEB561" w14:textId="77777777" w:rsidR="00CE4035" w:rsidRPr="00CF7E78" w:rsidRDefault="00CE4035" w:rsidP="0068706C">
      <w:pPr>
        <w:pStyle w:val="ERPL1"/>
        <w:numPr>
          <w:ilvl w:val="0"/>
          <w:numId w:val="87"/>
        </w:numPr>
        <w:tabs>
          <w:tab w:val="left" w:pos="180"/>
        </w:tabs>
        <w:rPr>
          <w:rFonts w:ascii="Times New Roman" w:hAnsi="Times New Roman"/>
          <w:lang w:val="sq-AL"/>
        </w:rPr>
      </w:pPr>
      <w:bookmarkStart w:id="205" w:name="_Toc25533240"/>
      <w:bookmarkStart w:id="206" w:name="_Toc25873746"/>
      <w:bookmarkStart w:id="207" w:name="_Toc31788847"/>
      <w:bookmarkStart w:id="208" w:name="_Toc25744137"/>
      <w:bookmarkStart w:id="209" w:name="_Toc25914969"/>
      <w:bookmarkStart w:id="210" w:name="_Toc31285988"/>
      <w:r w:rsidRPr="00CF7E78">
        <w:rPr>
          <w:rFonts w:ascii="Times New Roman" w:hAnsi="Times New Roman"/>
          <w:lang w:val="sq-AL"/>
        </w:rPr>
        <w:t>REFORMAT STRUKTURORE 2021-202</w:t>
      </w:r>
      <w:bookmarkEnd w:id="208"/>
      <w:bookmarkEnd w:id="209"/>
      <w:bookmarkEnd w:id="210"/>
      <w:r w:rsidRPr="00CF7E78">
        <w:rPr>
          <w:rFonts w:ascii="Times New Roman" w:hAnsi="Times New Roman"/>
          <w:lang w:val="sq-AL"/>
        </w:rPr>
        <w:t>3</w:t>
      </w:r>
    </w:p>
    <w:p w14:paraId="428112EB" w14:textId="77777777" w:rsidR="00CE4035" w:rsidRPr="00CF7E78" w:rsidRDefault="00CE4035" w:rsidP="0068706C">
      <w:pPr>
        <w:pStyle w:val="ERPL2"/>
        <w:numPr>
          <w:ilvl w:val="1"/>
          <w:numId w:val="87"/>
        </w:numPr>
        <w:rPr>
          <w:rStyle w:val="Heading2Char"/>
          <w:rFonts w:ascii="Times New Roman" w:eastAsia="Calibri" w:hAnsi="Times New Roman"/>
          <w:b/>
          <w:smallCaps w:val="0"/>
          <w:szCs w:val="24"/>
          <w:lang w:val="sq-AL"/>
        </w:rPr>
      </w:pPr>
      <w:bookmarkStart w:id="211" w:name="_Toc31285989"/>
      <w:r w:rsidRPr="00CF7E78">
        <w:rPr>
          <w:rStyle w:val="Heading2Char"/>
          <w:rFonts w:ascii="Times New Roman" w:eastAsia="Calibri" w:hAnsi="Times New Roman"/>
          <w:szCs w:val="24"/>
          <w:lang w:val="sq-AL"/>
        </w:rPr>
        <w:t xml:space="preserve"> </w:t>
      </w:r>
      <w:bookmarkEnd w:id="211"/>
      <w:r w:rsidRPr="00CF7E78">
        <w:rPr>
          <w:rStyle w:val="Heading2Char"/>
          <w:rFonts w:ascii="Times New Roman" w:eastAsia="Calibri" w:hAnsi="Times New Roman"/>
          <w:b/>
          <w:szCs w:val="24"/>
          <w:lang w:val="sq-AL"/>
        </w:rPr>
        <w:t>Identifikimi i pengesave kryesore për konkurrueshmërinë dhe rritjen gjithëpërfshirëse</w:t>
      </w:r>
    </w:p>
    <w:p w14:paraId="6CBFA28D" w14:textId="50AAC698" w:rsidR="00CE4035" w:rsidRPr="00CF7E78" w:rsidRDefault="00CE4035" w:rsidP="00CE4035">
      <w:pPr>
        <w:pStyle w:val="Default"/>
        <w:jc w:val="both"/>
        <w:rPr>
          <w:rFonts w:ascii="Times New Roman" w:eastAsia="Times New Roman" w:hAnsi="Times New Roman" w:cs="Times New Roman"/>
          <w:color w:val="auto"/>
          <w:lang w:val="sq-AL"/>
        </w:rPr>
      </w:pPr>
      <w:r w:rsidRPr="00CF7E78">
        <w:rPr>
          <w:rFonts w:ascii="Times New Roman" w:eastAsia="Times New Roman" w:hAnsi="Times New Roman" w:cs="Times New Roman"/>
          <w:color w:val="auto"/>
          <w:lang w:val="sq-AL"/>
        </w:rPr>
        <w:t>Në këtë pjesë raportohet mbi zhvillimet sa i përket pengesave kryesore të identifikuara që nga cikli i kaluar i PRE-së. Sipas të dhënave vjetore nga Agjencia e Statistikave të Kosovës (ASK) se PBB reale gjatë vitit 2019 ishte rritur p</w:t>
      </w:r>
      <w:r w:rsidR="005116BD">
        <w:rPr>
          <w:rFonts w:ascii="Times New Roman" w:eastAsia="Times New Roman" w:hAnsi="Times New Roman" w:cs="Times New Roman"/>
          <w:color w:val="auto"/>
          <w:lang w:val="sq-AL"/>
        </w:rPr>
        <w:t>ë</w:t>
      </w:r>
      <w:r w:rsidRPr="00CF7E78">
        <w:rPr>
          <w:rFonts w:ascii="Times New Roman" w:eastAsia="Times New Roman" w:hAnsi="Times New Roman" w:cs="Times New Roman"/>
          <w:color w:val="auto"/>
          <w:lang w:val="sq-AL"/>
        </w:rPr>
        <w:t xml:space="preserve">r 4.94% krahasuar me vitin paraprak. </w:t>
      </w:r>
    </w:p>
    <w:p w14:paraId="0ECBEB9E" w14:textId="77777777" w:rsidR="00CE4035" w:rsidRPr="00CF7E78" w:rsidRDefault="00CE4035" w:rsidP="00CE4035">
      <w:pPr>
        <w:spacing w:after="60"/>
        <w:jc w:val="both"/>
        <w:rPr>
          <w:lang w:val="sq-AL"/>
        </w:rPr>
      </w:pPr>
      <w:r w:rsidRPr="00CF7E78">
        <w:rPr>
          <w:color w:val="auto"/>
          <w:lang w:val="sq-AL"/>
        </w:rPr>
        <w:t>Kosova po përballet me një situatë serioze si rezultat i pandemisë COVID-19 si në shëndetin publik ashtu edhe në ekonomi. Sipas projeksioneve të Ministrisë së Financave, ekonomia pritet të bie  për 6.7% në PBB reale. Kriza për shkak të pandemisë COVID-19 ka pasur një ndikim në eksportet e shërbimeve, konsumin privat dhe investimet. Si e tillë, “pa rritjen e remitencave dhe reagimin me politika fiskale kundërciklike të vendit, tkurrja do të ishte më e thellë". Megjithëse Qeveria ka parashikuar një rritje prej 5.2%, raporti i Bankës Botërore nënvizon se rimëkëmbja pritet të jetë më e ngadaltë sesa ishte parashikuar më parë. Goditja e shkaktuar nga pandemia COVID-19 konfirmoi nevojën për një rimëkëmbje të duhur që trajton pengesat strukturore për një kohë të gjatë, por gjithashtu vuri në pah edhe rolin e rëndësishëm që remitencat luajnë gjatë këtyre kohërave.</w:t>
      </w:r>
      <w:r w:rsidRPr="00CF7E78">
        <w:rPr>
          <w:rStyle w:val="FootnoteReference"/>
          <w:lang w:val="sq-AL"/>
        </w:rPr>
        <w:footnoteReference w:id="13"/>
      </w:r>
    </w:p>
    <w:p w14:paraId="401AD18F" w14:textId="77777777" w:rsidR="00CE4035" w:rsidRPr="00CF7E78" w:rsidRDefault="00CE4035" w:rsidP="00CE4035">
      <w:pPr>
        <w:spacing w:after="60"/>
        <w:jc w:val="both"/>
        <w:rPr>
          <w:color w:val="auto"/>
          <w:lang w:val="sq-AL"/>
        </w:rPr>
      </w:pPr>
      <w:r w:rsidRPr="00CF7E78">
        <w:rPr>
          <w:color w:val="auto"/>
          <w:lang w:val="sq-AL"/>
        </w:rPr>
        <w:t xml:space="preserve">Përkundër këtyre sfidave, </w:t>
      </w:r>
      <w:r w:rsidRPr="00CF7E78">
        <w:rPr>
          <w:lang w:val="sq-AL"/>
        </w:rPr>
        <w:t xml:space="preserve">raporti i Bankës Botërore për të bërit biznes, thekson se Kosova ka përmirësuar mjedisin e biznesit dhe e ka diversifikuar tregtinë, </w:t>
      </w:r>
      <w:r w:rsidRPr="00CF7E78">
        <w:rPr>
          <w:color w:val="auto"/>
          <w:lang w:val="sq-AL"/>
        </w:rPr>
        <w:t xml:space="preserve">në treguesit kryesorë siç janë: </w:t>
      </w:r>
      <w:r w:rsidRPr="00CF7E78">
        <w:rPr>
          <w:lang w:val="sq-AL"/>
        </w:rPr>
        <w:t>fushat e trajtimit të lejeve të ndërtimit, qasjes në energji elektrike, mbrojtjes së investitorëve të vegjël dhe zbatimit të kontratave.</w:t>
      </w:r>
      <w:r w:rsidRPr="00CF7E78">
        <w:rPr>
          <w:rStyle w:val="FootnoteReference"/>
          <w:lang w:val="sq-AL"/>
        </w:rPr>
        <w:footnoteReference w:id="14"/>
      </w:r>
      <w:r w:rsidRPr="00CF7E78">
        <w:rPr>
          <w:lang w:val="sq-AL"/>
        </w:rPr>
        <w:t xml:space="preserve"> </w:t>
      </w:r>
      <w:r w:rsidRPr="00CF7E78">
        <w:rPr>
          <w:color w:val="auto"/>
          <w:lang w:val="sq-AL"/>
        </w:rPr>
        <w:t>Sidoqoftë, për shkak të krizës nga pandemia, “do të jetë e nevojshme për një transformim ekonomik dhe për të çuar përpara reformat strukturore në planin afatmesëm për të kthyer efektet negative ekonomike për shkak të shpërthimit të pandemisë dhe për t'i ndihmuar qytetarët të bëhen më rezistentë ndaj goditjeve negative në të ardhmen. Epidemia ka dëshmuar se sa është i  rëndësishëm funksionimi i mirë i mekanizmave të mbrojtjes sociale dhe targetimi  më i mirë i  shpenzimeve në fushën e mbrojtjes sociale ”.</w:t>
      </w:r>
      <w:r w:rsidRPr="00CF7E78">
        <w:rPr>
          <w:rStyle w:val="FootnoteReference"/>
          <w:lang w:val="sq-AL"/>
        </w:rPr>
        <w:footnoteReference w:id="15"/>
      </w:r>
    </w:p>
    <w:p w14:paraId="5FE62786" w14:textId="77777777" w:rsidR="00CE4035" w:rsidRPr="00CF7E78" w:rsidRDefault="00CE4035" w:rsidP="00CE4035">
      <w:pPr>
        <w:spacing w:after="60"/>
        <w:jc w:val="both"/>
        <w:rPr>
          <w:lang w:val="sq-AL"/>
        </w:rPr>
      </w:pPr>
      <w:r w:rsidRPr="00CF7E78">
        <w:rPr>
          <w:color w:val="auto"/>
          <w:lang w:val="sq-AL"/>
        </w:rPr>
        <w:t>Në këtë drejtim, vlerësimi i KE-së për Ekonominë e Kosovës nënvizoi sfidat kryesore strukturore, të cilat duhet të adresohen pasi që ato konsiderohen se kanë potencialin më të madh për të ndihmuar  rritjen gjithëpërfshirëse dhe konkurrueshmërinë dhe kanë potencial real për  reforma.</w:t>
      </w:r>
    </w:p>
    <w:p w14:paraId="1B8731F3" w14:textId="77777777" w:rsidR="00CE4035" w:rsidRPr="00CF7E78" w:rsidRDefault="00CE4035" w:rsidP="00CE4035">
      <w:pPr>
        <w:spacing w:after="60"/>
        <w:jc w:val="both"/>
        <w:rPr>
          <w:color w:val="auto"/>
          <w:lang w:val="sq-AL"/>
        </w:rPr>
      </w:pPr>
      <w:r w:rsidRPr="00CF7E78">
        <w:rPr>
          <w:color w:val="auto"/>
          <w:lang w:val="sq-AL"/>
        </w:rPr>
        <w:t>Përveç kësaj, për këto sfida në mënyrë që të mbahet një rritje e lartë dhe gjithëpërfshirëse, është gjithashtu e nevojshme të rritet produktiviteti duke ulur barrën administrative për firmat, duke koordinuar më mirë inspektimet e bizneseve, investime në kapitalin njerëzor dhe duke përmirësuar sundimin e ligjit. Këto sfida përfshijnë: (i) rritjen e nivelit të aktivitetit dhe punësimit; (ii) ndërlidhja e rezultateve të arsimit me nevojat e tregut të punës; (iii) shfrytëzimi i potencialeve të rinovueshme dhe kursimit të energjisë dhe hapja e plotë e tregut të energjisë dhe (iv) formalizimi i ekonomisë.</w:t>
      </w:r>
      <w:r w:rsidRPr="00CF7E78">
        <w:rPr>
          <w:rStyle w:val="FootnoteReference"/>
          <w:lang w:val="sq-AL"/>
        </w:rPr>
        <w:t xml:space="preserve"> </w:t>
      </w:r>
      <w:r w:rsidRPr="00CF7E78">
        <w:rPr>
          <w:rStyle w:val="FootnoteReference"/>
          <w:lang w:val="sq-AL"/>
        </w:rPr>
        <w:footnoteReference w:id="16"/>
      </w:r>
    </w:p>
    <w:p w14:paraId="2C93EAD4" w14:textId="77777777" w:rsidR="00CE4035" w:rsidRPr="00CF7E78" w:rsidRDefault="00CE4035" w:rsidP="00CE4035">
      <w:pPr>
        <w:spacing w:after="60"/>
        <w:jc w:val="both"/>
        <w:rPr>
          <w:lang w:val="sq-AL"/>
        </w:rPr>
      </w:pPr>
      <w:r w:rsidRPr="00CF7E78">
        <w:rPr>
          <w:b/>
          <w:lang w:val="sq-AL"/>
        </w:rPr>
        <w:t>Rritja e aktivitetit dhe niveleve të  punësimit</w:t>
      </w:r>
      <w:r w:rsidRPr="00CF7E78">
        <w:rPr>
          <w:lang w:val="sq-AL"/>
        </w:rPr>
        <w:t xml:space="preserve"> - Përkundër papunësisë kronike pjesëmarrja e fuqisë punëtore vazhdon të jetë e ulët. </w:t>
      </w:r>
      <w:r w:rsidRPr="00CF7E78">
        <w:rPr>
          <w:b/>
          <w:lang w:val="sq-AL"/>
        </w:rPr>
        <w:t>Zhvillimi socio-ekonomik i Kosovës nuk po përparon, pasi që tregu i punës nuk po zgjerohet</w:t>
      </w:r>
      <w:r w:rsidRPr="00CF7E78">
        <w:rPr>
          <w:lang w:val="sq-AL"/>
        </w:rPr>
        <w:t>. Aktiviteti dhe niveli shumë i ulët i punësimit dhe prania e kufizuar e grave në tregun e punës janë disa nga sfidat më të dukshme, së bashku me punësimin përhapur joformal dhe cilësinë e dobët të punës në sektorin privat</w:t>
      </w:r>
    </w:p>
    <w:p w14:paraId="41A49FA8" w14:textId="77777777" w:rsidR="00CE4035" w:rsidRPr="00CF7E78" w:rsidRDefault="00CE4035" w:rsidP="00CE4035">
      <w:pPr>
        <w:spacing w:after="60"/>
        <w:jc w:val="both"/>
        <w:rPr>
          <w:lang w:val="sq-AL"/>
        </w:rPr>
      </w:pPr>
      <w:r w:rsidRPr="00CF7E78">
        <w:rPr>
          <w:b/>
          <w:lang w:val="sq-AL"/>
        </w:rPr>
        <w:t>Performanca e tregut të punës mbetet konsiderueshëm prapa rajonit dhe BE-së</w:t>
      </w:r>
      <w:r w:rsidRPr="00CF7E78">
        <w:rPr>
          <w:lang w:val="sq-AL"/>
        </w:rPr>
        <w:t>. Struktura aktuale ekonomike, kryesisht e bazuar në produkte dhe shërbime të pa sofistikuara dhe me vlerë të shtuar të nivelit të ulët nuk është në gjendje të krijojë numër të mjaftueshëm të vendeve të punës që kërkon shkathtësi të larta. Remitencat e rrisin nivelin e pagës rezervë kurse ekonomia joformale zvogëlon numrin e vendeve formale të punës. Mungesa e mjediseve të kujdesit për fëmijë dhe përkujdesja institucionale për të moshuarit, e kombinuar me mungesën e fleksibilitetit në punë dhe paragjykimeve kulturore, e dekurajon pjesëmarrjen e grave në tregun e punës</w:t>
      </w:r>
    </w:p>
    <w:p w14:paraId="638DC54C" w14:textId="77777777" w:rsidR="00CE4035" w:rsidRPr="00CF7E78" w:rsidRDefault="00CE4035" w:rsidP="00CE4035">
      <w:pPr>
        <w:spacing w:after="60"/>
        <w:jc w:val="both"/>
        <w:rPr>
          <w:lang w:val="sq-AL"/>
        </w:rPr>
      </w:pPr>
      <w:r w:rsidRPr="00CF7E78">
        <w:rPr>
          <w:b/>
          <w:lang w:val="sq-AL"/>
        </w:rPr>
        <w:t>Përveç këtyre sfidave, lidhja e dobët midis arsimit dhe tregut të punës, si një sfidë e rëndësishme</w:t>
      </w:r>
      <w:r w:rsidRPr="00CF7E78">
        <w:rPr>
          <w:lang w:val="sq-AL"/>
        </w:rPr>
        <w:t>, në veçanti theksoi se mungesa e shkathtësive vazhdon të mbetet një pengesë për rritjen, ndërsa cilësia e përgjithshme e arsimit dhe kapitalit njerëzor mbetet një sfidë e rëndësishme. Një studim i kryer në fund të vitit 2015 i konfirmoi gjetjet e mëparshme</w:t>
      </w:r>
      <w:r w:rsidRPr="00CF7E78">
        <w:rPr>
          <w:vertAlign w:val="superscript"/>
          <w:lang w:val="sq-AL"/>
        </w:rPr>
        <w:footnoteReference w:id="17"/>
      </w:r>
      <w:r w:rsidRPr="00CF7E78">
        <w:rPr>
          <w:lang w:val="sq-AL"/>
        </w:rPr>
        <w:t xml:space="preserve">, ku më shumë se një e treta e firmave raportuan se kishin probleme në gjetjen e shkathtësive të kërkuara kur punësojnë teknikë, profesionistë, punëtorë zyre dhe shërbimesh, si dhe punëtorë artizanalë bujqësorë, ndërtimorë dhe të tjerë. Analiza e pengesave e strukturore e Korporatës së Sfidave të Mijëvjeçarit (MCC) vlerësoi shkallët e kthimit të arsimit në Kosovë dhe arriti në përfundimin se ato janë në përputhje me hipotezën se </w:t>
      </w:r>
      <w:r w:rsidRPr="00CF7E78">
        <w:rPr>
          <w:b/>
          <w:lang w:val="sq-AL"/>
        </w:rPr>
        <w:t>cilësia e ulët në arsim</w:t>
      </w:r>
      <w:r w:rsidRPr="00CF7E78">
        <w:rPr>
          <w:lang w:val="sq-AL"/>
        </w:rPr>
        <w:t xml:space="preserve"> është një pengesë e detyrueshme për rritjen, e cila u konfirmua edhe nga rezultatet e studimit PISA 2015.</w:t>
      </w:r>
    </w:p>
    <w:p w14:paraId="50D6E992" w14:textId="77777777" w:rsidR="00CE4035" w:rsidRDefault="00CE4035" w:rsidP="00CE4035">
      <w:pPr>
        <w:spacing w:after="60"/>
        <w:jc w:val="both"/>
      </w:pPr>
      <w:r w:rsidRPr="00CF7E78">
        <w:rPr>
          <w:b/>
          <w:lang w:val="sq-AL"/>
        </w:rPr>
        <w:t>Shfrytëzimi e potencialeve për kursimin e energjisë, energjisë së ripërtëritshme dhe hapja e plotë e tregut të energjisë</w:t>
      </w:r>
      <w:r w:rsidRPr="00CF7E78">
        <w:rPr>
          <w:lang w:val="sq-AL"/>
        </w:rPr>
        <w:t xml:space="preserve"> në infrastrukturë, furnizimi i pamjaftueshëm dhe jo i besueshëm i energjisë është akoma një pengesë e madhe, duke pasur parasysh integrimin në tregjet regjionale të energjisë. Sistemi i vjetërsuar i energjisë mbështetet në dy termocentrale të vjetra, joefikase dhe shumë ndotëse të linjitit, me një kapacitet total të instaluar prej 1,560 MË dhe që mbulon rreth 92% të prodhimit të energjisë elektrike. Kohëzgjatja dhe shpeshtësia e ndërprerjeve të energjisë janë zvogëluar, por besueshmëria e furnizimit me energji është akoma nën nivelin e mesatares për Evropën dhe Azinë Qendrore. Kosova renditet e 90-ta në botë për lehtësinë e marrjes së energjisë elektrike (BB, 2020). Diversifikimi i prodhimit të energjisë është një sfidë tjetër për të arritur objektiva të reja të energjisë së ripërtëritshme për vitin 2030 në përputhje me objektivat e BE-së që do të kërkojë përpjekje shtesë të konsiderueshme nga Kosova.</w:t>
      </w:r>
      <w:r>
        <w:t xml:space="preserve"> </w:t>
      </w:r>
    </w:p>
    <w:p w14:paraId="5FCB74A2" w14:textId="77777777" w:rsidR="00CE4035" w:rsidRPr="00CF7E78" w:rsidRDefault="00CE4035" w:rsidP="00CE4035">
      <w:pPr>
        <w:spacing w:after="60"/>
        <w:jc w:val="both"/>
        <w:rPr>
          <w:lang w:val="sq-AL"/>
        </w:rPr>
      </w:pPr>
      <w:r w:rsidRPr="00CF7E78">
        <w:rPr>
          <w:b/>
          <w:lang w:val="sq-AL"/>
        </w:rPr>
        <w:t>Formalizimi i ekonomisë - Ekonomia joformale e përhapur paraqet një dobësi të madhe strukturore</w:t>
      </w:r>
      <w:r w:rsidRPr="00CF7E78">
        <w:rPr>
          <w:lang w:val="sq-AL"/>
        </w:rPr>
        <w:t>. Një studim i fundit</w:t>
      </w:r>
      <w:r w:rsidRPr="00CF7E78">
        <w:rPr>
          <w:vertAlign w:val="superscript"/>
          <w:lang w:val="sq-AL"/>
        </w:rPr>
        <w:footnoteReference w:id="18"/>
      </w:r>
      <w:r w:rsidRPr="00CF7E78">
        <w:rPr>
          <w:lang w:val="sq-AL"/>
        </w:rPr>
        <w:t xml:space="preserve"> e vlerësoi madhësinë e ekonomisë joformale (të hirtë dhe të zezë) në vitin 2015 në 32% të PBB-së, e cila është dukshëm më e ulët se 43% e PBB-së e vlerësuar për 2013 sipas një metodologjie të krahasueshme. Vlera e taksave direkte të përmbledhura u vlerësua në 107 milion EUR, ose 1.8% e PBB-së. Faktorët që kontribuojnë në ekonominë joformale duket se janë dobësitë institucionale në përditësimin dhe shkëmbimin e informacionit të biznesit, ngarkesa që inspektimet shkaktojnë tek bizneset formale dhe numrin e madh të lejeve dhe licencave me të cilat përballen bizneset.</w:t>
      </w:r>
    </w:p>
    <w:p w14:paraId="1B464897" w14:textId="77777777" w:rsidR="00CE4035" w:rsidRPr="0069723E" w:rsidRDefault="00CE4035" w:rsidP="005116BD">
      <w:pPr>
        <w:pStyle w:val="ERPL2"/>
        <w:numPr>
          <w:ilvl w:val="0"/>
          <w:numId w:val="0"/>
        </w:numPr>
        <w:ind w:left="704"/>
        <w:rPr>
          <w:rFonts w:ascii="Times New Roman" w:hAnsi="Times New Roman"/>
          <w:lang w:val="sq-AL"/>
        </w:rPr>
      </w:pPr>
      <w:r w:rsidRPr="0069723E">
        <w:rPr>
          <w:rFonts w:ascii="Times New Roman" w:hAnsi="Times New Roman"/>
          <w:lang w:val="sq-AL"/>
        </w:rPr>
        <w:t>4.2. Përmbledhje e prioriteteve të reformave</w:t>
      </w:r>
      <w:bookmarkEnd w:id="205"/>
      <w:bookmarkEnd w:id="206"/>
      <w:bookmarkEnd w:id="207"/>
    </w:p>
    <w:p w14:paraId="725B853F" w14:textId="77777777" w:rsidR="00CE4035" w:rsidRPr="0069723E" w:rsidRDefault="00CE4035" w:rsidP="00CE4035">
      <w:pPr>
        <w:spacing w:after="60"/>
        <w:jc w:val="both"/>
      </w:pPr>
      <w:r w:rsidRPr="0069723E">
        <w:t>Pjesa vijuese paraqet 20 masa prioritare të reformave strukturore, që mbulojnë periudhën 2021-2023. Masat e zgjedhura paraqesin prioritetet strategjike ekzistuese dhe të reja që Kosova i ka identifikuar si më të rëndësishmet për të adresuar pengesat kryesore të rritjes ekonomike dhe konkurrueshmërisë, siç përshkruhet në pjesën 4.1. Në përgjithësi, ato rrjedhin nga dokumentet kryesore strategjike, si Strategjia Kombëtare e Zhvillimit 2016-2021, Programi Kombëtar për Zbatimin e MSA-së, dhe strategjitë sektoriale përkatëse të vendit.</w:t>
      </w:r>
    </w:p>
    <w:tbl>
      <w:tblPr>
        <w:tblStyle w:val="TableGrid"/>
        <w:tblW w:w="5000" w:type="pct"/>
        <w:tblLook w:val="04A0" w:firstRow="1" w:lastRow="0" w:firstColumn="1" w:lastColumn="0" w:noHBand="0" w:noVBand="1"/>
      </w:tblPr>
      <w:tblGrid>
        <w:gridCol w:w="8614"/>
      </w:tblGrid>
      <w:tr w:rsidR="00CE4035" w:rsidRPr="0069723E" w14:paraId="506C9F12" w14:textId="77777777" w:rsidTr="009B753C">
        <w:trPr>
          <w:trHeight w:val="1160"/>
        </w:trPr>
        <w:tc>
          <w:tcPr>
            <w:tcW w:w="5000" w:type="pct"/>
          </w:tcPr>
          <w:p w14:paraId="3C13AB29" w14:textId="77777777" w:rsidR="00CE4035" w:rsidRPr="0069723E" w:rsidRDefault="00CE4035" w:rsidP="009B753C">
            <w:pPr>
              <w:shd w:val="clear" w:color="auto" w:fill="9CC2E5" w:themeFill="accent1" w:themeFillTint="99"/>
              <w:spacing w:after="60"/>
              <w:jc w:val="both"/>
              <w:rPr>
                <w:b/>
              </w:rPr>
            </w:pPr>
            <w:r w:rsidRPr="0069723E">
              <w:rPr>
                <w:b/>
              </w:rPr>
              <w:t xml:space="preserve">I. Reforma e tregjeve të energjisë dhe transportit  </w:t>
            </w:r>
          </w:p>
          <w:p w14:paraId="599A25AD" w14:textId="77777777" w:rsidR="00CE4035" w:rsidRPr="0069723E" w:rsidRDefault="00CE4035" w:rsidP="009B753C">
            <w:pPr>
              <w:spacing w:after="60"/>
              <w:jc w:val="both"/>
            </w:pPr>
            <w:r w:rsidRPr="0069723E">
              <w:rPr>
                <w:b/>
              </w:rPr>
              <w:t>#1: Ulja e konsumit të energjisë me anë të masave të efiçiencës së energjisë:</w:t>
            </w:r>
            <w:r w:rsidRPr="0069723E">
              <w:t xml:space="preserve"> qëllimi kryesor i kësaj mase është zbatimi i masave të EE në ndërtesat publike, private dhe amvisëri, arritja e objektivave të kursimit të energjisë dhe rritja e investimeve në projekte përmes fondit të EE dhe ngritjen e kapaciteteve njerëzorë duke targetuar grat në sektorin e energjisë përmes investimeve dhe ndarjes së granteve për bizneset e grave.</w:t>
            </w:r>
          </w:p>
          <w:p w14:paraId="09A43944" w14:textId="77777777" w:rsidR="00CE4035" w:rsidRPr="0069723E" w:rsidRDefault="00CE4035" w:rsidP="009B753C">
            <w:pPr>
              <w:spacing w:after="60"/>
              <w:jc w:val="both"/>
            </w:pPr>
            <w:r w:rsidRPr="0069723E">
              <w:rPr>
                <w:b/>
              </w:rPr>
              <w:t>#2: Rritja e diversitetit të burimeve të energjisë:</w:t>
            </w:r>
            <w:r w:rsidRPr="0069723E">
              <w:t xml:space="preserve"> qëllimi kryesor i kësaj mase është të adresojë pengesat në sektorin e BRE, gazit dhe ngrohjes qendrore. Investimet në këto fusha do të balancojnë kërkesën shtesë, që rezulton në energji më të qëndrueshme dhe ndihmon në arritjen e caqeve të energjisë së ripërtëritshme dhe emetimit të gazrave.</w:t>
            </w:r>
          </w:p>
          <w:p w14:paraId="7C3589E4" w14:textId="77777777" w:rsidR="00CE4035" w:rsidRPr="0069723E" w:rsidRDefault="00CE4035" w:rsidP="009B753C">
            <w:pPr>
              <w:shd w:val="clear" w:color="auto" w:fill="9CC2E5" w:themeFill="accent1" w:themeFillTint="99"/>
              <w:spacing w:after="60"/>
              <w:jc w:val="both"/>
              <w:rPr>
                <w:b/>
              </w:rPr>
            </w:pPr>
            <w:r w:rsidRPr="0069723E">
              <w:rPr>
                <w:b/>
              </w:rPr>
              <w:t>II.  Bujqësia, Industria dhe Shërbimet</w:t>
            </w:r>
          </w:p>
          <w:p w14:paraId="2CF7E5C4" w14:textId="77777777" w:rsidR="00CE4035" w:rsidRPr="0069723E" w:rsidRDefault="00CE4035" w:rsidP="009B753C">
            <w:pPr>
              <w:spacing w:after="60"/>
              <w:jc w:val="both"/>
            </w:pPr>
            <w:r w:rsidRPr="0069723E">
              <w:rPr>
                <w:b/>
              </w:rPr>
              <w:t>#3: Ndryshimet strukturore në sektorin e bujqësisë</w:t>
            </w:r>
            <w:r w:rsidRPr="0069723E">
              <w:t xml:space="preserve">: qëllimi kryesor i kësaj mase është </w:t>
            </w:r>
            <w:r w:rsidRPr="0069723E">
              <w:rPr>
                <w:shd w:val="clear" w:color="auto" w:fill="FFFFFF"/>
                <w:lang w:eastAsia="zh-CN"/>
              </w:rPr>
              <w:t>krijim e politikave të mirëfillta në sektorin e bujqësisë në</w:t>
            </w:r>
            <w:r w:rsidRPr="0069723E">
              <w:t xml:space="preserve"> rritjen e prodhimtarisë dhe ristrukturimi agro-rural, zhvillimi i sektorit agro-ushqimor përmes përmirësimit të aftësive konkurruese, inovacioneve dhe rritjes së prodhimtarisë dhe</w:t>
            </w:r>
            <w:r w:rsidRPr="0069723E">
              <w:rPr>
                <w:shd w:val="clear" w:color="auto" w:fill="FFFFFF"/>
                <w:lang w:eastAsia="zh-CN"/>
              </w:rPr>
              <w:t xml:space="preserve"> zgjerimin dhe rehabilitimit e sistemit të ujitjes</w:t>
            </w:r>
            <w:r w:rsidRPr="0069723E">
              <w:t>.</w:t>
            </w:r>
          </w:p>
          <w:p w14:paraId="3D366672" w14:textId="77777777" w:rsidR="00CE4035" w:rsidRPr="0069723E" w:rsidRDefault="00CE4035" w:rsidP="009B753C">
            <w:pPr>
              <w:spacing w:after="60"/>
              <w:jc w:val="both"/>
            </w:pPr>
            <w:r w:rsidRPr="0069723E">
              <w:rPr>
                <w:b/>
                <w:bCs/>
              </w:rPr>
              <w:t xml:space="preserve">#4: Rritja e konkurrueshmërisë në industrinë prodhuese: </w:t>
            </w:r>
            <w:r w:rsidRPr="0069723E">
              <w:rPr>
                <w:bCs/>
              </w:rPr>
              <w:t>qëllimi kryesor i kësaj mase është të ndihmojë në krijimin e një politike më të koordinuar për zhvillimin e industrisë në tërë zingjirin e furnizimit, të ndihmojë industrinë përpunuese, të rris konkurrueshmërinë, të ndërkombëtarizojë NVM-të dhe rris nivelin e Investimeve të Huaja Direkte (IHD) dhe të diasporës.</w:t>
            </w:r>
          </w:p>
          <w:p w14:paraId="6B04FFE0" w14:textId="77777777" w:rsidR="00CE4035" w:rsidRPr="0069723E" w:rsidRDefault="00CE4035" w:rsidP="009B753C">
            <w:pPr>
              <w:spacing w:after="60"/>
              <w:jc w:val="both"/>
            </w:pPr>
            <w:r w:rsidRPr="0069723E">
              <w:rPr>
                <w:b/>
                <w:bCs/>
              </w:rPr>
              <w:t xml:space="preserve">#5: Ngritja e konkurueshmërisë në sektorin e turizmit dhe hotelerisë: </w:t>
            </w:r>
            <w:r w:rsidRPr="0069723E">
              <w:rPr>
                <w:bCs/>
              </w:rPr>
              <w:t>qëllimi kryesor i kësaj mase është nxitja e zhvillimit te konkurueshmërisë në sektorin e turizmit,</w:t>
            </w:r>
            <w:r w:rsidRPr="0069723E">
              <w:rPr>
                <w:shd w:val="clear" w:color="auto" w:fill="FFFFFF"/>
                <w:lang w:eastAsia="zh-CN"/>
              </w:rPr>
              <w:t xml:space="preserve"> përmirësimi i infrastrukturës ligjore sipas praktikave evropiane, zhvillimi dhe promovimi i produkteve turistike që ndikojnë drejtpërdrejtë në rritjen e ofertës turistike si dhe aspektin e promovimit të trashëgimisë kulturore.  </w:t>
            </w:r>
          </w:p>
          <w:p w14:paraId="39D913C2" w14:textId="77777777" w:rsidR="00CE4035" w:rsidRPr="0069723E" w:rsidRDefault="00CE4035" w:rsidP="009B753C">
            <w:pPr>
              <w:spacing w:after="60"/>
              <w:jc w:val="both"/>
              <w:rPr>
                <w:bCs/>
              </w:rPr>
            </w:pPr>
            <w:r w:rsidRPr="0069723E">
              <w:rPr>
                <w:b/>
                <w:bCs/>
              </w:rPr>
              <w:t>#6: Rritja e konkurrueshmërisë në sektorin e tregtisë në shërbime</w:t>
            </w:r>
            <w:r w:rsidRPr="0069723E">
              <w:rPr>
                <w:bCs/>
              </w:rPr>
              <w:t>: qëllimi kryesor i kësaj mase është të përmirësojë efikasitetin dhe konkurrueshmërinë e veprimtarive të shërbimeve të tregtueshme në Kosovë dhe të nxisë rëndësinë e tyre në nivel me sektorët që ndërlidhen me tregtinë në shërbime.</w:t>
            </w:r>
          </w:p>
          <w:p w14:paraId="57D7DC28" w14:textId="77777777" w:rsidR="00CE4035" w:rsidRPr="0069723E" w:rsidRDefault="00CE4035" w:rsidP="009B753C">
            <w:pPr>
              <w:shd w:val="clear" w:color="auto" w:fill="9CC2E5" w:themeFill="accent1" w:themeFillTint="99"/>
              <w:spacing w:after="60"/>
              <w:jc w:val="both"/>
              <w:rPr>
                <w:b/>
                <w:bCs/>
              </w:rPr>
            </w:pPr>
            <w:r w:rsidRPr="0069723E">
              <w:rPr>
                <w:b/>
              </w:rPr>
              <w:t>III.  Mjedisi i të bërit biznes dhe ulja e ekonomisë joformale</w:t>
            </w:r>
          </w:p>
          <w:p w14:paraId="0F25CCD7" w14:textId="77777777" w:rsidR="00CE4035" w:rsidRPr="0069723E" w:rsidRDefault="00CE4035" w:rsidP="009B753C">
            <w:pPr>
              <w:spacing w:after="60"/>
              <w:jc w:val="both"/>
              <w:rPr>
                <w:b/>
              </w:rPr>
            </w:pPr>
            <w:r w:rsidRPr="0069723E">
              <w:rPr>
                <w:b/>
              </w:rPr>
              <w:t xml:space="preserve">#7: Eliminimi i barrierave ligjore dhe zvogëlimi i burokracisë: </w:t>
            </w:r>
            <w:r w:rsidRPr="0069723E">
              <w:rPr>
                <w:bCs/>
              </w:rPr>
              <w:t>qëllimi kryesor i kësaj mase është</w:t>
            </w:r>
            <w:r w:rsidRPr="0069723E">
              <w:t xml:space="preserve"> dizajnimit të politikave të reja duke përdorur vlerësimin e ndikimit rregullativ, si dhe përmes thjeshtimit të legjislacionit për uljen e barrës administrative. </w:t>
            </w:r>
          </w:p>
          <w:p w14:paraId="38301392" w14:textId="77777777" w:rsidR="00CE4035" w:rsidRPr="0069723E" w:rsidRDefault="00CE4035" w:rsidP="009B753C">
            <w:pPr>
              <w:spacing w:after="60"/>
              <w:jc w:val="both"/>
            </w:pPr>
            <w:r w:rsidRPr="0069723E">
              <w:rPr>
                <w:b/>
              </w:rPr>
              <w:t xml:space="preserve">#8: Reforma e përgjithshme e inspektimeve: </w:t>
            </w:r>
            <w:r w:rsidRPr="0069723E">
              <w:rPr>
                <w:bCs/>
              </w:rPr>
              <w:t>qëllimi kryesor i kësaj mase është</w:t>
            </w:r>
            <w:r w:rsidRPr="0069723E" w:rsidDel="008D267F">
              <w:t xml:space="preserve"> </w:t>
            </w:r>
            <w:r w:rsidRPr="0069723E">
              <w:t>reforma e inspektimeve me qëllim realizimin e përmirësimin e koordinimit ndërinstitucional sa i përket inspektimeve të aktiviteteve të bizneseve dhe digjitalizimin e procesit të inspektimeve.</w:t>
            </w:r>
          </w:p>
          <w:p w14:paraId="276B9C1C" w14:textId="77777777" w:rsidR="00CE4035" w:rsidRPr="0069723E" w:rsidRDefault="00CE4035" w:rsidP="009B753C">
            <w:pPr>
              <w:spacing w:after="60"/>
              <w:jc w:val="both"/>
            </w:pPr>
            <w:r w:rsidRPr="0069723E">
              <w:rPr>
                <w:b/>
                <w:bCs/>
              </w:rPr>
              <w:t xml:space="preserve">#9: Themelimi dhe funksionalizimi i Gjykatës Komerciale: </w:t>
            </w:r>
            <w:r w:rsidRPr="0069723E">
              <w:t>masë fokusohet në rritjen e efektshmërisë se zgjidhjeve të</w:t>
            </w:r>
            <w:r w:rsidRPr="0069723E">
              <w:rPr>
                <w:b/>
              </w:rPr>
              <w:t xml:space="preserve"> </w:t>
            </w:r>
            <w:r w:rsidRPr="0069723E">
              <w:t>konflikteve tregtare duke e themeluar Gjykatën Komerciale, si e vetmja adresë për zgjidhjen e të gjitha konflikteve tregtare të bizneseve dhe investitorëve të huaj.</w:t>
            </w:r>
          </w:p>
          <w:p w14:paraId="6650B05E" w14:textId="77777777" w:rsidR="00CE4035" w:rsidRPr="0069723E" w:rsidRDefault="00CE4035" w:rsidP="009B753C">
            <w:pPr>
              <w:spacing w:after="60"/>
              <w:jc w:val="both"/>
              <w:rPr>
                <w:bCs/>
                <w:iCs/>
              </w:rPr>
            </w:pPr>
            <w:r w:rsidRPr="0069723E">
              <w:rPr>
                <w:b/>
                <w:bCs/>
              </w:rPr>
              <w:t xml:space="preserve">#10: </w:t>
            </w:r>
            <w:r w:rsidRPr="0069723E">
              <w:rPr>
                <w:b/>
                <w:bCs/>
                <w:iCs/>
              </w:rPr>
              <w:t xml:space="preserve">Ulja e informalitetit në sektorin e pronave të paluajtshme: </w:t>
            </w:r>
            <w:r w:rsidRPr="0069723E">
              <w:rPr>
                <w:bCs/>
              </w:rPr>
              <w:t>qëllimi kryesor i kësaj mase është</w:t>
            </w:r>
            <w:r w:rsidRPr="0069723E">
              <w:rPr>
                <w:bCs/>
                <w:iCs/>
              </w:rPr>
              <w:t xml:space="preserve"> shkarkimi i gjykatave nga kërkesat për formalizim, si dhe i ofron qytetarëve një zgjidhje të shpejtë të kërkesave të tyre për formalizmin e të drejtave pronësore dhe </w:t>
            </w:r>
            <w:r w:rsidRPr="0069723E">
              <w:t>transformimi i kadastrit në një platformë të besueshme të të dhënave mbi pronat dhe bartësit e të drejtave pronësore në Kosovë.</w:t>
            </w:r>
          </w:p>
          <w:p w14:paraId="408AE9F4" w14:textId="77777777" w:rsidR="00CE4035" w:rsidRPr="0069723E" w:rsidRDefault="00CE4035" w:rsidP="009B753C">
            <w:pPr>
              <w:spacing w:after="60"/>
              <w:jc w:val="both"/>
              <w:rPr>
                <w:bCs/>
              </w:rPr>
            </w:pPr>
            <w:r w:rsidRPr="0069723E">
              <w:rPr>
                <w:b/>
                <w:bCs/>
              </w:rPr>
              <w:t xml:space="preserve">#11: Zvogëlimi i ekonomisë joformale: </w:t>
            </w:r>
            <w:r w:rsidRPr="0069723E">
              <w:rPr>
                <w:bCs/>
              </w:rPr>
              <w:t>qëllimi kryesor i kësaj mase është</w:t>
            </w:r>
            <w:r w:rsidRPr="0069723E" w:rsidDel="008D267F">
              <w:rPr>
                <w:bCs/>
              </w:rPr>
              <w:t xml:space="preserve"> </w:t>
            </w:r>
            <w:r w:rsidRPr="0069723E">
              <w:rPr>
                <w:bCs/>
              </w:rPr>
              <w:t>luftimi i ekonomisë joformale, përmes përmirësimit të sundimit të ligjit dhe qeverisjes ekonomike në Kosovë, me qëllim të rritjes të të ardhurave tatimore si dhe formalizmit të punësimit.</w:t>
            </w:r>
          </w:p>
          <w:tbl>
            <w:tblPr>
              <w:tblW w:w="8802" w:type="dxa"/>
              <w:tblLook w:val="04A0" w:firstRow="1" w:lastRow="0" w:firstColumn="1" w:lastColumn="0" w:noHBand="0" w:noVBand="1"/>
            </w:tblPr>
            <w:tblGrid>
              <w:gridCol w:w="8802"/>
            </w:tblGrid>
            <w:tr w:rsidR="00CE4035" w:rsidRPr="0069723E" w14:paraId="639436FA" w14:textId="77777777" w:rsidTr="009B753C">
              <w:trPr>
                <w:trHeight w:val="271"/>
              </w:trPr>
              <w:tc>
                <w:tcPr>
                  <w:tcW w:w="8802" w:type="dxa"/>
                  <w:shd w:val="clear" w:color="auto" w:fill="5B9BD5" w:themeFill="accent1"/>
                </w:tcPr>
                <w:p w14:paraId="2C3E0D62" w14:textId="77777777" w:rsidR="00CE4035" w:rsidRPr="0069723E" w:rsidRDefault="00CE4035" w:rsidP="009B753C">
                  <w:pPr>
                    <w:spacing w:after="60"/>
                    <w:rPr>
                      <w:b/>
                    </w:rPr>
                  </w:pPr>
                  <w:r w:rsidRPr="0069723E">
                    <w:rPr>
                      <w:b/>
                    </w:rPr>
                    <w:t>IV. Hulumtimi, zhvillimi dhe inovacioni dhe ekonomia digjitale</w:t>
                  </w:r>
                </w:p>
              </w:tc>
            </w:tr>
          </w:tbl>
          <w:p w14:paraId="480DEE82" w14:textId="77777777" w:rsidR="00CE4035" w:rsidRPr="0069723E" w:rsidRDefault="00CE4035" w:rsidP="009B753C">
            <w:pPr>
              <w:spacing w:after="60"/>
              <w:jc w:val="both"/>
              <w:rPr>
                <w:bCs/>
              </w:rPr>
            </w:pPr>
            <w:r w:rsidRPr="0069723E">
              <w:rPr>
                <w:b/>
                <w:bCs/>
              </w:rPr>
              <w:t xml:space="preserve">#12: Përmirësimi i mjedisit për hulumtim, inovacion dhe ndërmarrësi: </w:t>
            </w:r>
            <w:r w:rsidRPr="0069723E">
              <w:rPr>
                <w:bCs/>
              </w:rPr>
              <w:t xml:space="preserve">masa synon të përmirësoje mjedisin për hulumtim, inovacion dhe ndërmarrësi nëpërmjet kompletimit të kornizës legjislative si dhe rritjes së financimit për HZHI si dhe funksionalizimi </w:t>
            </w:r>
            <w:r w:rsidRPr="0069723E">
              <w:t>i Këshillit Kombëtar të Shkencës.</w:t>
            </w:r>
          </w:p>
          <w:p w14:paraId="5983DB53" w14:textId="77777777" w:rsidR="00CE4035" w:rsidRPr="0069723E" w:rsidRDefault="00CE4035" w:rsidP="009B753C">
            <w:pPr>
              <w:spacing w:after="60"/>
              <w:jc w:val="both"/>
              <w:rPr>
                <w:bCs/>
              </w:rPr>
            </w:pPr>
            <w:r w:rsidRPr="0069723E">
              <w:rPr>
                <w:b/>
                <w:bCs/>
              </w:rPr>
              <w:t xml:space="preserve">#13: Shtrirja e infrastrukturës përkatëse të rrjeteve dhe shërbimeve të TIK-ut për zhvillim socio-ekonomik: </w:t>
            </w:r>
            <w:r w:rsidRPr="0069723E">
              <w:rPr>
                <w:bCs/>
              </w:rPr>
              <w:t>masa</w:t>
            </w:r>
            <w:r w:rsidRPr="0069723E">
              <w:rPr>
                <w:b/>
                <w:bCs/>
              </w:rPr>
              <w:t xml:space="preserve"> </w:t>
            </w:r>
            <w:r w:rsidRPr="0069723E">
              <w:t>ka për qëllim zgjerimin e qasjes dhe përdorimit të TIK-ut përmes shtrirjes së infrastrukturës brezgjerë në viset e pambuluara, përkrahjes për shtrirjen e infrastrukturës mobile 5G, krijimit të kushteve për hulumtim dhe zhvillim në TIK, forcimit të kapitalit njerëzor dhe mbështetjes së bizneseve dixhitale, si dhe dixhitalizimit të bizneseve tjera.</w:t>
            </w:r>
          </w:p>
          <w:tbl>
            <w:tblPr>
              <w:tblW w:w="8790" w:type="dxa"/>
              <w:tblLook w:val="04A0" w:firstRow="1" w:lastRow="0" w:firstColumn="1" w:lastColumn="0" w:noHBand="0" w:noVBand="1"/>
            </w:tblPr>
            <w:tblGrid>
              <w:gridCol w:w="8790"/>
            </w:tblGrid>
            <w:tr w:rsidR="00CE4035" w:rsidRPr="0069723E" w14:paraId="3B994C7F" w14:textId="77777777" w:rsidTr="009B753C">
              <w:trPr>
                <w:trHeight w:val="271"/>
              </w:trPr>
              <w:tc>
                <w:tcPr>
                  <w:tcW w:w="8790" w:type="dxa"/>
                  <w:shd w:val="clear" w:color="auto" w:fill="5B9BD5" w:themeFill="accent1"/>
                </w:tcPr>
                <w:p w14:paraId="3281E0C9" w14:textId="77777777" w:rsidR="00CE4035" w:rsidRPr="0069723E" w:rsidRDefault="00CE4035" w:rsidP="009B753C">
                  <w:pPr>
                    <w:spacing w:after="60"/>
                    <w:rPr>
                      <w:b/>
                    </w:rPr>
                  </w:pPr>
                  <w:r w:rsidRPr="0069723E">
                    <w:rPr>
                      <w:b/>
                    </w:rPr>
                    <w:t>V. Reformat për integrim ekonomik</w:t>
                  </w:r>
                </w:p>
              </w:tc>
            </w:tr>
          </w:tbl>
          <w:p w14:paraId="031876F0" w14:textId="77777777" w:rsidR="00CE4035" w:rsidRPr="0069723E" w:rsidRDefault="00CE4035" w:rsidP="009B753C">
            <w:pPr>
              <w:spacing w:after="60"/>
              <w:jc w:val="both"/>
              <w:rPr>
                <w:bCs/>
              </w:rPr>
            </w:pPr>
            <w:r w:rsidRPr="0069723E">
              <w:rPr>
                <w:b/>
                <w:bCs/>
              </w:rPr>
              <w:t>#14: Lehtësimi i tregtisë përmes uljes së kostos së transaksioneve tregtare:</w:t>
            </w:r>
            <w:r w:rsidRPr="0069723E">
              <w:rPr>
                <w:bCs/>
              </w:rPr>
              <w:t xml:space="preserve"> qëllimi kryesor i kësaj mase është ulja e kostos së transaksioneve ndërkufitare dhe kohës për të përmirësuar kushtet e hyrjes në treg për eksportet e Kosovës në tregjet e zgjedhura (targetuara) si dhe pritet të sigurojë një mjedis miqësor juridik për aktivitetet tregtare në Kosovë.</w:t>
            </w:r>
          </w:p>
          <w:p w14:paraId="5C977DA6" w14:textId="77777777" w:rsidR="00CE4035" w:rsidRPr="0069723E" w:rsidRDefault="00CE4035" w:rsidP="009B753C">
            <w:pPr>
              <w:spacing w:after="60"/>
              <w:jc w:val="both"/>
              <w:rPr>
                <w:bCs/>
              </w:rPr>
            </w:pPr>
            <w:r w:rsidRPr="0069723E">
              <w:rPr>
                <w:b/>
                <w:bCs/>
              </w:rPr>
              <w:t>#15: Zhvillimi i mëtutjeshëm i infrastrukturës së cilësisë dhe fuqizimi i rolit të autoriteteve për mbikëqyrjen e tregut</w:t>
            </w:r>
            <w:r w:rsidRPr="0069723E">
              <w:rPr>
                <w:b/>
                <w:bCs/>
                <w:i/>
              </w:rPr>
              <w:t xml:space="preserve"> </w:t>
            </w:r>
            <w:r w:rsidRPr="0069723E">
              <w:rPr>
                <w:b/>
                <w:bCs/>
              </w:rPr>
              <w:t xml:space="preserve">me fokus në produktet e ndërtimit: </w:t>
            </w:r>
            <w:r w:rsidRPr="0069723E">
              <w:rPr>
                <w:bCs/>
              </w:rPr>
              <w:t xml:space="preserve">Masa synon </w:t>
            </w:r>
            <w:r w:rsidRPr="0069723E">
              <w:rPr>
                <w:rFonts w:eastAsia="Calibri"/>
              </w:rPr>
              <w:t>përafrimin e mëtutjeshëm dhe implementimin e legjislacionit të BE-së me qëllim të: rritjes se kontrollit të tregut, përmbushjen e detyrimeve nga prodhuesit dhe deklarimin e performancës së produkteve të ndërtimit, avancimit të mëtutjeshëm të shërbimeve të ofruara në tregun vendor nga trupat e vlerësimit të konformitetit si dhe integrimin në tregun e BE-së dhe vendeve tjera; eliminimin e barrierave teknike në tregti dhe mbikëqyrjen efektive të tregut nga autoritetet e mbikëqyrjes së tregut.</w:t>
            </w:r>
          </w:p>
          <w:tbl>
            <w:tblPr>
              <w:tblW w:w="8773" w:type="dxa"/>
              <w:tblLook w:val="04A0" w:firstRow="1" w:lastRow="0" w:firstColumn="1" w:lastColumn="0" w:noHBand="0" w:noVBand="1"/>
            </w:tblPr>
            <w:tblGrid>
              <w:gridCol w:w="8773"/>
            </w:tblGrid>
            <w:tr w:rsidR="00CE4035" w:rsidRPr="0069723E" w14:paraId="5F1BA56D" w14:textId="77777777" w:rsidTr="009B753C">
              <w:trPr>
                <w:trHeight w:val="346"/>
              </w:trPr>
              <w:tc>
                <w:tcPr>
                  <w:tcW w:w="5000" w:type="pct"/>
                  <w:shd w:val="clear" w:color="auto" w:fill="5B9BD5" w:themeFill="accent1"/>
                </w:tcPr>
                <w:p w14:paraId="3ABC2672" w14:textId="77777777" w:rsidR="00CE4035" w:rsidRPr="0069723E" w:rsidRDefault="00CE4035" w:rsidP="009B753C">
                  <w:pPr>
                    <w:spacing w:after="60"/>
                    <w:rPr>
                      <w:b/>
                    </w:rPr>
                  </w:pPr>
                  <w:r w:rsidRPr="0069723E">
                    <w:rPr>
                      <w:b/>
                    </w:rPr>
                    <w:t>VI. Arsimi dhe shkathtësitë</w:t>
                  </w:r>
                </w:p>
              </w:tc>
            </w:tr>
          </w:tbl>
          <w:p w14:paraId="42A62169" w14:textId="77777777" w:rsidR="00CE4035" w:rsidRPr="0069723E" w:rsidRDefault="00CE4035" w:rsidP="009B753C">
            <w:pPr>
              <w:spacing w:after="60"/>
              <w:jc w:val="both"/>
              <w:rPr>
                <w:bCs/>
              </w:rPr>
            </w:pPr>
            <w:r w:rsidRPr="0069723E">
              <w:rPr>
                <w:b/>
                <w:bCs/>
              </w:rPr>
              <w:t xml:space="preserve">#16: Rritja e gjithëpërfshirjes dhe cilësisë së edukimit në fëmijërinë e hershme: </w:t>
            </w:r>
            <w:r w:rsidRPr="0069723E">
              <w:rPr>
                <w:bCs/>
              </w:rPr>
              <w:t xml:space="preserve">Masa synon </w:t>
            </w:r>
            <w:r w:rsidRPr="0069723E">
              <w:rPr>
                <w:iCs/>
              </w:rPr>
              <w:t xml:space="preserve">rritjen e vijueshmërisë së fëmijëve në edukimin në fëmijërinë e hershme (EFH), duke përfshirë zbatimin e qasjes gjithëpërfshirëse duke </w:t>
            </w:r>
            <w:r w:rsidRPr="0069723E">
              <w:rPr>
                <w:bCs/>
              </w:rPr>
              <w:t xml:space="preserve">hartuar dhe miratuar ligjin e ri të EFH-së, kurrikulën bërthamë dhe standardeve të zhvillimit dhe të mësuarit në fëmijërinë e hershme, rritjes së hapësirave për IP publike, dhe formave të tjera alternative të edukimit të hershëm, duke përfshirë edhe zhvillimin e vazhdueshëm profesional të stafit menaxherial dhe edukativ. </w:t>
            </w:r>
          </w:p>
          <w:p w14:paraId="7A5C98AD" w14:textId="77777777" w:rsidR="00CE4035" w:rsidRPr="0069723E" w:rsidRDefault="00CE4035" w:rsidP="009B753C">
            <w:pPr>
              <w:spacing w:after="60"/>
              <w:jc w:val="both"/>
              <w:rPr>
                <w:bCs/>
              </w:rPr>
            </w:pPr>
            <w:r w:rsidRPr="0069723E">
              <w:rPr>
                <w:b/>
                <w:bCs/>
              </w:rPr>
              <w:t xml:space="preserve">#17: Zbatimi i kornizës së re kurrikulare në sistemin e edukimit dhe aftësimit profesional: </w:t>
            </w:r>
            <w:r w:rsidRPr="0069723E">
              <w:t xml:space="preserve">Masa synon ngritjen e përputhshmërisë së arsimit dhe aftësimit profesional me kërkesat e tregut të punës duke miratuar kurrikulën bazë në fushën e arsimit dhe aftësimit profesional (AAP); revidimin e formulës së financimit të AAP; dhe fillimin e pilotimit të kurrikulës së re nga institucionet e AAP-së </w:t>
            </w:r>
          </w:p>
          <w:p w14:paraId="4D5A1564" w14:textId="77777777" w:rsidR="00CE4035" w:rsidRPr="0069723E" w:rsidRDefault="00CE4035" w:rsidP="009B753C">
            <w:pPr>
              <w:spacing w:after="60"/>
              <w:jc w:val="both"/>
              <w:rPr>
                <w:b/>
                <w:bCs/>
              </w:rPr>
            </w:pPr>
            <w:r w:rsidRPr="0069723E">
              <w:rPr>
                <w:b/>
                <w:bCs/>
              </w:rPr>
              <w:t xml:space="preserve">#18: </w:t>
            </w:r>
            <w:r w:rsidRPr="0069723E">
              <w:rPr>
                <w:rFonts w:eastAsia="Calibri"/>
                <w:b/>
                <w:bCs/>
              </w:rPr>
              <w:t>R</w:t>
            </w:r>
            <w:r w:rsidRPr="0069723E">
              <w:rPr>
                <w:b/>
                <w:spacing w:val="-1"/>
              </w:rPr>
              <w:t>eforma gjithëpërfshirëse e sistemit parauniversitar:</w:t>
            </w:r>
            <w:r w:rsidRPr="0069723E">
              <w:rPr>
                <w:b/>
                <w:bCs/>
              </w:rPr>
              <w:t xml:space="preserve"> </w:t>
            </w:r>
            <w:r w:rsidRPr="0069723E">
              <w:rPr>
                <w:rFonts w:eastAsia="Calibri"/>
              </w:rPr>
              <w:t>Masa synon</w:t>
            </w:r>
            <w:r w:rsidRPr="0069723E">
              <w:rPr>
                <w:rFonts w:eastAsia="Calibri"/>
                <w:spacing w:val="-1"/>
              </w:rPr>
              <w:t xml:space="preserve"> reformën gjithëpërfshirëse të s</w:t>
            </w:r>
            <w:r w:rsidRPr="0069723E">
              <w:rPr>
                <w:rFonts w:eastAsia="Calibri"/>
              </w:rPr>
              <w:t>istemit  arsimor parauniversitar, përmirësimin e sigurimit të aftësive themelore, ngritjen e cilësisë dhe qasjen në arsim nëpërmjet hartimit të</w:t>
            </w:r>
            <w:r w:rsidRPr="0069723E">
              <w:rPr>
                <w:rFonts w:eastAsia="Calibri"/>
                <w:bCs/>
              </w:rPr>
              <w:t xml:space="preserve"> dokumenteve kurrikulare dhe programeve të reja mësimore/lëndore.</w:t>
            </w:r>
          </w:p>
          <w:p w14:paraId="13F37094" w14:textId="77777777" w:rsidR="00CE4035" w:rsidRPr="0069723E" w:rsidRDefault="00CE4035" w:rsidP="009B753C">
            <w:pPr>
              <w:spacing w:after="60"/>
              <w:jc w:val="both"/>
              <w:rPr>
                <w:bCs/>
              </w:rPr>
            </w:pPr>
            <w:r w:rsidRPr="0069723E">
              <w:rPr>
                <w:b/>
                <w:bCs/>
              </w:rPr>
              <w:t xml:space="preserve">#19: Ngritja dhe sigurimi i cilësisë në arsimin e lartë përmes fuqizimit të AKA dhe profilizimin e institucioneve të arsimit të lartë: </w:t>
            </w:r>
            <w:r w:rsidRPr="0069723E">
              <w:rPr>
                <w:bCs/>
              </w:rPr>
              <w:t xml:space="preserve">Masa </w:t>
            </w:r>
            <w:r w:rsidRPr="0069723E">
              <w:rPr>
                <w:iCs/>
              </w:rPr>
              <w:t>synon ngritjen e cilësisë së arsimit të lartë përmes përmirësimit të legjislacionit dhe ngritjes së kapacitetit të mekanizmave që sigurojnë cilësinë e ofruar nga institucionet e arsimit të lartë (IAL).</w:t>
            </w:r>
          </w:p>
          <w:tbl>
            <w:tblPr>
              <w:tblW w:w="8778" w:type="dxa"/>
              <w:tblLook w:val="04A0" w:firstRow="1" w:lastRow="0" w:firstColumn="1" w:lastColumn="0" w:noHBand="0" w:noVBand="1"/>
            </w:tblPr>
            <w:tblGrid>
              <w:gridCol w:w="8778"/>
            </w:tblGrid>
            <w:tr w:rsidR="00CE4035" w:rsidRPr="0069723E" w14:paraId="16D87643" w14:textId="77777777" w:rsidTr="009B753C">
              <w:trPr>
                <w:trHeight w:val="286"/>
              </w:trPr>
              <w:tc>
                <w:tcPr>
                  <w:tcW w:w="8778" w:type="dxa"/>
                  <w:shd w:val="clear" w:color="auto" w:fill="5B9BD5" w:themeFill="accent1"/>
                </w:tcPr>
                <w:p w14:paraId="7D3289AC" w14:textId="77777777" w:rsidR="00CE4035" w:rsidRPr="0069723E" w:rsidRDefault="00CE4035" w:rsidP="009B753C">
                  <w:pPr>
                    <w:spacing w:after="60"/>
                    <w:rPr>
                      <w:b/>
                    </w:rPr>
                  </w:pPr>
                  <w:r w:rsidRPr="0069723E">
                    <w:rPr>
                      <w:b/>
                    </w:rPr>
                    <w:t xml:space="preserve">VII. Punësimi dhe tregu i punës  </w:t>
                  </w:r>
                </w:p>
              </w:tc>
            </w:tr>
          </w:tbl>
          <w:p w14:paraId="093D95AD" w14:textId="77777777" w:rsidR="00CE4035" w:rsidRPr="0069723E" w:rsidRDefault="00CE4035" w:rsidP="009B753C">
            <w:pPr>
              <w:spacing w:after="60"/>
              <w:jc w:val="both"/>
              <w:rPr>
                <w:bCs/>
              </w:rPr>
            </w:pPr>
            <w:r w:rsidRPr="0069723E">
              <w:rPr>
                <w:b/>
                <w:bCs/>
              </w:rPr>
              <w:t xml:space="preserve">#20: Përmirësimi dhe zgjerimi i shërbimeve publike të punësimit dhe rritja e punësimit të papunëve afatgjatë të rinjve, grave dhe grupeve tjera të cenueshme: </w:t>
            </w:r>
            <w:r w:rsidRPr="0069723E">
              <w:t>M</w:t>
            </w:r>
            <w:r w:rsidRPr="0069723E">
              <w:rPr>
                <w:spacing w:val="-1"/>
              </w:rPr>
              <w:t>a</w:t>
            </w:r>
            <w:r w:rsidRPr="0069723E">
              <w:t>sa</w:t>
            </w:r>
            <w:r w:rsidRPr="0069723E">
              <w:rPr>
                <w:spacing w:val="1"/>
              </w:rPr>
              <w:t xml:space="preserve"> </w:t>
            </w:r>
            <w:r w:rsidRPr="0069723E">
              <w:rPr>
                <w:spacing w:val="-1"/>
              </w:rPr>
              <w:t>s</w:t>
            </w:r>
            <w:r w:rsidRPr="0069723E">
              <w:rPr>
                <w:spacing w:val="2"/>
              </w:rPr>
              <w:t>y</w:t>
            </w:r>
            <w:r w:rsidRPr="0069723E">
              <w:t>n</w:t>
            </w:r>
            <w:r w:rsidRPr="0069723E">
              <w:rPr>
                <w:spacing w:val="-1"/>
              </w:rPr>
              <w:t>o</w:t>
            </w:r>
            <w:r w:rsidRPr="0069723E">
              <w:t>n</w:t>
            </w:r>
            <w:r w:rsidRPr="0069723E">
              <w:rPr>
                <w:spacing w:val="1"/>
              </w:rPr>
              <w:t xml:space="preserve"> </w:t>
            </w:r>
            <w:r w:rsidRPr="0069723E">
              <w:t>ngri</w:t>
            </w:r>
            <w:r w:rsidRPr="0069723E">
              <w:rPr>
                <w:spacing w:val="-1"/>
              </w:rPr>
              <w:t>t</w:t>
            </w:r>
            <w:r w:rsidRPr="0069723E">
              <w:t>jen</w:t>
            </w:r>
            <w:r w:rsidRPr="0069723E">
              <w:rPr>
                <w:spacing w:val="1"/>
              </w:rPr>
              <w:t xml:space="preserve"> </w:t>
            </w:r>
            <w:r w:rsidRPr="0069723E">
              <w:t>e</w:t>
            </w:r>
            <w:r w:rsidRPr="0069723E">
              <w:rPr>
                <w:spacing w:val="2"/>
              </w:rPr>
              <w:t xml:space="preserve"> </w:t>
            </w:r>
            <w:r w:rsidRPr="0069723E">
              <w:t>pun</w:t>
            </w:r>
            <w:r w:rsidRPr="0069723E">
              <w:rPr>
                <w:spacing w:val="-1"/>
              </w:rPr>
              <w:t>ë</w:t>
            </w:r>
            <w:r w:rsidRPr="0069723E">
              <w:t>su</w:t>
            </w:r>
            <w:r w:rsidRPr="0069723E">
              <w:rPr>
                <w:spacing w:val="-1"/>
              </w:rPr>
              <w:t>e</w:t>
            </w:r>
            <w:r w:rsidRPr="0069723E">
              <w:t>s</w:t>
            </w:r>
            <w:r w:rsidRPr="0069723E">
              <w:rPr>
                <w:spacing w:val="2"/>
              </w:rPr>
              <w:t>h</w:t>
            </w:r>
            <w:r w:rsidRPr="0069723E">
              <w:rPr>
                <w:spacing w:val="-1"/>
              </w:rPr>
              <w:t>më</w:t>
            </w:r>
            <w:r w:rsidRPr="0069723E">
              <w:t>ri</w:t>
            </w:r>
            <w:r w:rsidRPr="0069723E">
              <w:rPr>
                <w:spacing w:val="1"/>
              </w:rPr>
              <w:t>s</w:t>
            </w:r>
            <w:r w:rsidRPr="0069723E">
              <w:t xml:space="preserve">ë dhe ngritjen e shkathtësive për të papunët afatgjatë, të rinjtë, gratë dhe grupet tjera të cenueshme të regjistruar në zyrat e punësimit dhe përgatitjen e tyre për tregun e punës </w:t>
            </w:r>
            <w:r w:rsidRPr="0069723E">
              <w:rPr>
                <w:spacing w:val="1"/>
              </w:rPr>
              <w:t>duke</w:t>
            </w:r>
            <w:r w:rsidRPr="0069723E">
              <w:rPr>
                <w:spacing w:val="2"/>
              </w:rPr>
              <w:t xml:space="preserve"> </w:t>
            </w:r>
            <w:r w:rsidRPr="0069723E">
              <w:t>p</w:t>
            </w:r>
            <w:r w:rsidRPr="0069723E">
              <w:rPr>
                <w:spacing w:val="-1"/>
              </w:rPr>
              <w:t>ë</w:t>
            </w:r>
            <w:r w:rsidRPr="0069723E">
              <w:rPr>
                <w:spacing w:val="3"/>
              </w:rPr>
              <w:t>r</w:t>
            </w:r>
            <w:r w:rsidRPr="0069723E">
              <w:rPr>
                <w:spacing w:val="-3"/>
              </w:rPr>
              <w:t>m</w:t>
            </w:r>
            <w:r w:rsidRPr="0069723E">
              <w:t>i</w:t>
            </w:r>
            <w:r w:rsidRPr="0069723E">
              <w:rPr>
                <w:spacing w:val="1"/>
              </w:rPr>
              <w:t>r</w:t>
            </w:r>
            <w:r w:rsidRPr="0069723E">
              <w:rPr>
                <w:spacing w:val="-1"/>
              </w:rPr>
              <w:t>ë</w:t>
            </w:r>
            <w:r w:rsidRPr="0069723E">
              <w:rPr>
                <w:spacing w:val="1"/>
              </w:rPr>
              <w:t>suar</w:t>
            </w:r>
            <w:r w:rsidRPr="0069723E">
              <w:rPr>
                <w:spacing w:val="3"/>
              </w:rPr>
              <w:t xml:space="preserve"> </w:t>
            </w:r>
            <w:r w:rsidRPr="0069723E">
              <w:t>sh</w:t>
            </w:r>
            <w:r w:rsidRPr="0069723E">
              <w:rPr>
                <w:spacing w:val="-1"/>
              </w:rPr>
              <w:t>ë</w:t>
            </w:r>
            <w:r w:rsidRPr="0069723E">
              <w:rPr>
                <w:spacing w:val="1"/>
              </w:rPr>
              <w:t>r</w:t>
            </w:r>
            <w:r w:rsidRPr="0069723E">
              <w:t>b</w:t>
            </w:r>
            <w:r w:rsidRPr="0069723E">
              <w:rPr>
                <w:spacing w:val="1"/>
              </w:rPr>
              <w:t>i</w:t>
            </w:r>
            <w:r w:rsidRPr="0069723E">
              <w:rPr>
                <w:spacing w:val="-3"/>
              </w:rPr>
              <w:t>m</w:t>
            </w:r>
            <w:r w:rsidRPr="0069723E">
              <w:t>et</w:t>
            </w:r>
            <w:r w:rsidRPr="0069723E">
              <w:rPr>
                <w:spacing w:val="2"/>
              </w:rPr>
              <w:t xml:space="preserve"> </w:t>
            </w:r>
            <w:r w:rsidRPr="0069723E">
              <w:t>pub</w:t>
            </w:r>
            <w:r w:rsidRPr="0069723E">
              <w:rPr>
                <w:spacing w:val="-1"/>
              </w:rPr>
              <w:t>l</w:t>
            </w:r>
            <w:r w:rsidRPr="0069723E">
              <w:t>ike</w:t>
            </w:r>
            <w:r w:rsidRPr="0069723E">
              <w:rPr>
                <w:spacing w:val="2"/>
              </w:rPr>
              <w:t xml:space="preserve"> </w:t>
            </w:r>
            <w:r w:rsidRPr="0069723E">
              <w:t>të pun</w:t>
            </w:r>
            <w:r w:rsidRPr="0069723E">
              <w:rPr>
                <w:spacing w:val="-1"/>
              </w:rPr>
              <w:t>ë</w:t>
            </w:r>
            <w:r w:rsidRPr="0069723E">
              <w:t>s</w:t>
            </w:r>
            <w:r w:rsidRPr="0069723E">
              <w:rPr>
                <w:spacing w:val="2"/>
              </w:rPr>
              <w:t>i</w:t>
            </w:r>
            <w:r w:rsidRPr="0069723E">
              <w:rPr>
                <w:spacing w:val="-3"/>
              </w:rPr>
              <w:t>m</w:t>
            </w:r>
            <w:r w:rsidRPr="0069723E">
              <w:t xml:space="preserve">it dhe aftësimit profesional </w:t>
            </w:r>
            <w:r w:rsidRPr="0069723E">
              <w:rPr>
                <w:spacing w:val="3"/>
              </w:rPr>
              <w:t xml:space="preserve"> </w:t>
            </w:r>
            <w:r w:rsidRPr="0069723E">
              <w:rPr>
                <w:spacing w:val="1"/>
              </w:rPr>
              <w:t>p</w:t>
            </w:r>
            <w:r w:rsidRPr="0069723E">
              <w:rPr>
                <w:spacing w:val="-1"/>
              </w:rPr>
              <w:t>ë</w:t>
            </w:r>
            <w:r w:rsidRPr="0069723E">
              <w:rPr>
                <w:spacing w:val="3"/>
              </w:rPr>
              <w:t>r</w:t>
            </w:r>
            <w:r w:rsidRPr="0069723E">
              <w:rPr>
                <w:spacing w:val="-3"/>
              </w:rPr>
              <w:t>m</w:t>
            </w:r>
            <w:r w:rsidRPr="0069723E">
              <w:t>es</w:t>
            </w:r>
            <w:r w:rsidRPr="0069723E">
              <w:rPr>
                <w:spacing w:val="3"/>
              </w:rPr>
              <w:t xml:space="preserve"> </w:t>
            </w:r>
            <w:r w:rsidRPr="0069723E">
              <w:t>rish</w:t>
            </w:r>
            <w:r w:rsidRPr="0069723E">
              <w:rPr>
                <w:spacing w:val="-1"/>
              </w:rPr>
              <w:t>i</w:t>
            </w:r>
            <w:r w:rsidRPr="0069723E">
              <w:rPr>
                <w:spacing w:val="1"/>
              </w:rPr>
              <w:t>ki</w:t>
            </w:r>
            <w:r w:rsidRPr="0069723E">
              <w:rPr>
                <w:spacing w:val="-3"/>
              </w:rPr>
              <w:t>m</w:t>
            </w:r>
            <w:r w:rsidRPr="0069723E">
              <w:t>it</w:t>
            </w:r>
            <w:r w:rsidRPr="0069723E">
              <w:rPr>
                <w:spacing w:val="3"/>
              </w:rPr>
              <w:t xml:space="preserve"> </w:t>
            </w:r>
            <w:r w:rsidRPr="0069723E">
              <w:t>të</w:t>
            </w:r>
            <w:r w:rsidRPr="0069723E">
              <w:rPr>
                <w:spacing w:val="2"/>
              </w:rPr>
              <w:t xml:space="preserve"> </w:t>
            </w:r>
            <w:r w:rsidRPr="0069723E">
              <w:t>p</w:t>
            </w:r>
            <w:r w:rsidRPr="0069723E">
              <w:rPr>
                <w:spacing w:val="1"/>
              </w:rPr>
              <w:t>o</w:t>
            </w:r>
            <w:r w:rsidRPr="0069723E">
              <w:t>li</w:t>
            </w:r>
            <w:r w:rsidRPr="0069723E">
              <w:rPr>
                <w:spacing w:val="-1"/>
              </w:rPr>
              <w:t>t</w:t>
            </w:r>
            <w:r w:rsidRPr="0069723E">
              <w:t>ikave</w:t>
            </w:r>
            <w:r w:rsidRPr="0069723E">
              <w:rPr>
                <w:spacing w:val="2"/>
              </w:rPr>
              <w:t xml:space="preserve"> </w:t>
            </w:r>
            <w:r w:rsidRPr="0069723E">
              <w:t>të</w:t>
            </w:r>
            <w:r w:rsidRPr="0069723E">
              <w:rPr>
                <w:spacing w:val="2"/>
              </w:rPr>
              <w:t xml:space="preserve"> </w:t>
            </w:r>
            <w:r w:rsidRPr="0069723E">
              <w:t>pu</w:t>
            </w:r>
            <w:r w:rsidRPr="0069723E">
              <w:rPr>
                <w:spacing w:val="1"/>
              </w:rPr>
              <w:t>n</w:t>
            </w:r>
            <w:r w:rsidRPr="0069723E">
              <w:t>ës</w:t>
            </w:r>
            <w:r w:rsidRPr="0069723E">
              <w:rPr>
                <w:spacing w:val="2"/>
              </w:rPr>
              <w:t>i</w:t>
            </w:r>
            <w:r w:rsidRPr="0069723E">
              <w:rPr>
                <w:spacing w:val="-3"/>
              </w:rPr>
              <w:t>m</w:t>
            </w:r>
            <w:r w:rsidRPr="0069723E">
              <w:t xml:space="preserve">it </w:t>
            </w:r>
            <w:r w:rsidRPr="0069723E">
              <w:rPr>
                <w:spacing w:val="8"/>
              </w:rPr>
              <w:t xml:space="preserve"> </w:t>
            </w:r>
            <w:r w:rsidRPr="0069723E">
              <w:rPr>
                <w:spacing w:val="-3"/>
              </w:rPr>
              <w:t>m</w:t>
            </w:r>
            <w:r w:rsidRPr="0069723E">
              <w:t>e</w:t>
            </w:r>
            <w:r w:rsidRPr="0069723E">
              <w:rPr>
                <w:spacing w:val="2"/>
              </w:rPr>
              <w:t xml:space="preserve"> </w:t>
            </w:r>
            <w:r w:rsidRPr="0069723E">
              <w:t>s</w:t>
            </w:r>
            <w:r w:rsidRPr="0069723E">
              <w:rPr>
                <w:spacing w:val="1"/>
              </w:rPr>
              <w:t>y</w:t>
            </w:r>
            <w:r w:rsidRPr="0069723E">
              <w:t>n</w:t>
            </w:r>
            <w:r w:rsidRPr="0069723E">
              <w:rPr>
                <w:spacing w:val="1"/>
              </w:rPr>
              <w:t>i</w:t>
            </w:r>
            <w:r w:rsidRPr="0069723E">
              <w:t>m</w:t>
            </w:r>
            <w:r w:rsidRPr="0069723E">
              <w:rPr>
                <w:spacing w:val="-1"/>
              </w:rPr>
              <w:t xml:space="preserve"> </w:t>
            </w:r>
            <w:r w:rsidRPr="0069723E">
              <w:t>ng</w:t>
            </w:r>
            <w:r w:rsidRPr="0069723E">
              <w:rPr>
                <w:spacing w:val="1"/>
              </w:rPr>
              <w:t>r</w:t>
            </w:r>
            <w:r w:rsidRPr="0069723E">
              <w:t>it</w:t>
            </w:r>
            <w:r w:rsidRPr="0069723E">
              <w:rPr>
                <w:spacing w:val="-1"/>
              </w:rPr>
              <w:t>je</w:t>
            </w:r>
            <w:r w:rsidRPr="0069723E">
              <w:t>n</w:t>
            </w:r>
            <w:r w:rsidRPr="0069723E">
              <w:rPr>
                <w:spacing w:val="3"/>
              </w:rPr>
              <w:t xml:space="preserve"> </w:t>
            </w:r>
            <w:r w:rsidRPr="0069723E">
              <w:t>e</w:t>
            </w:r>
            <w:r w:rsidRPr="0069723E">
              <w:rPr>
                <w:spacing w:val="2"/>
              </w:rPr>
              <w:t xml:space="preserve"> </w:t>
            </w:r>
            <w:r w:rsidRPr="0069723E">
              <w:rPr>
                <w:spacing w:val="-1"/>
              </w:rPr>
              <w:t>e</w:t>
            </w:r>
            <w:r w:rsidRPr="0069723E">
              <w:t>fekts</w:t>
            </w:r>
            <w:r w:rsidRPr="0069723E">
              <w:rPr>
                <w:spacing w:val="2"/>
              </w:rPr>
              <w:t>h</w:t>
            </w:r>
            <w:r w:rsidRPr="0069723E">
              <w:rPr>
                <w:spacing w:val="-3"/>
              </w:rPr>
              <w:t>m</w:t>
            </w:r>
            <w:r w:rsidRPr="0069723E">
              <w:rPr>
                <w:spacing w:val="1"/>
              </w:rPr>
              <w:t>ë</w:t>
            </w:r>
            <w:r w:rsidRPr="0069723E">
              <w:t>risë</w:t>
            </w:r>
            <w:r w:rsidRPr="0069723E">
              <w:rPr>
                <w:spacing w:val="10"/>
              </w:rPr>
              <w:t xml:space="preserve"> </w:t>
            </w:r>
            <w:r w:rsidRPr="0069723E">
              <w:rPr>
                <w:spacing w:val="2"/>
              </w:rPr>
              <w:t>s</w:t>
            </w:r>
            <w:r w:rsidRPr="0069723E">
              <w:t xml:space="preserve">ë </w:t>
            </w:r>
            <w:r w:rsidRPr="0069723E">
              <w:rPr>
                <w:spacing w:val="-2"/>
              </w:rPr>
              <w:t>m</w:t>
            </w:r>
            <w:r w:rsidRPr="0069723E">
              <w:t>a</w:t>
            </w:r>
            <w:r w:rsidRPr="0069723E">
              <w:rPr>
                <w:spacing w:val="1"/>
              </w:rPr>
              <w:t>s</w:t>
            </w:r>
            <w:r w:rsidRPr="0069723E">
              <w:rPr>
                <w:spacing w:val="-1"/>
              </w:rPr>
              <w:t>a</w:t>
            </w:r>
            <w:r w:rsidRPr="0069723E">
              <w:rPr>
                <w:spacing w:val="1"/>
              </w:rPr>
              <w:t>v</w:t>
            </w:r>
            <w:r w:rsidRPr="0069723E">
              <w:t>e</w:t>
            </w:r>
            <w:r w:rsidRPr="0069723E">
              <w:rPr>
                <w:spacing w:val="1"/>
              </w:rPr>
              <w:t xml:space="preserve"> </w:t>
            </w:r>
            <w:r w:rsidRPr="0069723E">
              <w:rPr>
                <w:spacing w:val="-1"/>
              </w:rPr>
              <w:t>a</w:t>
            </w:r>
            <w:r w:rsidRPr="0069723E">
              <w:rPr>
                <w:spacing w:val="1"/>
              </w:rPr>
              <w:t>k</w:t>
            </w:r>
            <w:r w:rsidRPr="0069723E">
              <w:t>tive</w:t>
            </w:r>
            <w:r w:rsidRPr="0069723E">
              <w:rPr>
                <w:spacing w:val="1"/>
              </w:rPr>
              <w:t xml:space="preserve"> </w:t>
            </w:r>
            <w:r w:rsidRPr="0069723E">
              <w:t>të</w:t>
            </w:r>
            <w:r w:rsidRPr="0069723E">
              <w:rPr>
                <w:spacing w:val="1"/>
              </w:rPr>
              <w:t xml:space="preserve"> </w:t>
            </w:r>
            <w:r w:rsidRPr="0069723E">
              <w:t>tr</w:t>
            </w:r>
            <w:r w:rsidRPr="0069723E">
              <w:rPr>
                <w:spacing w:val="-1"/>
              </w:rPr>
              <w:t>e</w:t>
            </w:r>
            <w:r w:rsidRPr="0069723E">
              <w:t>g</w:t>
            </w:r>
            <w:r w:rsidRPr="0069723E">
              <w:rPr>
                <w:spacing w:val="1"/>
              </w:rPr>
              <w:t>u</w:t>
            </w:r>
            <w:r w:rsidRPr="0069723E">
              <w:t>t</w:t>
            </w:r>
            <w:r w:rsidRPr="0069723E">
              <w:rPr>
                <w:spacing w:val="1"/>
              </w:rPr>
              <w:t xml:space="preserve"> </w:t>
            </w:r>
            <w:r w:rsidRPr="0069723E">
              <w:t>të</w:t>
            </w:r>
            <w:r w:rsidRPr="0069723E">
              <w:rPr>
                <w:spacing w:val="1"/>
              </w:rPr>
              <w:t xml:space="preserve"> </w:t>
            </w:r>
            <w:r w:rsidRPr="0069723E">
              <w:t>pun</w:t>
            </w:r>
            <w:r w:rsidRPr="0069723E">
              <w:rPr>
                <w:spacing w:val="-1"/>
              </w:rPr>
              <w:t>ë</w:t>
            </w:r>
            <w:r w:rsidRPr="0069723E">
              <w:t>s</w:t>
            </w:r>
            <w:r w:rsidRPr="0069723E">
              <w:rPr>
                <w:spacing w:val="2"/>
              </w:rPr>
              <w:t xml:space="preserve"> </w:t>
            </w:r>
            <w:r w:rsidRPr="0069723E">
              <w:t>d</w:t>
            </w:r>
            <w:r w:rsidRPr="0069723E">
              <w:rPr>
                <w:spacing w:val="1"/>
              </w:rPr>
              <w:t>h</w:t>
            </w:r>
            <w:r w:rsidRPr="0069723E">
              <w:t>e</w:t>
            </w:r>
            <w:r w:rsidRPr="0069723E">
              <w:rPr>
                <w:spacing w:val="1"/>
              </w:rPr>
              <w:t xml:space="preserve"> </w:t>
            </w:r>
            <w:r w:rsidRPr="0069723E">
              <w:t>p</w:t>
            </w:r>
            <w:r w:rsidRPr="0069723E">
              <w:rPr>
                <w:spacing w:val="-1"/>
              </w:rPr>
              <w:t>i</w:t>
            </w:r>
            <w:r w:rsidRPr="0069723E">
              <w:t>lot</w:t>
            </w:r>
            <w:r w:rsidRPr="0069723E">
              <w:rPr>
                <w:spacing w:val="1"/>
              </w:rPr>
              <w:t>i</w:t>
            </w:r>
            <w:r w:rsidRPr="0069723E">
              <w:rPr>
                <w:spacing w:val="-3"/>
              </w:rPr>
              <w:t>m</w:t>
            </w:r>
            <w:r w:rsidRPr="0069723E">
              <w:t>in</w:t>
            </w:r>
            <w:r w:rsidRPr="0069723E">
              <w:rPr>
                <w:spacing w:val="4"/>
              </w:rPr>
              <w:t xml:space="preserve"> </w:t>
            </w:r>
            <w:r w:rsidRPr="0069723E">
              <w:t>e</w:t>
            </w:r>
            <w:r w:rsidRPr="0069723E">
              <w:rPr>
                <w:spacing w:val="2"/>
              </w:rPr>
              <w:t xml:space="preserve"> </w:t>
            </w:r>
            <w:r w:rsidRPr="0069723E">
              <w:t>n</w:t>
            </w:r>
            <w:r w:rsidRPr="0069723E">
              <w:rPr>
                <w:spacing w:val="-1"/>
              </w:rPr>
              <w:t>ë</w:t>
            </w:r>
            <w:r w:rsidRPr="0069723E">
              <w:t>n</w:t>
            </w:r>
            <w:r w:rsidRPr="0069723E">
              <w:rPr>
                <w:spacing w:val="2"/>
              </w:rPr>
              <w:t xml:space="preserve"> </w:t>
            </w:r>
            <w:r w:rsidRPr="0069723E">
              <w:t>kon</w:t>
            </w:r>
            <w:r w:rsidRPr="0069723E">
              <w:rPr>
                <w:spacing w:val="-1"/>
              </w:rPr>
              <w:t>t</w:t>
            </w:r>
            <w:r w:rsidRPr="0069723E">
              <w:t>rakt</w:t>
            </w:r>
            <w:r w:rsidRPr="0069723E">
              <w:rPr>
                <w:spacing w:val="2"/>
              </w:rPr>
              <w:t>i</w:t>
            </w:r>
            <w:r w:rsidRPr="0069723E">
              <w:rPr>
                <w:spacing w:val="-3"/>
              </w:rPr>
              <w:t>m</w:t>
            </w:r>
            <w:r w:rsidRPr="0069723E">
              <w:t>it</w:t>
            </w:r>
            <w:r w:rsidRPr="0069723E">
              <w:rPr>
                <w:spacing w:val="3"/>
              </w:rPr>
              <w:t xml:space="preserve"> </w:t>
            </w:r>
            <w:r w:rsidRPr="0069723E">
              <w:t>të prog</w:t>
            </w:r>
            <w:r w:rsidRPr="0069723E">
              <w:rPr>
                <w:spacing w:val="1"/>
              </w:rPr>
              <w:t>ra</w:t>
            </w:r>
            <w:r w:rsidRPr="0069723E">
              <w:rPr>
                <w:spacing w:val="-3"/>
              </w:rPr>
              <w:t>m</w:t>
            </w:r>
            <w:r w:rsidRPr="0069723E">
              <w:t>e</w:t>
            </w:r>
            <w:r w:rsidRPr="0069723E">
              <w:rPr>
                <w:spacing w:val="1"/>
              </w:rPr>
              <w:t>v</w:t>
            </w:r>
            <w:r w:rsidRPr="0069723E">
              <w:t>e</w:t>
            </w:r>
            <w:r w:rsidRPr="0069723E">
              <w:rPr>
                <w:spacing w:val="1"/>
              </w:rPr>
              <w:t xml:space="preserve"> </w:t>
            </w:r>
            <w:r w:rsidRPr="0069723E">
              <w:t>të</w:t>
            </w:r>
            <w:r w:rsidRPr="0069723E">
              <w:rPr>
                <w:spacing w:val="1"/>
              </w:rPr>
              <w:t xml:space="preserve"> </w:t>
            </w:r>
            <w:r w:rsidRPr="0069723E">
              <w:rPr>
                <w:spacing w:val="-1"/>
              </w:rPr>
              <w:t>a</w:t>
            </w:r>
            <w:r w:rsidRPr="0069723E">
              <w:rPr>
                <w:spacing w:val="1"/>
              </w:rPr>
              <w:t>f</w:t>
            </w:r>
            <w:r w:rsidRPr="0069723E">
              <w:t>tës</w:t>
            </w:r>
            <w:r w:rsidRPr="0069723E">
              <w:rPr>
                <w:spacing w:val="1"/>
              </w:rPr>
              <w:t>i</w:t>
            </w:r>
            <w:r w:rsidRPr="0069723E">
              <w:rPr>
                <w:spacing w:val="-3"/>
              </w:rPr>
              <w:t>m</w:t>
            </w:r>
            <w:r w:rsidRPr="0069723E">
              <w:rPr>
                <w:spacing w:val="1"/>
              </w:rPr>
              <w:t>i</w:t>
            </w:r>
            <w:r w:rsidRPr="0069723E">
              <w:t>t pro</w:t>
            </w:r>
            <w:r w:rsidRPr="0069723E">
              <w:rPr>
                <w:spacing w:val="1"/>
              </w:rPr>
              <w:t>f</w:t>
            </w:r>
            <w:r w:rsidRPr="0069723E">
              <w:rPr>
                <w:spacing w:val="-1"/>
              </w:rPr>
              <w:t>e</w:t>
            </w:r>
            <w:r w:rsidRPr="0069723E">
              <w:t>sional</w:t>
            </w:r>
            <w:r w:rsidRPr="0069723E">
              <w:rPr>
                <w:spacing w:val="1"/>
              </w:rPr>
              <w:t xml:space="preserve"> </w:t>
            </w:r>
            <w:r w:rsidRPr="0069723E">
              <w:t>p</w:t>
            </w:r>
            <w:r w:rsidRPr="0069723E">
              <w:rPr>
                <w:spacing w:val="-1"/>
              </w:rPr>
              <w:t>ë</w:t>
            </w:r>
            <w:r w:rsidRPr="0069723E">
              <w:rPr>
                <w:spacing w:val="3"/>
              </w:rPr>
              <w:t>r</w:t>
            </w:r>
            <w:r w:rsidRPr="0069723E">
              <w:rPr>
                <w:spacing w:val="-3"/>
              </w:rPr>
              <w:t>m</w:t>
            </w:r>
            <w:r w:rsidRPr="0069723E">
              <w:t>es</w:t>
            </w:r>
            <w:r w:rsidRPr="0069723E">
              <w:rPr>
                <w:spacing w:val="2"/>
              </w:rPr>
              <w:t xml:space="preserve"> </w:t>
            </w:r>
            <w:r w:rsidRPr="0069723E">
              <w:t>of</w:t>
            </w:r>
            <w:r w:rsidRPr="0069723E">
              <w:rPr>
                <w:spacing w:val="1"/>
              </w:rPr>
              <w:t>r</w:t>
            </w:r>
            <w:r w:rsidRPr="0069723E">
              <w:rPr>
                <w:spacing w:val="-1"/>
              </w:rPr>
              <w:t>ue</w:t>
            </w:r>
            <w:r w:rsidRPr="0069723E">
              <w:t>sve</w:t>
            </w:r>
            <w:r w:rsidRPr="0069723E">
              <w:rPr>
                <w:spacing w:val="1"/>
              </w:rPr>
              <w:t xml:space="preserve"> </w:t>
            </w:r>
            <w:r w:rsidRPr="0069723E">
              <w:t>pri</w:t>
            </w:r>
            <w:r w:rsidRPr="0069723E">
              <w:rPr>
                <w:spacing w:val="1"/>
              </w:rPr>
              <w:t>v</w:t>
            </w:r>
            <w:r w:rsidRPr="0069723E">
              <w:rPr>
                <w:spacing w:val="-1"/>
              </w:rPr>
              <w:t>a</w:t>
            </w:r>
            <w:r w:rsidRPr="0069723E">
              <w:t>të dhe hapjen e profileve të reja në harmoni me kërkesat e tregut të punës.</w:t>
            </w:r>
          </w:p>
          <w:tbl>
            <w:tblPr>
              <w:tblW w:w="8801" w:type="dxa"/>
              <w:tblLook w:val="04A0" w:firstRow="1" w:lastRow="0" w:firstColumn="1" w:lastColumn="0" w:noHBand="0" w:noVBand="1"/>
            </w:tblPr>
            <w:tblGrid>
              <w:gridCol w:w="8801"/>
            </w:tblGrid>
            <w:tr w:rsidR="00CE4035" w:rsidRPr="0069723E" w14:paraId="169E45F1" w14:textId="77777777" w:rsidTr="009B753C">
              <w:trPr>
                <w:trHeight w:val="322"/>
              </w:trPr>
              <w:tc>
                <w:tcPr>
                  <w:tcW w:w="8801" w:type="dxa"/>
                  <w:shd w:val="clear" w:color="auto" w:fill="5B9BD5" w:themeFill="accent1"/>
                </w:tcPr>
                <w:p w14:paraId="1AA3BD34" w14:textId="77777777" w:rsidR="00CE4035" w:rsidRPr="0069723E" w:rsidRDefault="00CE4035" w:rsidP="009B753C">
                  <w:pPr>
                    <w:spacing w:after="60"/>
                    <w:rPr>
                      <w:b/>
                    </w:rPr>
                  </w:pPr>
                  <w:r w:rsidRPr="0069723E">
                    <w:rPr>
                      <w:b/>
                    </w:rPr>
                    <w:t>VII. Përfshirja sociale, ulja e varfërisë dhe mundësitë e barabarta</w:t>
                  </w:r>
                </w:p>
              </w:tc>
            </w:tr>
          </w:tbl>
          <w:p w14:paraId="50EDDE0E" w14:textId="77777777" w:rsidR="00CE4035" w:rsidRPr="0069723E" w:rsidRDefault="00CE4035" w:rsidP="009B753C">
            <w:pPr>
              <w:spacing w:after="60"/>
              <w:jc w:val="both"/>
            </w:pPr>
            <w:r w:rsidRPr="0069723E">
              <w:rPr>
                <w:b/>
                <w:bCs/>
              </w:rPr>
              <w:t xml:space="preserve">#21: Përmirësimi i shërbimeve sociale, shëndetësore dhe fuqizimi i grupeve të përjashtuara: </w:t>
            </w:r>
            <w:r w:rsidRPr="0069723E">
              <w:rPr>
                <w:bCs/>
              </w:rPr>
              <w:t xml:space="preserve">Masa </w:t>
            </w:r>
            <w:r w:rsidRPr="0069723E">
              <w:rPr>
                <w:lang w:eastAsia="en-GB"/>
              </w:rPr>
              <w:t>synon të sigurojnë mirëqenien e qytetarëve, përmes zgjerimit dhe ngritjes së cilësisë së skemave të mbrojtjes, shërbimeve sociale dhe shërbimeve shëndetësore përmes avancimit të shërbimeve sociale, rritjen e mbulueshmërisë së familjeve nga skema e ndihmës sociale, reformimin e sistemit pensional, gjithëpërfshirjen e personave me aftësi të kufizuar dhe përparimin e shëndetit dhe sigurimin e financimit të qëndrueshëm shëndetësor përmes funksionalizimit të Fondit të Sigurimeve Shëndetësore.</w:t>
            </w:r>
          </w:p>
        </w:tc>
      </w:tr>
    </w:tbl>
    <w:p w14:paraId="721F4329" w14:textId="77777777" w:rsidR="00CE4035" w:rsidRDefault="00CE4035" w:rsidP="005116BD">
      <w:pPr>
        <w:pStyle w:val="ERPL3"/>
        <w:numPr>
          <w:ilvl w:val="0"/>
          <w:numId w:val="0"/>
        </w:numPr>
        <w:spacing w:before="0" w:after="0" w:line="240" w:lineRule="auto"/>
        <w:rPr>
          <w:rFonts w:ascii="Times New Roman" w:hAnsi="Times New Roman"/>
          <w:lang w:val="sq-AL"/>
        </w:rPr>
      </w:pPr>
    </w:p>
    <w:p w14:paraId="346082FE" w14:textId="77777777" w:rsidR="00CE4035" w:rsidRPr="00B34B69" w:rsidRDefault="00CE4035" w:rsidP="005116BD">
      <w:pPr>
        <w:pStyle w:val="ERPL2"/>
        <w:numPr>
          <w:ilvl w:val="0"/>
          <w:numId w:val="0"/>
        </w:numPr>
        <w:ind w:left="704" w:hanging="420"/>
        <w:rPr>
          <w:rFonts w:ascii="Times New Roman" w:hAnsi="Times New Roman"/>
          <w:i/>
          <w:lang w:val="sq-AL"/>
        </w:rPr>
      </w:pPr>
      <w:bookmarkStart w:id="212" w:name="_Toc31788848"/>
      <w:r>
        <w:rPr>
          <w:rFonts w:ascii="Times New Roman" w:hAnsi="Times New Roman"/>
          <w:lang w:val="sq-AL"/>
        </w:rPr>
        <w:t>4.3. Analiza sipas fushës dhe Prioritetet e Reformave S</w:t>
      </w:r>
      <w:r w:rsidRPr="00B34B69">
        <w:rPr>
          <w:rFonts w:ascii="Times New Roman" w:hAnsi="Times New Roman"/>
          <w:lang w:val="sq-AL"/>
        </w:rPr>
        <w:t>trukturore</w:t>
      </w:r>
      <w:bookmarkEnd w:id="212"/>
    </w:p>
    <w:p w14:paraId="662C5F50" w14:textId="1D53FEBC" w:rsidR="00CE4035" w:rsidRPr="00411D8B" w:rsidRDefault="00CE4035" w:rsidP="005116BD">
      <w:pPr>
        <w:pStyle w:val="ERPL3"/>
        <w:numPr>
          <w:ilvl w:val="0"/>
          <w:numId w:val="0"/>
        </w:numPr>
        <w:spacing w:before="0" w:after="0" w:line="240" w:lineRule="auto"/>
        <w:ind w:left="1080" w:hanging="720"/>
        <w:rPr>
          <w:rFonts w:ascii="Times New Roman" w:hAnsi="Times New Roman"/>
          <w:lang w:val="sq-AL"/>
        </w:rPr>
      </w:pPr>
      <w:r w:rsidRPr="00411D8B">
        <w:rPr>
          <w:rFonts w:ascii="Times New Roman" w:hAnsi="Times New Roman"/>
          <w:lang w:val="sq-AL"/>
        </w:rPr>
        <w:t xml:space="preserve">4.3.1. Reforma e tregjeve të energjisë dhe transportit </w:t>
      </w:r>
    </w:p>
    <w:p w14:paraId="4F516CC8" w14:textId="77777777" w:rsidR="00CE4035" w:rsidRPr="00411D8B" w:rsidRDefault="00CE4035" w:rsidP="00CE4035">
      <w:pPr>
        <w:jc w:val="both"/>
        <w:rPr>
          <w:b/>
        </w:rPr>
      </w:pPr>
      <w:r w:rsidRPr="00411D8B">
        <w:rPr>
          <w:b/>
        </w:rPr>
        <w:t xml:space="preserve">a. Analiza e pengesave kryesore: </w:t>
      </w:r>
      <w:r w:rsidRPr="00411D8B">
        <w:t>Prodhimi i energjisë elektrike bazohet në thëngjill (94.5% e totalit të prodhimit vendor) përderisa pjesa tjetër e furnizimit prej 5.5%  bazohet në BRE. Konsumi bruto i energjisë elektrike për 2019 ka qenë 6001 GWh (konsumi në amvisëri merr pjesë 41.9%, sektori komercial 17%, sektori e industrisë 16.3%). Humbjet në rrjetin e shpërndarjes janë mjaft të larta: humbjet komerciale përbejnë 11.6%, humbjet teknike 11.4%, ndërsa humbjet në transmetim 1.7%). Në sistemin e shpërndarjes së energjisë elektrike janë dërguar 5321 GWh energji elektrike kurse pjesa tjetër është dërguar drejtpërdrejtë tek konsumatorët industrial (Feronikeli, Sharr Cemi dhe Trepça). Importi i energjisë elektrike në 2019 ka qenë 894 GWh ose 14.9% e totalit të kërkesës, kurse eksporti i energjisë elektrike ka qenë 804 GWh. Kërkesa për ngrohje mbulohet me vetëm 3 deri në 5% nga ngrohja qendrore, ndërsa pjesa tjetër është e mbuluar kryesisht nga biomasa.</w:t>
      </w:r>
    </w:p>
    <w:p w14:paraId="01C72401" w14:textId="77777777" w:rsidR="00CE4035" w:rsidRPr="00411D8B" w:rsidRDefault="00CE4035" w:rsidP="00CE4035">
      <w:pPr>
        <w:jc w:val="both"/>
      </w:pPr>
      <w:r w:rsidRPr="00411D8B">
        <w:t>Projekti i Termocentralit “Kosova e Re” ka pasur vonesa në fazën përfundimtare, nuk është arritur mbyllja financiare e Projektit, e cila ishte planifikuar të ndodhte në 24 Maj 2020. Kosova tani është në proces të rishikimit të Strategjisë së saj të Energjisë. Kjo Strategji, pa paragjykuar burimin dhe teknologjinë, do t'i nënshtrohet kritereve për të përcaktuar opsionin ekonomikisht më të qëndrueshëm. Strategjia e rishikuar e Energjisë do të bazohet në kriteret e mëposhtme: (i) Siguria e furnizimit; (ii) Opsion i përballueshëm i gjenerimit; (iii) Kriteret socio-ekonomike dhe përballueshmëria e tarifave të energjisë; (iv) Kriteret mjedisore, dhe (v) Detyrimet kontraktuale në lidhje me palët e treta. Opsionet reale për të ecur përpara me zhvillimin e projektit do të jenë në përputhje me Strategjinë e Energjisë të Kosovës dhe me Agjendën e Gjelbër të miratuar për Ballkanin Perëndimor në Samitin e Sofjes, të parashikuar nga Agjenda e Gjelbër Evropiane.</w:t>
      </w:r>
    </w:p>
    <w:p w14:paraId="4FBCEAB1" w14:textId="77777777" w:rsidR="00CE4035" w:rsidRPr="00411D8B" w:rsidRDefault="00CE4035" w:rsidP="00CE4035">
      <w:pPr>
        <w:jc w:val="both"/>
      </w:pPr>
      <w:r w:rsidRPr="00411D8B">
        <w:t xml:space="preserve">Rehabilitimi i pjesës mjedisore të TC Kosova B ishte planifikuar të përfundonte gjatë vitit 2020 në njësinë B1, megjithatë për shkak të pandemisë COVID 19 përfundimi i investimeve në precipituesit elektrostatik dhe De-NoX  janë planifikuar për 2021 (TM1-TM3), ndërsa njësia B2 do të implementohet në vitin 2022. Projekti zbatohet me fondin IPA nga Komisioni Evropian me vlerë 76 milion Euro. Investimet e planifikuara në rehabilitimin e sistemit të ngrohjes qendrore vazhdojnë përmes Projektit të Ko-gjenerimit i cili synon të përmirësojë masat e EE. Projekti i Njehsimit të Ngrohjes Qendrore në Termokos në bazë të konsumit do të ul kërkesën për ngrohje në rrjetin e ngrohjes qendrore; mbështetë zgjerimin e shërbimeve të furnizimit me ngrohje për konsumatorët e ri që mbështeten në energji elektrike për ngrohje; dhe mundësojnë faturim të bazuar në konsum. </w:t>
      </w:r>
      <w:r w:rsidRPr="00411D8B">
        <w:rPr>
          <w:shd w:val="clear" w:color="auto" w:fill="FFFFFF"/>
        </w:rPr>
        <w:t xml:space="preserve">Ngrohtorja e Re në Gjakovë e bazuar në biomasë </w:t>
      </w:r>
      <w:r w:rsidRPr="00411D8B">
        <w:t>e planifikuar të përfundoj deri në fund të vitit 2020 do të sigurojë furnizim me cilësi të lartë të ngrohjes për 40% të qytetarëve</w:t>
      </w:r>
      <w:r w:rsidRPr="00411D8B">
        <w:rPr>
          <w:shd w:val="clear" w:color="auto" w:fill="FFFFFF"/>
        </w:rPr>
        <w:t xml:space="preserve">, do të mundësojë ndotje të pakët të ajrit si dhe </w:t>
      </w:r>
      <w:r w:rsidRPr="00411D8B">
        <w:t>do të prodhojë një sasi të caktuar të energjisë elektrike (me kapacitet 1MW)</w:t>
      </w:r>
      <w:r w:rsidRPr="00411D8B">
        <w:rPr>
          <w:shd w:val="clear" w:color="auto" w:fill="FFFFFF"/>
        </w:rPr>
        <w:t>.</w:t>
      </w:r>
      <w:r w:rsidRPr="00411D8B">
        <w:t xml:space="preserve"> </w:t>
      </w:r>
    </w:p>
    <w:p w14:paraId="1D846837" w14:textId="77777777" w:rsidR="00CE4035" w:rsidRPr="00411D8B" w:rsidRDefault="00CE4035" w:rsidP="00CE4035">
      <w:pPr>
        <w:jc w:val="both"/>
      </w:pPr>
      <w:r w:rsidRPr="00411D8B">
        <w:t>Kosova gjithashtu po zhvillon Planin Kombëtar të Integruar të Energjisë dhe Klimës 2021-2030 (PKEK) i cili synon të adresojë EE, BRE, zvogëlimin e emisioneve dhe interkonekcionin. Drafti i parë i PKEK ende nuk ka përfunduar, pjesërisht për shkak të rrethanave me pandeminë COVID-19 dhe pjesërisht për shkak të studimeve të vazhdueshme në lidhje me PKEK dhe rezultateve të pritura, siç është Studimi mbi dizajnin e çmimeve ndaj emetimeve të karbonit, të zhvilluara me financimin e Sekretariatit të Komunitetit të Energjisë, Studimi i zhvillimit të kapaciteteve modeluese për përcaktimin e synimeve të BRE, EE dhe GES, me financimin e Komisionit Evropian (pritet të zbatohet), studimet për integrimin e BRE që janë duke u zhvilluar nga Banka Botërore (në proces të finalizimi), Studimi për BRE në transport financuar nga SKE (në proces të finalizimi).</w:t>
      </w:r>
    </w:p>
    <w:p w14:paraId="7B9EBD46" w14:textId="77777777" w:rsidR="00CE4035" w:rsidRPr="00411D8B" w:rsidRDefault="00CE4035" w:rsidP="00CE4035">
      <w:pPr>
        <w:jc w:val="both"/>
      </w:pPr>
      <w:r w:rsidRPr="00411D8B">
        <w:t>Rishikimi i Strategjisë së Energjisë i Republikës së Kosovës për periudhën 10-vjeçare është duke u hartuar dhe pritet të miratohet gjatë vitit 2021. Ka filluar implementimi i Marrëveshjes së re të Kyçës në mes të KOSTT dhe ENTSO-E. KOSTT do të operoj si zonë rregulluese e pavarur brenda Bllokut AK me Republikën e Shqipërisë, në kuadër të zonës sinkrone të Evropës Kontinentale. Marrëveshja e re e Kyçës KOSTT/ENTSO-E pritet të fillojë së zbatuari në vjeshtë të këtij viti pas përfundimit të përgatitjeve teknike të Operatorëve të Sistemit Transmetues të Evropës Kontinentale dhe Koordinatorit Swiss Grid (Operatori i Sistemit Transmetues të Zvicrës), derisa KOSTT tashmë ka realizuar të gjitha përgatitjet teknike operative për të qenë i gatshëm për fillimin e operimit të pavarur.</w:t>
      </w:r>
    </w:p>
    <w:p w14:paraId="13D02895" w14:textId="77777777" w:rsidR="00CE4035" w:rsidRPr="00411D8B" w:rsidRDefault="00CE4035" w:rsidP="00CE4035">
      <w:pPr>
        <w:jc w:val="both"/>
      </w:pPr>
      <w:r w:rsidRPr="00411D8B">
        <w:t xml:space="preserve">Situata me pandeminë globale COVID-19 kanë ndikuar në vazhdimin e implementimit të reformave dhe zbatimin e aktiviteteve në sektorin e energjisë. Përderisa në implementimin e disa prej aktiviteteve ka pasur shtyrje të përkohshme duke ndërprerë punën e kontraktorëve, zbatimi i aktiviteteve në tremujorin e dytë të vitit 2020 ka vazhduar sipas planifikimit vjetor ku KEDS është duke vazhduar investimet e planifikuara, veçanërisht investimet e rrjetit të ultë dhe të mesëm të cilat janë faktorët kyç në përmbushjen e kritereve për zgjerimin dhe përforcimin e rrjetit energjetik. </w:t>
      </w:r>
    </w:p>
    <w:p w14:paraId="33B1A33D" w14:textId="77777777" w:rsidR="00CE4035" w:rsidRPr="00411D8B" w:rsidRDefault="00CE4035" w:rsidP="00CE4035">
      <w:pPr>
        <w:jc w:val="both"/>
      </w:pPr>
      <w:r w:rsidRPr="00411D8B">
        <w:t>Ka filluar procedurën për rekrutim për pozitën e Kryesuesit të Bordit të ZRRE-së e cila pritet të shpallet së shpejti. Gjithashtu pritet të miratohet vendimi për fillimin e implementimit të ofertave/ankandeve konkurruese për mbështetjen e burimeve të ripërtritshme. De-rregullimi për konsumatorët e kyçur në nivelin 35kV është shtyrë si pasojë e gjendjes me COVID-19, pas konsultimit me Sekretariatin e Komunitetit të Energjisë deri në krijimin e kushteve të përshtatshme për implementim. Në nivelin e tregut me pakicë, një nga pengesat kryesore ka qenë inkasimi, i cila ka rënë ndjeshëm gjatë muajve të parë të pandemisë, mirëpo është përmirësuar në muajt në vazhdim.</w:t>
      </w:r>
    </w:p>
    <w:p w14:paraId="40D01D19" w14:textId="77777777" w:rsidR="00CE4035" w:rsidRPr="00411D8B" w:rsidRDefault="00CE4035" w:rsidP="00CE4035">
      <w:pPr>
        <w:jc w:val="both"/>
        <w:rPr>
          <w:b/>
        </w:rPr>
      </w:pPr>
      <w:r w:rsidRPr="00411D8B">
        <w:rPr>
          <w:b/>
        </w:rPr>
        <w:t xml:space="preserve">Transporti: </w:t>
      </w:r>
      <w:r w:rsidRPr="00411D8B">
        <w:rPr>
          <w:b/>
          <w:i/>
        </w:rPr>
        <w:t>Transporti rrugor</w:t>
      </w:r>
      <w:r w:rsidRPr="00411D8B">
        <w:rPr>
          <w:b/>
        </w:rPr>
        <w:t xml:space="preserve"> </w:t>
      </w:r>
      <w:r w:rsidRPr="00411D8B">
        <w:rPr>
          <w:rFonts w:eastAsia="Calibri"/>
        </w:rPr>
        <w:t xml:space="preserve">aktualisht paraqet 90% të buxhetit të Ministrisë së Infrastrukturës duke treguar rëndësinë që jepet për zhvillimin dhe përmirësimin e rrjetit rrugor që </w:t>
      </w:r>
      <w:r w:rsidRPr="00411D8B">
        <w:t>ka ndikim në zhvillimin ekonomik</w:t>
      </w:r>
      <w:r w:rsidRPr="00411D8B">
        <w:rPr>
          <w:rFonts w:eastAsia="Calibri"/>
        </w:rPr>
        <w:t xml:space="preserve">. Krahas rrjetit ekzistues rrugore prej 2000 km, gjatë periudhës dhjetëvjeçare në rrjetin rrugor të Kosovës janë përfunduar edhe 150 kilometra Autostradë sipas Standardeve TEM , 90 kilometra rrugë Nacionale me 4 shirita, janë ndërtuar dhe rehabilituar mbi 90% të rrjetit të brendshëm rrugor si dhe janë ndërtuar dhe rehabilituar 1500 km rrugë lokale. </w:t>
      </w:r>
      <w:r w:rsidRPr="00411D8B">
        <w:t>Përmirësimi dhe zhvillimi i sektorit rrugor ka shkurtuar kohën dhe shpenzimet e transporti, ka rritur sigurinë rrugore që janë edhe parakushte për zhvillim ekonomik.</w:t>
      </w:r>
    </w:p>
    <w:p w14:paraId="0AF91BEE" w14:textId="77777777" w:rsidR="00CE4035" w:rsidRPr="00411D8B" w:rsidRDefault="00CE4035" w:rsidP="00CE4035">
      <w:pPr>
        <w:jc w:val="both"/>
      </w:pPr>
      <w:r w:rsidRPr="00411D8B">
        <w:t>Te</w:t>
      </w:r>
      <w:r w:rsidRPr="00411D8B">
        <w:rPr>
          <w:b/>
        </w:rPr>
        <w:t xml:space="preserve"> </w:t>
      </w:r>
      <w:r w:rsidRPr="00411D8B">
        <w:rPr>
          <w:b/>
          <w:i/>
        </w:rPr>
        <w:t>transporti hekurudhor</w:t>
      </w:r>
      <w:r w:rsidRPr="00411D8B">
        <w:rPr>
          <w:b/>
        </w:rPr>
        <w:t>,</w:t>
      </w:r>
      <w:r w:rsidRPr="00411D8B">
        <w:t xml:space="preserve"> hekurudhat e Kosovës shtrihen në të gjithë territorin e Kosovës, me një gjatësi prej 335 km linjë hekurudhore të hapur, me një gjatësi prej 105 km në stacione dhe 103 km linja industriale. Linja hekurudhore 10 është duke u përmirësuar për të siguruar siguri dhe shërbime më të mëdha. Ky i fundit është rrjetit gjithëpërfshirës të SEETO dhe lidh Kosovën me Serbinë dhe Maqedoninë e Veriut, si dhe Linja hekurudhore 7 (Fushë Kosovë - Prishtinë - Podujevë) e cila lidh Kosovën me Serbinë. </w:t>
      </w:r>
      <w:r w:rsidRPr="00411D8B">
        <w:rPr>
          <w:rFonts w:eastAsia="Calibri"/>
        </w:rPr>
        <w:t xml:space="preserve">Situata e pandemisë COVID 19 ka pasur ndikim në realizimin e projekteve hekurudhore, por edhe në rënien e transportit të udhëtarëve dhe mallrave gjë që për pasojë ka rënien e të hyrave të planifikuara për operatorët e transportit hekurudhor (TRAINKOS dhe RAILTRANS), por edhe të Menaxhimit të Infrastrukturës Hekurudhore-INFRAKOS. Gjithashtu </w:t>
      </w:r>
      <w:r w:rsidRPr="00411D8B">
        <w:t>numri i pasagjerëve që kanë shfrytëzuar hekurudhat si mjet udhëtimi është zvogëluar për 76.85 % në tremujorin e dytë 2020, krahasuar me TM2 të vitit 2019. Zvogëlimi i shfrytëzimit të rrjetit hekurudhor ka ardhur si rezultat i Vendimit të Qeverisë në muajin Mars me masat e ndërmarra në luftimin e COVID-19, për ndërprerjen e transportit të udhëtareve. Transporti i mallrave me rrjetin hekurudhor në TM2 2020 krahasuar me tremujorin e dytë të vitit 2019 ka shënuar ulje për 5.70 %.</w:t>
      </w:r>
    </w:p>
    <w:p w14:paraId="11B136C1" w14:textId="77777777" w:rsidR="00CE4035" w:rsidRPr="00411D8B" w:rsidRDefault="00CE4035" w:rsidP="00CE4035">
      <w:pPr>
        <w:jc w:val="both"/>
        <w:rPr>
          <w:rFonts w:eastAsia="Calibri"/>
        </w:rPr>
      </w:pPr>
      <w:r w:rsidRPr="00411D8B">
        <w:rPr>
          <w:b/>
          <w:i/>
        </w:rPr>
        <w:t>Transporti ajror</w:t>
      </w:r>
      <w:r w:rsidRPr="00411D8B">
        <w:t xml:space="preserve">: Kosova ka Aeroportin Ndërkombëtar "Adem Jashari", i cili është gjithashtu pjesë e rrjetit gjithëpërfshirës të SEETO. Transporti ajror </w:t>
      </w:r>
      <w:r w:rsidRPr="00411D8B">
        <w:rPr>
          <w:rFonts w:eastAsia="Calibri"/>
        </w:rPr>
        <w:t xml:space="preserve">zhvillohet në bazë të legjislacionit në fuqi në Kosovë. </w:t>
      </w:r>
      <w:r w:rsidRPr="00411D8B">
        <w:t xml:space="preserve">Zhvillimi i transportit ajror bazohet në marrëveshjen për përdorimin e hapësirës së përbashkët evropiane. </w:t>
      </w:r>
      <w:r w:rsidRPr="00411D8B">
        <w:rPr>
          <w:rFonts w:eastAsia="Calibri"/>
        </w:rPr>
        <w:t>N</w:t>
      </w:r>
      <w:r w:rsidRPr="00411D8B">
        <w:rPr>
          <w:rFonts w:eastAsia="Calibri"/>
          <w:lang w:eastAsia="ja-JP"/>
        </w:rPr>
        <w:t xml:space="preserve">ë kuadër të </w:t>
      </w:r>
      <w:r w:rsidRPr="00411D8B">
        <w:rPr>
          <w:rFonts w:eastAsia="Calibri"/>
        </w:rPr>
        <w:t xml:space="preserve"> Aeroportin Ndërkombëtar "Adem Jashari" është duke u implementuar zgjatja e pistës për 500 metra, e cila do të ndikoj në aspektin e sigurisë dhe në aspektin e konkurueshmerisë me shtetet e rajonit, gjithashtu në kuadër të këtij projekti është edhe ngritja e sistemit instrumental të ndriçimit, i cili parashihet të eliminoj mjegullën në ANP. Projekti i zgjatjes së pistës pritet të përfundoj gjatë vitit 2020. </w:t>
      </w:r>
      <w:r w:rsidRPr="00411D8B">
        <w:t xml:space="preserve">Si rezultat i masat parandaluese në luftimin e pandemisë COVID-19 </w:t>
      </w:r>
      <w:r w:rsidRPr="00411D8B">
        <w:rPr>
          <w:rFonts w:eastAsia="Calibri"/>
        </w:rPr>
        <w:t xml:space="preserve">ka </w:t>
      </w:r>
      <w:r w:rsidRPr="00411D8B">
        <w:t>ulje prej 96% në qarkullim. Si pasojë, niveli i përgjithshëm i rënies së aktiviteteve shërbyese pritet të ketë ndikim të rëndësishëm në rënien e përgjithshme të BPV</w:t>
      </w:r>
    </w:p>
    <w:p w14:paraId="568E53EB" w14:textId="77777777" w:rsidR="00CE4035" w:rsidRPr="00411D8B" w:rsidRDefault="00CE4035" w:rsidP="00CE4035">
      <w:pPr>
        <w:jc w:val="both"/>
      </w:pPr>
      <w:r w:rsidRPr="00411D8B">
        <w:rPr>
          <w:b/>
        </w:rPr>
        <w:t>Pengesat strukturore</w:t>
      </w:r>
      <w:r w:rsidRPr="00411D8B">
        <w:t xml:space="preserve">: Pengesat kryesore strukturore në sektorin e </w:t>
      </w:r>
      <w:r w:rsidRPr="00411D8B">
        <w:rPr>
          <w:i/>
        </w:rPr>
        <w:t>energjisë janë</w:t>
      </w:r>
      <w:r w:rsidRPr="00411D8B">
        <w:t>: (i) impiantet të vjetërsuara të energjisë; (ii) diversitet i ulët i burimeve të energjisë; (iii ) humbjet teknike në sistemin e shpërndarjes së energjisë elektrike; dhe (iv) përdorimi joefikas i energjisë, veçanërisht në sektorin e banimit. N</w:t>
      </w:r>
      <w:r w:rsidRPr="00411D8B">
        <w:rPr>
          <w:b/>
        </w:rPr>
        <w:t>ë sektorin e transportit janë</w:t>
      </w:r>
      <w:r w:rsidRPr="00411D8B">
        <w:t>: (i) mirëmbajtja jo adekuate e rrugëve ekzistuese; (ii) gjendja e dobët e linjave hekurudhore; (iii) mungesa e një hekurudhe funksionale në veri midis Kosovës dhe Serbisë për shkak të pengesave politike.</w:t>
      </w:r>
    </w:p>
    <w:p w14:paraId="2D3634FD" w14:textId="77777777" w:rsidR="00CE4035" w:rsidRPr="00411D8B" w:rsidRDefault="00CE4035" w:rsidP="00CE4035">
      <w:pPr>
        <w:jc w:val="both"/>
      </w:pPr>
    </w:p>
    <w:p w14:paraId="139BA6DA" w14:textId="77777777" w:rsidR="00CE4035" w:rsidRPr="00411D8B" w:rsidRDefault="00CE4035" w:rsidP="00CE4035">
      <w:pPr>
        <w:spacing w:after="60"/>
        <w:jc w:val="both"/>
        <w:rPr>
          <w:b/>
        </w:rPr>
      </w:pPr>
      <w:r w:rsidRPr="00411D8B">
        <w:rPr>
          <w:b/>
          <w:shd w:val="clear" w:color="auto" w:fill="9CC2E5" w:themeFill="accent1" w:themeFillTint="99"/>
        </w:rPr>
        <w:t>Masa reformuese #1: Ulja e konsumit të energjisë me anë të masave të efiçiencës së energjisë</w:t>
      </w:r>
    </w:p>
    <w:p w14:paraId="555CC3F9" w14:textId="77777777" w:rsidR="00CE4035" w:rsidRPr="00411D8B" w:rsidRDefault="00CE4035" w:rsidP="00CE4035">
      <w:pPr>
        <w:pStyle w:val="Default"/>
        <w:jc w:val="both"/>
        <w:rPr>
          <w:lang w:val="sq-AL"/>
        </w:rPr>
      </w:pPr>
      <w:r w:rsidRPr="00411D8B">
        <w:rPr>
          <w:lang w:val="sq-AL"/>
        </w:rPr>
        <w:t>Sektori i Energjisë është sektori më dinamik i cili duhet të zhvillohet vazhdimisht. Objektiva  kryesore e kësaj mase është arritja e objektivave të kursimit të energjisë sipas caqeve  të përcaktuara nga komuniteti i energjisë përmes aplikimit të  masave të EE në ndërtesat publike dhe amvisëri dhe rritja e investimeve në këtë sektor. Investimi në Efiçiencë të Energjisë në ndërtesat publike do të kursejë buxhetin duke rritur njëkohësisht të mirat për shfrytëzuesit. Ndërtesat janë ndër shpenzuesit me të mëdhenj të energjisë elektrike, prandaj duke i’u nënshtruar renovimit dhe zëvendësimit të teknologjisë siç janë ngrohja, ndriçimi, izolimi mundësohet përmirësimi i situatës mjedisore qoftë në nivel kombëtar apo ndërkombëtar. Kjo pasi ndër objektivat kryesore të  The European Green Deal janë sigurimi që ndërtesat janë më efikase në energji dhe investimi në përdorimin sa më efikas të energjisë elektrike. Përmes FKEE rreth 15 milion Euro do të investohen në masat e EE për ndërtesat publike dhe ndriçimin e komunës. Të gjitha fondet në dispozicion janë të dedikuara për rreth 150 projekte në të gjithë vendin deri në fund të vitit 2020. Gjatë vitit 2021 dhe 2022 do të kryhen auditime të energjisë, dizajne dhe punime të hollësishme. Po ashtu, rritja e mirëqenies dhe investimet në ndërtesa apo ndriçimet publike ofrojnë mundësi për ekonominë vendore dhe më gjerë. Potenciali i këtillë i ndërlidhur me qëndrueshmërinë financiare të Fondit të Kosovës për Efiçiencë të Energjisë synon që përvojat nga sektori publik të barten në sektorin privat gjatë kësaj periudhe. Për më tepër, masa për efiç</w:t>
      </w:r>
      <w:r>
        <w:rPr>
          <w:lang w:val="sq-AL"/>
        </w:rPr>
        <w:t>iencën e energjisë i përket O</w:t>
      </w:r>
      <w:r w:rsidRPr="00411D8B">
        <w:rPr>
          <w:lang w:val="sq-AL"/>
        </w:rPr>
        <w:t>ZHQ 7 (Energji e përballueshme dhe e pastër), e cila në radhë të parë dhe më e rëndësishmja synon familjet për qasje gjithëpërfshirëse me energji elektrike. Brenda parimit "mos le askënd prapa", masa gjithashtu ngërthen ngritjen e kapaciteteve gjinore dhe arritjen e barazisë gjinore në sektorin e energjisë përmes investimeve dhe ndarjes së granteve për bizneset e grave.</w:t>
      </w:r>
    </w:p>
    <w:p w14:paraId="62D70BEF" w14:textId="77777777" w:rsidR="00CE4035" w:rsidRPr="00411D8B" w:rsidRDefault="00CE4035" w:rsidP="00CE4035">
      <w:pPr>
        <w:jc w:val="both"/>
      </w:pPr>
    </w:p>
    <w:p w14:paraId="6EF1BFEA" w14:textId="77777777" w:rsidR="00CE4035" w:rsidRPr="00411D8B" w:rsidRDefault="00CE4035" w:rsidP="00CE4035">
      <w:pPr>
        <w:pStyle w:val="Default"/>
        <w:rPr>
          <w:b/>
          <w:bCs/>
          <w:color w:val="auto"/>
          <w:lang w:val="sq-AL"/>
        </w:rPr>
      </w:pPr>
      <w:r w:rsidRPr="00411D8B">
        <w:rPr>
          <w:rFonts w:eastAsiaTheme="minorHAnsi"/>
          <w:b/>
          <w:color w:val="auto"/>
          <w:lang w:val="sq-AL"/>
        </w:rPr>
        <w:t>a.</w:t>
      </w:r>
      <w:r w:rsidRPr="00411D8B">
        <w:rPr>
          <w:rFonts w:eastAsiaTheme="minorHAnsi"/>
          <w:color w:val="auto"/>
          <w:lang w:val="sq-AL"/>
        </w:rPr>
        <w:t xml:space="preserve"> </w:t>
      </w:r>
      <w:r w:rsidRPr="00411D8B">
        <w:rPr>
          <w:b/>
          <w:bCs/>
          <w:color w:val="auto"/>
          <w:lang w:val="sq-AL"/>
        </w:rPr>
        <w:t xml:space="preserve">Aktivitetet e planifikuara për 2021: </w:t>
      </w:r>
    </w:p>
    <w:p w14:paraId="4B5C6A05" w14:textId="77777777" w:rsidR="00CE4035" w:rsidRPr="00411D8B" w:rsidRDefault="00CE4035" w:rsidP="0068706C">
      <w:pPr>
        <w:pStyle w:val="HTMLPreformatted"/>
        <w:numPr>
          <w:ilvl w:val="0"/>
          <w:numId w:val="64"/>
        </w:numPr>
        <w:tabs>
          <w:tab w:val="clear" w:pos="916"/>
          <w:tab w:val="clear" w:pos="1832"/>
          <w:tab w:val="clear" w:pos="2748"/>
          <w:tab w:val="clear" w:pos="3664"/>
          <w:tab w:val="left" w:pos="360"/>
          <w:tab w:val="left" w:pos="450"/>
          <w:tab w:val="left" w:pos="540"/>
        </w:tabs>
        <w:ind w:left="360"/>
        <w:jc w:val="both"/>
        <w:rPr>
          <w:rFonts w:ascii="Times New Roman" w:hAnsi="Times New Roman" w:cs="Times New Roman"/>
          <w:sz w:val="24"/>
          <w:szCs w:val="24"/>
          <w:lang w:val="sq-AL"/>
        </w:rPr>
      </w:pPr>
      <w:r w:rsidRPr="00411D8B">
        <w:rPr>
          <w:rFonts w:ascii="Times New Roman" w:hAnsi="Times New Roman" w:cs="Times New Roman"/>
          <w:sz w:val="24"/>
          <w:szCs w:val="24"/>
          <w:lang w:val="sq-AL"/>
        </w:rPr>
        <w:t>Aplikimi i masave për EE në amvisëritë në 1300 shtëpi dhe në 13 ndërtesa shumë katesh dhe 15 ndërtesa publike (MFK, FKEE)</w:t>
      </w:r>
    </w:p>
    <w:p w14:paraId="335C1EF4" w14:textId="77777777" w:rsidR="00CE4035" w:rsidRPr="00411D8B" w:rsidRDefault="00CE4035" w:rsidP="0068706C">
      <w:pPr>
        <w:pStyle w:val="HTMLPreformatted"/>
        <w:numPr>
          <w:ilvl w:val="0"/>
          <w:numId w:val="64"/>
        </w:numPr>
        <w:tabs>
          <w:tab w:val="clear" w:pos="916"/>
          <w:tab w:val="clear" w:pos="1832"/>
          <w:tab w:val="clear" w:pos="2748"/>
          <w:tab w:val="clear" w:pos="3664"/>
          <w:tab w:val="left" w:pos="360"/>
          <w:tab w:val="left" w:pos="450"/>
          <w:tab w:val="left" w:pos="540"/>
        </w:tabs>
        <w:ind w:left="360"/>
        <w:jc w:val="both"/>
        <w:rPr>
          <w:rFonts w:ascii="Times New Roman" w:hAnsi="Times New Roman" w:cs="Times New Roman"/>
          <w:sz w:val="24"/>
          <w:szCs w:val="24"/>
          <w:lang w:val="sq-AL"/>
        </w:rPr>
      </w:pPr>
      <w:r w:rsidRPr="00411D8B">
        <w:rPr>
          <w:rFonts w:ascii="Times New Roman" w:hAnsi="Times New Roman" w:cs="Times New Roman"/>
          <w:sz w:val="24"/>
          <w:szCs w:val="24"/>
          <w:lang w:val="sq-AL"/>
        </w:rPr>
        <w:t>Instalimi i njehsorëve për matjen e konsumit të ngrohjes qendrore dhe valvulave termostatike për rreth 14000 konsumator të NQ Termokos, (MFK);</w:t>
      </w:r>
    </w:p>
    <w:p w14:paraId="701C4803" w14:textId="77777777" w:rsidR="00CE4035" w:rsidRPr="00411D8B" w:rsidRDefault="00CE4035" w:rsidP="0068706C">
      <w:pPr>
        <w:pStyle w:val="ListParagraph"/>
        <w:widowControl w:val="0"/>
        <w:numPr>
          <w:ilvl w:val="0"/>
          <w:numId w:val="64"/>
        </w:numPr>
        <w:tabs>
          <w:tab w:val="left" w:pos="360"/>
        </w:tabs>
        <w:spacing w:after="0" w:line="240" w:lineRule="auto"/>
        <w:ind w:left="360"/>
        <w:contextualSpacing w:val="0"/>
        <w:jc w:val="both"/>
        <w:rPr>
          <w:rFonts w:ascii="Times New Roman" w:hAnsi="Times New Roman"/>
          <w:sz w:val="24"/>
          <w:szCs w:val="24"/>
        </w:rPr>
      </w:pPr>
      <w:r w:rsidRPr="00411D8B">
        <w:rPr>
          <w:rFonts w:ascii="Times New Roman" w:hAnsi="Times New Roman"/>
          <w:sz w:val="24"/>
          <w:szCs w:val="24"/>
        </w:rPr>
        <w:t xml:space="preserve">Ndarjet e granteve për masat e efiçiencës për bizneset e grave dhe praktikave profesionale për 100 gra në sektorin e energjisë, AKEE (MFK); </w:t>
      </w:r>
    </w:p>
    <w:p w14:paraId="08037EF9" w14:textId="77777777" w:rsidR="00CE4035" w:rsidRPr="00411D8B" w:rsidRDefault="00CE4035" w:rsidP="0068706C">
      <w:pPr>
        <w:pStyle w:val="Default"/>
        <w:numPr>
          <w:ilvl w:val="0"/>
          <w:numId w:val="64"/>
        </w:numPr>
        <w:ind w:left="360"/>
        <w:jc w:val="both"/>
        <w:rPr>
          <w:color w:val="auto"/>
          <w:lang w:val="sq-AL"/>
        </w:rPr>
      </w:pPr>
      <w:r w:rsidRPr="00411D8B">
        <w:rPr>
          <w:color w:val="auto"/>
          <w:lang w:val="sq-AL"/>
        </w:rPr>
        <w:t xml:space="preserve">Përgatitja  e Studimin e Fizibilitetit dhe analiza e kost-përfitimit për ndërtimin e sistemeve të ngrohjes qendrore dhe fillimi i realizimit të studimit për ndërtimin e sistemeve të ngrohjes qendrore në disa qytete të Kosovës (MEA); </w:t>
      </w:r>
    </w:p>
    <w:p w14:paraId="092ACEE2" w14:textId="77777777" w:rsidR="00CE4035" w:rsidRPr="00411D8B" w:rsidRDefault="00CE4035" w:rsidP="0068706C">
      <w:pPr>
        <w:pStyle w:val="CommentText"/>
        <w:numPr>
          <w:ilvl w:val="0"/>
          <w:numId w:val="64"/>
        </w:numPr>
        <w:ind w:left="360"/>
        <w:jc w:val="both"/>
        <w:rPr>
          <w:color w:val="auto"/>
          <w:sz w:val="24"/>
          <w:szCs w:val="24"/>
          <w:lang w:val="sq-AL"/>
        </w:rPr>
      </w:pPr>
      <w:r w:rsidRPr="00411D8B">
        <w:rPr>
          <w:color w:val="auto"/>
          <w:sz w:val="24"/>
          <w:szCs w:val="24"/>
          <w:lang w:val="sq-AL"/>
        </w:rPr>
        <w:t>Zbatimi i planit të investimeve kapitale nga Operatori i Sistemit të Shpërndarjes për Tension të Mesëm (MV) dhe Tension të Ulët (LV), përfshirë projektet për zvogëlimin e humbjeve teknike dhe komerciale (KEDS);</w:t>
      </w:r>
    </w:p>
    <w:p w14:paraId="4A4F5EF6" w14:textId="77777777" w:rsidR="00CE4035" w:rsidRPr="00411D8B" w:rsidRDefault="00CE4035" w:rsidP="0068706C">
      <w:pPr>
        <w:pStyle w:val="ListParagraph"/>
        <w:widowControl w:val="0"/>
        <w:numPr>
          <w:ilvl w:val="0"/>
          <w:numId w:val="64"/>
        </w:numPr>
        <w:spacing w:after="0" w:line="240" w:lineRule="auto"/>
        <w:ind w:left="360"/>
        <w:contextualSpacing w:val="0"/>
        <w:jc w:val="both"/>
        <w:rPr>
          <w:rFonts w:ascii="Times New Roman" w:hAnsi="Times New Roman"/>
          <w:sz w:val="24"/>
          <w:szCs w:val="24"/>
        </w:rPr>
      </w:pPr>
      <w:r w:rsidRPr="00411D8B">
        <w:rPr>
          <w:rFonts w:ascii="Times New Roman" w:hAnsi="Times New Roman"/>
          <w:sz w:val="24"/>
          <w:szCs w:val="24"/>
        </w:rPr>
        <w:t>Implementimi i pakos se parë (55 projekte) dhe pakos se dytë (25 projekte) në 22 komuna për masat e EE në ndriçim, instalim të paneleve fotovoltarike dhe ndërtesa  (FKEE);</w:t>
      </w:r>
    </w:p>
    <w:p w14:paraId="61FAD94F" w14:textId="77777777" w:rsidR="00CE4035" w:rsidRPr="00411D8B" w:rsidRDefault="00CE4035" w:rsidP="0068706C">
      <w:pPr>
        <w:pStyle w:val="ListParagraph"/>
        <w:widowControl w:val="0"/>
        <w:numPr>
          <w:ilvl w:val="0"/>
          <w:numId w:val="64"/>
        </w:numPr>
        <w:spacing w:after="0" w:line="240" w:lineRule="auto"/>
        <w:ind w:left="360"/>
        <w:contextualSpacing w:val="0"/>
        <w:jc w:val="both"/>
        <w:rPr>
          <w:rFonts w:ascii="Times New Roman" w:hAnsi="Times New Roman"/>
          <w:sz w:val="24"/>
          <w:szCs w:val="24"/>
        </w:rPr>
      </w:pPr>
      <w:r w:rsidRPr="00411D8B">
        <w:rPr>
          <w:rFonts w:ascii="Times New Roman" w:hAnsi="Times New Roman"/>
          <w:sz w:val="24"/>
          <w:szCs w:val="24"/>
        </w:rPr>
        <w:t>Hartimi i masave nxitëse për EE në sektorin e amvisërisë dhe atë privat (AKEE).</w:t>
      </w:r>
    </w:p>
    <w:p w14:paraId="6F6F92A6" w14:textId="77777777" w:rsidR="00CE4035" w:rsidRPr="00411D8B" w:rsidRDefault="00CE4035" w:rsidP="00CE4035">
      <w:pPr>
        <w:pStyle w:val="Default"/>
        <w:jc w:val="both"/>
        <w:rPr>
          <w:b/>
          <w:bCs/>
          <w:color w:val="auto"/>
          <w:lang w:val="sq-AL"/>
        </w:rPr>
      </w:pPr>
    </w:p>
    <w:p w14:paraId="2659DA2D" w14:textId="77777777" w:rsidR="00CE4035" w:rsidRPr="00411D8B" w:rsidRDefault="00CE4035" w:rsidP="00CE4035">
      <w:pPr>
        <w:pStyle w:val="Default"/>
        <w:jc w:val="both"/>
        <w:rPr>
          <w:b/>
          <w:bCs/>
          <w:color w:val="auto"/>
          <w:lang w:val="sq-AL"/>
        </w:rPr>
      </w:pPr>
      <w:r w:rsidRPr="00411D8B">
        <w:rPr>
          <w:b/>
          <w:bCs/>
          <w:color w:val="auto"/>
          <w:lang w:val="sq-AL"/>
        </w:rPr>
        <w:t xml:space="preserve">b. Aktivitetet e planifikuara për 2022: </w:t>
      </w:r>
    </w:p>
    <w:p w14:paraId="6013AB2A" w14:textId="77777777" w:rsidR="00CE4035" w:rsidRPr="00411D8B" w:rsidRDefault="00CE4035" w:rsidP="0068706C">
      <w:pPr>
        <w:pStyle w:val="HTMLPreformatted"/>
        <w:numPr>
          <w:ilvl w:val="0"/>
          <w:numId w:val="62"/>
        </w:numPr>
        <w:tabs>
          <w:tab w:val="clear" w:pos="916"/>
          <w:tab w:val="clear" w:pos="1832"/>
          <w:tab w:val="clear" w:pos="2748"/>
          <w:tab w:val="clear" w:pos="3664"/>
          <w:tab w:val="left" w:pos="360"/>
          <w:tab w:val="left" w:pos="540"/>
        </w:tabs>
        <w:jc w:val="both"/>
        <w:rPr>
          <w:rFonts w:ascii="Times New Roman" w:hAnsi="Times New Roman" w:cs="Times New Roman"/>
          <w:sz w:val="24"/>
          <w:szCs w:val="24"/>
          <w:lang w:val="sq-AL"/>
        </w:rPr>
      </w:pPr>
      <w:r w:rsidRPr="00411D8B">
        <w:rPr>
          <w:rFonts w:ascii="Times New Roman" w:hAnsi="Times New Roman" w:cs="Times New Roman"/>
          <w:sz w:val="24"/>
          <w:szCs w:val="24"/>
          <w:lang w:val="sq-AL"/>
        </w:rPr>
        <w:t>Aplikimi i masave për EE në amvisëritë në 1300 shtëpi dhe në 12 ndërtesa shumë katesh dhe 15 ndërtesa publike; FKEE, MFK);</w:t>
      </w:r>
    </w:p>
    <w:p w14:paraId="6D9A5AA6" w14:textId="77777777" w:rsidR="00CE4035" w:rsidRPr="00411D8B" w:rsidRDefault="00CE4035" w:rsidP="0068706C">
      <w:pPr>
        <w:numPr>
          <w:ilvl w:val="0"/>
          <w:numId w:val="6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 w:val="left" w:pos="540"/>
        </w:tabs>
        <w:jc w:val="both"/>
      </w:pPr>
      <w:r w:rsidRPr="00411D8B">
        <w:t>Instalimi i softuerit për faturim dhe kontroll të konsumit të matur të energjisë termike në NQ Termokos (MFK)</w:t>
      </w:r>
    </w:p>
    <w:p w14:paraId="55947DD3" w14:textId="77777777" w:rsidR="00CE4035" w:rsidRPr="00411D8B" w:rsidRDefault="00CE4035" w:rsidP="0068706C">
      <w:pPr>
        <w:pStyle w:val="ListParagraph"/>
        <w:numPr>
          <w:ilvl w:val="0"/>
          <w:numId w:val="62"/>
        </w:numPr>
        <w:spacing w:line="240" w:lineRule="auto"/>
        <w:jc w:val="both"/>
        <w:rPr>
          <w:rFonts w:ascii="Times New Roman" w:hAnsi="Times New Roman"/>
          <w:sz w:val="24"/>
          <w:szCs w:val="24"/>
        </w:rPr>
      </w:pPr>
      <w:r w:rsidRPr="00411D8B">
        <w:rPr>
          <w:rFonts w:ascii="Times New Roman" w:hAnsi="Times New Roman"/>
          <w:sz w:val="24"/>
          <w:szCs w:val="24"/>
        </w:rPr>
        <w:t>Ndarjet e granteve për masat e efiçiencës për bizneset e grave dhe praktikave profesionale për 100 gra në sektorin e energjisë (MFK);</w:t>
      </w:r>
    </w:p>
    <w:p w14:paraId="3CABFAAB" w14:textId="77777777" w:rsidR="00CE4035" w:rsidRPr="00411D8B" w:rsidRDefault="00CE4035" w:rsidP="0068706C">
      <w:pPr>
        <w:pStyle w:val="ListParagraph"/>
        <w:numPr>
          <w:ilvl w:val="0"/>
          <w:numId w:val="62"/>
        </w:numPr>
        <w:spacing w:after="0" w:line="240" w:lineRule="auto"/>
        <w:jc w:val="both"/>
        <w:rPr>
          <w:rFonts w:ascii="Times New Roman" w:hAnsi="Times New Roman"/>
          <w:sz w:val="24"/>
          <w:szCs w:val="24"/>
        </w:rPr>
      </w:pPr>
      <w:r w:rsidRPr="00411D8B">
        <w:rPr>
          <w:rFonts w:ascii="Times New Roman" w:hAnsi="Times New Roman"/>
          <w:sz w:val="24"/>
          <w:szCs w:val="24"/>
        </w:rPr>
        <w:t xml:space="preserve">Finalizimi i studimit të fizibilitetit për ndërtimin e sistemeve të ngrohjes qendrore në disa qytete të Kosovës (MEA); </w:t>
      </w:r>
    </w:p>
    <w:p w14:paraId="2CBC44FE" w14:textId="77777777" w:rsidR="00CE4035" w:rsidRPr="00411D8B" w:rsidRDefault="00CE4035" w:rsidP="0068706C">
      <w:pPr>
        <w:pStyle w:val="CommentText"/>
        <w:numPr>
          <w:ilvl w:val="0"/>
          <w:numId w:val="62"/>
        </w:numPr>
        <w:jc w:val="both"/>
        <w:rPr>
          <w:color w:val="auto"/>
          <w:sz w:val="24"/>
          <w:szCs w:val="24"/>
          <w:lang w:val="sq-AL"/>
        </w:rPr>
      </w:pPr>
      <w:r w:rsidRPr="00411D8B">
        <w:rPr>
          <w:color w:val="auto"/>
          <w:sz w:val="24"/>
          <w:szCs w:val="24"/>
          <w:lang w:val="sq-AL"/>
        </w:rPr>
        <w:t>Zbatimi i planit të investimeve kapitale nga Operatori i Sistemit të Shpërndarjes për Tension të Mesëm (MV) dhe Tension të Ulët (LV), përfshirë projektet për zvogëlimin e humbjeve teknike dhe komerciale (KEDS);</w:t>
      </w:r>
    </w:p>
    <w:p w14:paraId="4DAF9A11" w14:textId="77777777" w:rsidR="00CE4035" w:rsidRPr="00411D8B" w:rsidRDefault="00CE4035" w:rsidP="00CE4035">
      <w:pPr>
        <w:pStyle w:val="CommentText"/>
        <w:ind w:left="360"/>
        <w:jc w:val="both"/>
        <w:rPr>
          <w:color w:val="auto"/>
          <w:sz w:val="24"/>
          <w:szCs w:val="24"/>
          <w:lang w:val="sq-AL"/>
        </w:rPr>
      </w:pPr>
    </w:p>
    <w:p w14:paraId="64B65730" w14:textId="77777777" w:rsidR="00CE4035" w:rsidRPr="00411D8B" w:rsidRDefault="00CE4035" w:rsidP="00CE4035">
      <w:pPr>
        <w:pStyle w:val="Default"/>
        <w:jc w:val="both"/>
        <w:rPr>
          <w:color w:val="auto"/>
          <w:lang w:val="sq-AL"/>
        </w:rPr>
      </w:pPr>
      <w:r w:rsidRPr="00411D8B">
        <w:rPr>
          <w:b/>
          <w:bCs/>
          <w:color w:val="auto"/>
          <w:lang w:val="sq-AL"/>
        </w:rPr>
        <w:t xml:space="preserve">c. Aktivitetet e planifikuara për 2023: </w:t>
      </w:r>
    </w:p>
    <w:p w14:paraId="423BC48C" w14:textId="77777777" w:rsidR="00CE4035" w:rsidRPr="00411D8B" w:rsidRDefault="00CE4035" w:rsidP="0068706C">
      <w:pPr>
        <w:pStyle w:val="ListParagraph"/>
        <w:numPr>
          <w:ilvl w:val="0"/>
          <w:numId w:val="63"/>
        </w:numPr>
        <w:spacing w:line="240" w:lineRule="auto"/>
        <w:jc w:val="both"/>
        <w:rPr>
          <w:rFonts w:ascii="Times New Roman" w:hAnsi="Times New Roman"/>
          <w:sz w:val="24"/>
          <w:szCs w:val="24"/>
        </w:rPr>
      </w:pPr>
      <w:r w:rsidRPr="00411D8B">
        <w:rPr>
          <w:rFonts w:ascii="Times New Roman" w:hAnsi="Times New Roman"/>
          <w:sz w:val="24"/>
          <w:szCs w:val="24"/>
        </w:rPr>
        <w:t>Aplikimi i masave të EE në 15 ndërtesa publike, AKEE (KFW - Projekti i BE-së nën WBIF);</w:t>
      </w:r>
    </w:p>
    <w:p w14:paraId="09F00F39" w14:textId="77777777" w:rsidR="00CE4035" w:rsidRPr="00411D8B" w:rsidRDefault="00CE4035" w:rsidP="0068706C">
      <w:pPr>
        <w:pStyle w:val="ListParagraph"/>
        <w:numPr>
          <w:ilvl w:val="0"/>
          <w:numId w:val="63"/>
        </w:numPr>
        <w:spacing w:after="0" w:line="240" w:lineRule="auto"/>
        <w:jc w:val="both"/>
        <w:rPr>
          <w:rFonts w:ascii="Times New Roman" w:hAnsi="Times New Roman"/>
          <w:sz w:val="24"/>
          <w:szCs w:val="24"/>
        </w:rPr>
      </w:pPr>
      <w:r w:rsidRPr="00411D8B">
        <w:rPr>
          <w:rFonts w:ascii="Times New Roman" w:hAnsi="Times New Roman"/>
          <w:sz w:val="24"/>
          <w:szCs w:val="24"/>
        </w:rPr>
        <w:t>Fillimi i zbatimit të masave që dalin nga studimi i fizibilitetit;</w:t>
      </w:r>
    </w:p>
    <w:p w14:paraId="5984A172" w14:textId="77777777" w:rsidR="00CE4035" w:rsidRPr="00411D8B" w:rsidRDefault="00CE4035" w:rsidP="0068706C">
      <w:pPr>
        <w:pStyle w:val="CommentText"/>
        <w:numPr>
          <w:ilvl w:val="0"/>
          <w:numId w:val="63"/>
        </w:numPr>
        <w:jc w:val="both"/>
        <w:rPr>
          <w:color w:val="auto"/>
          <w:sz w:val="24"/>
          <w:szCs w:val="24"/>
          <w:lang w:val="sq-AL"/>
        </w:rPr>
      </w:pPr>
      <w:r w:rsidRPr="00411D8B">
        <w:rPr>
          <w:color w:val="auto"/>
          <w:sz w:val="24"/>
          <w:szCs w:val="24"/>
          <w:lang w:val="sq-AL"/>
        </w:rPr>
        <w:t>Zbatimi i planit të investimeve kapitale nga Operatori i Sistemit të Shpërndarjes për Tension të Mesëm (MV) dhe Tension të Ulët (LV), përfshirë projektet për zvogëlimin e humbjeve teknike dhe komerciale (KEDS);</w:t>
      </w:r>
    </w:p>
    <w:p w14:paraId="503284E7" w14:textId="77777777" w:rsidR="00CE4035" w:rsidRPr="00411D8B" w:rsidRDefault="00CE4035" w:rsidP="00CE4035">
      <w:pPr>
        <w:pStyle w:val="CommentText"/>
        <w:ind w:left="360"/>
        <w:jc w:val="both"/>
        <w:rPr>
          <w:color w:val="auto"/>
          <w:sz w:val="24"/>
          <w:szCs w:val="24"/>
          <w:lang w:val="sq-AL"/>
        </w:rPr>
      </w:pPr>
    </w:p>
    <w:p w14:paraId="3D2180BD" w14:textId="77777777" w:rsidR="00CE4035" w:rsidRPr="00411D8B" w:rsidRDefault="00CE4035" w:rsidP="00CE4035">
      <w:pPr>
        <w:pStyle w:val="ListParagraph"/>
        <w:rPr>
          <w:rFonts w:ascii="Times New Roman" w:hAnsi="Times New Roman"/>
          <w:sz w:val="24"/>
          <w:szCs w:val="24"/>
        </w:rPr>
      </w:pPr>
      <w:r w:rsidRPr="00411D8B">
        <w:rPr>
          <w:rFonts w:ascii="Times New Roman" w:hAnsi="Times New Roman"/>
          <w:b/>
          <w:sz w:val="24"/>
          <w:szCs w:val="24"/>
        </w:rPr>
        <w:t>Treguesit e rezultateve</w:t>
      </w:r>
      <w:r w:rsidRPr="00411D8B">
        <w:rPr>
          <w:rFonts w:ascii="Times New Roman" w:hAnsi="Times New Roman"/>
          <w:sz w:val="24"/>
          <w:szCs w:val="24"/>
        </w:rPr>
        <w:t>:</w:t>
      </w:r>
    </w:p>
    <w:tbl>
      <w:tblPr>
        <w:tblpPr w:leftFromText="180" w:rightFromText="180" w:vertAnchor="text" w:horzAnchor="margin" w:tblpX="13" w:tblpY="16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1072"/>
        <w:gridCol w:w="1728"/>
        <w:gridCol w:w="1299"/>
      </w:tblGrid>
      <w:tr w:rsidR="00CE4035" w:rsidRPr="00411D8B" w14:paraId="3A1404CA" w14:textId="77777777" w:rsidTr="009B753C">
        <w:trPr>
          <w:trHeight w:val="528"/>
        </w:trPr>
        <w:tc>
          <w:tcPr>
            <w:tcW w:w="2693" w:type="pct"/>
            <w:shd w:val="clear" w:color="auto" w:fill="auto"/>
          </w:tcPr>
          <w:p w14:paraId="49549EF0" w14:textId="77777777" w:rsidR="00CE4035" w:rsidRPr="00411D8B" w:rsidRDefault="00CE4035" w:rsidP="009B753C">
            <w:pPr>
              <w:pStyle w:val="Default"/>
              <w:spacing w:after="60"/>
              <w:jc w:val="both"/>
              <w:rPr>
                <w:b/>
                <w:color w:val="auto"/>
                <w:lang w:val="sq-AL"/>
              </w:rPr>
            </w:pPr>
            <w:r w:rsidRPr="00411D8B">
              <w:rPr>
                <w:b/>
                <w:color w:val="auto"/>
                <w:lang w:val="sq-AL"/>
              </w:rPr>
              <w:t>Treguesit:</w:t>
            </w:r>
          </w:p>
        </w:tc>
        <w:tc>
          <w:tcPr>
            <w:tcW w:w="695" w:type="pct"/>
            <w:shd w:val="clear" w:color="auto" w:fill="auto"/>
          </w:tcPr>
          <w:p w14:paraId="4E623394" w14:textId="77777777" w:rsidR="00CE4035" w:rsidRPr="00411D8B" w:rsidRDefault="00CE4035" w:rsidP="009B753C">
            <w:pPr>
              <w:pStyle w:val="Default"/>
              <w:spacing w:after="60"/>
              <w:jc w:val="center"/>
              <w:rPr>
                <w:b/>
                <w:color w:val="auto"/>
                <w:lang w:val="sq-AL"/>
              </w:rPr>
            </w:pPr>
            <w:r w:rsidRPr="00411D8B">
              <w:rPr>
                <w:b/>
                <w:color w:val="auto"/>
                <w:lang w:val="sq-AL"/>
              </w:rPr>
              <w:t>Baza</w:t>
            </w:r>
          </w:p>
          <w:p w14:paraId="28619F2A" w14:textId="77777777" w:rsidR="00CE4035" w:rsidRPr="00411D8B" w:rsidRDefault="00CE4035" w:rsidP="009B753C">
            <w:pPr>
              <w:pStyle w:val="Default"/>
              <w:spacing w:after="60"/>
              <w:jc w:val="center"/>
              <w:rPr>
                <w:b/>
                <w:color w:val="auto"/>
                <w:lang w:val="sq-AL"/>
              </w:rPr>
            </w:pPr>
            <w:r w:rsidRPr="00411D8B">
              <w:rPr>
                <w:b/>
                <w:color w:val="auto"/>
                <w:lang w:val="sq-AL"/>
              </w:rPr>
              <w:t>2020</w:t>
            </w:r>
          </w:p>
        </w:tc>
        <w:tc>
          <w:tcPr>
            <w:tcW w:w="786" w:type="pct"/>
            <w:shd w:val="clear" w:color="auto" w:fill="auto"/>
          </w:tcPr>
          <w:p w14:paraId="4423E566" w14:textId="77777777" w:rsidR="00CE4035" w:rsidRPr="00411D8B" w:rsidRDefault="00CE4035" w:rsidP="009B753C">
            <w:pPr>
              <w:pStyle w:val="Default"/>
              <w:spacing w:after="60"/>
              <w:jc w:val="center"/>
              <w:rPr>
                <w:b/>
                <w:color w:val="auto"/>
                <w:lang w:val="sq-AL"/>
              </w:rPr>
            </w:pPr>
            <w:r w:rsidRPr="00411D8B">
              <w:rPr>
                <w:b/>
                <w:color w:val="auto"/>
                <w:lang w:val="sq-AL"/>
              </w:rPr>
              <w:t>Synimi i ndërmjetëm</w:t>
            </w:r>
          </w:p>
        </w:tc>
        <w:tc>
          <w:tcPr>
            <w:tcW w:w="826" w:type="pct"/>
            <w:shd w:val="clear" w:color="auto" w:fill="auto"/>
          </w:tcPr>
          <w:p w14:paraId="30245D69" w14:textId="77777777" w:rsidR="00CE4035" w:rsidRPr="00411D8B" w:rsidRDefault="00CE4035" w:rsidP="009B753C">
            <w:pPr>
              <w:pStyle w:val="Default"/>
              <w:spacing w:after="60"/>
              <w:jc w:val="center"/>
              <w:rPr>
                <w:b/>
                <w:color w:val="auto"/>
                <w:lang w:val="sq-AL"/>
              </w:rPr>
            </w:pPr>
            <w:r w:rsidRPr="00411D8B">
              <w:rPr>
                <w:b/>
                <w:color w:val="auto"/>
                <w:lang w:val="sq-AL"/>
              </w:rPr>
              <w:t>Synimi</w:t>
            </w:r>
          </w:p>
          <w:p w14:paraId="7E20596F" w14:textId="77777777" w:rsidR="00CE4035" w:rsidRPr="00411D8B" w:rsidRDefault="00CE4035" w:rsidP="009B753C">
            <w:pPr>
              <w:pStyle w:val="Default"/>
              <w:spacing w:after="60"/>
              <w:jc w:val="center"/>
              <w:rPr>
                <w:b/>
                <w:color w:val="auto"/>
                <w:lang w:val="sq-AL"/>
              </w:rPr>
            </w:pPr>
            <w:r w:rsidRPr="00411D8B">
              <w:rPr>
                <w:b/>
                <w:color w:val="auto"/>
                <w:lang w:val="sq-AL"/>
              </w:rPr>
              <w:t>2023</w:t>
            </w:r>
          </w:p>
        </w:tc>
      </w:tr>
      <w:tr w:rsidR="00CE4035" w:rsidRPr="00411D8B" w14:paraId="5F15836C" w14:textId="77777777" w:rsidTr="009B753C">
        <w:trPr>
          <w:trHeight w:val="387"/>
        </w:trPr>
        <w:tc>
          <w:tcPr>
            <w:tcW w:w="2693" w:type="pct"/>
          </w:tcPr>
          <w:p w14:paraId="2D0890D3" w14:textId="77777777" w:rsidR="00CE4035" w:rsidRPr="00411D8B" w:rsidRDefault="00CE4035" w:rsidP="009B753C">
            <w:pPr>
              <w:pStyle w:val="Default"/>
              <w:spacing w:after="60"/>
              <w:jc w:val="both"/>
              <w:rPr>
                <w:rFonts w:eastAsia="Times New Roman"/>
                <w:color w:val="auto"/>
                <w:lang w:val="sq-AL"/>
              </w:rPr>
            </w:pPr>
            <w:r w:rsidRPr="00411D8B">
              <w:rPr>
                <w:iCs/>
                <w:lang w:val="sq-AL"/>
              </w:rPr>
              <w:t xml:space="preserve">MWh e ruajtura nga </w:t>
            </w:r>
            <w:r w:rsidRPr="00411D8B">
              <w:rPr>
                <w:lang w:val="sq-AL"/>
              </w:rPr>
              <w:t xml:space="preserve">Instalimi i njehsorëve për matjen e konsumit të ngrohjes qendrore dhe valvulave termostatike </w:t>
            </w:r>
          </w:p>
        </w:tc>
        <w:tc>
          <w:tcPr>
            <w:tcW w:w="695" w:type="pct"/>
            <w:vAlign w:val="center"/>
          </w:tcPr>
          <w:p w14:paraId="3CA8C785" w14:textId="77777777" w:rsidR="00CE4035" w:rsidRPr="00411D8B" w:rsidRDefault="00CE4035" w:rsidP="009B753C">
            <w:pPr>
              <w:pStyle w:val="Default"/>
              <w:spacing w:after="60"/>
              <w:jc w:val="center"/>
              <w:rPr>
                <w:b/>
                <w:color w:val="auto"/>
                <w:lang w:val="sq-AL"/>
              </w:rPr>
            </w:pPr>
            <w:r w:rsidRPr="00411D8B">
              <w:rPr>
                <w:color w:val="auto"/>
                <w:lang w:val="sq-AL"/>
              </w:rPr>
              <w:t>0</w:t>
            </w:r>
          </w:p>
        </w:tc>
        <w:tc>
          <w:tcPr>
            <w:tcW w:w="786" w:type="pct"/>
            <w:vAlign w:val="center"/>
          </w:tcPr>
          <w:p w14:paraId="31FAFD21" w14:textId="77777777" w:rsidR="00CE4035" w:rsidRPr="00411D8B" w:rsidRDefault="00CE4035" w:rsidP="009B753C">
            <w:pPr>
              <w:pStyle w:val="Default"/>
              <w:spacing w:after="60"/>
              <w:jc w:val="center"/>
              <w:rPr>
                <w:b/>
                <w:color w:val="auto"/>
                <w:lang w:val="sq-AL"/>
              </w:rPr>
            </w:pPr>
            <w:r w:rsidRPr="00411D8B">
              <w:rPr>
                <w:color w:val="auto"/>
                <w:lang w:val="sq-AL"/>
              </w:rPr>
              <w:t xml:space="preserve">67,000 MWh, ose 30%  </w:t>
            </w:r>
          </w:p>
        </w:tc>
        <w:tc>
          <w:tcPr>
            <w:tcW w:w="826" w:type="pct"/>
            <w:vAlign w:val="center"/>
          </w:tcPr>
          <w:p w14:paraId="04CD9D3B" w14:textId="77777777" w:rsidR="00CE4035" w:rsidRPr="00411D8B" w:rsidRDefault="00CE4035" w:rsidP="009B753C">
            <w:pPr>
              <w:pStyle w:val="Default"/>
              <w:spacing w:after="60"/>
              <w:jc w:val="center"/>
              <w:rPr>
                <w:b/>
                <w:color w:val="auto"/>
                <w:lang w:val="sq-AL"/>
              </w:rPr>
            </w:pPr>
            <w:r w:rsidRPr="00411D8B">
              <w:rPr>
                <w:color w:val="auto"/>
                <w:lang w:val="sq-AL"/>
              </w:rPr>
              <w:t>N/A</w:t>
            </w:r>
          </w:p>
        </w:tc>
      </w:tr>
      <w:tr w:rsidR="00CE4035" w:rsidRPr="00411D8B" w14:paraId="3671804C" w14:textId="77777777" w:rsidTr="009B753C">
        <w:trPr>
          <w:trHeight w:val="576"/>
        </w:trPr>
        <w:tc>
          <w:tcPr>
            <w:tcW w:w="2693" w:type="pct"/>
          </w:tcPr>
          <w:p w14:paraId="575FBFC4" w14:textId="77777777" w:rsidR="00CE4035" w:rsidRPr="00411D8B" w:rsidRDefault="00CE4035" w:rsidP="009B753C">
            <w:pPr>
              <w:pStyle w:val="Default"/>
              <w:spacing w:after="60"/>
              <w:jc w:val="both"/>
              <w:rPr>
                <w:rFonts w:eastAsia="Times New Roman"/>
                <w:color w:val="auto"/>
                <w:lang w:val="sq-AL"/>
              </w:rPr>
            </w:pPr>
            <w:r w:rsidRPr="00411D8B">
              <w:rPr>
                <w:iCs/>
                <w:lang w:val="sq-AL"/>
              </w:rPr>
              <w:t>MWh e ruajtura nga masat e efiçiencës së energjisë në amvisëri</w:t>
            </w:r>
          </w:p>
        </w:tc>
        <w:tc>
          <w:tcPr>
            <w:tcW w:w="695" w:type="pct"/>
            <w:vAlign w:val="center"/>
          </w:tcPr>
          <w:p w14:paraId="0F4CB3DF" w14:textId="77777777" w:rsidR="00CE4035" w:rsidRPr="00411D8B" w:rsidRDefault="00CE4035" w:rsidP="009B753C">
            <w:pPr>
              <w:pStyle w:val="Default"/>
              <w:spacing w:after="60"/>
              <w:jc w:val="center"/>
              <w:rPr>
                <w:color w:val="auto"/>
                <w:lang w:val="sq-AL"/>
              </w:rPr>
            </w:pPr>
            <w:r w:rsidRPr="00411D8B">
              <w:rPr>
                <w:color w:val="auto"/>
                <w:lang w:val="sq-AL"/>
              </w:rPr>
              <w:t>0</w:t>
            </w:r>
          </w:p>
        </w:tc>
        <w:tc>
          <w:tcPr>
            <w:tcW w:w="786" w:type="pct"/>
            <w:vAlign w:val="center"/>
          </w:tcPr>
          <w:p w14:paraId="0C9D3A8C" w14:textId="77777777" w:rsidR="00CE4035" w:rsidRPr="00411D8B" w:rsidRDefault="00CE4035" w:rsidP="009B753C">
            <w:pPr>
              <w:pStyle w:val="Default"/>
              <w:spacing w:after="60"/>
              <w:jc w:val="center"/>
              <w:rPr>
                <w:color w:val="auto"/>
                <w:lang w:val="sq-AL"/>
              </w:rPr>
            </w:pPr>
          </w:p>
        </w:tc>
        <w:tc>
          <w:tcPr>
            <w:tcW w:w="826" w:type="pct"/>
            <w:vAlign w:val="center"/>
          </w:tcPr>
          <w:p w14:paraId="06DBB9BF" w14:textId="77777777" w:rsidR="00CE4035" w:rsidRPr="00411D8B" w:rsidRDefault="00CE4035" w:rsidP="009B753C">
            <w:pPr>
              <w:pStyle w:val="Default"/>
              <w:spacing w:after="60"/>
              <w:jc w:val="center"/>
              <w:rPr>
                <w:color w:val="auto"/>
                <w:lang w:val="sq-AL"/>
              </w:rPr>
            </w:pPr>
            <w:r w:rsidRPr="00411D8B">
              <w:rPr>
                <w:color w:val="auto"/>
                <w:lang w:val="sq-AL"/>
              </w:rPr>
              <w:t>98855 MWh</w:t>
            </w:r>
          </w:p>
        </w:tc>
      </w:tr>
      <w:tr w:rsidR="00CE4035" w:rsidRPr="00411D8B" w14:paraId="091AA30E" w14:textId="77777777" w:rsidTr="009B753C">
        <w:trPr>
          <w:trHeight w:val="533"/>
        </w:trPr>
        <w:tc>
          <w:tcPr>
            <w:tcW w:w="2693" w:type="pct"/>
          </w:tcPr>
          <w:p w14:paraId="3B53A805" w14:textId="77777777" w:rsidR="00CE4035" w:rsidRPr="00411D8B" w:rsidRDefault="00CE4035" w:rsidP="009B753C">
            <w:pPr>
              <w:pStyle w:val="Default"/>
              <w:jc w:val="both"/>
              <w:rPr>
                <w:iCs/>
                <w:lang w:val="sq-AL"/>
              </w:rPr>
            </w:pPr>
            <w:r w:rsidRPr="00411D8B">
              <w:rPr>
                <w:rFonts w:eastAsia="Times New Roman"/>
                <w:color w:val="auto"/>
                <w:lang w:val="sq-AL"/>
              </w:rPr>
              <w:t>Humbjeve teknike dhe komerciale në rrjetin shpërndarës KEDS</w:t>
            </w:r>
          </w:p>
        </w:tc>
        <w:tc>
          <w:tcPr>
            <w:tcW w:w="695" w:type="pct"/>
            <w:vAlign w:val="center"/>
          </w:tcPr>
          <w:p w14:paraId="13619B70" w14:textId="77777777" w:rsidR="00CE4035" w:rsidRPr="00411D8B" w:rsidRDefault="00CE4035" w:rsidP="009B753C">
            <w:pPr>
              <w:pStyle w:val="Default"/>
              <w:jc w:val="center"/>
              <w:rPr>
                <w:b/>
                <w:color w:val="auto"/>
                <w:lang w:val="sq-AL"/>
              </w:rPr>
            </w:pPr>
            <w:r w:rsidRPr="00411D8B">
              <w:rPr>
                <w:iCs/>
                <w:color w:val="auto"/>
                <w:lang w:val="sq-AL"/>
              </w:rPr>
              <w:t>19.05%</w:t>
            </w:r>
          </w:p>
        </w:tc>
        <w:tc>
          <w:tcPr>
            <w:tcW w:w="786" w:type="pct"/>
            <w:vAlign w:val="center"/>
          </w:tcPr>
          <w:p w14:paraId="2294E670" w14:textId="77777777" w:rsidR="00CE4035" w:rsidRPr="00411D8B" w:rsidRDefault="00CE4035" w:rsidP="009B753C">
            <w:pPr>
              <w:pStyle w:val="Default"/>
              <w:jc w:val="center"/>
              <w:rPr>
                <w:b/>
                <w:color w:val="auto"/>
                <w:lang w:val="sq-AL"/>
              </w:rPr>
            </w:pPr>
            <w:r w:rsidRPr="00411D8B">
              <w:rPr>
                <w:iCs/>
                <w:color w:val="auto"/>
                <w:lang w:val="sq-AL"/>
              </w:rPr>
              <w:t>16.48%</w:t>
            </w:r>
          </w:p>
        </w:tc>
        <w:tc>
          <w:tcPr>
            <w:tcW w:w="826" w:type="pct"/>
            <w:vAlign w:val="center"/>
          </w:tcPr>
          <w:p w14:paraId="45592CDB" w14:textId="77777777" w:rsidR="00CE4035" w:rsidRPr="00411D8B" w:rsidRDefault="00CE4035" w:rsidP="009B753C">
            <w:pPr>
              <w:pStyle w:val="Default"/>
              <w:jc w:val="center"/>
              <w:rPr>
                <w:b/>
                <w:color w:val="auto"/>
                <w:lang w:val="sq-AL"/>
              </w:rPr>
            </w:pPr>
            <w:r w:rsidRPr="00411D8B">
              <w:rPr>
                <w:color w:val="auto"/>
                <w:lang w:val="sq-AL"/>
              </w:rPr>
              <w:t>15.66%</w:t>
            </w:r>
          </w:p>
        </w:tc>
      </w:tr>
    </w:tbl>
    <w:p w14:paraId="5DEE0D3A" w14:textId="77777777" w:rsidR="00CE4035" w:rsidRDefault="00CE4035" w:rsidP="00CE4035">
      <w:pPr>
        <w:spacing w:line="276" w:lineRule="auto"/>
        <w:jc w:val="both"/>
        <w:rPr>
          <w:i/>
        </w:rPr>
      </w:pPr>
      <w:r w:rsidRPr="00C3730A">
        <w:rPr>
          <w:i/>
        </w:rPr>
        <w:t>Arritja e këtyre tregues</w:t>
      </w:r>
      <w:r>
        <w:rPr>
          <w:i/>
        </w:rPr>
        <w:t>ve është në pajtim me qëllimin 7 të O</w:t>
      </w:r>
      <w:r w:rsidRPr="00C3730A">
        <w:rPr>
          <w:i/>
        </w:rPr>
        <w:t xml:space="preserve">ZHQ </w:t>
      </w:r>
      <w:r>
        <w:rPr>
          <w:i/>
        </w:rPr>
        <w:t>‘</w:t>
      </w:r>
      <w:r w:rsidRPr="00D74D82">
        <w:rPr>
          <w:i/>
        </w:rPr>
        <w:t>Sigur</w:t>
      </w:r>
      <w:r>
        <w:rPr>
          <w:i/>
        </w:rPr>
        <w:t>imi i</w:t>
      </w:r>
      <w:r w:rsidRPr="00D74D82">
        <w:rPr>
          <w:i/>
        </w:rPr>
        <w:t xml:space="preserve"> qasje</w:t>
      </w:r>
      <w:r>
        <w:rPr>
          <w:i/>
        </w:rPr>
        <w:t>s</w:t>
      </w:r>
      <w:r w:rsidRPr="00D74D82">
        <w:rPr>
          <w:i/>
        </w:rPr>
        <w:t xml:space="preserve"> në energji të përballueshme, të besueshme, të qëndrueshme dhe moderne për të gjithë</w:t>
      </w:r>
      <w:r>
        <w:rPr>
          <w:i/>
        </w:rPr>
        <w:t>’ gjegjësisht caku 7.3.</w:t>
      </w:r>
      <w:r w:rsidRPr="005027EE">
        <w:t xml:space="preserve"> </w:t>
      </w:r>
      <w:r>
        <w:t>‘</w:t>
      </w:r>
      <w:r w:rsidRPr="000145A3">
        <w:rPr>
          <w:i/>
        </w:rPr>
        <w:t xml:space="preserve">Deri në vitin 2030, </w:t>
      </w:r>
      <w:r>
        <w:rPr>
          <w:i/>
        </w:rPr>
        <w:t xml:space="preserve">të </w:t>
      </w:r>
      <w:r w:rsidRPr="000145A3">
        <w:rPr>
          <w:i/>
        </w:rPr>
        <w:t>dyfish</w:t>
      </w:r>
      <w:r>
        <w:rPr>
          <w:i/>
        </w:rPr>
        <w:t xml:space="preserve">ohet </w:t>
      </w:r>
      <w:r w:rsidRPr="000145A3">
        <w:rPr>
          <w:i/>
        </w:rPr>
        <w:t xml:space="preserve">nivelit global </w:t>
      </w:r>
      <w:r>
        <w:rPr>
          <w:i/>
        </w:rPr>
        <w:t>i</w:t>
      </w:r>
      <w:r w:rsidRPr="000145A3">
        <w:rPr>
          <w:i/>
        </w:rPr>
        <w:t xml:space="preserve"> përmirësimit të efiçencës së energjisë</w:t>
      </w:r>
      <w:r>
        <w:t>’</w:t>
      </w:r>
    </w:p>
    <w:p w14:paraId="584204D5" w14:textId="77777777" w:rsidR="00CE4035" w:rsidRPr="00411D8B" w:rsidRDefault="00CE4035" w:rsidP="00CE4035"/>
    <w:p w14:paraId="77C03791" w14:textId="77777777" w:rsidR="00CE4035" w:rsidRPr="00411D8B" w:rsidRDefault="00CE4035" w:rsidP="00CE4035">
      <w:pPr>
        <w:jc w:val="both"/>
        <w:rPr>
          <w:b/>
        </w:rPr>
      </w:pPr>
      <w:r w:rsidRPr="00411D8B">
        <w:rPr>
          <w:b/>
        </w:rPr>
        <w:t xml:space="preserve">Ndikimi i pritur në konkurueshmëri: </w:t>
      </w:r>
      <w:r w:rsidRPr="00411D8B">
        <w:t xml:space="preserve">Ekziston një potencial dhe mundësi e madhe për masa të efiçiencës së energjisë nga konsumatorët e energjisë elektrike në Kosovë, që vlerësohet të arrijnë deri në 40% në amvisëri dhe 35% nga konsumatorët industrial dhe komercial. Zbatimi i masave të EE do të kontribuojë në uljen e konsumit dhe kostos së energjisë elektrike. Ulja e konsumit të energjisë nga këto masa do të nxisë investimet e sektorit privat dhe do të ndihmojë bizneset. Më në fund, ulja e humbjeve teknike do të ndihmojë në uljen e kostos totale të energjisë. Përfundimi i studimit të fizibilitetit </w:t>
      </w:r>
      <w:r w:rsidRPr="00411D8B">
        <w:rPr>
          <w:bCs/>
          <w:iCs/>
        </w:rPr>
        <w:t>dhe analiza e kostos-përfitimit për ndërtimin e Sistemeve të ngrohjes qendrore</w:t>
      </w:r>
      <w:r w:rsidRPr="00411D8B">
        <w:rPr>
          <w:iCs/>
        </w:rPr>
        <w:t xml:space="preserve"> </w:t>
      </w:r>
      <w:r w:rsidRPr="00411D8B">
        <w:t>në Kosovë do të prodhoj analiza dhe rekomandime pasuese duke përfshirë edhe komponentin e konkurrueshmërisë.</w:t>
      </w:r>
    </w:p>
    <w:p w14:paraId="2420ADDD" w14:textId="77777777" w:rsidR="00CE4035" w:rsidRPr="00411D8B" w:rsidRDefault="00CE4035" w:rsidP="00CE4035">
      <w:pPr>
        <w:jc w:val="both"/>
      </w:pPr>
      <w:r w:rsidRPr="00411D8B">
        <w:rPr>
          <w:b/>
        </w:rPr>
        <w:t xml:space="preserve">Vlerësimi i kostos së aktiviteteve dhe burimi i financimit: </w:t>
      </w:r>
      <w:r w:rsidRPr="00411D8B">
        <w:t>Kostoja totale e pritur për zbatimin e aktiviteteve pritet të jetë 101,882,797 €. Në bazë vjetore, 48,946,154 € pritet të ndahen në 2021, 31,936,643 € në 2022 dhe 21,000,000 € në 2023. MCC planifikon të investojë 12,080,000 € në 2021 dhe 10,070,000 € në 2022. Prej të cilave 12,000,000 € do të investohen për aplikimin me masave për EE në ndërtesa private dhe shtëpi, 8,000,000 € investime në Instalimi e njehsorëve për matjen e konsumit të ngrohjes qendrore dhe valvulave termostatike dhe softuerin për faturim dhe kontroll të konsumit të matur të energjisë termike dhe 2,150,000 € investime në ndarjen e granteve për masat e efiçiencës për bizneset e grave dhe praktikave profesionale për vitet 2020 dhe 2021. Për zbatimin e masave të efiçiencës së energjisë në 2021, € 5,000,000 janë hua nga Banka Botërore për ndërtesat publike, ndërsa 3,000,000 € do të sigurohen nga Buxheti i Kosovës për 3 vjet për zbatimin e masave të efiçencës së energjisë në ndërtesat e shkollave publike. Bashkimi Evropian i ka dhënë 9,355,886 milion € KEEF për masat e EE në ndërtesat publike. Për përgatitjen e studimit të fizibilitetit dhe analizës së kostos / përfitimit për ndërtimin e ngrohjes qendrore, Komiteti Drejtues i ËBIF ka aprovuar grantin e BE në shumën prej 2,000,000 Euro. Ky aktivitet është planifikuar të realizohet në vitet 2021-2022. Për zbatimin e planit të investimeve kapitale për zvogëlimin e humbjeve teknike dhe komerciale, investimet e KEDS për 2021 janë 20,510,288 €, për 2022 janë 19,866,643 € dhe për 2023 janë 20,000,000 €.</w:t>
      </w:r>
    </w:p>
    <w:p w14:paraId="14BAB840" w14:textId="77777777" w:rsidR="00CE4035" w:rsidRPr="00411D8B" w:rsidRDefault="00CE4035" w:rsidP="00CE4035">
      <w:pPr>
        <w:jc w:val="both"/>
      </w:pPr>
      <w:r w:rsidRPr="00411D8B">
        <w:rPr>
          <w:b/>
        </w:rPr>
        <w:t xml:space="preserve">Ndikimi i pritshëm në rezultatet sociale, të tilla si punësimi, ulja e varfërisë, barazia gjinore: </w:t>
      </w:r>
      <w:r w:rsidRPr="00411D8B">
        <w:t>Zbatimi i projekteve të EE krijon mundësi për krijimin e vendeve të punës përmes ndërmarrjeve prodhuese dhe ndërtimore. Për më tepër, aktiviteti "Ndarja e granteve për masa efikase për biznesin e grave" ka kontribuar tashmë duke dhënë bursa për 28 gra dhe praktikë për 200 gra në sektorin e energjisë, duke rritur pjesëmarrjen e tyre në tregun e punës dhe duke kontribuar në uljen e varfërisë dhe fuqizimin e grave në përgjithësi. Komponentë e studimit të fizibilitetit dhe analizës së kost/benefitit për ndërtimin e ngrohjeve qendrore në Kosovë, do të prodhojnë analiza dhe rezultate për veprim të mëtejshëm.</w:t>
      </w:r>
    </w:p>
    <w:p w14:paraId="5A3B353B" w14:textId="77777777" w:rsidR="00CE4035" w:rsidRPr="00411D8B" w:rsidRDefault="00CE4035" w:rsidP="00CE4035">
      <w:pPr>
        <w:jc w:val="both"/>
        <w:rPr>
          <w:b/>
        </w:rPr>
      </w:pPr>
      <w:r w:rsidRPr="00411D8B">
        <w:rPr>
          <w:b/>
        </w:rPr>
        <w:t xml:space="preserve">Ndikimi i pritshëm në mjedis: </w:t>
      </w:r>
      <w:r w:rsidRPr="00411D8B">
        <w:t>Përpos ndikimeve në zvogëlimin e CO2 do të ketë ndikim edhe në rritjen e komforit për një mjedis më të qëndrueshëm dhe gjithashtu kanë për qëllim kursimin e energjisë. Pas implementimi të projektit të rekomanduar nga studimit të fizibilitetit dhe analizës së kost/benefitit për ndërtimin e ngrohjeve qendrore në Kosovë, do të kontribuoj në zvogëlimin e CO</w:t>
      </w:r>
      <w:r w:rsidRPr="00411D8B">
        <w:rPr>
          <w:vertAlign w:val="subscript"/>
        </w:rPr>
        <w:t>2</w:t>
      </w:r>
      <w:r w:rsidRPr="00411D8B">
        <w:t xml:space="preserve">, në rritjen e komforit për një mjedis më të qëndrueshëm dhe gjithashtu do të kontribuoj në diversifikimin e burimeve të energjisë. </w:t>
      </w:r>
    </w:p>
    <w:p w14:paraId="1466DF1D" w14:textId="77777777" w:rsidR="005116BD" w:rsidRDefault="005116BD" w:rsidP="00CE4035">
      <w:pPr>
        <w:spacing w:line="276" w:lineRule="auto"/>
        <w:jc w:val="both"/>
        <w:rPr>
          <w:b/>
        </w:rPr>
      </w:pPr>
    </w:p>
    <w:p w14:paraId="2C760B4D" w14:textId="39CD4F45" w:rsidR="00CE4035" w:rsidRPr="00411D8B" w:rsidRDefault="00CE4035" w:rsidP="00CE4035">
      <w:pPr>
        <w:spacing w:line="276" w:lineRule="auto"/>
        <w:jc w:val="both"/>
        <w:rPr>
          <w:b/>
        </w:rPr>
      </w:pPr>
      <w:r w:rsidRPr="00411D8B">
        <w:rPr>
          <w:b/>
        </w:rPr>
        <w:t>Rreziqet potenciale:</w:t>
      </w:r>
    </w:p>
    <w:tbl>
      <w:tblPr>
        <w:tblpPr w:leftFromText="180" w:rightFromText="180" w:vertAnchor="text" w:horzAnchor="margin" w:tblpY="107"/>
        <w:tblOverlap w:val="neve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1530"/>
        <w:gridCol w:w="4320"/>
      </w:tblGrid>
      <w:tr w:rsidR="00CE4035" w:rsidRPr="00411D8B" w14:paraId="02B24118" w14:textId="77777777" w:rsidTr="005116BD">
        <w:trPr>
          <w:trHeight w:val="350"/>
        </w:trPr>
        <w:tc>
          <w:tcPr>
            <w:tcW w:w="2785" w:type="dxa"/>
            <w:shd w:val="clear" w:color="auto" w:fill="auto"/>
          </w:tcPr>
          <w:p w14:paraId="479C4DE8" w14:textId="77777777" w:rsidR="00CE4035" w:rsidRPr="00411D8B" w:rsidRDefault="00CE4035" w:rsidP="009B753C">
            <w:pPr>
              <w:pStyle w:val="Default"/>
              <w:jc w:val="both"/>
              <w:rPr>
                <w:color w:val="auto"/>
                <w:lang w:val="sq-AL"/>
              </w:rPr>
            </w:pPr>
            <w:r w:rsidRPr="00411D8B">
              <w:rPr>
                <w:b/>
                <w:bCs/>
                <w:color w:val="auto"/>
                <w:lang w:val="sq-AL"/>
              </w:rPr>
              <w:t>Rreziku</w:t>
            </w:r>
          </w:p>
        </w:tc>
        <w:tc>
          <w:tcPr>
            <w:tcW w:w="1530" w:type="dxa"/>
            <w:shd w:val="clear" w:color="auto" w:fill="auto"/>
          </w:tcPr>
          <w:p w14:paraId="52659B51" w14:textId="77777777" w:rsidR="00CE4035" w:rsidRPr="00411D8B" w:rsidRDefault="00CE4035" w:rsidP="009B753C">
            <w:pPr>
              <w:pStyle w:val="Default"/>
              <w:jc w:val="both"/>
              <w:rPr>
                <w:b/>
                <w:bCs/>
                <w:color w:val="auto"/>
                <w:lang w:val="sq-AL"/>
              </w:rPr>
            </w:pPr>
            <w:r w:rsidRPr="00411D8B">
              <w:rPr>
                <w:b/>
                <w:bCs/>
                <w:color w:val="auto"/>
                <w:lang w:val="sq-AL"/>
              </w:rPr>
              <w:t>Probabiliteti</w:t>
            </w:r>
          </w:p>
        </w:tc>
        <w:tc>
          <w:tcPr>
            <w:tcW w:w="4320" w:type="dxa"/>
            <w:shd w:val="clear" w:color="auto" w:fill="auto"/>
          </w:tcPr>
          <w:p w14:paraId="1F044AB2" w14:textId="77777777" w:rsidR="00CE4035" w:rsidRPr="00411D8B" w:rsidRDefault="00CE4035" w:rsidP="009B753C">
            <w:pPr>
              <w:pStyle w:val="Default"/>
              <w:jc w:val="both"/>
              <w:rPr>
                <w:color w:val="auto"/>
                <w:lang w:val="sq-AL"/>
              </w:rPr>
            </w:pPr>
            <w:r w:rsidRPr="00411D8B">
              <w:rPr>
                <w:b/>
                <w:bCs/>
                <w:color w:val="auto"/>
                <w:lang w:val="sq-AL"/>
              </w:rPr>
              <w:t xml:space="preserve">Veprimi lehtësues i planifikuar </w:t>
            </w:r>
          </w:p>
        </w:tc>
      </w:tr>
      <w:tr w:rsidR="00CE4035" w:rsidRPr="00411D8B" w14:paraId="699F1F3E" w14:textId="77777777" w:rsidTr="005116BD">
        <w:trPr>
          <w:trHeight w:val="606"/>
        </w:trPr>
        <w:tc>
          <w:tcPr>
            <w:tcW w:w="2785" w:type="dxa"/>
          </w:tcPr>
          <w:p w14:paraId="0B77F290" w14:textId="77777777" w:rsidR="00CE4035" w:rsidRPr="00411D8B" w:rsidRDefault="00CE4035" w:rsidP="009B753C">
            <w:pPr>
              <w:contextualSpacing/>
            </w:pPr>
            <w:r w:rsidRPr="00411D8B">
              <w:t xml:space="preserve">Mungesa e koordinimit të plotë ndërinstitucional  </w:t>
            </w:r>
          </w:p>
        </w:tc>
        <w:tc>
          <w:tcPr>
            <w:tcW w:w="1530" w:type="dxa"/>
          </w:tcPr>
          <w:p w14:paraId="13A144AD" w14:textId="77777777" w:rsidR="00CE4035" w:rsidRPr="00411D8B" w:rsidRDefault="00CE4035" w:rsidP="009B753C">
            <w:pPr>
              <w:pStyle w:val="Default"/>
              <w:jc w:val="center"/>
              <w:rPr>
                <w:color w:val="auto"/>
                <w:lang w:val="sq-AL"/>
              </w:rPr>
            </w:pPr>
            <w:r w:rsidRPr="00411D8B">
              <w:rPr>
                <w:color w:val="auto"/>
                <w:lang w:val="sq-AL"/>
              </w:rPr>
              <w:t>I ulët</w:t>
            </w:r>
          </w:p>
        </w:tc>
        <w:tc>
          <w:tcPr>
            <w:tcW w:w="4320" w:type="dxa"/>
          </w:tcPr>
          <w:p w14:paraId="2CD45A76" w14:textId="77777777" w:rsidR="00CE4035" w:rsidRPr="00411D8B" w:rsidRDefault="00CE4035" w:rsidP="009B753C">
            <w:pPr>
              <w:ind w:right="-110"/>
              <w:jc w:val="both"/>
            </w:pPr>
            <w:r w:rsidRPr="00411D8B">
              <w:t>Koordinim i plotë ndër-koordinues përmes një numri aktivitetesh në nivelin qendror dhe lokal, përfshirë harmonizimin me planet e investimeve të sistemit të transmetimit dhe planeve të zhvillimit të komunës</w:t>
            </w:r>
          </w:p>
        </w:tc>
      </w:tr>
      <w:tr w:rsidR="00CE4035" w:rsidRPr="00411D8B" w14:paraId="60AA85C9" w14:textId="77777777" w:rsidTr="005116BD">
        <w:trPr>
          <w:trHeight w:val="606"/>
        </w:trPr>
        <w:tc>
          <w:tcPr>
            <w:tcW w:w="2785" w:type="dxa"/>
          </w:tcPr>
          <w:p w14:paraId="187E82D4" w14:textId="77777777" w:rsidR="00CE4035" w:rsidRPr="00411D8B" w:rsidRDefault="00CE4035" w:rsidP="009B753C">
            <w:pPr>
              <w:contextualSpacing/>
            </w:pPr>
            <w:r w:rsidRPr="00411D8B">
              <w:t>Sfida operative në zonat e thella rurale</w:t>
            </w:r>
          </w:p>
        </w:tc>
        <w:tc>
          <w:tcPr>
            <w:tcW w:w="1530" w:type="dxa"/>
          </w:tcPr>
          <w:p w14:paraId="486DAD05" w14:textId="77777777" w:rsidR="00CE4035" w:rsidRPr="00411D8B" w:rsidRDefault="00CE4035" w:rsidP="009B753C">
            <w:pPr>
              <w:pStyle w:val="Default"/>
              <w:jc w:val="center"/>
              <w:rPr>
                <w:color w:val="auto"/>
                <w:lang w:val="sq-AL"/>
              </w:rPr>
            </w:pPr>
            <w:r w:rsidRPr="00411D8B">
              <w:rPr>
                <w:color w:val="auto"/>
                <w:lang w:val="sq-AL"/>
              </w:rPr>
              <w:t>I  ulët</w:t>
            </w:r>
          </w:p>
        </w:tc>
        <w:tc>
          <w:tcPr>
            <w:tcW w:w="4320" w:type="dxa"/>
          </w:tcPr>
          <w:p w14:paraId="329386E3" w14:textId="77777777" w:rsidR="00CE4035" w:rsidRPr="00411D8B" w:rsidRDefault="00CE4035" w:rsidP="009B753C">
            <w:pPr>
              <w:pStyle w:val="Default"/>
              <w:jc w:val="both"/>
              <w:rPr>
                <w:color w:val="auto"/>
                <w:lang w:val="sq-AL"/>
              </w:rPr>
            </w:pPr>
            <w:r w:rsidRPr="00411D8B">
              <w:rPr>
                <w:color w:val="auto"/>
                <w:lang w:val="sq-AL"/>
              </w:rPr>
              <w:t>Planifikimi paraprak për sfidat e mundshme operacionale siç janë zonat malore të mirëmbajtura keq (veçanërisht gjatë sezonit të dimrit), me qëllim që të arrihen në zonat e ndërhyrjes ose të kryhen investime bazuar në planet e parashikuara</w:t>
            </w:r>
          </w:p>
        </w:tc>
      </w:tr>
      <w:tr w:rsidR="00CE4035" w:rsidRPr="00411D8B" w14:paraId="6A1B0B46" w14:textId="77777777" w:rsidTr="005116BD">
        <w:trPr>
          <w:trHeight w:val="606"/>
        </w:trPr>
        <w:tc>
          <w:tcPr>
            <w:tcW w:w="2785" w:type="dxa"/>
          </w:tcPr>
          <w:p w14:paraId="08DB4943" w14:textId="77777777" w:rsidR="00CE4035" w:rsidRPr="00411D8B" w:rsidRDefault="00CE4035" w:rsidP="009B753C">
            <w:pPr>
              <w:contextualSpacing/>
              <w:jc w:val="both"/>
            </w:pPr>
            <w:r w:rsidRPr="00411D8B">
              <w:t>Krizat ekonomike dhe sociale në botë (sikurse përhapja e pandemisë), paparikushmeria e kohëzgjatjes së pandemisë Covid-19</w:t>
            </w:r>
          </w:p>
        </w:tc>
        <w:tc>
          <w:tcPr>
            <w:tcW w:w="1530" w:type="dxa"/>
          </w:tcPr>
          <w:p w14:paraId="5F964FA0" w14:textId="77777777" w:rsidR="00CE4035" w:rsidRPr="00411D8B" w:rsidRDefault="00CE4035" w:rsidP="009B753C">
            <w:pPr>
              <w:pStyle w:val="Default"/>
              <w:jc w:val="center"/>
              <w:rPr>
                <w:color w:val="auto"/>
                <w:lang w:val="sq-AL"/>
              </w:rPr>
            </w:pPr>
            <w:r w:rsidRPr="00411D8B">
              <w:rPr>
                <w:color w:val="auto"/>
                <w:lang w:val="sq-AL"/>
              </w:rPr>
              <w:t>I lartë</w:t>
            </w:r>
          </w:p>
        </w:tc>
        <w:tc>
          <w:tcPr>
            <w:tcW w:w="4320" w:type="dxa"/>
          </w:tcPr>
          <w:p w14:paraId="2479A77C" w14:textId="77777777" w:rsidR="00CE4035" w:rsidRPr="00411D8B" w:rsidRDefault="00CE4035" w:rsidP="009B753C">
            <w:pPr>
              <w:pStyle w:val="Default"/>
              <w:jc w:val="both"/>
              <w:rPr>
                <w:color w:val="auto"/>
                <w:lang w:val="sq-AL"/>
              </w:rPr>
            </w:pPr>
            <w:r w:rsidRPr="00411D8B">
              <w:rPr>
                <w:color w:val="auto"/>
                <w:lang w:val="sq-AL"/>
              </w:rPr>
              <w:t>Masat e qeverisë kundër pandemisë Covid-19</w:t>
            </w:r>
          </w:p>
        </w:tc>
      </w:tr>
    </w:tbl>
    <w:p w14:paraId="2A8C645B" w14:textId="77777777" w:rsidR="00CE4035" w:rsidRPr="00411D8B" w:rsidRDefault="00CE4035" w:rsidP="00CE4035">
      <w:pPr>
        <w:spacing w:after="60" w:line="276" w:lineRule="auto"/>
        <w:jc w:val="both"/>
      </w:pPr>
    </w:p>
    <w:p w14:paraId="66F2CE6C" w14:textId="77777777" w:rsidR="00CE4035" w:rsidRPr="00411D8B" w:rsidRDefault="00CE4035" w:rsidP="00CE4035">
      <w:pPr>
        <w:shd w:val="clear" w:color="auto" w:fill="9CC2E5" w:themeFill="accent1" w:themeFillTint="99"/>
        <w:jc w:val="both"/>
        <w:rPr>
          <w:b/>
        </w:rPr>
      </w:pPr>
      <w:r w:rsidRPr="00411D8B">
        <w:rPr>
          <w:b/>
          <w:shd w:val="clear" w:color="auto" w:fill="9CC2E5" w:themeFill="accent1" w:themeFillTint="99"/>
        </w:rPr>
        <w:t>Masa Reformuese #2: Rritja e diversitetit të burimeve të energjisë</w:t>
      </w:r>
      <w:r w:rsidRPr="00411D8B">
        <w:rPr>
          <w:b/>
        </w:rPr>
        <w:t xml:space="preserve"> </w:t>
      </w:r>
    </w:p>
    <w:p w14:paraId="0BE5FD7F" w14:textId="77777777" w:rsidR="00CE4035" w:rsidRPr="00411D8B" w:rsidRDefault="00CE4035" w:rsidP="00CE4035">
      <w:pPr>
        <w:pStyle w:val="Default"/>
        <w:jc w:val="both"/>
        <w:rPr>
          <w:lang w:val="sq-AL"/>
        </w:rPr>
      </w:pPr>
      <w:r w:rsidRPr="00411D8B">
        <w:rPr>
          <w:b/>
          <w:bCs/>
          <w:color w:val="auto"/>
          <w:lang w:val="sq-AL"/>
        </w:rPr>
        <w:t xml:space="preserve">Përshkrimi i masës: </w:t>
      </w:r>
      <w:r w:rsidRPr="00411D8B">
        <w:rPr>
          <w:lang w:val="sq-AL"/>
        </w:rPr>
        <w:t>Kjo masë trajton pengesat në sektorët e burimeve të ripërtrishme të energjisë, gazit dhe integrimit rajonal të tregjeve të energjisë. Objektivat kryesorë të kësaj mase janë: Zhvillimi i kapaciteteve të reja gjeneruese të energjisë, përmirësimi i sigurisë së energjisë dhe liberalizimi i tregut. Investimet në BRE do të ekuilibronin kërkesën e tepërt, duke rezultuar në një përzierje më të qëndrueshme të energjisë dhe do të ndihmonin në përmbushjen e objektivave mbi emetimet dhe Energjisë së Ripërtrishme. Masa është vazhdim i masës së vitit të kaluar, me rregullime të v</w:t>
      </w:r>
      <w:r>
        <w:rPr>
          <w:lang w:val="sq-AL"/>
        </w:rPr>
        <w:t>ogla dhe është në përputhje me O</w:t>
      </w:r>
      <w:r w:rsidRPr="00411D8B">
        <w:rPr>
          <w:lang w:val="sq-AL"/>
        </w:rPr>
        <w:t>ZHQ 7 (Energji e përballue</w:t>
      </w:r>
      <w:r>
        <w:rPr>
          <w:lang w:val="sq-AL"/>
        </w:rPr>
        <w:t>shme dhe energji e pastër) dhe O</w:t>
      </w:r>
      <w:r w:rsidRPr="00411D8B">
        <w:rPr>
          <w:lang w:val="sq-AL"/>
        </w:rPr>
        <w:t>ZHQ 13 (veprim klimatik), ku bashkëlidhen treguesit në lidhje me emetimet e dëmshme, qasjen në energji të pastër dhe pjesën e saj në prodhimin e përgjithshëm të energjisë në vend. Në të njëjtën mënyrë, ajo përputhet me fushën e veprimit të Green Deal të energjisë së pastër. Masa trajtohet në Strategjinë e Energjisë dhe adreson sfidat si shfrytëzimi i potencialit të energjisë së ripërtrishme, rritja e efiçiencës së energjisë dhe liberalizimi i mëtejshëm i tregut të energjisë. Prandaj, duke hapur tregun e energjisë dhe duke aplikuar kornizat ligjore dhe politike të ofertave/ankandeve konkurruese në këtë sektor, Kosova do të promovojë kornizën e politikave të Komisionit evropian, përkatësisht promovimin e investimeve në sektorin e BRE-ve. Në të njëjtën mënyrë, ajo përputhet me Agjendën e Gjelbër të miratuar për Ballkanin Perëndimor në Samitin e Sofjes, të parashikuar nga Agjenda e Gjelbër Evropiane.</w:t>
      </w:r>
    </w:p>
    <w:p w14:paraId="113AB912" w14:textId="77777777" w:rsidR="00CE4035" w:rsidRPr="00411D8B" w:rsidRDefault="00CE4035" w:rsidP="00CE4035">
      <w:pPr>
        <w:jc w:val="both"/>
      </w:pPr>
    </w:p>
    <w:p w14:paraId="14DAA967" w14:textId="77777777" w:rsidR="00CE4035" w:rsidRPr="00411D8B" w:rsidRDefault="00CE4035" w:rsidP="0068706C">
      <w:pPr>
        <w:numPr>
          <w:ilvl w:val="0"/>
          <w:numId w:val="16"/>
        </w:numPr>
        <w:ind w:left="360"/>
        <w:jc w:val="both"/>
        <w:rPr>
          <w:b/>
          <w:bCs/>
        </w:rPr>
      </w:pPr>
      <w:r w:rsidRPr="00411D8B">
        <w:rPr>
          <w:b/>
        </w:rPr>
        <w:t>Aktivitetet e planifikuara për 2021</w:t>
      </w:r>
      <w:r w:rsidRPr="00411D8B">
        <w:rPr>
          <w:b/>
          <w:bCs/>
        </w:rPr>
        <w:t>:</w:t>
      </w:r>
    </w:p>
    <w:p w14:paraId="23A1A14C" w14:textId="77777777" w:rsidR="00CE4035" w:rsidRPr="00411D8B" w:rsidRDefault="00CE4035" w:rsidP="0068706C">
      <w:pPr>
        <w:pStyle w:val="ListParagraph"/>
        <w:widowControl w:val="0"/>
        <w:numPr>
          <w:ilvl w:val="0"/>
          <w:numId w:val="65"/>
        </w:numPr>
        <w:spacing w:after="0" w:line="240" w:lineRule="auto"/>
        <w:ind w:left="360"/>
        <w:contextualSpacing w:val="0"/>
        <w:jc w:val="both"/>
        <w:rPr>
          <w:rFonts w:ascii="Times New Roman" w:hAnsi="Times New Roman"/>
          <w:bCs/>
          <w:sz w:val="24"/>
          <w:szCs w:val="24"/>
        </w:rPr>
      </w:pPr>
      <w:r w:rsidRPr="00411D8B">
        <w:rPr>
          <w:rFonts w:ascii="Times New Roman" w:hAnsi="Times New Roman"/>
          <w:bCs/>
          <w:sz w:val="24"/>
          <w:szCs w:val="24"/>
        </w:rPr>
        <w:t>Rishikimi i Strategjisë së Energjisë së Republikës së Kosovës (MEA);</w:t>
      </w:r>
    </w:p>
    <w:p w14:paraId="0AB5A206" w14:textId="77777777" w:rsidR="00CE4035" w:rsidRPr="00411D8B" w:rsidRDefault="00CE4035" w:rsidP="0068706C">
      <w:pPr>
        <w:pStyle w:val="ListParagraph"/>
        <w:widowControl w:val="0"/>
        <w:numPr>
          <w:ilvl w:val="0"/>
          <w:numId w:val="65"/>
        </w:numPr>
        <w:spacing w:after="0" w:line="240" w:lineRule="auto"/>
        <w:ind w:left="360"/>
        <w:contextualSpacing w:val="0"/>
        <w:jc w:val="both"/>
        <w:rPr>
          <w:rFonts w:ascii="Times New Roman" w:hAnsi="Times New Roman"/>
          <w:bCs/>
          <w:sz w:val="24"/>
          <w:szCs w:val="24"/>
        </w:rPr>
      </w:pPr>
      <w:r w:rsidRPr="00411D8B">
        <w:rPr>
          <w:rFonts w:ascii="Times New Roman" w:hAnsi="Times New Roman"/>
          <w:bCs/>
          <w:sz w:val="24"/>
          <w:szCs w:val="24"/>
        </w:rPr>
        <w:t>Hartimi dhe miratimi i Planit kombwtar pwr Energji dhe Klimw (MEA);</w:t>
      </w:r>
    </w:p>
    <w:p w14:paraId="7515899B" w14:textId="77777777" w:rsidR="00CE4035" w:rsidRPr="00411D8B" w:rsidRDefault="00CE4035" w:rsidP="0068706C">
      <w:pPr>
        <w:pStyle w:val="ListParagraph"/>
        <w:widowControl w:val="0"/>
        <w:numPr>
          <w:ilvl w:val="0"/>
          <w:numId w:val="65"/>
        </w:numPr>
        <w:spacing w:after="0" w:line="240" w:lineRule="auto"/>
        <w:ind w:left="360"/>
        <w:contextualSpacing w:val="0"/>
        <w:jc w:val="both"/>
        <w:rPr>
          <w:rFonts w:ascii="Times New Roman" w:hAnsi="Times New Roman"/>
          <w:bCs/>
          <w:sz w:val="24"/>
          <w:szCs w:val="24"/>
        </w:rPr>
      </w:pPr>
      <w:r w:rsidRPr="00411D8B">
        <w:rPr>
          <w:rFonts w:ascii="Times New Roman" w:hAnsi="Times New Roman"/>
          <w:color w:val="000000"/>
          <w:sz w:val="24"/>
          <w:szCs w:val="24"/>
        </w:rPr>
        <w:t>Miratimi i koncept dokumentit për Burimet e Ripërtëritshme të Energjisë (MEA);</w:t>
      </w:r>
    </w:p>
    <w:p w14:paraId="564CFFCF" w14:textId="77777777" w:rsidR="00CE4035" w:rsidRPr="00411D8B" w:rsidRDefault="00CE4035" w:rsidP="0068706C">
      <w:pPr>
        <w:pStyle w:val="ListParagraph"/>
        <w:widowControl w:val="0"/>
        <w:numPr>
          <w:ilvl w:val="0"/>
          <w:numId w:val="65"/>
        </w:numPr>
        <w:spacing w:after="0" w:line="240" w:lineRule="auto"/>
        <w:ind w:left="360"/>
        <w:contextualSpacing w:val="0"/>
        <w:jc w:val="both"/>
        <w:rPr>
          <w:rFonts w:ascii="Times New Roman" w:hAnsi="Times New Roman"/>
          <w:bCs/>
          <w:sz w:val="24"/>
          <w:szCs w:val="24"/>
        </w:rPr>
      </w:pPr>
      <w:r w:rsidRPr="00411D8B">
        <w:rPr>
          <w:rFonts w:ascii="Times New Roman" w:hAnsi="Times New Roman"/>
          <w:bCs/>
          <w:sz w:val="24"/>
          <w:szCs w:val="24"/>
        </w:rPr>
        <w:t xml:space="preserve">Hartimi dhe miratimi i akteve nënligjore për  mbështetjen e skemave konkurruese </w:t>
      </w:r>
      <w:r w:rsidRPr="00411D8B">
        <w:rPr>
          <w:rFonts w:ascii="Times New Roman" w:hAnsi="Times New Roman"/>
          <w:sz w:val="24"/>
          <w:szCs w:val="24"/>
        </w:rPr>
        <w:t>(MEA/ZRRE);</w:t>
      </w:r>
    </w:p>
    <w:p w14:paraId="62FE95D1" w14:textId="77777777" w:rsidR="00CE4035" w:rsidRPr="00411D8B" w:rsidRDefault="00CE4035" w:rsidP="0068706C">
      <w:pPr>
        <w:pStyle w:val="ListParagraph"/>
        <w:widowControl w:val="0"/>
        <w:numPr>
          <w:ilvl w:val="0"/>
          <w:numId w:val="65"/>
        </w:numPr>
        <w:autoSpaceDE w:val="0"/>
        <w:autoSpaceDN w:val="0"/>
        <w:adjustRightInd w:val="0"/>
        <w:spacing w:after="0" w:line="240" w:lineRule="auto"/>
        <w:ind w:left="360"/>
        <w:contextualSpacing w:val="0"/>
        <w:jc w:val="both"/>
        <w:rPr>
          <w:rFonts w:ascii="Times New Roman" w:hAnsi="Times New Roman"/>
          <w:color w:val="000000"/>
          <w:sz w:val="24"/>
          <w:szCs w:val="24"/>
        </w:rPr>
      </w:pPr>
      <w:r w:rsidRPr="00411D8B">
        <w:rPr>
          <w:rFonts w:ascii="Times New Roman" w:hAnsi="Times New Roman"/>
          <w:color w:val="000000"/>
          <w:sz w:val="24"/>
          <w:szCs w:val="24"/>
        </w:rPr>
        <w:t xml:space="preserve">Ndërtimi  i shtatë hidrocentraleve të vogla me një kapacitet prej 28.02 MW (ZRRE); </w:t>
      </w:r>
    </w:p>
    <w:p w14:paraId="5BC66929" w14:textId="77777777" w:rsidR="00CE4035" w:rsidRPr="00411D8B" w:rsidRDefault="00CE4035" w:rsidP="0068706C">
      <w:pPr>
        <w:pStyle w:val="ListParagraph"/>
        <w:widowControl w:val="0"/>
        <w:numPr>
          <w:ilvl w:val="0"/>
          <w:numId w:val="65"/>
        </w:numPr>
        <w:autoSpaceDE w:val="0"/>
        <w:autoSpaceDN w:val="0"/>
        <w:adjustRightInd w:val="0"/>
        <w:spacing w:after="0" w:line="240" w:lineRule="auto"/>
        <w:ind w:left="360"/>
        <w:contextualSpacing w:val="0"/>
        <w:jc w:val="both"/>
        <w:rPr>
          <w:rFonts w:ascii="Times New Roman" w:hAnsi="Times New Roman"/>
          <w:color w:val="000000"/>
          <w:sz w:val="24"/>
          <w:szCs w:val="24"/>
        </w:rPr>
      </w:pPr>
      <w:r w:rsidRPr="00411D8B">
        <w:rPr>
          <w:rFonts w:ascii="Times New Roman" w:hAnsi="Times New Roman"/>
          <w:color w:val="000000"/>
          <w:sz w:val="24"/>
          <w:szCs w:val="24"/>
        </w:rPr>
        <w:t xml:space="preserve">Ndërtimi i dy impianteve të energjisë me erë me një kapacitet prej 68.94 MW (ZRRE); </w:t>
      </w:r>
    </w:p>
    <w:p w14:paraId="65BD3BDC" w14:textId="77777777" w:rsidR="00CE4035" w:rsidRPr="00411D8B" w:rsidRDefault="00CE4035" w:rsidP="0068706C">
      <w:pPr>
        <w:pStyle w:val="ListParagraph"/>
        <w:widowControl w:val="0"/>
        <w:numPr>
          <w:ilvl w:val="0"/>
          <w:numId w:val="65"/>
        </w:numPr>
        <w:spacing w:after="0" w:line="240" w:lineRule="auto"/>
        <w:ind w:left="360"/>
        <w:contextualSpacing w:val="0"/>
        <w:jc w:val="both"/>
        <w:rPr>
          <w:rFonts w:ascii="Times New Roman" w:hAnsi="Times New Roman"/>
          <w:bCs/>
          <w:sz w:val="24"/>
          <w:szCs w:val="24"/>
        </w:rPr>
      </w:pPr>
      <w:r w:rsidRPr="00411D8B">
        <w:rPr>
          <w:rFonts w:ascii="Times New Roman" w:hAnsi="Times New Roman"/>
          <w:sz w:val="24"/>
          <w:szCs w:val="24"/>
        </w:rPr>
        <w:t>Përgatitja e  Master Planit për shpërndarje dhe furnizim me Gaz Natyror  dhe përfundimi i studimit të përbashkët të fizibilitetit për gazsjellësin Maqedoni  Veriore – Kosovë (MEA);</w:t>
      </w:r>
    </w:p>
    <w:p w14:paraId="27AE4B54" w14:textId="77777777" w:rsidR="00CE4035" w:rsidRPr="00411D8B" w:rsidRDefault="00CE4035" w:rsidP="0068706C">
      <w:pPr>
        <w:pStyle w:val="ListParagraph"/>
        <w:widowControl w:val="0"/>
        <w:numPr>
          <w:ilvl w:val="0"/>
          <w:numId w:val="65"/>
        </w:numPr>
        <w:spacing w:after="0" w:line="240" w:lineRule="auto"/>
        <w:ind w:left="360"/>
        <w:contextualSpacing w:val="0"/>
        <w:jc w:val="both"/>
        <w:rPr>
          <w:rFonts w:ascii="Times New Roman" w:hAnsi="Times New Roman"/>
          <w:bCs/>
          <w:sz w:val="24"/>
          <w:szCs w:val="24"/>
        </w:rPr>
      </w:pPr>
      <w:r w:rsidRPr="00411D8B">
        <w:rPr>
          <w:rFonts w:ascii="Times New Roman" w:hAnsi="Times New Roman"/>
          <w:bCs/>
          <w:sz w:val="24"/>
          <w:szCs w:val="24"/>
        </w:rPr>
        <w:t>Funksionalizimi i bursës së energjisë elektrike Shqipëri Kosovë</w:t>
      </w:r>
      <w:r w:rsidRPr="00411D8B">
        <w:rPr>
          <w:rFonts w:ascii="Times New Roman" w:hAnsi="Times New Roman"/>
          <w:sz w:val="24"/>
          <w:szCs w:val="24"/>
        </w:rPr>
        <w:t xml:space="preserve"> (KOSTT);</w:t>
      </w:r>
    </w:p>
    <w:p w14:paraId="648C9846" w14:textId="77777777" w:rsidR="00CE4035" w:rsidRPr="00411D8B" w:rsidRDefault="00CE4035" w:rsidP="00CE4035">
      <w:pPr>
        <w:pStyle w:val="ListParagraph"/>
        <w:jc w:val="both"/>
        <w:rPr>
          <w:rFonts w:ascii="Times New Roman" w:hAnsi="Times New Roman"/>
          <w:b/>
          <w:bCs/>
          <w:sz w:val="24"/>
          <w:szCs w:val="24"/>
        </w:rPr>
      </w:pPr>
    </w:p>
    <w:p w14:paraId="00BAAF91" w14:textId="77777777" w:rsidR="00CE4035" w:rsidRPr="00411D8B" w:rsidRDefault="00CE4035" w:rsidP="0068706C">
      <w:pPr>
        <w:numPr>
          <w:ilvl w:val="0"/>
          <w:numId w:val="16"/>
        </w:numPr>
        <w:ind w:left="360"/>
        <w:jc w:val="both"/>
        <w:rPr>
          <w:b/>
          <w:bCs/>
        </w:rPr>
      </w:pPr>
      <w:r w:rsidRPr="00411D8B">
        <w:rPr>
          <w:b/>
        </w:rPr>
        <w:t>Aktivitetet e planifikuara për 2022</w:t>
      </w:r>
      <w:r w:rsidRPr="00411D8B">
        <w:rPr>
          <w:b/>
          <w:bCs/>
        </w:rPr>
        <w:t>:</w:t>
      </w:r>
    </w:p>
    <w:p w14:paraId="14EE0400" w14:textId="77777777" w:rsidR="00CE4035" w:rsidRPr="00411D8B" w:rsidRDefault="00CE4035" w:rsidP="0068706C">
      <w:pPr>
        <w:pStyle w:val="ListParagraph"/>
        <w:widowControl w:val="0"/>
        <w:numPr>
          <w:ilvl w:val="0"/>
          <w:numId w:val="66"/>
        </w:numPr>
        <w:spacing w:after="0" w:line="240" w:lineRule="auto"/>
        <w:contextualSpacing w:val="0"/>
        <w:jc w:val="both"/>
        <w:rPr>
          <w:rFonts w:ascii="Times New Roman" w:hAnsi="Times New Roman"/>
          <w:color w:val="000000"/>
          <w:sz w:val="24"/>
          <w:szCs w:val="24"/>
        </w:rPr>
      </w:pPr>
      <w:r w:rsidRPr="00411D8B">
        <w:rPr>
          <w:rFonts w:ascii="Times New Roman" w:hAnsi="Times New Roman"/>
          <w:bCs/>
          <w:sz w:val="24"/>
          <w:szCs w:val="24"/>
        </w:rPr>
        <w:t xml:space="preserve">Miratimi i legjislacionit për mbështetjen e skemave konkurruese dhe shpallja e ankandeve për BRE. </w:t>
      </w:r>
      <w:r w:rsidRPr="00411D8B">
        <w:rPr>
          <w:rFonts w:ascii="Times New Roman" w:hAnsi="Times New Roman"/>
          <w:sz w:val="24"/>
          <w:szCs w:val="24"/>
        </w:rPr>
        <w:t>(MEA, ZRRE);</w:t>
      </w:r>
    </w:p>
    <w:p w14:paraId="0A1C41EE" w14:textId="77777777" w:rsidR="00CE4035" w:rsidRPr="00411D8B" w:rsidRDefault="00CE4035" w:rsidP="0068706C">
      <w:pPr>
        <w:pStyle w:val="ListParagraph"/>
        <w:widowControl w:val="0"/>
        <w:numPr>
          <w:ilvl w:val="0"/>
          <w:numId w:val="66"/>
        </w:numPr>
        <w:spacing w:after="0" w:line="240" w:lineRule="auto"/>
        <w:contextualSpacing w:val="0"/>
        <w:jc w:val="both"/>
        <w:rPr>
          <w:rFonts w:ascii="Times New Roman" w:hAnsi="Times New Roman"/>
          <w:color w:val="000000"/>
          <w:sz w:val="24"/>
          <w:szCs w:val="24"/>
        </w:rPr>
      </w:pPr>
      <w:r w:rsidRPr="00411D8B">
        <w:rPr>
          <w:rFonts w:ascii="Times New Roman" w:hAnsi="Times New Roman"/>
          <w:color w:val="000000"/>
          <w:sz w:val="24"/>
          <w:szCs w:val="24"/>
        </w:rPr>
        <w:t xml:space="preserve">Zbatimi i katër projekteve të reja me hidrocentrale të vogla me një kapacitet prej 18.25 MW (ZRRE); </w:t>
      </w:r>
    </w:p>
    <w:p w14:paraId="791A02D7" w14:textId="77777777" w:rsidR="00CE4035" w:rsidRPr="00411D8B" w:rsidRDefault="00CE4035" w:rsidP="0068706C">
      <w:pPr>
        <w:pStyle w:val="ListParagraph"/>
        <w:widowControl w:val="0"/>
        <w:numPr>
          <w:ilvl w:val="0"/>
          <w:numId w:val="66"/>
        </w:numPr>
        <w:spacing w:after="0" w:line="240" w:lineRule="auto"/>
        <w:contextualSpacing w:val="0"/>
        <w:jc w:val="both"/>
        <w:rPr>
          <w:rFonts w:ascii="Times New Roman" w:hAnsi="Times New Roman"/>
          <w:color w:val="000000"/>
          <w:sz w:val="24"/>
          <w:szCs w:val="24"/>
        </w:rPr>
      </w:pPr>
      <w:r w:rsidRPr="00411D8B">
        <w:rPr>
          <w:rFonts w:ascii="Times New Roman" w:hAnsi="Times New Roman"/>
          <w:color w:val="000000"/>
          <w:sz w:val="24"/>
          <w:szCs w:val="24"/>
        </w:rPr>
        <w:t>Zbatimi i dy projekteve të energjisë me erë me kapacitet prej 45.47 MW (ZRRE);</w:t>
      </w:r>
    </w:p>
    <w:p w14:paraId="75EBDD36" w14:textId="77777777" w:rsidR="00CE4035" w:rsidRPr="00411D8B" w:rsidRDefault="00CE4035" w:rsidP="0068706C">
      <w:pPr>
        <w:pStyle w:val="ListParagraph"/>
        <w:widowControl w:val="0"/>
        <w:numPr>
          <w:ilvl w:val="0"/>
          <w:numId w:val="66"/>
        </w:numPr>
        <w:spacing w:after="0" w:line="240" w:lineRule="auto"/>
        <w:contextualSpacing w:val="0"/>
        <w:jc w:val="both"/>
        <w:rPr>
          <w:rFonts w:ascii="Times New Roman" w:hAnsi="Times New Roman"/>
          <w:color w:val="000000"/>
          <w:sz w:val="24"/>
          <w:szCs w:val="24"/>
        </w:rPr>
      </w:pPr>
      <w:r w:rsidRPr="00411D8B">
        <w:rPr>
          <w:rFonts w:ascii="Times New Roman" w:hAnsi="Times New Roman"/>
          <w:bCs/>
          <w:sz w:val="24"/>
          <w:szCs w:val="24"/>
        </w:rPr>
        <w:t>Miratimi i  Master Planit për shpërndarje dhe furnizim me Gaz Natyror (MEA).</w:t>
      </w:r>
    </w:p>
    <w:p w14:paraId="749266D0" w14:textId="77777777" w:rsidR="00CE4035" w:rsidRPr="00411D8B" w:rsidRDefault="00CE4035" w:rsidP="00CE4035">
      <w:pPr>
        <w:spacing w:line="276" w:lineRule="auto"/>
        <w:contextualSpacing/>
        <w:jc w:val="both"/>
        <w:rPr>
          <w:bCs/>
        </w:rPr>
      </w:pPr>
    </w:p>
    <w:p w14:paraId="2F7F1FB1" w14:textId="77777777" w:rsidR="00CE4035" w:rsidRPr="00411D8B" w:rsidRDefault="00CE4035" w:rsidP="00CE4035">
      <w:pPr>
        <w:spacing w:line="276" w:lineRule="auto"/>
      </w:pPr>
      <w:r w:rsidRPr="00411D8B">
        <w:rPr>
          <w:b/>
        </w:rPr>
        <w:t>Treguesit e rezultateve</w:t>
      </w:r>
      <w:r w:rsidRPr="00411D8B">
        <w:t>:</w:t>
      </w:r>
    </w:p>
    <w:tbl>
      <w:tblPr>
        <w:tblpPr w:leftFromText="180" w:rightFromText="180" w:vertAnchor="text" w:horzAnchor="margin" w:tblpX="13" w:tblpY="16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1620"/>
        <w:gridCol w:w="1728"/>
        <w:gridCol w:w="1768"/>
      </w:tblGrid>
      <w:tr w:rsidR="00CE4035" w:rsidRPr="00411D8B" w14:paraId="39F91566" w14:textId="77777777" w:rsidTr="009B753C">
        <w:trPr>
          <w:trHeight w:val="528"/>
        </w:trPr>
        <w:tc>
          <w:tcPr>
            <w:tcW w:w="2060" w:type="pct"/>
            <w:shd w:val="clear" w:color="auto" w:fill="auto"/>
          </w:tcPr>
          <w:p w14:paraId="3AEF92F5" w14:textId="77777777" w:rsidR="00CE4035" w:rsidRPr="00411D8B" w:rsidRDefault="00CE4035" w:rsidP="009B753C">
            <w:pPr>
              <w:pStyle w:val="Default"/>
              <w:jc w:val="both"/>
              <w:rPr>
                <w:b/>
                <w:color w:val="auto"/>
                <w:lang w:val="sq-AL"/>
              </w:rPr>
            </w:pPr>
            <w:r w:rsidRPr="00411D8B">
              <w:rPr>
                <w:b/>
                <w:color w:val="auto"/>
                <w:lang w:val="sq-AL"/>
              </w:rPr>
              <w:t>Treguesi</w:t>
            </w:r>
          </w:p>
        </w:tc>
        <w:tc>
          <w:tcPr>
            <w:tcW w:w="970" w:type="pct"/>
            <w:shd w:val="clear" w:color="auto" w:fill="auto"/>
          </w:tcPr>
          <w:p w14:paraId="13E589B0" w14:textId="77777777" w:rsidR="00CE4035" w:rsidRPr="00411D8B" w:rsidRDefault="00CE4035" w:rsidP="009B753C">
            <w:pPr>
              <w:pStyle w:val="Default"/>
              <w:jc w:val="center"/>
              <w:rPr>
                <w:b/>
                <w:color w:val="auto"/>
                <w:lang w:val="sq-AL"/>
              </w:rPr>
            </w:pPr>
            <w:r w:rsidRPr="00411D8B">
              <w:rPr>
                <w:b/>
                <w:color w:val="auto"/>
                <w:lang w:val="sq-AL"/>
              </w:rPr>
              <w:t>Baza</w:t>
            </w:r>
          </w:p>
          <w:p w14:paraId="67DFDFC1" w14:textId="77777777" w:rsidR="00CE4035" w:rsidRPr="00411D8B" w:rsidRDefault="00CE4035" w:rsidP="009B753C">
            <w:pPr>
              <w:pStyle w:val="Default"/>
              <w:jc w:val="center"/>
              <w:rPr>
                <w:b/>
                <w:color w:val="auto"/>
                <w:lang w:val="sq-AL"/>
              </w:rPr>
            </w:pPr>
            <w:r w:rsidRPr="00411D8B">
              <w:rPr>
                <w:b/>
                <w:color w:val="auto"/>
                <w:lang w:val="sq-AL"/>
              </w:rPr>
              <w:t>2020</w:t>
            </w:r>
          </w:p>
        </w:tc>
        <w:tc>
          <w:tcPr>
            <w:tcW w:w="914" w:type="pct"/>
            <w:shd w:val="clear" w:color="auto" w:fill="auto"/>
          </w:tcPr>
          <w:p w14:paraId="1297DF82" w14:textId="77777777" w:rsidR="00CE4035" w:rsidRPr="00411D8B" w:rsidRDefault="00CE4035" w:rsidP="009B753C">
            <w:pPr>
              <w:pStyle w:val="Default"/>
              <w:jc w:val="center"/>
              <w:rPr>
                <w:b/>
                <w:color w:val="auto"/>
                <w:lang w:val="sq-AL"/>
              </w:rPr>
            </w:pPr>
            <w:r w:rsidRPr="00411D8B">
              <w:rPr>
                <w:b/>
                <w:color w:val="auto"/>
                <w:lang w:val="sq-AL"/>
              </w:rPr>
              <w:t>Synimi i ndërmjetëm</w:t>
            </w:r>
          </w:p>
        </w:tc>
        <w:tc>
          <w:tcPr>
            <w:tcW w:w="1056" w:type="pct"/>
            <w:shd w:val="clear" w:color="auto" w:fill="auto"/>
          </w:tcPr>
          <w:p w14:paraId="67664362" w14:textId="77777777" w:rsidR="00CE4035" w:rsidRPr="00411D8B" w:rsidRDefault="00CE4035" w:rsidP="009B753C">
            <w:pPr>
              <w:pStyle w:val="Default"/>
              <w:jc w:val="center"/>
              <w:rPr>
                <w:b/>
                <w:color w:val="auto"/>
                <w:lang w:val="sq-AL"/>
              </w:rPr>
            </w:pPr>
            <w:r w:rsidRPr="00411D8B">
              <w:rPr>
                <w:b/>
                <w:color w:val="auto"/>
                <w:lang w:val="sq-AL"/>
              </w:rPr>
              <w:t>Synimi</w:t>
            </w:r>
          </w:p>
          <w:p w14:paraId="5933F98A" w14:textId="77777777" w:rsidR="00CE4035" w:rsidRPr="00411D8B" w:rsidRDefault="00CE4035" w:rsidP="009B753C">
            <w:pPr>
              <w:pStyle w:val="Default"/>
              <w:jc w:val="center"/>
              <w:rPr>
                <w:b/>
                <w:color w:val="auto"/>
                <w:lang w:val="sq-AL"/>
              </w:rPr>
            </w:pPr>
            <w:r w:rsidRPr="00411D8B">
              <w:rPr>
                <w:b/>
                <w:color w:val="auto"/>
                <w:lang w:val="sq-AL"/>
              </w:rPr>
              <w:t>2023</w:t>
            </w:r>
          </w:p>
        </w:tc>
      </w:tr>
      <w:tr w:rsidR="00CE4035" w:rsidRPr="00411D8B" w14:paraId="3F1C3706" w14:textId="77777777" w:rsidTr="009B753C">
        <w:trPr>
          <w:trHeight w:val="310"/>
        </w:trPr>
        <w:tc>
          <w:tcPr>
            <w:tcW w:w="2060" w:type="pct"/>
          </w:tcPr>
          <w:p w14:paraId="23B6C3F8" w14:textId="77777777" w:rsidR="00CE4035" w:rsidRPr="00411D8B" w:rsidRDefault="00CE4035" w:rsidP="009B753C">
            <w:pPr>
              <w:pStyle w:val="Default"/>
              <w:jc w:val="both"/>
              <w:rPr>
                <w:rFonts w:eastAsia="Times New Roman"/>
                <w:color w:val="auto"/>
                <w:lang w:val="sq-AL"/>
              </w:rPr>
            </w:pPr>
            <w:r w:rsidRPr="00411D8B">
              <w:rPr>
                <w:iCs/>
                <w:lang w:val="sq-AL"/>
              </w:rPr>
              <w:t>Energjia e gjeneruar nga BRE</w:t>
            </w:r>
          </w:p>
        </w:tc>
        <w:tc>
          <w:tcPr>
            <w:tcW w:w="970" w:type="pct"/>
            <w:vAlign w:val="center"/>
          </w:tcPr>
          <w:p w14:paraId="3588D9BC" w14:textId="77777777" w:rsidR="00CE4035" w:rsidRPr="00411D8B" w:rsidRDefault="00CE4035" w:rsidP="009B753C">
            <w:pPr>
              <w:pStyle w:val="Default"/>
              <w:jc w:val="center"/>
              <w:rPr>
                <w:iCs/>
                <w:color w:val="auto"/>
                <w:lang w:val="sq-AL"/>
              </w:rPr>
            </w:pPr>
            <w:r w:rsidRPr="00411D8B">
              <w:rPr>
                <w:iCs/>
                <w:color w:val="auto"/>
                <w:lang w:val="sq-AL"/>
              </w:rPr>
              <w:t>322,870 MWh</w:t>
            </w:r>
          </w:p>
        </w:tc>
        <w:tc>
          <w:tcPr>
            <w:tcW w:w="914" w:type="pct"/>
            <w:vAlign w:val="center"/>
          </w:tcPr>
          <w:p w14:paraId="5E15D690" w14:textId="77777777" w:rsidR="00CE4035" w:rsidRPr="00411D8B" w:rsidRDefault="00CE4035" w:rsidP="009B753C">
            <w:pPr>
              <w:pStyle w:val="Default"/>
              <w:jc w:val="center"/>
              <w:rPr>
                <w:iCs/>
                <w:color w:val="auto"/>
                <w:lang w:val="sq-AL"/>
              </w:rPr>
            </w:pPr>
            <w:r w:rsidRPr="00411D8B">
              <w:rPr>
                <w:iCs/>
                <w:color w:val="auto"/>
                <w:lang w:val="sq-AL"/>
              </w:rPr>
              <w:t>607,078 MWh</w:t>
            </w:r>
          </w:p>
        </w:tc>
        <w:tc>
          <w:tcPr>
            <w:tcW w:w="1056" w:type="pct"/>
            <w:vAlign w:val="center"/>
          </w:tcPr>
          <w:p w14:paraId="06D54748" w14:textId="77777777" w:rsidR="00CE4035" w:rsidRPr="00411D8B" w:rsidRDefault="00CE4035" w:rsidP="009B753C">
            <w:pPr>
              <w:pStyle w:val="Default"/>
              <w:jc w:val="center"/>
              <w:rPr>
                <w:iCs/>
                <w:color w:val="auto"/>
                <w:lang w:val="sq-AL"/>
              </w:rPr>
            </w:pPr>
            <w:r w:rsidRPr="00411D8B">
              <w:rPr>
                <w:iCs/>
                <w:color w:val="auto"/>
                <w:lang w:val="sq-AL"/>
              </w:rPr>
              <w:t>793,722 MWh</w:t>
            </w:r>
          </w:p>
        </w:tc>
      </w:tr>
      <w:tr w:rsidR="00CE4035" w:rsidRPr="00411D8B" w14:paraId="1A1EBFF8" w14:textId="77777777" w:rsidTr="009B753C">
        <w:trPr>
          <w:trHeight w:val="355"/>
        </w:trPr>
        <w:tc>
          <w:tcPr>
            <w:tcW w:w="2060" w:type="pct"/>
          </w:tcPr>
          <w:p w14:paraId="3877BEEA" w14:textId="77777777" w:rsidR="00CE4035" w:rsidRPr="00411D8B" w:rsidRDefault="00CE4035" w:rsidP="009B753C">
            <w:pPr>
              <w:pStyle w:val="Default"/>
              <w:rPr>
                <w:iCs/>
                <w:lang w:val="sq-AL"/>
              </w:rPr>
            </w:pPr>
            <w:r>
              <w:rPr>
                <w:iCs/>
                <w:lang w:val="sq-AL"/>
              </w:rPr>
              <w:t>%</w:t>
            </w:r>
            <w:r w:rsidRPr="005027EE">
              <w:rPr>
                <w:iCs/>
                <w:lang w:val="sq-AL"/>
              </w:rPr>
              <w:t xml:space="preserve"> e energjisë së rinovueshme në konsumin e përgjithshëm të energjisë përfundimtare</w:t>
            </w:r>
          </w:p>
        </w:tc>
        <w:tc>
          <w:tcPr>
            <w:tcW w:w="970" w:type="pct"/>
            <w:vAlign w:val="center"/>
          </w:tcPr>
          <w:p w14:paraId="64E3F9C3" w14:textId="77777777" w:rsidR="00CE4035" w:rsidRPr="00411D8B" w:rsidRDefault="00CE4035" w:rsidP="009B753C">
            <w:pPr>
              <w:pStyle w:val="Default"/>
              <w:jc w:val="center"/>
              <w:rPr>
                <w:iCs/>
                <w:lang w:val="sq-AL"/>
              </w:rPr>
            </w:pPr>
            <w:r w:rsidRPr="00411D8B">
              <w:rPr>
                <w:iCs/>
                <w:lang w:val="sq-AL"/>
              </w:rPr>
              <w:t>25%</w:t>
            </w:r>
          </w:p>
        </w:tc>
        <w:tc>
          <w:tcPr>
            <w:tcW w:w="914" w:type="pct"/>
            <w:vAlign w:val="center"/>
          </w:tcPr>
          <w:p w14:paraId="18F1971E" w14:textId="77777777" w:rsidR="00CE4035" w:rsidRPr="00411D8B" w:rsidRDefault="00CE4035" w:rsidP="009B753C">
            <w:pPr>
              <w:pStyle w:val="Default"/>
              <w:jc w:val="center"/>
              <w:rPr>
                <w:iCs/>
                <w:lang w:val="sq-AL"/>
              </w:rPr>
            </w:pPr>
            <w:r w:rsidRPr="00411D8B">
              <w:rPr>
                <w:iCs/>
                <w:lang w:val="sq-AL"/>
              </w:rPr>
              <w:t>&gt; 25%</w:t>
            </w:r>
          </w:p>
        </w:tc>
        <w:tc>
          <w:tcPr>
            <w:tcW w:w="1056" w:type="pct"/>
            <w:vAlign w:val="center"/>
          </w:tcPr>
          <w:p w14:paraId="073F153F" w14:textId="77777777" w:rsidR="00CE4035" w:rsidRPr="00411D8B" w:rsidRDefault="00CE4035" w:rsidP="009B753C">
            <w:pPr>
              <w:pStyle w:val="Default"/>
              <w:jc w:val="center"/>
              <w:rPr>
                <w:iCs/>
                <w:lang w:val="sq-AL"/>
              </w:rPr>
            </w:pPr>
            <w:r w:rsidRPr="00411D8B">
              <w:rPr>
                <w:iCs/>
                <w:lang w:val="sq-AL"/>
              </w:rPr>
              <w:t>&gt; 25%</w:t>
            </w:r>
          </w:p>
        </w:tc>
      </w:tr>
      <w:tr w:rsidR="00CE4035" w:rsidRPr="00411D8B" w14:paraId="0A3C26EB" w14:textId="77777777" w:rsidTr="009B753C">
        <w:trPr>
          <w:trHeight w:val="355"/>
        </w:trPr>
        <w:tc>
          <w:tcPr>
            <w:tcW w:w="2060" w:type="pct"/>
          </w:tcPr>
          <w:p w14:paraId="28B75BC5" w14:textId="77777777" w:rsidR="00CE4035" w:rsidRPr="00411D8B" w:rsidRDefault="00CE4035" w:rsidP="009B753C">
            <w:pPr>
              <w:rPr>
                <w:color w:val="FF0000"/>
              </w:rPr>
            </w:pPr>
            <w:r w:rsidRPr="00411D8B">
              <w:rPr>
                <w:iCs/>
              </w:rPr>
              <w:t>Niveli i emetimit të CO2</w:t>
            </w:r>
          </w:p>
        </w:tc>
        <w:tc>
          <w:tcPr>
            <w:tcW w:w="970" w:type="pct"/>
            <w:vAlign w:val="center"/>
          </w:tcPr>
          <w:p w14:paraId="1D4863C5" w14:textId="77777777" w:rsidR="00CE4035" w:rsidRPr="00411D8B" w:rsidRDefault="00CE4035" w:rsidP="009B753C">
            <w:pPr>
              <w:pStyle w:val="Default"/>
              <w:jc w:val="center"/>
              <w:rPr>
                <w:iCs/>
                <w:lang w:val="sq-AL"/>
              </w:rPr>
            </w:pPr>
            <w:r w:rsidRPr="00411D8B">
              <w:rPr>
                <w:iCs/>
                <w:lang w:val="sq-AL"/>
              </w:rPr>
              <w:t>6.68 ton</w:t>
            </w:r>
          </w:p>
        </w:tc>
        <w:tc>
          <w:tcPr>
            <w:tcW w:w="914" w:type="pct"/>
            <w:vAlign w:val="center"/>
          </w:tcPr>
          <w:p w14:paraId="7D282FD0" w14:textId="77777777" w:rsidR="00CE4035" w:rsidRPr="00411D8B" w:rsidRDefault="00CE4035" w:rsidP="009B753C">
            <w:pPr>
              <w:pStyle w:val="Default"/>
              <w:jc w:val="center"/>
              <w:rPr>
                <w:iCs/>
                <w:lang w:val="sq-AL"/>
              </w:rPr>
            </w:pPr>
            <w:r w:rsidRPr="00411D8B">
              <w:rPr>
                <w:iCs/>
                <w:lang w:val="sq-AL"/>
              </w:rPr>
              <w:t>&lt; 6.68</w:t>
            </w:r>
          </w:p>
        </w:tc>
        <w:tc>
          <w:tcPr>
            <w:tcW w:w="1056" w:type="pct"/>
            <w:vAlign w:val="center"/>
          </w:tcPr>
          <w:p w14:paraId="09BF480F" w14:textId="77777777" w:rsidR="00CE4035" w:rsidRPr="00411D8B" w:rsidRDefault="00CE4035" w:rsidP="009B753C">
            <w:pPr>
              <w:pStyle w:val="Default"/>
              <w:jc w:val="center"/>
              <w:rPr>
                <w:iCs/>
                <w:lang w:val="sq-AL"/>
              </w:rPr>
            </w:pPr>
            <w:r w:rsidRPr="00411D8B">
              <w:rPr>
                <w:iCs/>
                <w:lang w:val="sq-AL"/>
              </w:rPr>
              <w:t>6.0 ton</w:t>
            </w:r>
          </w:p>
        </w:tc>
      </w:tr>
    </w:tbl>
    <w:p w14:paraId="40ADB314" w14:textId="77777777" w:rsidR="00CE4035" w:rsidRDefault="00CE4035" w:rsidP="00CE4035">
      <w:pPr>
        <w:spacing w:line="276" w:lineRule="auto"/>
        <w:jc w:val="both"/>
        <w:rPr>
          <w:i/>
        </w:rPr>
      </w:pPr>
      <w:r w:rsidRPr="00C3730A">
        <w:rPr>
          <w:i/>
        </w:rPr>
        <w:t>Arritja e këtyre tregues</w:t>
      </w:r>
      <w:r>
        <w:rPr>
          <w:i/>
        </w:rPr>
        <w:t>ve është në pajtim me qëllimin 7 të O</w:t>
      </w:r>
      <w:r w:rsidRPr="00C3730A">
        <w:rPr>
          <w:i/>
        </w:rPr>
        <w:t xml:space="preserve">ZHQ </w:t>
      </w:r>
      <w:r>
        <w:rPr>
          <w:i/>
        </w:rPr>
        <w:t>‘</w:t>
      </w:r>
      <w:r w:rsidRPr="00D74D82">
        <w:rPr>
          <w:i/>
        </w:rPr>
        <w:t>Sigur</w:t>
      </w:r>
      <w:r>
        <w:rPr>
          <w:i/>
        </w:rPr>
        <w:t>imi i</w:t>
      </w:r>
      <w:r w:rsidRPr="00D74D82">
        <w:rPr>
          <w:i/>
        </w:rPr>
        <w:t xml:space="preserve"> qasje</w:t>
      </w:r>
      <w:r>
        <w:rPr>
          <w:i/>
        </w:rPr>
        <w:t>s</w:t>
      </w:r>
      <w:r w:rsidRPr="00D74D82">
        <w:rPr>
          <w:i/>
        </w:rPr>
        <w:t xml:space="preserve"> në energji të përballueshme, të besueshme, të qëndrueshme dhe moderne për të gjithë</w:t>
      </w:r>
      <w:r>
        <w:rPr>
          <w:i/>
        </w:rPr>
        <w:t>’  e veçanërisht caku 7.2.1.</w:t>
      </w:r>
      <w:r w:rsidRPr="005027EE">
        <w:t xml:space="preserve"> </w:t>
      </w:r>
      <w:r>
        <w:t>‘</w:t>
      </w:r>
      <w:r w:rsidRPr="005027EE">
        <w:rPr>
          <w:i/>
        </w:rPr>
        <w:t>% e energjisë së rinovueshme në konsumin e përgjithshëm të energjisë përfundimtare</w:t>
      </w:r>
      <w:r>
        <w:rPr>
          <w:i/>
        </w:rPr>
        <w:t>’</w:t>
      </w:r>
    </w:p>
    <w:p w14:paraId="62BBD876" w14:textId="77777777" w:rsidR="00CE4035" w:rsidRPr="00411D8B" w:rsidRDefault="00CE4035" w:rsidP="00CE4035">
      <w:pPr>
        <w:spacing w:line="276" w:lineRule="auto"/>
        <w:jc w:val="both"/>
        <w:rPr>
          <w:b/>
        </w:rPr>
      </w:pPr>
    </w:p>
    <w:p w14:paraId="5B6C0AAC" w14:textId="77777777" w:rsidR="00CE4035" w:rsidRPr="00411D8B" w:rsidRDefault="00CE4035" w:rsidP="00CE4035">
      <w:pPr>
        <w:jc w:val="both"/>
      </w:pPr>
      <w:r w:rsidRPr="00411D8B">
        <w:rPr>
          <w:b/>
        </w:rPr>
        <w:t>Ndikimi i pritur në konkurueshmëri:</w:t>
      </w:r>
      <w:r w:rsidRPr="00411D8B">
        <w:t xml:space="preserve"> Zbatimi i kësaj mase e rritë sigurinë e furnizimit me energji elektrike si një kusht për rritjen e konkurrueshmërisë. Gjithashtu kjo mase do të zvogëlon sasinë e energjisë së importuar, e cila është energji e pikut dhe me kosto më të lartë së gjenerimi vendor. M</w:t>
      </w:r>
      <w:r w:rsidRPr="00411D8B">
        <w:rPr>
          <w:bCs/>
        </w:rPr>
        <w:t>bështetja e skemave konkurruese dhe shpallja e ankandeve për BRE do të rrisë konkurrueshmërin te bizneset duke rritur edhe kapacitetet e BRE-ve dhe uljen e kostos së Energjisë.</w:t>
      </w:r>
      <w:r w:rsidRPr="00411D8B">
        <w:t xml:space="preserve"> Përfundimi i studimit të fizibilitetit për gazsjellësin Maqedoni Veriore – Kosove dhe përfundimi i studimit të Master Planit për shpërndarje dhe furnizimi me Gaz Natyror në Kosovë do të prodhoj analiza dhe rekomandime pasuese duke përfshirë edhe komponentin e konkurrueshmërisë.</w:t>
      </w:r>
    </w:p>
    <w:p w14:paraId="5AE24039" w14:textId="77777777" w:rsidR="00CE4035" w:rsidRPr="004C3B99" w:rsidRDefault="00CE4035" w:rsidP="00CE4035">
      <w:pPr>
        <w:jc w:val="both"/>
        <w:rPr>
          <w:bCs/>
        </w:rPr>
      </w:pPr>
      <w:r w:rsidRPr="00411D8B">
        <w:rPr>
          <w:b/>
        </w:rPr>
        <w:t xml:space="preserve">Vlerësimi i kostos së aktiviteteve dhe burimi i financimit: </w:t>
      </w:r>
      <w:r w:rsidRPr="00411D8B">
        <w:t xml:space="preserve">Kostoja e masës është si në vijim: 203,580,000 € për zhvillimin e burimeve të reja të energjisë së ripërtëritshme (financim privat dhe kredi), ku 123,430,000 € prej tyre do të jepen në vitin 2021 dhe 80,150,000 € do të jepen në 2022. Një pjesë e madhe e këtyre do të mbulohen nga investitorët privat dhe kredi bankare. Komiteti drejtues i WBIF ka aprovuar grantin në vlerë prej 650,000 € për </w:t>
      </w:r>
      <w:r w:rsidRPr="00411D8B">
        <w:rPr>
          <w:bCs/>
        </w:rPr>
        <w:t>Studimin e fizibilitetit për gazsjellësin Maqedoni Veriore – Kosovë</w:t>
      </w:r>
      <w:r w:rsidRPr="00411D8B">
        <w:t>. Ky aktivitet është duke u realizuar përmes asistencës teknike të angazhuar nga platforma WBIF dhe planifikohet të përfundoj në vitin 2021.</w:t>
      </w:r>
      <w:r>
        <w:rPr>
          <w:bCs/>
        </w:rPr>
        <w:t xml:space="preserve"> </w:t>
      </w:r>
      <w:r w:rsidRPr="00411D8B">
        <w:rPr>
          <w:bCs/>
        </w:rPr>
        <w:t xml:space="preserve">Për përgatitjen e Master Planit për shpërndarje dhe furnizim me gaz natyror, Komitetit Drejtues i WBIF ka aprovuar grantin në vlerë prej 1,500,000 </w:t>
      </w:r>
      <w:r w:rsidRPr="00411D8B">
        <w:t>€</w:t>
      </w:r>
      <w:r w:rsidRPr="00411D8B">
        <w:rPr>
          <w:bCs/>
        </w:rPr>
        <w:t xml:space="preserve">. Ky aktivitet </w:t>
      </w:r>
      <w:r w:rsidRPr="00411D8B">
        <w:t xml:space="preserve">planifikohet të realizohet në vitin 2021-2022. </w:t>
      </w:r>
    </w:p>
    <w:p w14:paraId="34C6BF72" w14:textId="77777777" w:rsidR="00CE4035" w:rsidRPr="00411D8B" w:rsidRDefault="00CE4035" w:rsidP="00CE4035">
      <w:pPr>
        <w:jc w:val="both"/>
        <w:rPr>
          <w:b/>
        </w:rPr>
      </w:pPr>
      <w:r w:rsidRPr="00411D8B">
        <w:rPr>
          <w:b/>
        </w:rPr>
        <w:t xml:space="preserve">Ndikimi i pritshëm në rezultatet sociale, të tilla si punësimi, ulja e varfërisë, barazia gjinore: </w:t>
      </w:r>
      <w:r w:rsidRPr="00411D8B">
        <w:t>Komponentë e studimit të fizibilitetit për gazsjellësin Maqedoni Veriore – Kosovë si dhe Raporti i Vlerësimit të Ndikimit Mjedisor dhe Social (VNMS), si dhe e studimit të Master Planit për shpërndarje dhe furnizimi me Gaz Natyror në Kosovë, do të prodhojnë analizat dhe rezultatet për veprimet pasuese në këtë drejtim.</w:t>
      </w:r>
    </w:p>
    <w:p w14:paraId="47AB521A" w14:textId="77777777" w:rsidR="00CE4035" w:rsidRPr="00411D8B" w:rsidRDefault="00CE4035" w:rsidP="00CE4035">
      <w:pPr>
        <w:jc w:val="both"/>
      </w:pPr>
      <w:r w:rsidRPr="00411D8B">
        <w:rPr>
          <w:b/>
        </w:rPr>
        <w:t xml:space="preserve">Ndikimi i pritshëm në mjedis: </w:t>
      </w:r>
      <w:r w:rsidRPr="00411D8B">
        <w:t>Nivelet më të ulëta të emetimeve të CO2 pritet të kenë një efekt pozitiv në cilësinë e ajrit, përveç rritjes së energjisë së prodhuar nga burime të ripërtëritshme. Sa i përket hidrocentraleve, sipas legjislacionit të miratuar për mbrojtjen e mjedisit dhe licencimin e HEC-ve, efektet e mundshme negative do të zvogëlohen nëse rregulloret zbatohen plotësisht. Komponentë e studimit të fizibilitetit për gazsjellësin Maqedoni Veriore – Kosovë si dhe Raporti i Vlerësimit të Ndikimit Mjedisor dhe Social (VNMS), si dhe e studimit të Master Planit për shpërndarje dhe furnizimi me Gaz Natyror në Kosovë, do të prodhojnë analizat dhe rezultatet për veprimet pasuese në këtë drejtim.</w:t>
      </w:r>
    </w:p>
    <w:p w14:paraId="1279998C" w14:textId="77777777" w:rsidR="00CE4035" w:rsidRPr="00411D8B" w:rsidRDefault="00CE4035" w:rsidP="00CE4035">
      <w:pPr>
        <w:spacing w:line="276" w:lineRule="auto"/>
        <w:jc w:val="both"/>
        <w:rPr>
          <w:b/>
        </w:rPr>
      </w:pPr>
      <w:r w:rsidRPr="00411D8B">
        <w:rPr>
          <w:b/>
        </w:rPr>
        <w:t>Rreziqet potenciale:</w:t>
      </w:r>
    </w:p>
    <w:tbl>
      <w:tblPr>
        <w:tblpPr w:leftFromText="180" w:rightFromText="180" w:vertAnchor="text" w:horzAnchor="margin" w:tblpY="107"/>
        <w:tblOverlap w:val="neve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1800"/>
        <w:gridCol w:w="3870"/>
      </w:tblGrid>
      <w:tr w:rsidR="00CE4035" w:rsidRPr="00411D8B" w14:paraId="5FC0515E" w14:textId="77777777" w:rsidTr="005116BD">
        <w:trPr>
          <w:trHeight w:val="350"/>
        </w:trPr>
        <w:tc>
          <w:tcPr>
            <w:tcW w:w="3055" w:type="dxa"/>
            <w:shd w:val="clear" w:color="auto" w:fill="auto"/>
          </w:tcPr>
          <w:p w14:paraId="5E044B20" w14:textId="77777777" w:rsidR="00CE4035" w:rsidRPr="00411D8B" w:rsidRDefault="00CE4035" w:rsidP="009B753C">
            <w:pPr>
              <w:pStyle w:val="Default"/>
              <w:jc w:val="both"/>
              <w:rPr>
                <w:lang w:val="sq-AL"/>
              </w:rPr>
            </w:pPr>
            <w:r w:rsidRPr="00411D8B">
              <w:rPr>
                <w:b/>
                <w:bCs/>
                <w:lang w:val="sq-AL"/>
              </w:rPr>
              <w:t>Rreziku</w:t>
            </w:r>
          </w:p>
        </w:tc>
        <w:tc>
          <w:tcPr>
            <w:tcW w:w="1800" w:type="dxa"/>
            <w:shd w:val="clear" w:color="auto" w:fill="auto"/>
          </w:tcPr>
          <w:p w14:paraId="65C2FE76" w14:textId="77777777" w:rsidR="00CE4035" w:rsidRPr="00411D8B" w:rsidRDefault="00CE4035" w:rsidP="009B753C">
            <w:pPr>
              <w:pStyle w:val="Default"/>
              <w:jc w:val="both"/>
              <w:rPr>
                <w:b/>
                <w:bCs/>
                <w:lang w:val="sq-AL"/>
              </w:rPr>
            </w:pPr>
            <w:r w:rsidRPr="00411D8B">
              <w:rPr>
                <w:b/>
                <w:bCs/>
                <w:lang w:val="sq-AL"/>
              </w:rPr>
              <w:t>Probabiliteti</w:t>
            </w:r>
          </w:p>
        </w:tc>
        <w:tc>
          <w:tcPr>
            <w:tcW w:w="3870" w:type="dxa"/>
            <w:shd w:val="clear" w:color="auto" w:fill="auto"/>
          </w:tcPr>
          <w:p w14:paraId="04A8EE08" w14:textId="77777777" w:rsidR="00CE4035" w:rsidRPr="00411D8B" w:rsidRDefault="00CE4035" w:rsidP="009B753C">
            <w:pPr>
              <w:pStyle w:val="Default"/>
              <w:jc w:val="both"/>
              <w:rPr>
                <w:lang w:val="sq-AL"/>
              </w:rPr>
            </w:pPr>
            <w:r w:rsidRPr="00411D8B">
              <w:rPr>
                <w:b/>
                <w:bCs/>
                <w:lang w:val="sq-AL"/>
              </w:rPr>
              <w:t xml:space="preserve">Veprimi lehtësues i planifikuar </w:t>
            </w:r>
          </w:p>
        </w:tc>
      </w:tr>
      <w:tr w:rsidR="00CE4035" w:rsidRPr="00411D8B" w14:paraId="50753D34" w14:textId="77777777" w:rsidTr="005116BD">
        <w:trPr>
          <w:trHeight w:val="606"/>
        </w:trPr>
        <w:tc>
          <w:tcPr>
            <w:tcW w:w="3055" w:type="dxa"/>
          </w:tcPr>
          <w:p w14:paraId="6FFE6048" w14:textId="77777777" w:rsidR="00CE4035" w:rsidRPr="00411D8B" w:rsidRDefault="00CE4035" w:rsidP="009B753C">
            <w:pPr>
              <w:pStyle w:val="Default"/>
              <w:jc w:val="both"/>
              <w:rPr>
                <w:lang w:val="sq-AL"/>
              </w:rPr>
            </w:pPr>
            <w:r w:rsidRPr="00411D8B">
              <w:rPr>
                <w:lang w:val="sq-AL"/>
              </w:rPr>
              <w:t>Vonesa në miratimin e Koncept dokumentit për BRE</w:t>
            </w:r>
          </w:p>
        </w:tc>
        <w:tc>
          <w:tcPr>
            <w:tcW w:w="1800" w:type="dxa"/>
          </w:tcPr>
          <w:p w14:paraId="0CC0A1E5" w14:textId="77777777" w:rsidR="00CE4035" w:rsidRPr="00411D8B" w:rsidRDefault="00CE4035" w:rsidP="009B753C">
            <w:pPr>
              <w:pStyle w:val="Default"/>
              <w:jc w:val="both"/>
              <w:rPr>
                <w:lang w:val="sq-AL"/>
              </w:rPr>
            </w:pPr>
            <w:r w:rsidRPr="00411D8B">
              <w:rPr>
                <w:lang w:val="sq-AL"/>
              </w:rPr>
              <w:t>I ultë</w:t>
            </w:r>
          </w:p>
        </w:tc>
        <w:tc>
          <w:tcPr>
            <w:tcW w:w="3870" w:type="dxa"/>
          </w:tcPr>
          <w:p w14:paraId="550F8BDB" w14:textId="77777777" w:rsidR="00CE4035" w:rsidRPr="00411D8B" w:rsidRDefault="00CE4035" w:rsidP="009B753C">
            <w:pPr>
              <w:jc w:val="both"/>
            </w:pPr>
            <w:r w:rsidRPr="00411D8B">
              <w:t>Paralelisht do të punohet edhe në përcaktimin e skemës se re mbështetëse për BRE nga BERZH.</w:t>
            </w:r>
          </w:p>
        </w:tc>
      </w:tr>
      <w:tr w:rsidR="00CE4035" w:rsidRPr="00411D8B" w14:paraId="037E1F98" w14:textId="77777777" w:rsidTr="005116BD">
        <w:trPr>
          <w:trHeight w:val="606"/>
        </w:trPr>
        <w:tc>
          <w:tcPr>
            <w:tcW w:w="3055" w:type="dxa"/>
          </w:tcPr>
          <w:p w14:paraId="3CB9DC44" w14:textId="77777777" w:rsidR="00CE4035" w:rsidRPr="00411D8B" w:rsidDel="000B70A7" w:rsidRDefault="00CE4035" w:rsidP="009B753C">
            <w:pPr>
              <w:pStyle w:val="Default"/>
              <w:jc w:val="both"/>
              <w:rPr>
                <w:color w:val="auto"/>
                <w:lang w:val="sq-AL"/>
              </w:rPr>
            </w:pPr>
            <w:r w:rsidRPr="00411D8B">
              <w:rPr>
                <w:lang w:val="sq-AL"/>
              </w:rPr>
              <w:t>Paparikushmeria e kohëzgjatjes së pandemisë  COVID - 19</w:t>
            </w:r>
          </w:p>
        </w:tc>
        <w:tc>
          <w:tcPr>
            <w:tcW w:w="1800" w:type="dxa"/>
          </w:tcPr>
          <w:p w14:paraId="4143F784" w14:textId="77777777" w:rsidR="00CE4035" w:rsidRPr="00411D8B" w:rsidDel="000B70A7" w:rsidRDefault="00CE4035" w:rsidP="009B753C">
            <w:pPr>
              <w:pStyle w:val="Default"/>
              <w:jc w:val="both"/>
              <w:rPr>
                <w:color w:val="auto"/>
                <w:lang w:val="sq-AL"/>
              </w:rPr>
            </w:pPr>
            <w:r w:rsidRPr="00411D8B">
              <w:rPr>
                <w:color w:val="auto"/>
                <w:lang w:val="sq-AL"/>
              </w:rPr>
              <w:t>I lartë</w:t>
            </w:r>
          </w:p>
        </w:tc>
        <w:tc>
          <w:tcPr>
            <w:tcW w:w="3870" w:type="dxa"/>
          </w:tcPr>
          <w:p w14:paraId="677B627C" w14:textId="77777777" w:rsidR="00CE4035" w:rsidRPr="00411D8B" w:rsidDel="000B70A7" w:rsidRDefault="00CE4035" w:rsidP="009B753C">
            <w:pPr>
              <w:pStyle w:val="Default"/>
              <w:jc w:val="both"/>
              <w:rPr>
                <w:color w:val="auto"/>
                <w:lang w:val="sq-AL"/>
              </w:rPr>
            </w:pPr>
            <w:r w:rsidRPr="00411D8B">
              <w:rPr>
                <w:color w:val="auto"/>
                <w:lang w:val="sq-AL"/>
              </w:rPr>
              <w:t>Masat e qeverisë kundër pandemisë COVID -19</w:t>
            </w:r>
          </w:p>
        </w:tc>
      </w:tr>
      <w:tr w:rsidR="00CE4035" w:rsidRPr="00411D8B" w14:paraId="5E0BCDD4" w14:textId="77777777" w:rsidTr="005116BD">
        <w:trPr>
          <w:trHeight w:val="606"/>
        </w:trPr>
        <w:tc>
          <w:tcPr>
            <w:tcW w:w="3055" w:type="dxa"/>
          </w:tcPr>
          <w:p w14:paraId="188EB6F4" w14:textId="77777777" w:rsidR="00CE4035" w:rsidRPr="00411D8B" w:rsidRDefault="00CE4035" w:rsidP="009B753C">
            <w:pPr>
              <w:pStyle w:val="Default"/>
              <w:jc w:val="both"/>
              <w:rPr>
                <w:color w:val="auto"/>
                <w:lang w:val="sq-AL"/>
              </w:rPr>
            </w:pPr>
            <w:r w:rsidRPr="00411D8B">
              <w:rPr>
                <w:color w:val="auto"/>
                <w:lang w:val="sq-AL"/>
              </w:rPr>
              <w:t xml:space="preserve">Vonesat në Përfundimi i projekteve sipas afatit </w:t>
            </w:r>
          </w:p>
        </w:tc>
        <w:tc>
          <w:tcPr>
            <w:tcW w:w="1800" w:type="dxa"/>
          </w:tcPr>
          <w:p w14:paraId="360D72FA" w14:textId="77777777" w:rsidR="00CE4035" w:rsidRPr="00411D8B" w:rsidDel="000B70A7" w:rsidRDefault="00CE4035" w:rsidP="009B753C">
            <w:pPr>
              <w:pStyle w:val="Default"/>
              <w:jc w:val="both"/>
              <w:rPr>
                <w:color w:val="auto"/>
                <w:lang w:val="sq-AL"/>
              </w:rPr>
            </w:pPr>
            <w:r w:rsidRPr="00411D8B">
              <w:rPr>
                <w:color w:val="auto"/>
                <w:lang w:val="sq-AL"/>
              </w:rPr>
              <w:t>I mesëm</w:t>
            </w:r>
          </w:p>
        </w:tc>
        <w:tc>
          <w:tcPr>
            <w:tcW w:w="3870" w:type="dxa"/>
          </w:tcPr>
          <w:p w14:paraId="3D00AD79" w14:textId="77777777" w:rsidR="00CE4035" w:rsidRPr="00411D8B" w:rsidDel="000B70A7" w:rsidRDefault="00CE4035" w:rsidP="009B753C">
            <w:pPr>
              <w:pStyle w:val="Default"/>
              <w:jc w:val="both"/>
              <w:rPr>
                <w:color w:val="auto"/>
                <w:lang w:val="sq-AL"/>
              </w:rPr>
            </w:pPr>
            <w:r w:rsidRPr="00411D8B">
              <w:rPr>
                <w:color w:val="auto"/>
                <w:lang w:val="sq-AL"/>
              </w:rPr>
              <w:t>Mbikëqyrje më e mirë nga  ana e ZRRE-së sa i përket implementimit të Projekteve</w:t>
            </w:r>
          </w:p>
        </w:tc>
      </w:tr>
    </w:tbl>
    <w:p w14:paraId="05E413D0" w14:textId="77777777" w:rsidR="00CE4035" w:rsidRDefault="00CE4035" w:rsidP="00CE4035"/>
    <w:p w14:paraId="19D8C537" w14:textId="77777777" w:rsidR="00CE4035" w:rsidRPr="004C3B99" w:rsidRDefault="00CE4035" w:rsidP="005116BD">
      <w:pPr>
        <w:pStyle w:val="ERPL3"/>
        <w:numPr>
          <w:ilvl w:val="0"/>
          <w:numId w:val="0"/>
        </w:numPr>
        <w:ind w:left="1080" w:hanging="720"/>
        <w:rPr>
          <w:rFonts w:ascii="Times New Roman" w:hAnsi="Times New Roman"/>
          <w:lang w:val="sq-AL"/>
        </w:rPr>
      </w:pPr>
      <w:bookmarkStart w:id="213" w:name="_Toc31788850"/>
      <w:r w:rsidRPr="004C3B99">
        <w:rPr>
          <w:rFonts w:ascii="Times New Roman" w:hAnsi="Times New Roman"/>
          <w:lang w:val="sq-AL"/>
        </w:rPr>
        <w:t>4.3.2.  Bujqësia, Industria dhe Shërbimet</w:t>
      </w:r>
      <w:bookmarkEnd w:id="213"/>
    </w:p>
    <w:p w14:paraId="2C12A0BB" w14:textId="77777777" w:rsidR="00CE4035" w:rsidRPr="004C3B99" w:rsidRDefault="00CE4035" w:rsidP="00CE4035">
      <w:pPr>
        <w:spacing w:after="60"/>
        <w:jc w:val="both"/>
        <w:rPr>
          <w:b/>
        </w:rPr>
      </w:pPr>
      <w:r w:rsidRPr="004C3B99">
        <w:rPr>
          <w:b/>
        </w:rPr>
        <w:t>a. Analiza e pengesave kryesore</w:t>
      </w:r>
    </w:p>
    <w:p w14:paraId="61ACDFED" w14:textId="77777777" w:rsidR="00CE4035" w:rsidRPr="004C3B99" w:rsidRDefault="00CE4035" w:rsidP="00CE4035">
      <w:pPr>
        <w:jc w:val="both"/>
        <w:rPr>
          <w:b/>
        </w:rPr>
      </w:pPr>
      <w:r w:rsidRPr="004C3B99">
        <w:rPr>
          <w:b/>
        </w:rPr>
        <w:t>Gjendja aktuale: Sektori i bujqësisë</w:t>
      </w:r>
      <w:r w:rsidRPr="004C3B99">
        <w:t xml:space="preserve"> kontribuon me 8.1% në GDP-në e Kosovës ndërsa punëson rreth 23% të gjithsej numrit të të punësuarve në Kosovë. Vlera e prodhimeve të industrisë bujqësore është 705 mil. €, ku prodhimet bimore kanë pjesëmarrje prej 55%, blegtoria dhe prodhimet blegtorale 39% si dhe shërbimet bujqësore së bashku me aktivitetet tjera dytësore jo-bujqësore (jo të ndara nga bujqësia) prej 6%. </w:t>
      </w:r>
    </w:p>
    <w:p w14:paraId="40177791" w14:textId="77777777" w:rsidR="00CE4035" w:rsidRPr="004C3B99" w:rsidRDefault="00CE4035" w:rsidP="00CE4035">
      <w:pPr>
        <w:jc w:val="both"/>
      </w:pPr>
      <w:r w:rsidRPr="004C3B99">
        <w:t>Nga gjithsej sipërfaqja e shfrytëzuar e tokës bujqësore e cila është 420,141 ha, 44.8% të sipërfaqes  e përbën toka e punueshme. Nga ku pjesëmarrje më të madhe kanë drithërat (30%), kulturat foragjere (26%), perimet (4.5%), pemët (2.3%), vreshtat (0.8%) ndërsa pjesën tjetër më së shumti e përbëjnë kullosat. Sa i përket pjesëmarrjes së kafshëve, gjedhet kanë pjesëmarrje më të madhe prej 50%, pasuar nga delet me 37%, derrat me 8% dhe dhitë me 5%. Në kuadër të sektorit të blegtorisë, rendësi të veçantë kanë edhe shpezët ku numri i tyre është 2,7 milion ndërsa koshere bletësh janë 219,831.</w:t>
      </w:r>
    </w:p>
    <w:p w14:paraId="5F52C1CD" w14:textId="77777777" w:rsidR="00CE4035" w:rsidRPr="004C3B99" w:rsidRDefault="00CE4035" w:rsidP="00CE4035">
      <w:pPr>
        <w:jc w:val="both"/>
        <w:rPr>
          <w:b/>
        </w:rPr>
      </w:pPr>
      <w:r w:rsidRPr="004C3B99">
        <w:t xml:space="preserve">Sektori i bujqësisë vazhdon të mbështetet përmes pagesave direkte si dhe granteve investive. Në kuadër të pagesave direkte janë duke u mbështetur 26 kategori (pagesa për sipërfaqe të kulturave bujqësore, krerë blegtoral, për sasi të disa prodhimeve, therjet, dhe sigurimet bujqësore). Sa i përket granteve, programi përfshin 5 masa. Vitet e fundit, buxheti i ndarë për implementim të masave mbështetëse ka qenë 50 mil. € për vit ku 25 mil. € janë destinuar për pagesa direkte ndërsa 25 mil. € për grante. </w:t>
      </w:r>
    </w:p>
    <w:p w14:paraId="04E1C44C" w14:textId="77777777" w:rsidR="00CE4035" w:rsidRPr="004C3B99" w:rsidRDefault="00CE4035" w:rsidP="00CE4035">
      <w:pPr>
        <w:jc w:val="both"/>
      </w:pPr>
      <w:r w:rsidRPr="004C3B99">
        <w:t xml:space="preserve">Situata me Covid 19 ka pasur ndikim në sektorin e bujqësisë ku </w:t>
      </w:r>
      <w:r w:rsidRPr="004C3B99">
        <w:rPr>
          <w:color w:val="000000" w:themeColor="text1"/>
        </w:rPr>
        <w:t xml:space="preserve">si pasojë e mbylljes së tregjeve lokale dhe qendrore, sektorë të ndryshëm varësisht kulturave janë prekur në mënyra të ndryshme. Një pjesë e madhe e fermerëve të Kosovës kanë pësuar humbje, duke u nisur nga shitja e fidanëve, kulturat sezonale (qepa, sallata, spinaqi), fermerët prodhues të perimeve në serra dhe të gjitha pemët dhe perimet tjera të ruajtura në depo ku sasi më e madhe e tyre janë me patate dhe mollë dhe </w:t>
      </w:r>
      <w:r w:rsidRPr="004C3B99">
        <w:t xml:space="preserve">llogaritet humbje momentale rreth 30% si pasojë e mos plasimit në treg. Zinxhiri i furnizimit është vërejtur që ka pasur shkëputje për arsye të rrethanave të krijuara. Po ashtu, për shkak të situatës me pandemi, ka pasur vonesë në shpalljen e programeve mbështetëse e kjo do të shkaktojë vështirësi në implementimin e këtij programi. </w:t>
      </w:r>
    </w:p>
    <w:p w14:paraId="64343D85" w14:textId="77777777" w:rsidR="00CE4035" w:rsidRPr="004C3B99" w:rsidRDefault="00CE4035" w:rsidP="00CE4035">
      <w:pPr>
        <w:jc w:val="both"/>
      </w:pPr>
      <w:r w:rsidRPr="004C3B99">
        <w:t>Pjesëmarrja e eksportit të produkteve bujqësore në eksportin e përgjithshëm është 17.4%, përderisa pjesëmarrja e importit është 21.3%. Kosova importon produkte bujqësore në vlerë prej 759 mil. €, ndërsa vlera e eksportit është 65.5 mil.€, duke rezultuar me deficit në bilancin tregtar në vlerë prej 693.5 mil.€. Bazuar në këto të dhëna, rezulton se ka përmirësim në gjendjen e bilancit tregtar të produkteve bujqësore për 7% duke marrë parasysh se rritja në vlerën e eksportit ka qenë më e lartë se sa rritja e vlerës së importit.</w:t>
      </w:r>
    </w:p>
    <w:p w14:paraId="43291412" w14:textId="77777777" w:rsidR="00CE4035" w:rsidRPr="004C3B99" w:rsidRDefault="00CE4035" w:rsidP="00CE4035">
      <w:pPr>
        <w:shd w:val="clear" w:color="auto" w:fill="FFFFFF"/>
        <w:jc w:val="both"/>
        <w:rPr>
          <w:color w:val="FF0000"/>
        </w:rPr>
      </w:pPr>
      <w:r w:rsidRPr="004C3B99">
        <w:t xml:space="preserve">Në </w:t>
      </w:r>
      <w:r w:rsidRPr="004C3B99">
        <w:rPr>
          <w:b/>
        </w:rPr>
        <w:t>sektorin e Industrisë</w:t>
      </w:r>
      <w:r w:rsidRPr="004C3B99">
        <w:t xml:space="preserve"> – Qeveria e Kosovës ka aplikuar programe subvencionuese për zhvillimin e industrisë prodhuese duke marrë parasysh që potenciali dhe rëndësia që ka industria përpunuese në pjesëmarrjen në BPV, në bilancin tregtar (eksporte) dhe në mundësinë për të gjeneruar vende të reja pune është i madh. </w:t>
      </w:r>
      <w:r w:rsidRPr="004C3B99">
        <w:rPr>
          <w:lang w:eastAsia="sq-AL"/>
        </w:rPr>
        <w:t>Pjesëmarrja e Industrisë  përpunuese në BPV ka shënuar rritje gjatë 3 viteve të fundit, në 2017 me 10.9%, në 2018 – 11.3% dhe në 2019 -11.5%, n</w:t>
      </w:r>
      <w:r w:rsidRPr="004C3B99">
        <w:rPr>
          <w:color w:val="212121"/>
          <w:lang w:eastAsia="sq-AL"/>
        </w:rPr>
        <w:t>dërsa, pjesëmarrja e industrisë përpunuese, në eksportin e përgjithshëm në vitin 2019 është rreth 76.06%, me një rritje prej 12.95%, krahasuar me 2018, kurse në importin e përgjithshëm në vitin 2019 është 93.03% me një rënie për 0.24 krahasuar me 2018. N</w:t>
      </w:r>
      <w:r w:rsidRPr="004C3B99">
        <w:t>ë numrin e përgjithshëm të punësuarve Industria përpunuese, merr pjesë me 11.9% me një rritje prej 1,87%</w:t>
      </w:r>
      <w:r w:rsidRPr="004C3B99">
        <w:rPr>
          <w:color w:val="212121"/>
          <w:lang w:eastAsia="sq-AL"/>
        </w:rPr>
        <w:t xml:space="preserve"> krahasuar me 2018</w:t>
      </w:r>
      <w:r w:rsidRPr="004C3B99">
        <w:t>.</w:t>
      </w:r>
    </w:p>
    <w:p w14:paraId="19F3E0F1" w14:textId="77777777" w:rsidR="00CE4035" w:rsidRPr="004C3B99" w:rsidRDefault="00CE4035" w:rsidP="00CE4035">
      <w:pPr>
        <w:shd w:val="clear" w:color="auto" w:fill="FFFFFF"/>
        <w:jc w:val="both"/>
        <w:rPr>
          <w:lang w:eastAsia="sq-AL"/>
        </w:rPr>
      </w:pPr>
      <w:r w:rsidRPr="004C3B99">
        <w:t>Sa i përket eksporteve, prinë sektori i metaleve me pjesëmarrje prej 26.01%, në eksportin e gjithmbarshëm, (në 2019, ka shënuar rritje për 20.17%, krahasuar me 2018); sektori i plastikës dhe gomës me pjesëmarrje prej17,65% (në 2019, ka shënuar rritje për 10.85%, krahasuar me 2018); Druri ka pjesëmarrje prej 2.63% (2019, ka shënuar rritje për 41.94%  krahasuar me 2018); tekstili ka pjesëmarrje për 2.69%, (2019 ka rritje për 28.34%, krahasuar me 2018); dhe lëkura ka pjesëmarrje prej 1.05%, (2019 ka shënuar rritje për 12.62%, krahasuar me 2018).</w:t>
      </w:r>
      <w:r w:rsidRPr="004C3B99">
        <w:rPr>
          <w:lang w:eastAsia="sq-AL"/>
        </w:rPr>
        <w:t> </w:t>
      </w:r>
    </w:p>
    <w:p w14:paraId="3C092E54" w14:textId="77777777" w:rsidR="00CE4035" w:rsidRPr="004C3B99" w:rsidRDefault="00CE4035" w:rsidP="00CE4035">
      <w:pPr>
        <w:shd w:val="clear" w:color="auto" w:fill="FFFFFF"/>
        <w:jc w:val="both"/>
        <w:rPr>
          <w:lang w:eastAsia="sq-AL"/>
        </w:rPr>
      </w:pPr>
      <w:r w:rsidRPr="004C3B99">
        <w:t xml:space="preserve">Si pasojë e Pandemisë COVID-19, Kosova ka pësuar dëme ekonomike, përfshi edhe industrinë përpunuese, përjashtuar </w:t>
      </w:r>
      <w:r w:rsidRPr="004C3B99">
        <w:rPr>
          <w:shd w:val="clear" w:color="auto" w:fill="FFFFFF"/>
        </w:rPr>
        <w:t xml:space="preserve">industrinë farmaceutike, kimike (produktet higjienike), të cilat kanë shënuar rritje të prodhimit. </w:t>
      </w:r>
      <w:r w:rsidRPr="004C3B99">
        <w:t>Eksporti, importi dhe qarkullimi për periudhën Janar – Qershor 2020, krahasuar me periudhën e njëjtë të 2019, për ketë sektorë është sa vijon: Eksporti ka shënuar rritje në 2020 për 19.7%, Importi ka shënuar rënie  në 2020 për 9 %, Qarkullimi ka shënuar rënie  në 2020 për 6.6 %.</w:t>
      </w:r>
    </w:p>
    <w:p w14:paraId="47432FDF" w14:textId="77777777" w:rsidR="00CE4035" w:rsidRPr="004C3B99" w:rsidRDefault="00CE4035" w:rsidP="00CE4035">
      <w:pPr>
        <w:jc w:val="both"/>
        <w:rPr>
          <w:b/>
        </w:rPr>
      </w:pPr>
      <w:r w:rsidRPr="004C3B99">
        <w:t xml:space="preserve">Aktivitetet në sektorin e </w:t>
      </w:r>
      <w:r w:rsidRPr="004C3B99">
        <w:rPr>
          <w:b/>
        </w:rPr>
        <w:t xml:space="preserve">shërbimeve </w:t>
      </w:r>
      <w:r w:rsidRPr="004C3B99">
        <w:t>përbejnë</w:t>
      </w:r>
      <w:r w:rsidRPr="004C3B99">
        <w:rPr>
          <w:b/>
        </w:rPr>
        <w:t xml:space="preserve"> </w:t>
      </w:r>
      <w:r w:rsidRPr="004C3B99">
        <w:t>74% të prodhimit të brendshëm bruto në 2018 dhe punësuan 85.2 % të totalit të fuqisë punëtorë  në 2019. Aktivitetet e shërbimeve përbëjnë 83.4 % të bizneseve të reja të regjistruara në vitin 2019. Kosova ka qenë në gjendje të regjistrojë një suficit në rritje në tregtinë e shërbimeve. Eksportet totale të shërbimeve janë rritur nga 1.358 miliardë euro në 2017 në 1,676 miliardë euro në 2019; vit në të cilin teprica e tregtisë së shërbimeve arriti në 932.3 milion EUR. Eksportet kryesore të shërbimeve të Kosovës janë në Udhëtime, Shërbime të Tjera të Biznesit, TIK dhe Ndërtim. Gjatë katër viteve të fundit, importet e shërbimeve janë rritur me një ritëm më të shpejtë sesa eksportet, 11 % kundrejt 10.3 %. Nëse kjo tendencë thellohet dhe vazhdon, teprica e tregtisë së shërbimeve do të përjetojë një rënie progresive duke bërë presion të mëtejshëm në qëndrueshmërinë e pozicionit të jashtëm të ekonomisë së Kosovës. Ndikimi i pandemisë COVID-19 në sektorin e shërbimeve, veçanërisht në llogarinë e udhëtimit ka pësuar rënje të ndjeshme. Të dhënat për janar-maj 2020, në krahasim me të njëjtën periudhë të një viti më parë, tregojnë se bilanci është ulur me 49.86%. Eksportet e udhëtimeve u ndikuan më së shumti nga pandemia me një rënie prej 138,8 milion EUR kryesisht për shkak të kufizimeve të lëvizjes dhe mbylljes së kufijve që ndaluan lëvizjen e diasporës, pasuar nga ndërtimi i cili pësoi një rënie me 10.7 milion EUR. Ndërsa TIK dhe shërbimet e tjera profesionale kanë përjetuar një rritje të tregtisë gjatë periudhës në shqyrtim.</w:t>
      </w:r>
    </w:p>
    <w:p w14:paraId="7790524E" w14:textId="77777777" w:rsidR="00CE4035" w:rsidRPr="004C3B99" w:rsidRDefault="00CE4035" w:rsidP="00CE4035">
      <w:pPr>
        <w:jc w:val="both"/>
        <w:rPr>
          <w:color w:val="000000" w:themeColor="text1"/>
        </w:rPr>
      </w:pPr>
      <w:r w:rsidRPr="004C3B99">
        <w:rPr>
          <w:b/>
        </w:rPr>
        <w:t>Pengesat strukturore</w:t>
      </w:r>
      <w:r w:rsidRPr="004C3B99">
        <w:t xml:space="preserve"> kryesore që pengojnë zhvillimin e sektorit të</w:t>
      </w:r>
      <w:r w:rsidRPr="004C3B99">
        <w:rPr>
          <w:b/>
        </w:rPr>
        <w:t xml:space="preserve"> bujqësisë</w:t>
      </w:r>
      <w:r w:rsidRPr="004C3B99">
        <w:t xml:space="preserve"> janë madhësia e vogël mesatare e fermës ku rreth 90% të fermave në Kosovë kanë sipërfaqe më të vogël se 5 ha, prodhimtaria e ulët dhe kostoja e lartë e prodhimit, fragmentimi i tokës, diversifikimi i ulët i prodhimit, infrastruktura e dobët e ujitjes, teknologjia e vjetërsuar, kapacitetet e kufizuara të ruajtjes, lidhjet e dobëta apo jofunksionale në mes të prodhuesit primar e përpunuesve, dhe ndërmjet prodhuesve e tregut, si dhe mungesa e specializimit.  </w:t>
      </w:r>
    </w:p>
    <w:p w14:paraId="76B2616F" w14:textId="77777777" w:rsidR="00CE4035" w:rsidRPr="004C3B99" w:rsidRDefault="00CE4035" w:rsidP="00CE4035">
      <w:pPr>
        <w:jc w:val="both"/>
      </w:pPr>
      <w:r w:rsidRPr="004C3B99">
        <w:t xml:space="preserve">Sa i përket </w:t>
      </w:r>
      <w:r w:rsidRPr="004C3B99">
        <w:rPr>
          <w:b/>
        </w:rPr>
        <w:t>sektorit të Industrisë</w:t>
      </w:r>
      <w:r w:rsidRPr="004C3B99">
        <w:t xml:space="preserve">, pengesë për zhvillimin mbetet </w:t>
      </w:r>
      <w:r w:rsidRPr="004C3B99">
        <w:rPr>
          <w:lang w:eastAsia="sq-AL"/>
        </w:rPr>
        <w:t xml:space="preserve">shkalla relativisht e lartë e ekonomisë joformale, mungesa e qasjes në financa, zbatimi jo i mjaftueshëm i standardeve në produkte, numër i vogël i bizneseve të udhëhequra nga gratë dhe të rinjtë, mospërputhje të përgatitjes profesionale dhe tregut të punës, </w:t>
      </w:r>
      <w:r w:rsidRPr="004C3B99">
        <w:t>qasja në informata dhe mungesa e rrjetëzimit.</w:t>
      </w:r>
    </w:p>
    <w:p w14:paraId="3450DD21" w14:textId="77777777" w:rsidR="00CE4035" w:rsidRDefault="00CE4035" w:rsidP="00CE4035">
      <w:pPr>
        <w:jc w:val="both"/>
      </w:pPr>
      <w:r w:rsidRPr="004C3B99">
        <w:t xml:space="preserve">Në </w:t>
      </w:r>
      <w:r w:rsidRPr="004C3B99">
        <w:rPr>
          <w:b/>
        </w:rPr>
        <w:t>sektorin e Shërbimeve</w:t>
      </w:r>
      <w:r w:rsidRPr="004C3B99">
        <w:t>, pengesat kryesore mbeten mungesa e një kornize ligjore të që nxit zhvillimin e teknologjisë së lartë, shërbimeve me vlerë të lartë të shtuar dhe koordinimi i duhur institucional. Në rastin e turizmit, pengës është mungesa e investimeve në infrastrukturës turistike, promovim të mangët në lidhje me destinacionet turistike dhe ‘tour’ operatorët në zonat rurale dhe malore si dhe mungesë të zhvillimit të produkteve turisti</w:t>
      </w:r>
      <w:r>
        <w:t xml:space="preserve">ke dhe shërbimet në dispozicion </w:t>
      </w:r>
      <w:r w:rsidRPr="004C3B99">
        <w:t>për shitje. Si rezultat, niveli aktual i zhvillimit të sektorit të turizmit mbetet larg prej potencialit të tij me mundësi të të ardhurave dhe punësimit që mbeten të pashfrytëzuara.</w:t>
      </w:r>
    </w:p>
    <w:p w14:paraId="1D4013EE" w14:textId="77777777" w:rsidR="00CE4035" w:rsidRPr="004C3B99" w:rsidRDefault="00CE4035" w:rsidP="00CE4035">
      <w:pPr>
        <w:jc w:val="both"/>
      </w:pPr>
    </w:p>
    <w:p w14:paraId="3E495C3D" w14:textId="77777777" w:rsidR="00CE4035" w:rsidRPr="004C3B99" w:rsidRDefault="00CE4035" w:rsidP="00CE4035">
      <w:pPr>
        <w:shd w:val="clear" w:color="auto" w:fill="9CC2E5" w:themeFill="accent1" w:themeFillTint="99"/>
        <w:tabs>
          <w:tab w:val="left" w:pos="850"/>
          <w:tab w:val="left" w:pos="1191"/>
          <w:tab w:val="left" w:pos="1531"/>
        </w:tabs>
        <w:jc w:val="both"/>
        <w:rPr>
          <w:b/>
        </w:rPr>
      </w:pPr>
      <w:r w:rsidRPr="004C3B99">
        <w:rPr>
          <w:b/>
          <w:bCs/>
        </w:rPr>
        <w:t xml:space="preserve">Masa e reformës #3: </w:t>
      </w:r>
      <w:r w:rsidRPr="004C3B99">
        <w:rPr>
          <w:b/>
        </w:rPr>
        <w:t>Ndryshimet strukturore në sektorin e bujqësisë</w:t>
      </w:r>
    </w:p>
    <w:p w14:paraId="1F6474A4" w14:textId="537A348A" w:rsidR="00CE4035" w:rsidRDefault="00CE4035" w:rsidP="00CE4035">
      <w:pPr>
        <w:tabs>
          <w:tab w:val="left" w:pos="850"/>
          <w:tab w:val="left" w:pos="1191"/>
          <w:tab w:val="left" w:pos="1531"/>
        </w:tabs>
        <w:jc w:val="both"/>
        <w:rPr>
          <w:shd w:val="clear" w:color="auto" w:fill="FFFFFF"/>
          <w:lang w:eastAsia="zh-CN"/>
        </w:rPr>
      </w:pPr>
      <w:r w:rsidRPr="004C3B99">
        <w:rPr>
          <w:b/>
          <w:bCs/>
        </w:rPr>
        <w:t>Përshkrimi i masës:</w:t>
      </w:r>
      <w:r w:rsidRPr="004C3B99">
        <w:rPr>
          <w:bCs/>
        </w:rPr>
        <w:t xml:space="preserve"> </w:t>
      </w:r>
      <w:r w:rsidRPr="004C3B99">
        <w:rPr>
          <w:shd w:val="clear" w:color="auto" w:fill="FFFFFF"/>
          <w:lang w:eastAsia="zh-CN"/>
        </w:rPr>
        <w:t>Zhvillimi i sektorit të buj</w:t>
      </w:r>
      <w:r w:rsidRPr="004C3B99">
        <w:t>q</w:t>
      </w:r>
      <w:r w:rsidRPr="004C3B99">
        <w:rPr>
          <w:shd w:val="clear" w:color="auto" w:fill="FFFFFF"/>
          <w:lang w:eastAsia="zh-CN"/>
        </w:rPr>
        <w:t xml:space="preserve">ësisë është njëri ndër prioritetet kyçe dhe planifikohet të ketë trajtim të veçantë edhe në periudhën e ardhshme afatmesme 2021-2023. Kjo masë do të na ndihmoj në krijim e politikave të mirëfillta në sektorin e bujqësisë, në rritjen e prodhimit vendor dhe punësimit të fuqisë punëtore në gjithë zinxhirin prodhues, përpunues dhe shërbyes. Në zgjerimin dhe rehabilitimit e sistemit të ujitjes, ku momentalisht vetëm rreth 20.000 ha të tokës bujqësore janë nën ujitje, apo rreth 4.8% të sipërfaqes totale të shfrytëzuar për bujqësi. Rritje të sipërfaqeve bujqësore specifikisht pemë dhe perime duke filluar nga prodhimtaria, primare, ruajtja, përpunimi dhe tregtimi si produkte finale. Masa do të ndikojë në zhvillim të sektorit në përmirësim të kushteve dhe në ofrimin e shërbimeve më të mira dhe gjithashtu është në përputhshmëri me </w:t>
      </w:r>
      <w:r w:rsidRPr="004C3B99">
        <w:rPr>
          <w:bCs/>
        </w:rPr>
        <w:t>Programi i Qeverisë 2020-2023, Plani Kombëtar për rimëkëmbje ekonomike 2020-2021, Kornizën Afatmesme të Shpenzimeve KASH 2021-2023 dhe Politikat e Përbashkëta Bujqësore të BE-së</w:t>
      </w:r>
      <w:r w:rsidRPr="004C3B99">
        <w:rPr>
          <w:shd w:val="clear" w:color="auto" w:fill="FFFFFF"/>
          <w:lang w:eastAsia="zh-CN"/>
        </w:rPr>
        <w:t xml:space="preserve"> brenda Marrëveshjes së</w:t>
      </w:r>
      <w:r>
        <w:rPr>
          <w:shd w:val="clear" w:color="auto" w:fill="FFFFFF"/>
          <w:lang w:eastAsia="zh-CN"/>
        </w:rPr>
        <w:t xml:space="preserve"> Gjelbër. Lidhur me qëllimet e O</w:t>
      </w:r>
      <w:r w:rsidRPr="004C3B99">
        <w:rPr>
          <w:shd w:val="clear" w:color="auto" w:fill="FFFFFF"/>
          <w:lang w:eastAsia="zh-CN"/>
        </w:rPr>
        <w:t>Z</w:t>
      </w:r>
      <w:r>
        <w:rPr>
          <w:shd w:val="clear" w:color="auto" w:fill="FFFFFF"/>
          <w:lang w:eastAsia="zh-CN"/>
        </w:rPr>
        <w:t>HQ, masa është në përputhje me O</w:t>
      </w:r>
      <w:r w:rsidRPr="004C3B99">
        <w:rPr>
          <w:shd w:val="clear" w:color="auto" w:fill="FFFFFF"/>
          <w:lang w:eastAsia="zh-CN"/>
        </w:rPr>
        <w:t xml:space="preserve">ZHQ 2 (Zero Uri), duke përfshirë treguesit për tokat prodhuese bujqësore dhe subvencionet. Masa vazhdon të mbetet vazhdimësi e </w:t>
      </w:r>
      <w:r w:rsidRPr="004C3B99">
        <w:rPr>
          <w:bCs/>
        </w:rPr>
        <w:t xml:space="preserve">PRE 2020-2022, </w:t>
      </w:r>
      <w:r w:rsidRPr="004C3B99">
        <w:rPr>
          <w:shd w:val="clear" w:color="auto" w:fill="FFFFFF"/>
          <w:lang w:eastAsia="zh-CN"/>
        </w:rPr>
        <w:t xml:space="preserve">për arsye të rëndësisë që ofron. Sa i përket zbatimit të masës disa nga aktivitetet e viteve të kaluara kanë hasur zbatim të pjesërisht, për arsye të situatës me COVID 19 disa të tjera janë bartur për zbatim të mëtejmë në vitin 2021. </w:t>
      </w:r>
    </w:p>
    <w:p w14:paraId="123E8467" w14:textId="77777777" w:rsidR="005116BD" w:rsidRPr="004C3B99" w:rsidRDefault="005116BD" w:rsidP="00CE4035">
      <w:pPr>
        <w:tabs>
          <w:tab w:val="left" w:pos="850"/>
          <w:tab w:val="left" w:pos="1191"/>
          <w:tab w:val="left" w:pos="1531"/>
        </w:tabs>
        <w:jc w:val="both"/>
        <w:rPr>
          <w:shd w:val="clear" w:color="auto" w:fill="FFFFFF"/>
          <w:lang w:eastAsia="zh-CN"/>
        </w:rPr>
      </w:pPr>
    </w:p>
    <w:p w14:paraId="6BDB814E" w14:textId="77777777" w:rsidR="00CE4035" w:rsidRPr="004C3B99" w:rsidRDefault="00CE4035" w:rsidP="0068706C">
      <w:pPr>
        <w:pStyle w:val="ListParagraph"/>
        <w:numPr>
          <w:ilvl w:val="0"/>
          <w:numId w:val="70"/>
        </w:numPr>
        <w:spacing w:after="0" w:line="240" w:lineRule="auto"/>
        <w:contextualSpacing w:val="0"/>
        <w:jc w:val="both"/>
        <w:rPr>
          <w:rFonts w:ascii="Times New Roman" w:hAnsi="Times New Roman"/>
          <w:b/>
          <w:bCs/>
          <w:sz w:val="24"/>
          <w:szCs w:val="24"/>
        </w:rPr>
      </w:pPr>
      <w:r w:rsidRPr="004C3B99">
        <w:rPr>
          <w:rFonts w:ascii="Times New Roman" w:hAnsi="Times New Roman"/>
          <w:b/>
          <w:bCs/>
          <w:sz w:val="24"/>
          <w:szCs w:val="24"/>
        </w:rPr>
        <w:t>Aktivitetet e planifikuara për 2021:</w:t>
      </w:r>
    </w:p>
    <w:p w14:paraId="5EFC8359" w14:textId="77777777" w:rsidR="00CE4035" w:rsidRPr="005116BD" w:rsidRDefault="00CE4035" w:rsidP="0068706C">
      <w:pPr>
        <w:pStyle w:val="Default"/>
        <w:numPr>
          <w:ilvl w:val="0"/>
          <w:numId w:val="67"/>
        </w:numPr>
        <w:ind w:left="360"/>
        <w:jc w:val="both"/>
        <w:rPr>
          <w:rFonts w:ascii="Times New Roman" w:hAnsi="Times New Roman" w:cs="Times New Roman"/>
          <w:bCs/>
          <w:lang w:val="sq-AL"/>
        </w:rPr>
      </w:pPr>
      <w:r w:rsidRPr="005116BD">
        <w:rPr>
          <w:rFonts w:ascii="Times New Roman" w:hAnsi="Times New Roman" w:cs="Times New Roman"/>
          <w:bCs/>
          <w:lang w:val="sq-AL"/>
        </w:rPr>
        <w:t xml:space="preserve">Implementimi i Programit për Pagesa Direkte, duke përfshirë sigurimet në bujqësi 2020-2021(MBPZHR); </w:t>
      </w:r>
    </w:p>
    <w:p w14:paraId="1847CA78" w14:textId="77777777" w:rsidR="00CE4035" w:rsidRPr="005116BD" w:rsidRDefault="00CE4035" w:rsidP="0068706C">
      <w:pPr>
        <w:pStyle w:val="Default"/>
        <w:numPr>
          <w:ilvl w:val="0"/>
          <w:numId w:val="67"/>
        </w:numPr>
        <w:ind w:left="360"/>
        <w:jc w:val="both"/>
        <w:rPr>
          <w:rFonts w:ascii="Times New Roman" w:hAnsi="Times New Roman" w:cs="Times New Roman"/>
          <w:bCs/>
          <w:lang w:val="sq-AL"/>
        </w:rPr>
      </w:pPr>
      <w:r w:rsidRPr="005116BD">
        <w:rPr>
          <w:rFonts w:ascii="Times New Roman" w:hAnsi="Times New Roman" w:cs="Times New Roman"/>
          <w:bCs/>
          <w:lang w:val="sq-AL"/>
        </w:rPr>
        <w:t>Hartimi dhe miratimi i Programit për Bujqësi dhe Zhvillim Rural 2021-2027 (MBPZHR);</w:t>
      </w:r>
    </w:p>
    <w:p w14:paraId="152F2EF8" w14:textId="77777777" w:rsidR="00CE4035" w:rsidRPr="005116BD" w:rsidRDefault="00CE4035" w:rsidP="0068706C">
      <w:pPr>
        <w:pStyle w:val="Default"/>
        <w:numPr>
          <w:ilvl w:val="0"/>
          <w:numId w:val="67"/>
        </w:numPr>
        <w:ind w:left="360"/>
        <w:jc w:val="both"/>
        <w:rPr>
          <w:rFonts w:ascii="Times New Roman" w:hAnsi="Times New Roman" w:cs="Times New Roman"/>
          <w:bCs/>
          <w:lang w:val="sq-AL"/>
        </w:rPr>
      </w:pPr>
      <w:r w:rsidRPr="005116BD">
        <w:rPr>
          <w:rFonts w:ascii="Times New Roman" w:hAnsi="Times New Roman" w:cs="Times New Roman"/>
          <w:bCs/>
          <w:lang w:val="sq-AL"/>
        </w:rPr>
        <w:t>Hartimi i bazës ligjore për Zhvillimin e Fondit për Sigurime Bujqësore; (MBPZHR);</w:t>
      </w:r>
    </w:p>
    <w:p w14:paraId="4E299D9C" w14:textId="77777777" w:rsidR="00CE4035" w:rsidRPr="005116BD" w:rsidRDefault="00CE4035" w:rsidP="0068706C">
      <w:pPr>
        <w:pStyle w:val="Default"/>
        <w:numPr>
          <w:ilvl w:val="0"/>
          <w:numId w:val="67"/>
        </w:numPr>
        <w:ind w:left="360"/>
        <w:jc w:val="both"/>
        <w:rPr>
          <w:rFonts w:ascii="Times New Roman" w:hAnsi="Times New Roman" w:cs="Times New Roman"/>
          <w:bCs/>
          <w:lang w:val="sq-AL"/>
        </w:rPr>
      </w:pPr>
      <w:r w:rsidRPr="005116BD">
        <w:rPr>
          <w:rFonts w:ascii="Times New Roman" w:hAnsi="Times New Roman" w:cs="Times New Roman"/>
          <w:lang w:val="sq-AL"/>
        </w:rPr>
        <w:t>Miratimi</w:t>
      </w:r>
      <w:r w:rsidRPr="005116BD">
        <w:rPr>
          <w:rFonts w:ascii="Times New Roman" w:hAnsi="Times New Roman" w:cs="Times New Roman"/>
          <w:bCs/>
          <w:lang w:val="sq-AL"/>
        </w:rPr>
        <w:t xml:space="preserve"> i Master Planit për ujitjen e tokave bujqësore (MBPZHR);</w:t>
      </w:r>
    </w:p>
    <w:p w14:paraId="2D904862" w14:textId="77777777" w:rsidR="00CE4035" w:rsidRPr="005116BD" w:rsidRDefault="00CE4035" w:rsidP="0068706C">
      <w:pPr>
        <w:pStyle w:val="Default"/>
        <w:numPr>
          <w:ilvl w:val="0"/>
          <w:numId w:val="67"/>
        </w:numPr>
        <w:ind w:left="360"/>
        <w:jc w:val="both"/>
        <w:rPr>
          <w:rFonts w:ascii="Times New Roman" w:hAnsi="Times New Roman" w:cs="Times New Roman"/>
          <w:bCs/>
          <w:lang w:val="sq-AL"/>
        </w:rPr>
      </w:pPr>
      <w:r w:rsidRPr="005116BD">
        <w:rPr>
          <w:rFonts w:ascii="Times New Roman" w:hAnsi="Times New Roman" w:cs="Times New Roman"/>
          <w:bCs/>
          <w:lang w:val="sq-AL"/>
        </w:rPr>
        <w:t>Rritja e sipërfaqeve me kultura bujqësore me fokus në produkte me vlerë të shtuar (MBPZHR);</w:t>
      </w:r>
    </w:p>
    <w:p w14:paraId="1335A1DC" w14:textId="77777777" w:rsidR="00CE4035" w:rsidRPr="005116BD" w:rsidRDefault="00CE4035" w:rsidP="0068706C">
      <w:pPr>
        <w:pStyle w:val="Default"/>
        <w:numPr>
          <w:ilvl w:val="0"/>
          <w:numId w:val="67"/>
        </w:numPr>
        <w:ind w:left="360"/>
        <w:jc w:val="both"/>
        <w:rPr>
          <w:rFonts w:ascii="Times New Roman" w:hAnsi="Times New Roman" w:cs="Times New Roman"/>
          <w:bCs/>
          <w:lang w:val="sq-AL"/>
        </w:rPr>
      </w:pPr>
      <w:r w:rsidRPr="005116BD">
        <w:rPr>
          <w:rFonts w:ascii="Times New Roman" w:hAnsi="Times New Roman" w:cs="Times New Roman"/>
          <w:bCs/>
          <w:lang w:val="sq-AL"/>
        </w:rPr>
        <w:t>Hartimi i Koncept Dokumentit për Tokën Bujqësore; (MBPZHR)</w:t>
      </w:r>
    </w:p>
    <w:p w14:paraId="0B8F28A0" w14:textId="77777777" w:rsidR="00CE4035" w:rsidRPr="005116BD" w:rsidRDefault="00CE4035" w:rsidP="0068706C">
      <w:pPr>
        <w:pStyle w:val="Default"/>
        <w:numPr>
          <w:ilvl w:val="0"/>
          <w:numId w:val="67"/>
        </w:numPr>
        <w:ind w:left="360"/>
        <w:jc w:val="both"/>
        <w:rPr>
          <w:rFonts w:ascii="Times New Roman" w:hAnsi="Times New Roman" w:cs="Times New Roman"/>
          <w:bCs/>
          <w:lang w:val="sq-AL"/>
        </w:rPr>
      </w:pPr>
      <w:r w:rsidRPr="005116BD">
        <w:rPr>
          <w:rFonts w:ascii="Times New Roman" w:hAnsi="Times New Roman" w:cs="Times New Roman"/>
          <w:bCs/>
          <w:lang w:val="sq-AL"/>
        </w:rPr>
        <w:t>Hartimi i Koncept Dokumentit për rregullimin e Tokës Bujqësore; (MBPZHR)</w:t>
      </w:r>
    </w:p>
    <w:p w14:paraId="0E164258" w14:textId="77777777" w:rsidR="00CE4035" w:rsidRPr="005116BD" w:rsidRDefault="00CE4035" w:rsidP="0068706C">
      <w:pPr>
        <w:pStyle w:val="Default"/>
        <w:numPr>
          <w:ilvl w:val="0"/>
          <w:numId w:val="67"/>
        </w:numPr>
        <w:ind w:left="360"/>
        <w:jc w:val="both"/>
        <w:rPr>
          <w:rFonts w:ascii="Times New Roman" w:hAnsi="Times New Roman" w:cs="Times New Roman"/>
          <w:bCs/>
          <w:lang w:val="sq-AL"/>
        </w:rPr>
      </w:pPr>
      <w:r w:rsidRPr="005116BD">
        <w:rPr>
          <w:rFonts w:ascii="Times New Roman" w:hAnsi="Times New Roman" w:cs="Times New Roman"/>
          <w:bCs/>
          <w:lang w:val="sq-AL"/>
        </w:rPr>
        <w:t>Hartimi i Koncept Dokumentit për Organizmin e Tregut të Përbashkët –CMO; (MBPZHR)</w:t>
      </w:r>
    </w:p>
    <w:p w14:paraId="06FBD0A3" w14:textId="77777777" w:rsidR="00CE4035" w:rsidRPr="005116BD" w:rsidRDefault="00CE4035" w:rsidP="0068706C">
      <w:pPr>
        <w:pStyle w:val="Default"/>
        <w:numPr>
          <w:ilvl w:val="0"/>
          <w:numId w:val="67"/>
        </w:numPr>
        <w:ind w:left="360"/>
        <w:jc w:val="both"/>
        <w:rPr>
          <w:rFonts w:ascii="Times New Roman" w:hAnsi="Times New Roman" w:cs="Times New Roman"/>
          <w:bCs/>
          <w:lang w:val="sq-AL"/>
        </w:rPr>
      </w:pPr>
      <w:r w:rsidRPr="005116BD">
        <w:rPr>
          <w:rFonts w:ascii="Times New Roman" w:hAnsi="Times New Roman" w:cs="Times New Roman"/>
          <w:bCs/>
          <w:lang w:val="sq-AL"/>
        </w:rPr>
        <w:t>Hartimi i planit kombëtar për Inventarizimin e Tokave Bujqësore të Republikës së Kosovës(MBPZHR);</w:t>
      </w:r>
    </w:p>
    <w:p w14:paraId="057FA634" w14:textId="77777777" w:rsidR="00CE4035" w:rsidRPr="005116BD" w:rsidRDefault="00CE4035" w:rsidP="0068706C">
      <w:pPr>
        <w:pStyle w:val="Default"/>
        <w:numPr>
          <w:ilvl w:val="0"/>
          <w:numId w:val="67"/>
        </w:numPr>
        <w:ind w:left="360"/>
        <w:jc w:val="both"/>
        <w:rPr>
          <w:rFonts w:ascii="Times New Roman" w:hAnsi="Times New Roman" w:cs="Times New Roman"/>
          <w:lang w:val="sq-AL"/>
        </w:rPr>
      </w:pPr>
      <w:r w:rsidRPr="005116BD">
        <w:rPr>
          <w:rFonts w:ascii="Times New Roman" w:hAnsi="Times New Roman" w:cs="Times New Roman"/>
          <w:bCs/>
          <w:lang w:val="sq-AL"/>
        </w:rPr>
        <w:t>Ngritja dhe konsolidimi i  kapaciteteve të Shërbimeve Këshillimore (MBPZHR);</w:t>
      </w:r>
    </w:p>
    <w:p w14:paraId="0D17DA15" w14:textId="77777777" w:rsidR="00CE4035" w:rsidRPr="005116BD" w:rsidRDefault="00CE4035" w:rsidP="0068706C">
      <w:pPr>
        <w:pStyle w:val="Default"/>
        <w:numPr>
          <w:ilvl w:val="0"/>
          <w:numId w:val="67"/>
        </w:numPr>
        <w:ind w:left="360"/>
        <w:jc w:val="both"/>
        <w:rPr>
          <w:rFonts w:ascii="Times New Roman" w:hAnsi="Times New Roman" w:cs="Times New Roman"/>
          <w:lang w:val="sq-AL"/>
        </w:rPr>
      </w:pPr>
      <w:r w:rsidRPr="005116BD">
        <w:rPr>
          <w:rFonts w:ascii="Times New Roman" w:hAnsi="Times New Roman" w:cs="Times New Roman"/>
          <w:bCs/>
          <w:lang w:val="sq-AL"/>
        </w:rPr>
        <w:t>Zhvillimi i sistemit për menaxhimin e granteve dhe subvencioneve (Zhvillimi i softuerit) (MBPZHR, AZHB);</w:t>
      </w:r>
    </w:p>
    <w:p w14:paraId="67160C27" w14:textId="77777777" w:rsidR="00CE4035" w:rsidRPr="005116BD" w:rsidRDefault="00CE4035" w:rsidP="0068706C">
      <w:pPr>
        <w:pStyle w:val="Default"/>
        <w:numPr>
          <w:ilvl w:val="0"/>
          <w:numId w:val="67"/>
        </w:numPr>
        <w:ind w:left="360"/>
        <w:jc w:val="both"/>
        <w:rPr>
          <w:rFonts w:ascii="Times New Roman" w:hAnsi="Times New Roman" w:cs="Times New Roman"/>
          <w:bCs/>
          <w:color w:val="FF0000"/>
          <w:lang w:val="sq-AL"/>
        </w:rPr>
      </w:pPr>
      <w:r w:rsidRPr="005116BD">
        <w:rPr>
          <w:rFonts w:ascii="Times New Roman" w:hAnsi="Times New Roman" w:cs="Times New Roman"/>
          <w:bCs/>
          <w:lang w:val="sq-AL"/>
        </w:rPr>
        <w:t xml:space="preserve">Subvencionimi i kredive bujqësore në periudhë prej 1 </w:t>
      </w:r>
      <w:r w:rsidRPr="005116BD">
        <w:rPr>
          <w:rFonts w:ascii="Times New Roman" w:hAnsi="Times New Roman" w:cs="Times New Roman"/>
          <w:bCs/>
          <w:color w:val="000000" w:themeColor="text1"/>
          <w:lang w:val="sq-AL"/>
        </w:rPr>
        <w:t>viti si masë për rimëkëmbje ekonomike nga Covid-19 (MF).</w:t>
      </w:r>
    </w:p>
    <w:p w14:paraId="53DD1AAB" w14:textId="77777777" w:rsidR="00CE4035" w:rsidRPr="004C3B99" w:rsidRDefault="00CE4035" w:rsidP="00CE4035">
      <w:pPr>
        <w:pStyle w:val="Default"/>
        <w:rPr>
          <w:bCs/>
          <w:color w:val="FF0000"/>
          <w:lang w:val="sq-AL"/>
        </w:rPr>
      </w:pPr>
    </w:p>
    <w:p w14:paraId="6454FE8A" w14:textId="77777777" w:rsidR="00CE4035" w:rsidRPr="004C3B99" w:rsidRDefault="00CE4035" w:rsidP="0068706C">
      <w:pPr>
        <w:pStyle w:val="ListParagraph"/>
        <w:numPr>
          <w:ilvl w:val="0"/>
          <w:numId w:val="70"/>
        </w:numPr>
        <w:spacing w:after="0" w:line="240" w:lineRule="auto"/>
        <w:contextualSpacing w:val="0"/>
        <w:jc w:val="both"/>
        <w:rPr>
          <w:rFonts w:ascii="Times New Roman" w:hAnsi="Times New Roman"/>
          <w:b/>
          <w:bCs/>
          <w:sz w:val="24"/>
          <w:szCs w:val="24"/>
        </w:rPr>
      </w:pPr>
      <w:r w:rsidRPr="004C3B99">
        <w:rPr>
          <w:rFonts w:ascii="Times New Roman" w:hAnsi="Times New Roman"/>
          <w:b/>
          <w:bCs/>
          <w:sz w:val="24"/>
          <w:szCs w:val="24"/>
        </w:rPr>
        <w:t>Aktivitetet e planifikuara për 2022:</w:t>
      </w:r>
    </w:p>
    <w:p w14:paraId="2BB5EDF8" w14:textId="77777777" w:rsidR="00CE4035" w:rsidRPr="004C3B99" w:rsidRDefault="00CE4035" w:rsidP="0068706C">
      <w:pPr>
        <w:pStyle w:val="ListParagraph"/>
        <w:numPr>
          <w:ilvl w:val="0"/>
          <w:numId w:val="68"/>
        </w:numPr>
        <w:spacing w:after="0" w:line="240" w:lineRule="auto"/>
        <w:ind w:left="360" w:right="466"/>
        <w:contextualSpacing w:val="0"/>
        <w:jc w:val="both"/>
        <w:rPr>
          <w:rFonts w:ascii="Times New Roman" w:hAnsi="Times New Roman"/>
          <w:sz w:val="24"/>
          <w:szCs w:val="24"/>
        </w:rPr>
      </w:pPr>
      <w:r w:rsidRPr="004C3B99">
        <w:rPr>
          <w:rFonts w:ascii="Times New Roman" w:hAnsi="Times New Roman"/>
          <w:bCs/>
          <w:sz w:val="24"/>
          <w:szCs w:val="24"/>
        </w:rPr>
        <w:t xml:space="preserve">Implementimi i masave që dalin në kuadër të Programit për Bujqësi dhe Zhvillim Rural 2021-202 </w:t>
      </w:r>
      <w:r w:rsidRPr="004C3B99">
        <w:rPr>
          <w:rFonts w:ascii="Times New Roman" w:hAnsi="Times New Roman"/>
          <w:bCs/>
          <w:color w:val="000000"/>
          <w:sz w:val="24"/>
          <w:szCs w:val="24"/>
        </w:rPr>
        <w:t>(MBPZHR);</w:t>
      </w:r>
    </w:p>
    <w:p w14:paraId="7D7703E7" w14:textId="77777777" w:rsidR="00CE4035" w:rsidRPr="004C3B99" w:rsidRDefault="00CE4035" w:rsidP="0068706C">
      <w:pPr>
        <w:pStyle w:val="ListParagraph"/>
        <w:numPr>
          <w:ilvl w:val="0"/>
          <w:numId w:val="68"/>
        </w:numPr>
        <w:spacing w:after="0" w:line="240" w:lineRule="auto"/>
        <w:ind w:left="360" w:right="466"/>
        <w:contextualSpacing w:val="0"/>
        <w:jc w:val="both"/>
        <w:rPr>
          <w:rFonts w:ascii="Times New Roman" w:hAnsi="Times New Roman"/>
          <w:sz w:val="24"/>
          <w:szCs w:val="24"/>
        </w:rPr>
      </w:pPr>
      <w:r w:rsidRPr="004C3B99">
        <w:rPr>
          <w:rFonts w:ascii="Times New Roman" w:hAnsi="Times New Roman"/>
          <w:sz w:val="24"/>
          <w:szCs w:val="24"/>
        </w:rPr>
        <w:t xml:space="preserve">Implementimi i masave që dalin në kuadër të Master Planit për ujitjen e tokave bujqësore </w:t>
      </w:r>
      <w:r w:rsidRPr="004C3B99">
        <w:rPr>
          <w:rFonts w:ascii="Times New Roman" w:hAnsi="Times New Roman"/>
          <w:bCs/>
          <w:sz w:val="24"/>
          <w:szCs w:val="24"/>
        </w:rPr>
        <w:t>(MBPZHR);</w:t>
      </w:r>
    </w:p>
    <w:p w14:paraId="59DDB9B1" w14:textId="77777777" w:rsidR="00CE4035" w:rsidRPr="004C3B99" w:rsidRDefault="00CE4035" w:rsidP="0068706C">
      <w:pPr>
        <w:pStyle w:val="ListParagraph"/>
        <w:numPr>
          <w:ilvl w:val="0"/>
          <w:numId w:val="68"/>
        </w:numPr>
        <w:spacing w:after="0" w:line="240" w:lineRule="auto"/>
        <w:ind w:left="360" w:right="466"/>
        <w:contextualSpacing w:val="0"/>
        <w:jc w:val="both"/>
        <w:rPr>
          <w:rFonts w:ascii="Times New Roman" w:hAnsi="Times New Roman"/>
          <w:sz w:val="24"/>
          <w:szCs w:val="24"/>
        </w:rPr>
      </w:pPr>
      <w:r w:rsidRPr="004C3B99">
        <w:rPr>
          <w:rFonts w:ascii="Times New Roman" w:hAnsi="Times New Roman"/>
          <w:sz w:val="24"/>
          <w:szCs w:val="24"/>
        </w:rPr>
        <w:t>Funksionalizimi i Fondit për Sigurime Bujqësore; (MBPZHR)</w:t>
      </w:r>
    </w:p>
    <w:p w14:paraId="2A29900C" w14:textId="77777777" w:rsidR="00CE4035" w:rsidRPr="004C3B99" w:rsidRDefault="00CE4035" w:rsidP="0068706C">
      <w:pPr>
        <w:pStyle w:val="ListParagraph"/>
        <w:numPr>
          <w:ilvl w:val="0"/>
          <w:numId w:val="68"/>
        </w:numPr>
        <w:spacing w:after="0" w:line="240" w:lineRule="auto"/>
        <w:ind w:left="360" w:right="466"/>
        <w:contextualSpacing w:val="0"/>
        <w:jc w:val="both"/>
        <w:rPr>
          <w:rFonts w:ascii="Times New Roman" w:hAnsi="Times New Roman"/>
          <w:sz w:val="24"/>
          <w:szCs w:val="24"/>
        </w:rPr>
      </w:pPr>
      <w:r w:rsidRPr="004C3B99">
        <w:rPr>
          <w:rFonts w:ascii="Times New Roman" w:hAnsi="Times New Roman"/>
          <w:sz w:val="24"/>
          <w:szCs w:val="24"/>
        </w:rPr>
        <w:t>Rritja e sipërfaqeve me kultura bujqësore</w:t>
      </w:r>
      <w:r w:rsidRPr="004C3B99">
        <w:rPr>
          <w:rFonts w:ascii="Times New Roman" w:hAnsi="Times New Roman"/>
          <w:bCs/>
          <w:sz w:val="24"/>
          <w:szCs w:val="24"/>
        </w:rPr>
        <w:t xml:space="preserve"> me fokus në produkte me vlerë të shtuar</w:t>
      </w:r>
      <w:r w:rsidRPr="004C3B99">
        <w:rPr>
          <w:rFonts w:ascii="Times New Roman" w:hAnsi="Times New Roman"/>
          <w:sz w:val="24"/>
          <w:szCs w:val="24"/>
        </w:rPr>
        <w:t xml:space="preserve"> </w:t>
      </w:r>
      <w:r w:rsidRPr="004C3B99">
        <w:rPr>
          <w:rFonts w:ascii="Times New Roman" w:hAnsi="Times New Roman"/>
          <w:bCs/>
          <w:sz w:val="24"/>
          <w:szCs w:val="24"/>
        </w:rPr>
        <w:t>(MBPZHR);</w:t>
      </w:r>
    </w:p>
    <w:p w14:paraId="1787E08C" w14:textId="77777777" w:rsidR="00CE4035" w:rsidRPr="004C3B99" w:rsidRDefault="00CE4035" w:rsidP="0068706C">
      <w:pPr>
        <w:pStyle w:val="ListParagraph"/>
        <w:numPr>
          <w:ilvl w:val="0"/>
          <w:numId w:val="68"/>
        </w:numPr>
        <w:spacing w:after="0" w:line="240" w:lineRule="auto"/>
        <w:ind w:left="360" w:right="466"/>
        <w:contextualSpacing w:val="0"/>
        <w:jc w:val="both"/>
        <w:rPr>
          <w:rFonts w:ascii="Times New Roman" w:hAnsi="Times New Roman"/>
          <w:sz w:val="24"/>
          <w:szCs w:val="24"/>
        </w:rPr>
      </w:pPr>
      <w:r w:rsidRPr="004C3B99">
        <w:rPr>
          <w:rFonts w:ascii="Times New Roman" w:hAnsi="Times New Roman"/>
          <w:sz w:val="24"/>
          <w:szCs w:val="24"/>
        </w:rPr>
        <w:t>Funksionalizimi i sistemit për menaxhimin e granteve dhe subvencioneve (softueri)(AZHB, MBPZHR).</w:t>
      </w:r>
    </w:p>
    <w:p w14:paraId="52BE1993" w14:textId="77777777" w:rsidR="00CE4035" w:rsidRPr="004C3B99" w:rsidRDefault="00CE4035" w:rsidP="00CE4035">
      <w:pPr>
        <w:ind w:right="466"/>
        <w:jc w:val="both"/>
      </w:pPr>
    </w:p>
    <w:p w14:paraId="61E7F783" w14:textId="77777777" w:rsidR="00CE4035" w:rsidRPr="004C3B99" w:rsidRDefault="00CE4035" w:rsidP="0068706C">
      <w:pPr>
        <w:pStyle w:val="ListParagraph"/>
        <w:numPr>
          <w:ilvl w:val="0"/>
          <w:numId w:val="70"/>
        </w:numPr>
        <w:spacing w:after="0" w:line="240" w:lineRule="auto"/>
        <w:contextualSpacing w:val="0"/>
        <w:jc w:val="both"/>
        <w:rPr>
          <w:rFonts w:ascii="Times New Roman" w:hAnsi="Times New Roman"/>
          <w:b/>
          <w:bCs/>
          <w:sz w:val="24"/>
          <w:szCs w:val="24"/>
        </w:rPr>
      </w:pPr>
      <w:r w:rsidRPr="004C3B99">
        <w:rPr>
          <w:rFonts w:ascii="Times New Roman" w:hAnsi="Times New Roman"/>
          <w:b/>
          <w:bCs/>
          <w:sz w:val="24"/>
          <w:szCs w:val="24"/>
        </w:rPr>
        <w:t>Aktivitetet e planifikuara për 2023:</w:t>
      </w:r>
    </w:p>
    <w:p w14:paraId="1B0F5800" w14:textId="73ACAD0F" w:rsidR="00CE4035" w:rsidRDefault="00CE4035" w:rsidP="0068706C">
      <w:pPr>
        <w:pStyle w:val="ListParagraph"/>
        <w:numPr>
          <w:ilvl w:val="0"/>
          <w:numId w:val="69"/>
        </w:numPr>
        <w:spacing w:after="0" w:line="240" w:lineRule="auto"/>
        <w:ind w:left="360" w:right="466"/>
        <w:contextualSpacing w:val="0"/>
        <w:jc w:val="both"/>
        <w:rPr>
          <w:rFonts w:ascii="Times New Roman" w:hAnsi="Times New Roman"/>
          <w:bCs/>
          <w:sz w:val="24"/>
          <w:szCs w:val="24"/>
        </w:rPr>
      </w:pPr>
      <w:r w:rsidRPr="004C3B99">
        <w:rPr>
          <w:rFonts w:ascii="Times New Roman" w:hAnsi="Times New Roman"/>
          <w:bCs/>
          <w:sz w:val="24"/>
          <w:szCs w:val="24"/>
        </w:rPr>
        <w:t>Rritja e sipërfaqeve me kultura bujqësore me fokus ne produkte me vlerë të shtuar; (MBPZHR);</w:t>
      </w:r>
    </w:p>
    <w:p w14:paraId="427817FA" w14:textId="77777777" w:rsidR="005116BD" w:rsidRPr="004C3B99" w:rsidRDefault="005116BD" w:rsidP="0068706C">
      <w:pPr>
        <w:pStyle w:val="ListParagraph"/>
        <w:numPr>
          <w:ilvl w:val="0"/>
          <w:numId w:val="69"/>
        </w:numPr>
        <w:spacing w:after="0" w:line="240" w:lineRule="auto"/>
        <w:ind w:left="360" w:right="466"/>
        <w:contextualSpacing w:val="0"/>
        <w:jc w:val="both"/>
        <w:rPr>
          <w:rFonts w:ascii="Times New Roman" w:hAnsi="Times New Roman"/>
          <w:bCs/>
          <w:sz w:val="24"/>
          <w:szCs w:val="24"/>
        </w:rPr>
      </w:pPr>
    </w:p>
    <w:p w14:paraId="36AFB1B2" w14:textId="77777777" w:rsidR="00CE4035" w:rsidRPr="004C3B99" w:rsidRDefault="00CE4035" w:rsidP="00CE4035">
      <w:pPr>
        <w:rPr>
          <w:b/>
          <w:bCs/>
        </w:rPr>
      </w:pPr>
      <w:r w:rsidRPr="004C3B99">
        <w:rPr>
          <w:b/>
        </w:rPr>
        <w:t>Treguesit e rezultateve</w:t>
      </w:r>
      <w:r w:rsidRPr="004C3B99">
        <w:rPr>
          <w:b/>
          <w:bCs/>
        </w:rPr>
        <w:t xml:space="preserve">: </w:t>
      </w:r>
    </w:p>
    <w:tbl>
      <w:tblPr>
        <w:tblpPr w:leftFromText="180" w:rightFromText="180" w:vertAnchor="text" w:horzAnchor="margin" w:tblpY="168"/>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5"/>
        <w:gridCol w:w="990"/>
        <w:gridCol w:w="1440"/>
        <w:gridCol w:w="990"/>
      </w:tblGrid>
      <w:tr w:rsidR="00CE4035" w:rsidRPr="004C3B99" w14:paraId="7FFEFE2E" w14:textId="77777777" w:rsidTr="005116BD">
        <w:trPr>
          <w:trHeight w:val="620"/>
        </w:trPr>
        <w:tc>
          <w:tcPr>
            <w:tcW w:w="5125" w:type="dxa"/>
            <w:shd w:val="clear" w:color="auto" w:fill="auto"/>
            <w:vAlign w:val="center"/>
          </w:tcPr>
          <w:p w14:paraId="0D40CE43" w14:textId="77777777" w:rsidR="00CE4035" w:rsidRPr="004C3B99" w:rsidRDefault="00CE4035" w:rsidP="009B753C">
            <w:pPr>
              <w:pStyle w:val="Default"/>
              <w:rPr>
                <w:b/>
                <w:color w:val="auto"/>
                <w:lang w:val="sq-AL"/>
              </w:rPr>
            </w:pPr>
            <w:r w:rsidRPr="004C3B99">
              <w:rPr>
                <w:b/>
                <w:color w:val="auto"/>
                <w:lang w:val="sq-AL"/>
              </w:rPr>
              <w:t>Treguesi</w:t>
            </w:r>
          </w:p>
        </w:tc>
        <w:tc>
          <w:tcPr>
            <w:tcW w:w="990" w:type="dxa"/>
            <w:shd w:val="clear" w:color="auto" w:fill="auto"/>
          </w:tcPr>
          <w:p w14:paraId="0A359697" w14:textId="77777777" w:rsidR="00CE4035" w:rsidRPr="004C3B99" w:rsidRDefault="00CE4035" w:rsidP="009B753C">
            <w:pPr>
              <w:pStyle w:val="Default"/>
              <w:jc w:val="center"/>
              <w:rPr>
                <w:b/>
                <w:color w:val="auto"/>
                <w:lang w:val="sq-AL"/>
              </w:rPr>
            </w:pPr>
            <w:r w:rsidRPr="004C3B99">
              <w:rPr>
                <w:b/>
                <w:color w:val="auto"/>
                <w:lang w:val="sq-AL"/>
              </w:rPr>
              <w:t>Baza 2019</w:t>
            </w:r>
          </w:p>
        </w:tc>
        <w:tc>
          <w:tcPr>
            <w:tcW w:w="1440" w:type="dxa"/>
            <w:shd w:val="clear" w:color="auto" w:fill="auto"/>
          </w:tcPr>
          <w:p w14:paraId="44DEE5D0" w14:textId="77777777" w:rsidR="00CE4035" w:rsidRPr="004C3B99" w:rsidRDefault="00CE4035" w:rsidP="009B753C">
            <w:pPr>
              <w:pStyle w:val="Default"/>
              <w:jc w:val="center"/>
              <w:rPr>
                <w:b/>
                <w:color w:val="auto"/>
                <w:lang w:val="sq-AL"/>
              </w:rPr>
            </w:pPr>
            <w:r w:rsidRPr="004C3B99">
              <w:rPr>
                <w:b/>
                <w:color w:val="auto"/>
                <w:lang w:val="sq-AL"/>
              </w:rPr>
              <w:t xml:space="preserve">Synimi i ndërmjetëm   </w:t>
            </w:r>
          </w:p>
        </w:tc>
        <w:tc>
          <w:tcPr>
            <w:tcW w:w="990" w:type="dxa"/>
            <w:shd w:val="clear" w:color="auto" w:fill="auto"/>
          </w:tcPr>
          <w:p w14:paraId="362336ED" w14:textId="77777777" w:rsidR="00CE4035" w:rsidRPr="004C3B99" w:rsidRDefault="00CE4035" w:rsidP="009B753C">
            <w:pPr>
              <w:pStyle w:val="Default"/>
              <w:jc w:val="center"/>
              <w:rPr>
                <w:b/>
                <w:color w:val="auto"/>
                <w:lang w:val="sq-AL"/>
              </w:rPr>
            </w:pPr>
            <w:r w:rsidRPr="004C3B99">
              <w:rPr>
                <w:b/>
                <w:color w:val="auto"/>
                <w:lang w:val="sq-AL"/>
              </w:rPr>
              <w:t>Synimi 2023</w:t>
            </w:r>
          </w:p>
        </w:tc>
      </w:tr>
      <w:tr w:rsidR="00CE4035" w:rsidRPr="004C3B99" w14:paraId="34D1B347" w14:textId="77777777" w:rsidTr="005116BD">
        <w:trPr>
          <w:trHeight w:val="707"/>
        </w:trPr>
        <w:tc>
          <w:tcPr>
            <w:tcW w:w="5125" w:type="dxa"/>
            <w:shd w:val="clear" w:color="auto" w:fill="auto"/>
          </w:tcPr>
          <w:p w14:paraId="746A33FA" w14:textId="77777777" w:rsidR="00CE4035" w:rsidRPr="004C3B99" w:rsidRDefault="00CE4035" w:rsidP="009B753C">
            <w:r w:rsidRPr="004C3B99">
              <w:t>Pjesëmarrja e eksportit të produkteve bujqësore (1-24) në eksportin e përgjithshëm (1-98)</w:t>
            </w:r>
          </w:p>
        </w:tc>
        <w:tc>
          <w:tcPr>
            <w:tcW w:w="990" w:type="dxa"/>
            <w:shd w:val="clear" w:color="auto" w:fill="auto"/>
            <w:vAlign w:val="center"/>
          </w:tcPr>
          <w:p w14:paraId="2958F508" w14:textId="77777777" w:rsidR="00CE4035" w:rsidRPr="004C3B99" w:rsidRDefault="00CE4035" w:rsidP="009B753C">
            <w:pPr>
              <w:pStyle w:val="Default"/>
              <w:jc w:val="center"/>
              <w:rPr>
                <w:iCs/>
                <w:lang w:val="sq-AL"/>
              </w:rPr>
            </w:pPr>
            <w:r w:rsidRPr="004C3B99">
              <w:rPr>
                <w:iCs/>
                <w:lang w:val="sq-AL"/>
              </w:rPr>
              <w:t>17.1%</w:t>
            </w:r>
          </w:p>
        </w:tc>
        <w:tc>
          <w:tcPr>
            <w:tcW w:w="1440" w:type="dxa"/>
            <w:shd w:val="clear" w:color="auto" w:fill="auto"/>
            <w:vAlign w:val="center"/>
          </w:tcPr>
          <w:p w14:paraId="54BD0D72" w14:textId="77777777" w:rsidR="00CE4035" w:rsidRPr="004C3B99" w:rsidRDefault="00CE4035" w:rsidP="009B753C">
            <w:pPr>
              <w:pStyle w:val="Default"/>
              <w:jc w:val="center"/>
              <w:rPr>
                <w:iCs/>
                <w:lang w:val="sq-AL"/>
              </w:rPr>
            </w:pPr>
            <w:r w:rsidRPr="004C3B99">
              <w:rPr>
                <w:iCs/>
                <w:lang w:val="sq-AL"/>
              </w:rPr>
              <w:t>20%</w:t>
            </w:r>
          </w:p>
        </w:tc>
        <w:tc>
          <w:tcPr>
            <w:tcW w:w="990" w:type="dxa"/>
            <w:shd w:val="clear" w:color="auto" w:fill="auto"/>
            <w:vAlign w:val="center"/>
          </w:tcPr>
          <w:p w14:paraId="73B9AA93" w14:textId="77777777" w:rsidR="00CE4035" w:rsidRPr="004C3B99" w:rsidRDefault="00CE4035" w:rsidP="009B753C">
            <w:pPr>
              <w:pStyle w:val="Default"/>
              <w:jc w:val="center"/>
              <w:rPr>
                <w:iCs/>
                <w:lang w:val="sq-AL"/>
              </w:rPr>
            </w:pPr>
            <w:r w:rsidRPr="004C3B99">
              <w:rPr>
                <w:iCs/>
                <w:lang w:val="sq-AL"/>
              </w:rPr>
              <w:t>23%</w:t>
            </w:r>
          </w:p>
        </w:tc>
      </w:tr>
      <w:tr w:rsidR="00CE4035" w:rsidRPr="004C3B99" w14:paraId="759262BF" w14:textId="77777777" w:rsidTr="005116BD">
        <w:trPr>
          <w:trHeight w:val="550"/>
        </w:trPr>
        <w:tc>
          <w:tcPr>
            <w:tcW w:w="5125" w:type="dxa"/>
            <w:shd w:val="clear" w:color="auto" w:fill="auto"/>
          </w:tcPr>
          <w:p w14:paraId="6BD77798" w14:textId="77777777" w:rsidR="00CE4035" w:rsidRPr="004C3B99" w:rsidRDefault="00CE4035" w:rsidP="009B753C">
            <w:r w:rsidRPr="004C3B99">
              <w:t xml:space="preserve">Pjesëmarrja  e importit të produkteve bujqësore(1-24) në importin e përgjithshëm (1-98) </w:t>
            </w:r>
          </w:p>
        </w:tc>
        <w:tc>
          <w:tcPr>
            <w:tcW w:w="990" w:type="dxa"/>
            <w:shd w:val="clear" w:color="auto" w:fill="auto"/>
            <w:vAlign w:val="center"/>
          </w:tcPr>
          <w:p w14:paraId="4413E307" w14:textId="77777777" w:rsidR="00CE4035" w:rsidRPr="004C3B99" w:rsidRDefault="00CE4035" w:rsidP="009B753C">
            <w:pPr>
              <w:pStyle w:val="Default"/>
              <w:jc w:val="center"/>
              <w:rPr>
                <w:iCs/>
                <w:lang w:val="sq-AL"/>
              </w:rPr>
            </w:pPr>
            <w:r w:rsidRPr="004C3B99">
              <w:rPr>
                <w:iCs/>
                <w:lang w:val="sq-AL"/>
              </w:rPr>
              <w:t>21.7%</w:t>
            </w:r>
          </w:p>
        </w:tc>
        <w:tc>
          <w:tcPr>
            <w:tcW w:w="1440" w:type="dxa"/>
            <w:shd w:val="clear" w:color="auto" w:fill="auto"/>
            <w:vAlign w:val="center"/>
          </w:tcPr>
          <w:p w14:paraId="49F95118" w14:textId="77777777" w:rsidR="00CE4035" w:rsidRPr="004C3B99" w:rsidRDefault="00CE4035" w:rsidP="009B753C">
            <w:pPr>
              <w:pStyle w:val="Default"/>
              <w:jc w:val="center"/>
              <w:rPr>
                <w:iCs/>
                <w:lang w:val="sq-AL"/>
              </w:rPr>
            </w:pPr>
            <w:r w:rsidRPr="004C3B99">
              <w:rPr>
                <w:iCs/>
                <w:lang w:val="sq-AL"/>
              </w:rPr>
              <w:t>18.9%</w:t>
            </w:r>
          </w:p>
        </w:tc>
        <w:tc>
          <w:tcPr>
            <w:tcW w:w="990" w:type="dxa"/>
            <w:shd w:val="clear" w:color="auto" w:fill="auto"/>
            <w:vAlign w:val="center"/>
          </w:tcPr>
          <w:p w14:paraId="7CA8DF7B" w14:textId="77777777" w:rsidR="00CE4035" w:rsidRPr="004C3B99" w:rsidRDefault="00CE4035" w:rsidP="009B753C">
            <w:pPr>
              <w:pStyle w:val="Default"/>
              <w:jc w:val="center"/>
              <w:rPr>
                <w:iCs/>
                <w:lang w:val="sq-AL"/>
              </w:rPr>
            </w:pPr>
            <w:r w:rsidRPr="004C3B99">
              <w:rPr>
                <w:iCs/>
                <w:lang w:val="sq-AL"/>
              </w:rPr>
              <w:t>16.8%</w:t>
            </w:r>
          </w:p>
        </w:tc>
      </w:tr>
      <w:tr w:rsidR="00CE4035" w:rsidRPr="004C3B99" w14:paraId="361874A1" w14:textId="77777777" w:rsidTr="005116BD">
        <w:trPr>
          <w:trHeight w:val="246"/>
        </w:trPr>
        <w:tc>
          <w:tcPr>
            <w:tcW w:w="5125" w:type="dxa"/>
            <w:shd w:val="clear" w:color="auto" w:fill="auto"/>
            <w:vAlign w:val="center"/>
          </w:tcPr>
          <w:p w14:paraId="0BE33D57" w14:textId="77777777" w:rsidR="00CE4035" w:rsidRPr="004C3B99" w:rsidRDefault="00CE4035" w:rsidP="009B753C">
            <w:r w:rsidRPr="004C3B99">
              <w:rPr>
                <w:bCs/>
              </w:rPr>
              <w:t>Rritja e sipërfaqeve me kultura bujqësore  për një sektor më produktiv dhe të qëndrueshëm</w:t>
            </w:r>
          </w:p>
        </w:tc>
        <w:tc>
          <w:tcPr>
            <w:tcW w:w="990" w:type="dxa"/>
            <w:shd w:val="clear" w:color="auto" w:fill="auto"/>
            <w:vAlign w:val="center"/>
          </w:tcPr>
          <w:p w14:paraId="27B4E123" w14:textId="77777777" w:rsidR="00CE4035" w:rsidRPr="004C3B99" w:rsidRDefault="00CE4035" w:rsidP="009B753C">
            <w:pPr>
              <w:pStyle w:val="Default"/>
              <w:jc w:val="center"/>
              <w:rPr>
                <w:iCs/>
                <w:lang w:val="sq-AL"/>
              </w:rPr>
            </w:pPr>
            <w:r w:rsidRPr="004C3B99">
              <w:rPr>
                <w:iCs/>
                <w:lang w:val="sq-AL"/>
              </w:rPr>
              <w:t>21%</w:t>
            </w:r>
          </w:p>
        </w:tc>
        <w:tc>
          <w:tcPr>
            <w:tcW w:w="1440" w:type="dxa"/>
            <w:shd w:val="clear" w:color="auto" w:fill="auto"/>
            <w:vAlign w:val="center"/>
          </w:tcPr>
          <w:p w14:paraId="612DCDD6" w14:textId="77777777" w:rsidR="00CE4035" w:rsidRPr="004C3B99" w:rsidRDefault="00CE4035" w:rsidP="009B753C">
            <w:pPr>
              <w:pStyle w:val="Default"/>
              <w:jc w:val="center"/>
              <w:rPr>
                <w:iCs/>
                <w:lang w:val="sq-AL"/>
              </w:rPr>
            </w:pPr>
            <w:r w:rsidRPr="004C3B99">
              <w:rPr>
                <w:iCs/>
                <w:lang w:val="sq-AL"/>
              </w:rPr>
              <w:t>23%</w:t>
            </w:r>
          </w:p>
        </w:tc>
        <w:tc>
          <w:tcPr>
            <w:tcW w:w="990" w:type="dxa"/>
            <w:shd w:val="clear" w:color="auto" w:fill="auto"/>
            <w:vAlign w:val="center"/>
          </w:tcPr>
          <w:p w14:paraId="353E6794" w14:textId="77777777" w:rsidR="00CE4035" w:rsidRPr="004C3B99" w:rsidRDefault="00CE4035" w:rsidP="009B753C">
            <w:pPr>
              <w:pStyle w:val="Default"/>
              <w:jc w:val="center"/>
              <w:rPr>
                <w:iCs/>
                <w:lang w:val="sq-AL"/>
              </w:rPr>
            </w:pPr>
            <w:r w:rsidRPr="004C3B99">
              <w:rPr>
                <w:iCs/>
                <w:lang w:val="sq-AL"/>
              </w:rPr>
              <w:t>26%</w:t>
            </w:r>
          </w:p>
        </w:tc>
      </w:tr>
    </w:tbl>
    <w:p w14:paraId="633F127D" w14:textId="77777777" w:rsidR="00CE4035" w:rsidRDefault="00CE4035" w:rsidP="00CE4035">
      <w:pPr>
        <w:spacing w:line="276" w:lineRule="auto"/>
        <w:jc w:val="both"/>
        <w:rPr>
          <w:i/>
        </w:rPr>
      </w:pPr>
      <w:r w:rsidRPr="00C3730A">
        <w:rPr>
          <w:i/>
        </w:rPr>
        <w:t>Arritja e këtyre tregues</w:t>
      </w:r>
      <w:r>
        <w:rPr>
          <w:i/>
        </w:rPr>
        <w:t>ve është në pajtim me Objektiven 2 të O</w:t>
      </w:r>
      <w:r w:rsidRPr="00C3730A">
        <w:rPr>
          <w:i/>
        </w:rPr>
        <w:t xml:space="preserve">ZHQ </w:t>
      </w:r>
      <w:r>
        <w:rPr>
          <w:i/>
        </w:rPr>
        <w:t>‘</w:t>
      </w:r>
      <w:r w:rsidRPr="007B77B8">
        <w:rPr>
          <w:i/>
        </w:rPr>
        <w:t>Elimin</w:t>
      </w:r>
      <w:r>
        <w:rPr>
          <w:i/>
        </w:rPr>
        <w:t xml:space="preserve">imi i urisë, arritja e sigurisë ushqimore dhe përmirësimi </w:t>
      </w:r>
      <w:r w:rsidRPr="007B77B8">
        <w:rPr>
          <w:i/>
        </w:rPr>
        <w:t>i ush</w:t>
      </w:r>
      <w:r>
        <w:rPr>
          <w:i/>
        </w:rPr>
        <w:t xml:space="preserve">qyerjes, si dhe nxitja e </w:t>
      </w:r>
      <w:r w:rsidRPr="007B77B8">
        <w:rPr>
          <w:i/>
        </w:rPr>
        <w:t>bujqësisë së qëndrueshme</w:t>
      </w:r>
      <w:r>
        <w:rPr>
          <w:i/>
        </w:rPr>
        <w:t>’ në veçanti caku 2.4 ‘</w:t>
      </w:r>
      <w:r w:rsidRPr="007B77B8">
        <w:rPr>
          <w:i/>
        </w:rPr>
        <w:t>Deri në vitin 2030, të s</w:t>
      </w:r>
      <w:r>
        <w:rPr>
          <w:i/>
        </w:rPr>
        <w:t xml:space="preserve">igurohen sisteme të qëndrueshme </w:t>
      </w:r>
      <w:r w:rsidRPr="007B77B8">
        <w:rPr>
          <w:i/>
        </w:rPr>
        <w:t>të prodhimit të ushqim</w:t>
      </w:r>
      <w:r>
        <w:rPr>
          <w:i/>
        </w:rPr>
        <w:t xml:space="preserve">it dhe implementim i praktikave </w:t>
      </w:r>
      <w:r w:rsidRPr="007B77B8">
        <w:rPr>
          <w:i/>
        </w:rPr>
        <w:t>të qëndrueshme bujqësor</w:t>
      </w:r>
      <w:r>
        <w:rPr>
          <w:i/>
        </w:rPr>
        <w:t xml:space="preserve">e që rrisin produktivitetin dhe </w:t>
      </w:r>
      <w:r w:rsidRPr="007B77B8">
        <w:rPr>
          <w:i/>
        </w:rPr>
        <w:t>prodhimin, që ndihmo</w:t>
      </w:r>
      <w:r>
        <w:rPr>
          <w:i/>
        </w:rPr>
        <w:t xml:space="preserve">jnë ruajtjen e ekosistemeve, që </w:t>
      </w:r>
      <w:r w:rsidRPr="007B77B8">
        <w:rPr>
          <w:i/>
        </w:rPr>
        <w:t>forcojnë kapacitetin për</w:t>
      </w:r>
      <w:r>
        <w:rPr>
          <w:i/>
        </w:rPr>
        <w:t xml:space="preserve"> përshtatje ndaj ndryshimeve </w:t>
      </w:r>
      <w:r w:rsidRPr="007B77B8">
        <w:rPr>
          <w:i/>
        </w:rPr>
        <w:t>klimatike, motit ekstr</w:t>
      </w:r>
      <w:r>
        <w:rPr>
          <w:i/>
        </w:rPr>
        <w:t xml:space="preserve">em, thatësirës, përmbytjeve dhe </w:t>
      </w:r>
      <w:r w:rsidRPr="007B77B8">
        <w:rPr>
          <w:i/>
        </w:rPr>
        <w:t>fatkeqësive të tjer</w:t>
      </w:r>
      <w:r>
        <w:rPr>
          <w:i/>
        </w:rPr>
        <w:t xml:space="preserve">a dhe që përmirësojnë në mënyrë </w:t>
      </w:r>
      <w:r w:rsidRPr="007B77B8">
        <w:rPr>
          <w:i/>
        </w:rPr>
        <w:t>progresive cilësinë e tokës dhe dheut.</w:t>
      </w:r>
      <w:r>
        <w:rPr>
          <w:i/>
        </w:rPr>
        <w:t>’ Indikatori 2.4.1 Hapësira p</w:t>
      </w:r>
      <w:r w:rsidRPr="00AF1539">
        <w:rPr>
          <w:i/>
        </w:rPr>
        <w:t>roporcion</w:t>
      </w:r>
      <w:r>
        <w:rPr>
          <w:i/>
        </w:rPr>
        <w:t>ale</w:t>
      </w:r>
      <w:r w:rsidRPr="00AF1539">
        <w:rPr>
          <w:i/>
        </w:rPr>
        <w:t xml:space="preserve"> </w:t>
      </w:r>
      <w:r>
        <w:rPr>
          <w:i/>
        </w:rPr>
        <w:t>e</w:t>
      </w:r>
      <w:r w:rsidRPr="00AF1539">
        <w:rPr>
          <w:i/>
        </w:rPr>
        <w:t xml:space="preserve"> sipërfaqes bujqësore nën bujqësinë prodhuese dhe të qëndrueshme</w:t>
      </w:r>
      <w:r>
        <w:rPr>
          <w:i/>
        </w:rPr>
        <w:t xml:space="preserve"> dhe cakun 2.b ‘</w:t>
      </w:r>
      <w:r w:rsidRPr="00AF1539">
        <w:rPr>
          <w:i/>
        </w:rPr>
        <w:t>Të korrigjohen dhe para</w:t>
      </w:r>
      <w:r>
        <w:rPr>
          <w:i/>
        </w:rPr>
        <w:t xml:space="preserve">ndalohen kufizimet tregtare dhe </w:t>
      </w:r>
      <w:r w:rsidRPr="00AF1539">
        <w:rPr>
          <w:i/>
        </w:rPr>
        <w:t>shtrembërimeve në t</w:t>
      </w:r>
      <w:r>
        <w:rPr>
          <w:i/>
        </w:rPr>
        <w:t xml:space="preserve">regjet botërore bujqësore, duke </w:t>
      </w:r>
      <w:r w:rsidRPr="00AF1539">
        <w:rPr>
          <w:i/>
        </w:rPr>
        <w:t xml:space="preserve">përfshirë përmes eliminimit </w:t>
      </w:r>
      <w:r>
        <w:rPr>
          <w:i/>
        </w:rPr>
        <w:t xml:space="preserve">paralel të të gjitha formave të </w:t>
      </w:r>
      <w:r w:rsidRPr="00AF1539">
        <w:rPr>
          <w:i/>
        </w:rPr>
        <w:t>subvencioneve të eksporteve bu</w:t>
      </w:r>
      <w:r>
        <w:rPr>
          <w:i/>
        </w:rPr>
        <w:t xml:space="preserve">jqësore dhe të gjitha masat </w:t>
      </w:r>
      <w:r w:rsidRPr="00AF1539">
        <w:rPr>
          <w:i/>
        </w:rPr>
        <w:t>e eksportit me efekt të një</w:t>
      </w:r>
      <w:r>
        <w:rPr>
          <w:i/>
        </w:rPr>
        <w:t>jtë, në përputhje me mandatin e Rrjetit të Zhvillimit të Dohas,’ Indikatori 2.b.2 ‘</w:t>
      </w:r>
      <w:r w:rsidRPr="00AF1539">
        <w:rPr>
          <w:i/>
        </w:rPr>
        <w:t>Subvencionet e eksportit bujqësor</w:t>
      </w:r>
      <w:r>
        <w:rPr>
          <w:i/>
        </w:rPr>
        <w:t>’.</w:t>
      </w:r>
    </w:p>
    <w:p w14:paraId="05B522A0" w14:textId="77777777" w:rsidR="00CE4035" w:rsidRPr="004C3B99" w:rsidRDefault="00CE4035" w:rsidP="00CE4035">
      <w:pPr>
        <w:jc w:val="both"/>
        <w:rPr>
          <w:b/>
          <w:bCs/>
        </w:rPr>
      </w:pPr>
    </w:p>
    <w:p w14:paraId="10FE061B" w14:textId="7B576584" w:rsidR="00CE4035" w:rsidRDefault="00CE4035" w:rsidP="00CE4035">
      <w:pPr>
        <w:jc w:val="both"/>
        <w:rPr>
          <w:bCs/>
        </w:rPr>
      </w:pPr>
      <w:r w:rsidRPr="004C3B99">
        <w:rPr>
          <w:b/>
          <w:bCs/>
        </w:rPr>
        <w:t xml:space="preserve">Ndikimi i pritur në konkurrueshmëri: </w:t>
      </w:r>
      <w:r w:rsidRPr="004C3B99">
        <w:rPr>
          <w:bCs/>
        </w:rPr>
        <w:t>Zbatimi i aktiviteteve të kësaj mase do të kontribuojë në rritjen e prodhimit n</w:t>
      </w:r>
      <w:r w:rsidRPr="004C3B99">
        <w:t>ë sektorin e bujqësisë,</w:t>
      </w:r>
      <w:r w:rsidRPr="004C3B99">
        <w:rPr>
          <w:bCs/>
        </w:rPr>
        <w:t xml:space="preserve"> me fokus të veçantë në produktet bujqësore të tregut me vlerë të shtuar, gjithashtu do të ketë ndikim në përmirësimin e zinxhirit të vlerës në gjithë ciklin, pasi që situata e krijuar me COVID 19, ka krijuar zbrazëtira në ciklin e zinxhirit të furnizimit pasi që ka pasur mbyllje të tregjeve lokale, problem në plasim të produkteve, ngritje të çmimit të inputeve, etj. Masat për mbështetje të sektorit të bujqësisë, presim që do të kenë ndikim pozitiv gjatë periudhës së ardhshme afatmesme, duke pasur parasysh investimet e konsiderueshme që po ndodhin  në këtë sektor dhe ky efekt do të jetë i dukshëm përmes zëvendësimit të importit të produkteve bujqësore dhe rritjes së eksporteve. Gjithashtu, subvencionimi i kredive bujqësore përmes pakos së rimëkëmbjes ekonomike ku do të merren përsipër mbulimi i shpenzimeve të interesit do të ndikoj pozitivisht në ngritjen në përmirësimin e sektorit dhe në stimulim të konkurrueshmërisë dhe gjenerim të vendeve të punës. </w:t>
      </w:r>
    </w:p>
    <w:p w14:paraId="62DE62C0" w14:textId="77777777" w:rsidR="005116BD" w:rsidRPr="004C3B99" w:rsidRDefault="005116BD" w:rsidP="00CE4035">
      <w:pPr>
        <w:jc w:val="both"/>
        <w:rPr>
          <w:bCs/>
        </w:rPr>
      </w:pPr>
    </w:p>
    <w:p w14:paraId="7C3CF333" w14:textId="739B82DD" w:rsidR="00CE4035" w:rsidRDefault="00CE4035" w:rsidP="00CE4035">
      <w:pPr>
        <w:jc w:val="both"/>
      </w:pPr>
      <w:r w:rsidRPr="004C3B99">
        <w:rPr>
          <w:b/>
          <w:bCs/>
        </w:rPr>
        <w:t xml:space="preserve">Vlerësimi i kostos së aktiviteteve dhe </w:t>
      </w:r>
      <w:r w:rsidRPr="004C3B99">
        <w:rPr>
          <w:b/>
        </w:rPr>
        <w:t xml:space="preserve">burimet e financimit: </w:t>
      </w:r>
      <w:r w:rsidRPr="004C3B99">
        <w:rPr>
          <w:color w:val="000000" w:themeColor="text1"/>
        </w:rPr>
        <w:t xml:space="preserve">Zbatimi i këtyre masave do të jetë në formën e partneritetit publiko privat-grante me bashkëfinancim 50/50. Kosto e përgjithshme për zbatim të kësaj mase gjatë viteve 2021-2023 vlerësohet të jetë 157,230,270 </w:t>
      </w:r>
      <w:r w:rsidRPr="004C3B99">
        <w:t>€</w:t>
      </w:r>
      <w:r w:rsidRPr="004C3B99">
        <w:rPr>
          <w:color w:val="000000" w:themeColor="text1"/>
        </w:rPr>
        <w:t xml:space="preserve">. Nga kjo vlerë  51,214,878 </w:t>
      </w:r>
      <w:r w:rsidRPr="004C3B99">
        <w:t>€</w:t>
      </w:r>
      <w:r w:rsidRPr="004C3B99">
        <w:rPr>
          <w:color w:val="000000" w:themeColor="text1"/>
        </w:rPr>
        <w:t xml:space="preserve"> vlerësohet kosto për vitin 2021, 52,700,196 </w:t>
      </w:r>
      <w:r w:rsidRPr="004C3B99">
        <w:t>€</w:t>
      </w:r>
      <w:r w:rsidRPr="004C3B99">
        <w:rPr>
          <w:color w:val="000000" w:themeColor="text1"/>
        </w:rPr>
        <w:t xml:space="preserve"> për vitin 2022 dhe 53,315,196 </w:t>
      </w:r>
      <w:r w:rsidRPr="004C3B99">
        <w:t>€</w:t>
      </w:r>
      <w:r w:rsidRPr="004C3B99">
        <w:rPr>
          <w:color w:val="000000" w:themeColor="text1"/>
        </w:rPr>
        <w:t xml:space="preserve"> për vitin 2023. Pjesa më e madhe e kësaj kosto pritet të financohet nga buxheti i Kosovës, përkatësisht nga skema e Subvencioneve dhe Transfereve nga MBZHR me vlerat përkatëse, 47,479,022 </w:t>
      </w:r>
      <w:r w:rsidRPr="004C3B99">
        <w:t>€</w:t>
      </w:r>
      <w:r w:rsidRPr="004C3B99">
        <w:rPr>
          <w:color w:val="000000" w:themeColor="text1"/>
        </w:rPr>
        <w:t xml:space="preserve"> (2021), 51,605,196 </w:t>
      </w:r>
      <w:r w:rsidRPr="004C3B99">
        <w:t>€</w:t>
      </w:r>
      <w:r w:rsidRPr="004C3B99">
        <w:rPr>
          <w:color w:val="000000" w:themeColor="text1"/>
        </w:rPr>
        <w:t xml:space="preserve"> (2022) dhe 52,815,196 </w:t>
      </w:r>
      <w:r w:rsidRPr="004C3B99">
        <w:t>€</w:t>
      </w:r>
      <w:r w:rsidRPr="004C3B99">
        <w:rPr>
          <w:color w:val="000000" w:themeColor="text1"/>
        </w:rPr>
        <w:t xml:space="preserve"> (2023) të cilat ofrohen si grante dhe subvencione për fermerët për zhvillimin e sektorit të bujqësisë, si dhe për mbulimin dëmeve natyrore në bujqësi. Pjesa tjetër e aktiviteteve  do të mbulohet nga Projekti i Bankës Botërore, me vlerë prej 1,998,000 </w:t>
      </w:r>
      <w:r w:rsidRPr="004C3B99">
        <w:t>€</w:t>
      </w:r>
      <w:r w:rsidRPr="004C3B99">
        <w:rPr>
          <w:color w:val="000000" w:themeColor="text1"/>
        </w:rPr>
        <w:t xml:space="preserve"> për vitet 2021 që do të fokusohet në  ujitje të tokave bujqësore dhe në ngritjen e kapaciteteve të Shërbimeve Këshillimore. 600,000 </w:t>
      </w:r>
      <w:r w:rsidRPr="004C3B99">
        <w:t>€</w:t>
      </w:r>
      <w:r w:rsidRPr="004C3B99">
        <w:rPr>
          <w:color w:val="000000" w:themeColor="text1"/>
        </w:rPr>
        <w:t xml:space="preserve"> është përkrahja nga Projekt i BE-së ku për Analizën Sektoriale janë të ndara 300,000 </w:t>
      </w:r>
      <w:r w:rsidRPr="004C3B99">
        <w:t>€</w:t>
      </w:r>
      <w:r w:rsidRPr="004C3B99">
        <w:rPr>
          <w:color w:val="000000" w:themeColor="text1"/>
        </w:rPr>
        <w:t xml:space="preserve"> dhe pjesa tjetër 300.000 </w:t>
      </w:r>
      <w:r w:rsidRPr="004C3B99">
        <w:t>€</w:t>
      </w:r>
      <w:r w:rsidRPr="004C3B99">
        <w:rPr>
          <w:color w:val="000000" w:themeColor="text1"/>
        </w:rPr>
        <w:t xml:space="preserve"> do të jetë në mbështetje për realizimin e Programit për Bujqësi dhe Zhvillim Rural (2021-2023). Për investime kapitale 920,455 </w:t>
      </w:r>
      <w:r w:rsidRPr="004C3B99">
        <w:t>€</w:t>
      </w:r>
      <w:r w:rsidRPr="004C3B99">
        <w:rPr>
          <w:color w:val="000000" w:themeColor="text1"/>
        </w:rPr>
        <w:t xml:space="preserve"> shtesë janë planifikuar nën shpenzimet kapitale për zhvillimin e softuerit për Agjencinë e Zhvillimit Bujqësor 816,455 </w:t>
      </w:r>
      <w:r w:rsidRPr="004C3B99">
        <w:t>€</w:t>
      </w:r>
      <w:r w:rsidRPr="004C3B99">
        <w:rPr>
          <w:color w:val="000000" w:themeColor="text1"/>
        </w:rPr>
        <w:t xml:space="preserve">, si dhe 110,000 </w:t>
      </w:r>
      <w:r w:rsidRPr="004C3B99">
        <w:t>€</w:t>
      </w:r>
      <w:r w:rsidRPr="004C3B99">
        <w:rPr>
          <w:color w:val="000000" w:themeColor="text1"/>
        </w:rPr>
        <w:t>, për planin kombëtar për Inventarizimin e Tokave Bujqësore në Republikën e Kosovës.</w:t>
      </w:r>
      <w:r w:rsidRPr="004C3B99">
        <w:t xml:space="preserve"> Gjithashtu është përfshirë edhe buxheti i ndarë nga Pako për Rimëkëmbjen Ekonomike (2020-2021), në vlerë prej 2 milion €.</w:t>
      </w:r>
    </w:p>
    <w:p w14:paraId="2FF8569E" w14:textId="77777777" w:rsidR="005116BD" w:rsidRPr="004C3B99" w:rsidRDefault="005116BD" w:rsidP="00CE4035">
      <w:pPr>
        <w:jc w:val="both"/>
      </w:pPr>
    </w:p>
    <w:p w14:paraId="494AF0F9" w14:textId="77777777" w:rsidR="00CE4035" w:rsidRPr="004C3B99" w:rsidRDefault="00CE4035" w:rsidP="00CE4035">
      <w:pPr>
        <w:spacing w:after="60"/>
        <w:jc w:val="both"/>
        <w:rPr>
          <w:bCs/>
        </w:rPr>
      </w:pPr>
      <w:r w:rsidRPr="004C3B99">
        <w:rPr>
          <w:b/>
          <w:bCs/>
        </w:rPr>
        <w:t xml:space="preserve">Ndikimet e pritshme mbi rezultatet sociale, të tilla si punësimi, reduktimi i varfërisë, barazia gjinore: </w:t>
      </w:r>
      <w:r w:rsidRPr="004C3B99">
        <w:rPr>
          <w:shd w:val="clear" w:color="auto" w:fill="FFFFFF"/>
        </w:rPr>
        <w:t>Përmes kësaj mase ndikohet pozitivisht në stimulimin e popullatës në aktivitet bujqësore si dhe punimin dhe kultivimin e tokës bujqësore, futja e kulturave të veçanta në prodhim të cilat mund të kenë prioritet dhe aftësi konkurruese. Aktualisht, bujqësia përbënë 8.2 % të BPV-së, ndërsa punëson rreth 23% të gjithsej numrit të të punësuarve në Kosovë.</w:t>
      </w:r>
    </w:p>
    <w:p w14:paraId="5B0B6DA0" w14:textId="77777777" w:rsidR="00CE4035" w:rsidRPr="004C3B99" w:rsidRDefault="00CE4035" w:rsidP="00CE4035">
      <w:pPr>
        <w:jc w:val="both"/>
      </w:pPr>
      <w:r w:rsidRPr="004C3B99">
        <w:rPr>
          <w:shd w:val="clear" w:color="auto" w:fill="FFFFFF"/>
        </w:rPr>
        <w:t xml:space="preserve">Përmes këtyre masave synohet të respektohet barazia gjinore ku nuk mungojnë edhe përparësitë në vlerësim gjatë aplikimit dhe po ashtu gjenerimi i vendeve të punës është një ndër prioritetet kryesore është që përmes të hyrave të gjeneruara nga aktivitetet bujqësore të zbutet varfëria në vend dhe gjithashtu të përmirësohet mirëqenia. </w:t>
      </w:r>
    </w:p>
    <w:p w14:paraId="607985EA" w14:textId="77777777" w:rsidR="00CE4035" w:rsidRPr="004C3B99" w:rsidRDefault="00CE4035" w:rsidP="00CE4035">
      <w:pPr>
        <w:jc w:val="both"/>
        <w:rPr>
          <w:bCs/>
          <w:iCs/>
        </w:rPr>
      </w:pPr>
      <w:r w:rsidRPr="004C3B99">
        <w:rPr>
          <w:b/>
          <w:bCs/>
        </w:rPr>
        <w:t xml:space="preserve">Ndikimi i pritshëm në mjedis: </w:t>
      </w:r>
      <w:r w:rsidRPr="004C3B99">
        <w:rPr>
          <w:bCs/>
          <w:iCs/>
        </w:rPr>
        <w:t>Mbështetja përmes kësaj mase do të rrefkëtohet edhe në investimet strukturore por gjithashtu edhe në një mjedis më të qëndrueshëm. Përmes rritjes së sipërfaqeve bujqësore dhe përmirësimit të sistemit të ujitjes do të përfitoj edhe mjedisi.</w:t>
      </w:r>
    </w:p>
    <w:p w14:paraId="31134657" w14:textId="77777777" w:rsidR="00CE4035" w:rsidRPr="004C3B99" w:rsidRDefault="00CE4035" w:rsidP="00CE4035">
      <w:pPr>
        <w:spacing w:after="60"/>
        <w:jc w:val="both"/>
        <w:rPr>
          <w:b/>
          <w:bCs/>
          <w:iCs/>
        </w:rPr>
      </w:pPr>
      <w:r w:rsidRPr="004C3B99">
        <w:rPr>
          <w:b/>
          <w:bCs/>
          <w:iCs/>
        </w:rPr>
        <w:t>Rreziqet Potenciale:</w:t>
      </w:r>
    </w:p>
    <w:tbl>
      <w:tblPr>
        <w:tblStyle w:val="TableGrid"/>
        <w:tblW w:w="0" w:type="auto"/>
        <w:tblLook w:val="04A0" w:firstRow="1" w:lastRow="0" w:firstColumn="1" w:lastColumn="0" w:noHBand="0" w:noVBand="1"/>
      </w:tblPr>
      <w:tblGrid>
        <w:gridCol w:w="1924"/>
        <w:gridCol w:w="1821"/>
        <w:gridCol w:w="4869"/>
      </w:tblGrid>
      <w:tr w:rsidR="00CE4035" w:rsidRPr="004C3B99" w14:paraId="4DB24184" w14:textId="77777777" w:rsidTr="009B753C">
        <w:tc>
          <w:tcPr>
            <w:tcW w:w="2065" w:type="dxa"/>
          </w:tcPr>
          <w:p w14:paraId="4B7E3366" w14:textId="77777777" w:rsidR="00CE4035" w:rsidRPr="004C3B99" w:rsidRDefault="00CE4035" w:rsidP="009B753C">
            <w:pPr>
              <w:pStyle w:val="Default"/>
              <w:jc w:val="both"/>
              <w:rPr>
                <w:lang w:val="sq-AL"/>
              </w:rPr>
            </w:pPr>
            <w:r w:rsidRPr="004C3B99">
              <w:rPr>
                <w:b/>
                <w:bCs/>
                <w:lang w:val="sq-AL"/>
              </w:rPr>
              <w:t xml:space="preserve">Rreziku </w:t>
            </w:r>
          </w:p>
        </w:tc>
        <w:tc>
          <w:tcPr>
            <w:tcW w:w="1530" w:type="dxa"/>
          </w:tcPr>
          <w:p w14:paraId="4386A7F2" w14:textId="77777777" w:rsidR="00CE4035" w:rsidRPr="004C3B99" w:rsidRDefault="00CE4035" w:rsidP="009B753C">
            <w:pPr>
              <w:pStyle w:val="Default"/>
              <w:ind w:right="-122"/>
              <w:rPr>
                <w:lang w:val="sq-AL"/>
              </w:rPr>
            </w:pPr>
            <w:r w:rsidRPr="004C3B99">
              <w:rPr>
                <w:b/>
                <w:bCs/>
                <w:lang w:val="sq-AL"/>
              </w:rPr>
              <w:t xml:space="preserve">Probabiliteti </w:t>
            </w:r>
          </w:p>
        </w:tc>
        <w:tc>
          <w:tcPr>
            <w:tcW w:w="5755" w:type="dxa"/>
          </w:tcPr>
          <w:p w14:paraId="1FE5CB3A" w14:textId="77777777" w:rsidR="00CE4035" w:rsidRPr="004C3B99" w:rsidRDefault="00CE4035" w:rsidP="009B753C">
            <w:pPr>
              <w:pStyle w:val="Default"/>
              <w:rPr>
                <w:lang w:val="sq-AL"/>
              </w:rPr>
            </w:pPr>
            <w:r w:rsidRPr="004C3B99">
              <w:rPr>
                <w:b/>
                <w:bCs/>
                <w:lang w:val="sq-AL"/>
              </w:rPr>
              <w:t xml:space="preserve">Veprimi lehtësues i planifikuar </w:t>
            </w:r>
          </w:p>
        </w:tc>
      </w:tr>
      <w:tr w:rsidR="00CE4035" w:rsidRPr="004C3B99" w14:paraId="6DE12B97" w14:textId="77777777" w:rsidTr="009B753C">
        <w:tc>
          <w:tcPr>
            <w:tcW w:w="2065" w:type="dxa"/>
          </w:tcPr>
          <w:p w14:paraId="4A884FCD" w14:textId="77777777" w:rsidR="00CE4035" w:rsidRPr="004C3B99" w:rsidRDefault="00CE4035" w:rsidP="009B753C">
            <w:pPr>
              <w:pStyle w:val="Default"/>
              <w:jc w:val="both"/>
              <w:rPr>
                <w:lang w:val="sq-AL"/>
              </w:rPr>
            </w:pPr>
            <w:r w:rsidRPr="004C3B99">
              <w:rPr>
                <w:lang w:val="sq-AL"/>
              </w:rPr>
              <w:t>Vonesa në zbatim</w:t>
            </w:r>
          </w:p>
        </w:tc>
        <w:tc>
          <w:tcPr>
            <w:tcW w:w="1530" w:type="dxa"/>
          </w:tcPr>
          <w:p w14:paraId="6A6A460F" w14:textId="77777777" w:rsidR="00CE4035" w:rsidRPr="004C3B99" w:rsidRDefault="00CE4035" w:rsidP="009B753C">
            <w:pPr>
              <w:pStyle w:val="Default"/>
              <w:jc w:val="both"/>
              <w:rPr>
                <w:lang w:val="sq-AL"/>
              </w:rPr>
            </w:pPr>
            <w:r w:rsidRPr="004C3B99">
              <w:rPr>
                <w:lang w:val="sq-AL"/>
              </w:rPr>
              <w:t>I  mesëm</w:t>
            </w:r>
          </w:p>
        </w:tc>
        <w:tc>
          <w:tcPr>
            <w:tcW w:w="5755" w:type="dxa"/>
          </w:tcPr>
          <w:p w14:paraId="0A0E9E72" w14:textId="77777777" w:rsidR="00CE4035" w:rsidRPr="004C3B99" w:rsidRDefault="00CE4035" w:rsidP="009B753C">
            <w:pPr>
              <w:pStyle w:val="Default"/>
              <w:jc w:val="both"/>
              <w:rPr>
                <w:color w:val="FF0000"/>
                <w:lang w:val="sq-AL"/>
              </w:rPr>
            </w:pPr>
            <w:r w:rsidRPr="004C3B99">
              <w:rPr>
                <w:lang w:val="sq-AL"/>
              </w:rPr>
              <w:t>Nënshkrimi me kohë i programeve dhe publikimi i thirrjeve për aplikim me kohë.</w:t>
            </w:r>
          </w:p>
        </w:tc>
      </w:tr>
      <w:tr w:rsidR="00CE4035" w:rsidRPr="004C3B99" w14:paraId="56740241" w14:textId="77777777" w:rsidTr="009B753C">
        <w:tc>
          <w:tcPr>
            <w:tcW w:w="2065" w:type="dxa"/>
          </w:tcPr>
          <w:p w14:paraId="72523830" w14:textId="77777777" w:rsidR="00CE4035" w:rsidRPr="004C3B99" w:rsidRDefault="00CE4035" w:rsidP="009B753C">
            <w:pPr>
              <w:pStyle w:val="Default"/>
              <w:rPr>
                <w:lang w:val="sq-AL"/>
              </w:rPr>
            </w:pPr>
            <w:r w:rsidRPr="004C3B99">
              <w:rPr>
                <w:lang w:val="sq-AL"/>
              </w:rPr>
              <w:t>Efekti i pandemisë në nivel global.</w:t>
            </w:r>
          </w:p>
        </w:tc>
        <w:tc>
          <w:tcPr>
            <w:tcW w:w="1530" w:type="dxa"/>
          </w:tcPr>
          <w:p w14:paraId="57427ED9" w14:textId="77777777" w:rsidR="00CE4035" w:rsidRPr="004C3B99" w:rsidRDefault="00CE4035" w:rsidP="009B753C">
            <w:pPr>
              <w:pStyle w:val="Default"/>
              <w:jc w:val="both"/>
              <w:rPr>
                <w:lang w:val="sq-AL"/>
              </w:rPr>
            </w:pPr>
            <w:r w:rsidRPr="004C3B99">
              <w:rPr>
                <w:lang w:val="sq-AL"/>
              </w:rPr>
              <w:t>I  lartë</w:t>
            </w:r>
          </w:p>
        </w:tc>
        <w:tc>
          <w:tcPr>
            <w:tcW w:w="5755" w:type="dxa"/>
          </w:tcPr>
          <w:p w14:paraId="2D093CF3" w14:textId="77777777" w:rsidR="00CE4035" w:rsidRPr="004C3B99" w:rsidRDefault="00CE4035" w:rsidP="009B753C">
            <w:pPr>
              <w:pStyle w:val="Default"/>
              <w:jc w:val="both"/>
              <w:rPr>
                <w:lang w:val="sq-AL"/>
              </w:rPr>
            </w:pPr>
            <w:r w:rsidRPr="004C3B99">
              <w:rPr>
                <w:lang w:val="sq-AL"/>
              </w:rPr>
              <w:t>Zbatimi i pakove të mbështetura nga Qeveria dhe stimulimi i sektorit përmes mbështetjes nga donacione të ndryshme. Përfarim i politikave në stimulim të situatës;</w:t>
            </w:r>
          </w:p>
        </w:tc>
      </w:tr>
    </w:tbl>
    <w:p w14:paraId="3B87587F" w14:textId="77777777" w:rsidR="00CE4035" w:rsidRPr="004C3B99" w:rsidRDefault="00CE4035" w:rsidP="00CE4035"/>
    <w:p w14:paraId="525AD4A8" w14:textId="77777777" w:rsidR="00CE4035" w:rsidRPr="004C3B99" w:rsidRDefault="00CE4035" w:rsidP="00CE4035">
      <w:pPr>
        <w:shd w:val="clear" w:color="auto" w:fill="9CC2E5" w:themeFill="accent1" w:themeFillTint="99"/>
        <w:jc w:val="both"/>
        <w:rPr>
          <w:b/>
          <w:bCs/>
          <w:spacing w:val="-1"/>
        </w:rPr>
      </w:pPr>
      <w:r w:rsidRPr="004C3B99">
        <w:rPr>
          <w:b/>
          <w:bCs/>
        </w:rPr>
        <w:t xml:space="preserve">Masa e reformës #4: </w:t>
      </w:r>
      <w:r w:rsidRPr="004C3B99">
        <w:rPr>
          <w:b/>
          <w:bCs/>
          <w:spacing w:val="-1"/>
        </w:rPr>
        <w:t>Rritja e konkurrueshmërisë në industrinë prodhuese</w:t>
      </w:r>
    </w:p>
    <w:p w14:paraId="019D06AE" w14:textId="77777777" w:rsidR="00CE4035" w:rsidRPr="004C3B99" w:rsidRDefault="00CE4035" w:rsidP="00CE4035">
      <w:pPr>
        <w:jc w:val="both"/>
        <w:rPr>
          <w:bCs/>
        </w:rPr>
      </w:pPr>
      <w:r w:rsidRPr="004C3B99">
        <w:rPr>
          <w:b/>
          <w:bCs/>
        </w:rPr>
        <w:t>Përshkrimi i masës:</w:t>
      </w:r>
      <w:r w:rsidRPr="004C3B99">
        <w:rPr>
          <w:bCs/>
        </w:rPr>
        <w:t xml:space="preserve"> Masa do të ndihmon që të krijojmë një politikë më të koordinuar për zhvillimin e industrisë, në tërë zingjirin e furnizimit, në asistimin e industrisë përpunuese, rritjen e konkurrueshmërisë dhe ndërkombëtarizimin e NVM-ve. Masa do të përkrah NVM-të që të mund të rriten dhe të kalojnë në aktivitete me vlerë të shtuar  dhe të prodhojnë mallra të tregëtueshme për eksport, ofron lehtësim në qasje në financa për NVM-të, përkrahje në përmirësimin e standardeve të cilësisë dhe rritjen e nivelit të Investimeve të Huaja Direkte (IHD) dhe të diasporës. </w:t>
      </w:r>
    </w:p>
    <w:p w14:paraId="0015E5EE" w14:textId="77777777" w:rsidR="00CE4035" w:rsidRPr="004C3B99" w:rsidRDefault="00CE4035" w:rsidP="00CE4035">
      <w:pPr>
        <w:jc w:val="both"/>
        <w:rPr>
          <w:bCs/>
        </w:rPr>
      </w:pPr>
      <w:r w:rsidRPr="004C3B99">
        <w:rPr>
          <w:bCs/>
        </w:rPr>
        <w:t>Masa është në linjë me Strategjinë Kombëtare për Zhvillim 2016–2021 (SKZH), PKZMSA-së - Kapitulli 20,  Programin e Qeverisë 20-23, Plani Kombëtar për rimëkëmbje ekonomike 2020-2021 për lehtësimin e pasojave nga pandemia – COVID 19, si dhe Kornizën Afatmesme të Shpenzimeve KASH 2021-2023. Përmes mbështetjes për industrinë dhe aktivitetet e prodhim</w:t>
      </w:r>
      <w:r>
        <w:rPr>
          <w:bCs/>
        </w:rPr>
        <w:t>it, masa është në përputhje me O</w:t>
      </w:r>
      <w:r w:rsidRPr="004C3B99">
        <w:rPr>
          <w:bCs/>
        </w:rPr>
        <w:t xml:space="preserve">ZHQ 9 (Industria, Inovacioni dhe Infrastruktura). Lidhur me zonën e Industrisë së Qëndrueshme të Marrëveshjes së Gjelbër, masa është pjesërisht në përputhje, me synime për modernizimin e teknologjisë së prodhimit për të zvogëluar ndotjen. Masa është vazhdimësi e masës së PRE 2020-2022. Një numër i aktiviteteve të planifikuara në vitin 2020, nuk janë realizuar për shkak të gjendjes me pandeminë dhe do të përsëriten  në vitin 2021. </w:t>
      </w:r>
    </w:p>
    <w:p w14:paraId="63228F16" w14:textId="77777777" w:rsidR="00CE4035" w:rsidRDefault="00CE4035" w:rsidP="00CE4035">
      <w:pPr>
        <w:jc w:val="both"/>
        <w:rPr>
          <w:b/>
          <w:bCs/>
        </w:rPr>
      </w:pPr>
    </w:p>
    <w:p w14:paraId="3FD82A1A" w14:textId="77777777" w:rsidR="00CE4035" w:rsidRPr="004C3B99" w:rsidRDefault="00CE4035" w:rsidP="00CE4035">
      <w:pPr>
        <w:jc w:val="both"/>
        <w:rPr>
          <w:b/>
          <w:bCs/>
        </w:rPr>
      </w:pPr>
      <w:r w:rsidRPr="004C3B99">
        <w:rPr>
          <w:b/>
          <w:bCs/>
        </w:rPr>
        <w:t>a. Aktivitetet e planifikuara për 2021:</w:t>
      </w:r>
    </w:p>
    <w:p w14:paraId="62D3F25F" w14:textId="77777777" w:rsidR="00CE4035" w:rsidRPr="005116BD" w:rsidRDefault="00CE4035" w:rsidP="0068706C">
      <w:pPr>
        <w:pStyle w:val="Default"/>
        <w:numPr>
          <w:ilvl w:val="0"/>
          <w:numId w:val="72"/>
        </w:numPr>
        <w:jc w:val="both"/>
        <w:rPr>
          <w:rFonts w:ascii="Times New Roman" w:hAnsi="Times New Roman" w:cs="Times New Roman"/>
          <w:lang w:val="sq-AL"/>
        </w:rPr>
      </w:pPr>
      <w:r w:rsidRPr="005116BD">
        <w:rPr>
          <w:rFonts w:ascii="Times New Roman" w:hAnsi="Times New Roman" w:cs="Times New Roman"/>
          <w:bCs/>
          <w:lang w:val="sq-AL"/>
        </w:rPr>
        <w:t xml:space="preserve">Hartimi dhe miratimi i Strategjisë për Zhvillimin Industrial (Politika Industriale);  </w:t>
      </w:r>
      <w:r w:rsidRPr="005116BD">
        <w:rPr>
          <w:rFonts w:ascii="Times New Roman" w:hAnsi="Times New Roman" w:cs="Times New Roman"/>
          <w:lang w:val="sq-AL"/>
        </w:rPr>
        <w:t xml:space="preserve"> </w:t>
      </w:r>
    </w:p>
    <w:p w14:paraId="780618ED" w14:textId="77777777" w:rsidR="00CE4035" w:rsidRPr="005116BD" w:rsidRDefault="00CE4035" w:rsidP="0068706C">
      <w:pPr>
        <w:pStyle w:val="Default"/>
        <w:numPr>
          <w:ilvl w:val="0"/>
          <w:numId w:val="72"/>
        </w:numPr>
        <w:jc w:val="both"/>
        <w:rPr>
          <w:rFonts w:ascii="Times New Roman" w:hAnsi="Times New Roman" w:cs="Times New Roman"/>
          <w:lang w:val="sq-AL"/>
        </w:rPr>
      </w:pPr>
      <w:r w:rsidRPr="005116BD">
        <w:rPr>
          <w:rFonts w:ascii="Times New Roman" w:hAnsi="Times New Roman" w:cs="Times New Roman"/>
          <w:lang w:val="sq-AL"/>
        </w:rPr>
        <w:t xml:space="preserve">Përfundimi i studimit të zingjirit të vlerës për sektorin e tekstilit (MTI); </w:t>
      </w:r>
    </w:p>
    <w:p w14:paraId="1CF723F3" w14:textId="77777777" w:rsidR="00CE4035" w:rsidRPr="005116BD" w:rsidRDefault="00CE4035" w:rsidP="0068706C">
      <w:pPr>
        <w:pStyle w:val="Default"/>
        <w:numPr>
          <w:ilvl w:val="0"/>
          <w:numId w:val="72"/>
        </w:numPr>
        <w:jc w:val="both"/>
        <w:rPr>
          <w:rFonts w:ascii="Times New Roman" w:hAnsi="Times New Roman" w:cs="Times New Roman"/>
          <w:lang w:val="sq-AL"/>
        </w:rPr>
      </w:pPr>
      <w:r w:rsidRPr="005116BD">
        <w:rPr>
          <w:rFonts w:ascii="Times New Roman" w:hAnsi="Times New Roman" w:cs="Times New Roman"/>
          <w:lang w:val="sq-AL"/>
        </w:rPr>
        <w:t xml:space="preserve">Përkrahja profesionale për së paku 40 biznese përmes programit të digjitalizimit/transformimit digjital të NVM-ve (KIESA); </w:t>
      </w:r>
    </w:p>
    <w:p w14:paraId="502AF1D3" w14:textId="77777777" w:rsidR="00CE4035" w:rsidRPr="005116BD" w:rsidRDefault="00CE4035" w:rsidP="0068706C">
      <w:pPr>
        <w:pStyle w:val="Default"/>
        <w:numPr>
          <w:ilvl w:val="0"/>
          <w:numId w:val="72"/>
        </w:numPr>
        <w:jc w:val="both"/>
        <w:rPr>
          <w:rFonts w:ascii="Times New Roman" w:hAnsi="Times New Roman" w:cs="Times New Roman"/>
          <w:lang w:val="sq-AL"/>
        </w:rPr>
      </w:pPr>
      <w:r w:rsidRPr="005116BD">
        <w:rPr>
          <w:rFonts w:ascii="Times New Roman" w:hAnsi="Times New Roman" w:cs="Times New Roman"/>
          <w:lang w:val="sq-AL"/>
        </w:rPr>
        <w:t>Përkrahja financiare e 25 NVM-ve prodhuese dhe shërbyese, me pajisje dhe makineri për automatizim të proceseve, si dhe teknologji të re (KIESA);</w:t>
      </w:r>
    </w:p>
    <w:p w14:paraId="1A8C0F9C" w14:textId="77777777" w:rsidR="00CE4035" w:rsidRPr="005116BD" w:rsidRDefault="00CE4035" w:rsidP="0068706C">
      <w:pPr>
        <w:pStyle w:val="Default"/>
        <w:numPr>
          <w:ilvl w:val="0"/>
          <w:numId w:val="72"/>
        </w:numPr>
        <w:jc w:val="both"/>
        <w:rPr>
          <w:rFonts w:ascii="Times New Roman" w:hAnsi="Times New Roman" w:cs="Times New Roman"/>
          <w:lang w:val="sq-AL"/>
        </w:rPr>
      </w:pPr>
      <w:r w:rsidRPr="005116BD">
        <w:rPr>
          <w:rFonts w:ascii="Times New Roman" w:hAnsi="Times New Roman" w:cs="Times New Roman"/>
          <w:lang w:val="sq-AL"/>
        </w:rPr>
        <w:t>Subvencionimi i  30 NVM-ve në certifikimin e produkteve dhe në ofrimin e këshillimeve me qëllim të rritjes së konkurueshmërisë,  eksportit, dhe produktivitetit (KIESA);</w:t>
      </w:r>
    </w:p>
    <w:p w14:paraId="0A3F92FD" w14:textId="77777777" w:rsidR="00CE4035" w:rsidRPr="005116BD" w:rsidRDefault="00CE4035" w:rsidP="0068706C">
      <w:pPr>
        <w:pStyle w:val="Default"/>
        <w:numPr>
          <w:ilvl w:val="0"/>
          <w:numId w:val="72"/>
        </w:numPr>
        <w:jc w:val="both"/>
        <w:rPr>
          <w:rFonts w:ascii="Times New Roman" w:hAnsi="Times New Roman" w:cs="Times New Roman"/>
          <w:lang w:val="sq-AL"/>
        </w:rPr>
      </w:pPr>
      <w:r w:rsidRPr="005116BD">
        <w:rPr>
          <w:rFonts w:ascii="Times New Roman" w:hAnsi="Times New Roman" w:cs="Times New Roman"/>
          <w:lang w:val="sq-AL"/>
        </w:rPr>
        <w:t>Ngritja e potencialit për eksport nëpërmjet përkrahjes financiare të 70 kompanive prodhuese me potencial eksportues nga Kosova në 10 Panaire ndërkombëtare, me qëllim të zgjerimit të tregut dhe krijimit të lidhjeve me kompanitë ndërkombëtare (KIESA);</w:t>
      </w:r>
    </w:p>
    <w:p w14:paraId="43F6BA0B" w14:textId="77777777" w:rsidR="00CE4035" w:rsidRPr="005116BD" w:rsidRDefault="00CE4035" w:rsidP="0068706C">
      <w:pPr>
        <w:pStyle w:val="Default"/>
        <w:numPr>
          <w:ilvl w:val="0"/>
          <w:numId w:val="72"/>
        </w:numPr>
        <w:jc w:val="both"/>
        <w:rPr>
          <w:rFonts w:ascii="Times New Roman" w:hAnsi="Times New Roman" w:cs="Times New Roman"/>
          <w:lang w:val="sq-AL"/>
        </w:rPr>
      </w:pPr>
      <w:r w:rsidRPr="005116BD">
        <w:rPr>
          <w:rFonts w:ascii="Times New Roman" w:hAnsi="Times New Roman" w:cs="Times New Roman"/>
          <w:lang w:val="sq-AL"/>
        </w:rPr>
        <w:t>Ndërtimi i infrastrukturës fizike të tri zonave ekonomike, respektivisht të parqeve të biznesit (Suhareke, Viti dhe Lipjan) (KIESA).</w:t>
      </w:r>
    </w:p>
    <w:p w14:paraId="6B4C126F" w14:textId="77777777" w:rsidR="00CE4035" w:rsidRPr="004C3B99" w:rsidRDefault="00CE4035" w:rsidP="00CE4035">
      <w:pPr>
        <w:pStyle w:val="Default"/>
        <w:ind w:left="720"/>
        <w:rPr>
          <w:lang w:val="sq-AL"/>
        </w:rPr>
      </w:pPr>
    </w:p>
    <w:p w14:paraId="606C0F61" w14:textId="77777777" w:rsidR="00CE4035" w:rsidRPr="004C3B99" w:rsidRDefault="00CE4035" w:rsidP="00CE4035">
      <w:pPr>
        <w:rPr>
          <w:b/>
          <w:bCs/>
        </w:rPr>
      </w:pPr>
      <w:r w:rsidRPr="004C3B99">
        <w:rPr>
          <w:b/>
          <w:bCs/>
        </w:rPr>
        <w:t>b. Aktivitetet e planifikuara për 2022:</w:t>
      </w:r>
    </w:p>
    <w:p w14:paraId="2C96DB2D" w14:textId="77777777" w:rsidR="00CE4035" w:rsidRPr="005116BD" w:rsidRDefault="00CE4035" w:rsidP="0068706C">
      <w:pPr>
        <w:pStyle w:val="Default"/>
        <w:numPr>
          <w:ilvl w:val="0"/>
          <w:numId w:val="71"/>
        </w:numPr>
        <w:jc w:val="both"/>
        <w:rPr>
          <w:rFonts w:ascii="Times New Roman" w:hAnsi="Times New Roman" w:cs="Times New Roman"/>
          <w:lang w:val="sq-AL"/>
        </w:rPr>
      </w:pPr>
      <w:r w:rsidRPr="005116BD">
        <w:rPr>
          <w:rFonts w:ascii="Times New Roman" w:hAnsi="Times New Roman" w:cs="Times New Roman"/>
          <w:lang w:val="sq-AL"/>
        </w:rPr>
        <w:t>Përfundimi i studimit të zingjirit të vlerës për industrinë kimike</w:t>
      </w:r>
      <w:r w:rsidRPr="005116BD" w:rsidDel="003B2381">
        <w:rPr>
          <w:rFonts w:ascii="Times New Roman" w:hAnsi="Times New Roman" w:cs="Times New Roman"/>
          <w:lang w:val="sq-AL"/>
        </w:rPr>
        <w:t xml:space="preserve"> </w:t>
      </w:r>
      <w:r w:rsidRPr="005116BD">
        <w:rPr>
          <w:rFonts w:ascii="Times New Roman" w:hAnsi="Times New Roman" w:cs="Times New Roman"/>
          <w:lang w:val="sq-AL"/>
        </w:rPr>
        <w:t>dhe krijimi i data-bazës për sektorin e përzgjedhur (MTI);</w:t>
      </w:r>
    </w:p>
    <w:p w14:paraId="32630625" w14:textId="77777777" w:rsidR="00CE4035" w:rsidRPr="005116BD" w:rsidRDefault="00CE4035" w:rsidP="0068706C">
      <w:pPr>
        <w:pStyle w:val="Default"/>
        <w:numPr>
          <w:ilvl w:val="0"/>
          <w:numId w:val="71"/>
        </w:numPr>
        <w:jc w:val="both"/>
        <w:rPr>
          <w:rFonts w:ascii="Times New Roman" w:hAnsi="Times New Roman" w:cs="Times New Roman"/>
          <w:lang w:val="sq-AL"/>
        </w:rPr>
      </w:pPr>
      <w:r w:rsidRPr="005116BD">
        <w:rPr>
          <w:rFonts w:ascii="Times New Roman" w:hAnsi="Times New Roman" w:cs="Times New Roman"/>
          <w:lang w:val="sq-AL"/>
        </w:rPr>
        <w:t>Ngritja e potencialit për eksport nëpërmjet përkrahjes financiare të 70 kompanive prodhuese me potencial eksportues nga Kosova në 10 Panaire ndërkombëtare, me qëllim të zgjerimit të tregut dhe krijimit të lidhjeve me kompanitë ndërkombëtare (KIESA);</w:t>
      </w:r>
    </w:p>
    <w:p w14:paraId="1BEF8725" w14:textId="77777777" w:rsidR="00CE4035" w:rsidRPr="005116BD" w:rsidRDefault="00CE4035" w:rsidP="0068706C">
      <w:pPr>
        <w:pStyle w:val="Default"/>
        <w:numPr>
          <w:ilvl w:val="0"/>
          <w:numId w:val="71"/>
        </w:numPr>
        <w:jc w:val="both"/>
        <w:rPr>
          <w:rFonts w:ascii="Times New Roman" w:hAnsi="Times New Roman" w:cs="Times New Roman"/>
          <w:lang w:val="sq-AL"/>
        </w:rPr>
      </w:pPr>
      <w:r w:rsidRPr="005116BD">
        <w:rPr>
          <w:rFonts w:ascii="Times New Roman" w:hAnsi="Times New Roman" w:cs="Times New Roman"/>
          <w:lang w:val="sq-AL"/>
        </w:rPr>
        <w:t>Subvencionimi i  15 NVM-ve në certifikimin e produkteve dhe në ofrimin e këshillimeve me qëllim të rritjes së konkurueshmërisë,  eksportit, dhe produktivitetit (KIESA);</w:t>
      </w:r>
    </w:p>
    <w:p w14:paraId="4F2057C7" w14:textId="77777777" w:rsidR="00CE4035" w:rsidRPr="005116BD" w:rsidRDefault="00CE4035" w:rsidP="0068706C">
      <w:pPr>
        <w:pStyle w:val="Default"/>
        <w:numPr>
          <w:ilvl w:val="0"/>
          <w:numId w:val="71"/>
        </w:numPr>
        <w:jc w:val="both"/>
        <w:rPr>
          <w:rFonts w:ascii="Times New Roman" w:hAnsi="Times New Roman" w:cs="Times New Roman"/>
          <w:lang w:val="sq-AL"/>
        </w:rPr>
      </w:pPr>
      <w:r w:rsidRPr="005116BD">
        <w:rPr>
          <w:rFonts w:ascii="Times New Roman" w:hAnsi="Times New Roman" w:cs="Times New Roman"/>
          <w:lang w:val="sq-AL"/>
        </w:rPr>
        <w:t>Përkrahja financiare e 20 NVM-ve prodhuese dhe shërbyese, me pajisje dhe makineri për automatizim të proceseve, si dhe teknologji të re (KIESA);</w:t>
      </w:r>
    </w:p>
    <w:p w14:paraId="26D4561F" w14:textId="77777777" w:rsidR="00CE4035" w:rsidRPr="005116BD" w:rsidRDefault="00CE4035" w:rsidP="0068706C">
      <w:pPr>
        <w:pStyle w:val="Default"/>
        <w:numPr>
          <w:ilvl w:val="0"/>
          <w:numId w:val="71"/>
        </w:numPr>
        <w:jc w:val="both"/>
        <w:rPr>
          <w:rFonts w:ascii="Times New Roman" w:hAnsi="Times New Roman" w:cs="Times New Roman"/>
          <w:lang w:val="sq-AL"/>
        </w:rPr>
      </w:pPr>
      <w:r w:rsidRPr="005116BD">
        <w:rPr>
          <w:rFonts w:ascii="Times New Roman" w:hAnsi="Times New Roman" w:cs="Times New Roman"/>
          <w:lang w:val="sq-AL"/>
        </w:rPr>
        <w:t>Ndërtimi i infrastrukturës fizike të tri zonave ekonomike, respektivisht të parqeve të biznesit (Skenderaj, Rahovec dhe vazhdon asistenca për Lipjan) (KIESA).</w:t>
      </w:r>
    </w:p>
    <w:p w14:paraId="3AF89B29" w14:textId="77777777" w:rsidR="00CE4035" w:rsidRPr="004C3B99" w:rsidRDefault="00CE4035" w:rsidP="00CE4035">
      <w:pPr>
        <w:pStyle w:val="Default"/>
        <w:ind w:left="346"/>
        <w:jc w:val="both"/>
        <w:rPr>
          <w:lang w:val="sq-AL"/>
        </w:rPr>
      </w:pPr>
    </w:p>
    <w:p w14:paraId="6E653AB3" w14:textId="77777777" w:rsidR="00CE4035" w:rsidRPr="004C3B99" w:rsidRDefault="00CE4035" w:rsidP="00CE4035">
      <w:pPr>
        <w:rPr>
          <w:b/>
          <w:bCs/>
        </w:rPr>
      </w:pPr>
      <w:r w:rsidRPr="004C3B99">
        <w:rPr>
          <w:b/>
          <w:bCs/>
        </w:rPr>
        <w:t>c. Aktivitetet e planifikuara për 2023:</w:t>
      </w:r>
    </w:p>
    <w:p w14:paraId="3C89D7D1" w14:textId="77777777" w:rsidR="00CE4035" w:rsidRPr="005116BD" w:rsidRDefault="00CE4035" w:rsidP="0068706C">
      <w:pPr>
        <w:pStyle w:val="Default"/>
        <w:numPr>
          <w:ilvl w:val="0"/>
          <w:numId w:val="73"/>
        </w:numPr>
        <w:ind w:left="360"/>
        <w:jc w:val="both"/>
        <w:rPr>
          <w:rFonts w:ascii="Times New Roman" w:hAnsi="Times New Roman" w:cs="Times New Roman"/>
          <w:lang w:val="sq-AL"/>
        </w:rPr>
      </w:pPr>
      <w:r w:rsidRPr="005116BD">
        <w:rPr>
          <w:rFonts w:ascii="Times New Roman" w:hAnsi="Times New Roman" w:cs="Times New Roman"/>
          <w:lang w:val="sq-AL"/>
        </w:rPr>
        <w:t>Përfundimi i studimit të zingjirit të vlerës për njërin nga sektorët industrial dhe krijimi i data-bazës për sektorin e përzgjedhur (MTI);</w:t>
      </w:r>
    </w:p>
    <w:p w14:paraId="0F295142" w14:textId="77777777" w:rsidR="00CE4035" w:rsidRPr="005116BD" w:rsidRDefault="00CE4035" w:rsidP="0068706C">
      <w:pPr>
        <w:pStyle w:val="Default"/>
        <w:numPr>
          <w:ilvl w:val="0"/>
          <w:numId w:val="73"/>
        </w:numPr>
        <w:ind w:left="360"/>
        <w:jc w:val="both"/>
        <w:rPr>
          <w:rFonts w:ascii="Times New Roman" w:hAnsi="Times New Roman" w:cs="Times New Roman"/>
          <w:lang w:val="sq-AL"/>
        </w:rPr>
      </w:pPr>
      <w:r w:rsidRPr="005116BD">
        <w:rPr>
          <w:rFonts w:ascii="Times New Roman" w:hAnsi="Times New Roman" w:cs="Times New Roman"/>
          <w:lang w:val="sq-AL"/>
        </w:rPr>
        <w:t>Ngritja e potencialit për eksport nëpërmjet përkrahjes financiare të 70 kompanive prodhuese me potencial eksportues nga Kosova në 10 Panaire ndërkombëtare, me qëllim të zgjerimit të tregut dhe krijimit të lidhjeve me kompanitë ndërkombëtare (KIESA);</w:t>
      </w:r>
    </w:p>
    <w:p w14:paraId="3F1F0CC5" w14:textId="77777777" w:rsidR="00CE4035" w:rsidRPr="005116BD" w:rsidRDefault="00CE4035" w:rsidP="0068706C">
      <w:pPr>
        <w:pStyle w:val="Default"/>
        <w:numPr>
          <w:ilvl w:val="0"/>
          <w:numId w:val="73"/>
        </w:numPr>
        <w:ind w:left="360"/>
        <w:jc w:val="both"/>
        <w:rPr>
          <w:rFonts w:ascii="Times New Roman" w:hAnsi="Times New Roman" w:cs="Times New Roman"/>
          <w:lang w:val="sq-AL"/>
        </w:rPr>
      </w:pPr>
      <w:r w:rsidRPr="005116BD">
        <w:rPr>
          <w:rFonts w:ascii="Times New Roman" w:hAnsi="Times New Roman" w:cs="Times New Roman"/>
          <w:lang w:val="sq-AL"/>
        </w:rPr>
        <w:t>Subvencionimi i  15 NVM-ve në certifikimin e produkteve dhe në ofrimin e këshillimeve me qëllim të rritjes së konkurueshmërisë,  eksportit, dhe produktivitetit (KIESA);</w:t>
      </w:r>
    </w:p>
    <w:p w14:paraId="2539B976" w14:textId="77777777" w:rsidR="00CE4035" w:rsidRPr="005116BD" w:rsidRDefault="00CE4035" w:rsidP="0068706C">
      <w:pPr>
        <w:pStyle w:val="Default"/>
        <w:numPr>
          <w:ilvl w:val="0"/>
          <w:numId w:val="73"/>
        </w:numPr>
        <w:ind w:left="360"/>
        <w:jc w:val="both"/>
        <w:rPr>
          <w:rFonts w:ascii="Times New Roman" w:hAnsi="Times New Roman" w:cs="Times New Roman"/>
          <w:lang w:val="sq-AL"/>
        </w:rPr>
      </w:pPr>
      <w:r w:rsidRPr="005116BD">
        <w:rPr>
          <w:rFonts w:ascii="Times New Roman" w:hAnsi="Times New Roman" w:cs="Times New Roman"/>
          <w:lang w:val="sq-AL"/>
        </w:rPr>
        <w:t xml:space="preserve">Përkrahja financiare e 20 NVM-ve prodhuese dhe shërbyese, me pajisje dhe makineri për automatizim të proceseve, si dhe teknologji të re (KIESA); </w:t>
      </w:r>
    </w:p>
    <w:p w14:paraId="328C99D1" w14:textId="77777777" w:rsidR="00CE4035" w:rsidRPr="005116BD" w:rsidRDefault="00CE4035" w:rsidP="0068706C">
      <w:pPr>
        <w:pStyle w:val="Default"/>
        <w:numPr>
          <w:ilvl w:val="0"/>
          <w:numId w:val="73"/>
        </w:numPr>
        <w:ind w:left="360"/>
        <w:jc w:val="both"/>
        <w:rPr>
          <w:rFonts w:ascii="Times New Roman" w:hAnsi="Times New Roman" w:cs="Times New Roman"/>
          <w:lang w:val="sq-AL"/>
        </w:rPr>
      </w:pPr>
      <w:r w:rsidRPr="005116BD">
        <w:rPr>
          <w:rFonts w:ascii="Times New Roman" w:hAnsi="Times New Roman" w:cs="Times New Roman"/>
          <w:lang w:val="sq-AL"/>
        </w:rPr>
        <w:t>Ndërtimi i infrastrukturës fizike të dy zonave ekonomike, respektivisht të parqeve të biznesit (Skenderaj dhe Rahovec) (KIESA).</w:t>
      </w:r>
    </w:p>
    <w:p w14:paraId="56F5B85F" w14:textId="77777777" w:rsidR="00CE4035" w:rsidRDefault="00CE4035" w:rsidP="00CE4035">
      <w:pPr>
        <w:rPr>
          <w:b/>
        </w:rPr>
      </w:pPr>
    </w:p>
    <w:p w14:paraId="2BAEFF5C" w14:textId="77777777" w:rsidR="00CE4035" w:rsidRPr="004C3B99" w:rsidRDefault="00CE4035" w:rsidP="00CE4035">
      <w:pPr>
        <w:rPr>
          <w:b/>
          <w:bCs/>
        </w:rPr>
      </w:pPr>
      <w:r w:rsidRPr="004C3B99">
        <w:rPr>
          <w:b/>
        </w:rPr>
        <w:t>Treguesit e rezultateve</w:t>
      </w:r>
      <w:r w:rsidRPr="004C3B99">
        <w:rPr>
          <w:b/>
          <w:bCs/>
        </w:rPr>
        <w:t xml:space="preserve">: </w:t>
      </w:r>
    </w:p>
    <w:tbl>
      <w:tblPr>
        <w:tblpPr w:leftFromText="180" w:rightFromText="180" w:vertAnchor="text" w:horzAnchor="margin" w:tblpY="168"/>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5"/>
        <w:gridCol w:w="1080"/>
        <w:gridCol w:w="1440"/>
        <w:gridCol w:w="1260"/>
      </w:tblGrid>
      <w:tr w:rsidR="00CE4035" w:rsidRPr="004C3B99" w14:paraId="41BF91EA" w14:textId="77777777" w:rsidTr="005116BD">
        <w:trPr>
          <w:trHeight w:val="528"/>
        </w:trPr>
        <w:tc>
          <w:tcPr>
            <w:tcW w:w="4855" w:type="dxa"/>
            <w:shd w:val="clear" w:color="auto" w:fill="auto"/>
          </w:tcPr>
          <w:p w14:paraId="73874702" w14:textId="77777777" w:rsidR="00CE4035" w:rsidRPr="005116BD" w:rsidRDefault="00CE4035" w:rsidP="009B753C">
            <w:pPr>
              <w:pStyle w:val="Default"/>
              <w:jc w:val="center"/>
              <w:rPr>
                <w:rFonts w:ascii="Times New Roman" w:hAnsi="Times New Roman" w:cs="Times New Roman"/>
                <w:b/>
                <w:color w:val="auto"/>
                <w:lang w:val="sq-AL"/>
              </w:rPr>
            </w:pPr>
            <w:r w:rsidRPr="005116BD">
              <w:rPr>
                <w:rFonts w:ascii="Times New Roman" w:hAnsi="Times New Roman" w:cs="Times New Roman"/>
                <w:b/>
                <w:color w:val="auto"/>
                <w:lang w:val="sq-AL"/>
              </w:rPr>
              <w:t>Treguesi</w:t>
            </w:r>
          </w:p>
        </w:tc>
        <w:tc>
          <w:tcPr>
            <w:tcW w:w="1080" w:type="dxa"/>
            <w:shd w:val="clear" w:color="auto" w:fill="auto"/>
          </w:tcPr>
          <w:p w14:paraId="27BC08B8" w14:textId="77777777" w:rsidR="00CE4035" w:rsidRPr="005116BD" w:rsidRDefault="00CE4035" w:rsidP="009B753C">
            <w:pPr>
              <w:pStyle w:val="Default"/>
              <w:jc w:val="center"/>
              <w:rPr>
                <w:rFonts w:ascii="Times New Roman" w:hAnsi="Times New Roman" w:cs="Times New Roman"/>
                <w:b/>
                <w:color w:val="auto"/>
                <w:lang w:val="sq-AL"/>
              </w:rPr>
            </w:pPr>
            <w:r w:rsidRPr="005116BD">
              <w:rPr>
                <w:rFonts w:ascii="Times New Roman" w:hAnsi="Times New Roman" w:cs="Times New Roman"/>
                <w:b/>
                <w:color w:val="auto"/>
                <w:lang w:val="sq-AL"/>
              </w:rPr>
              <w:t>Baza 2019</w:t>
            </w:r>
          </w:p>
          <w:p w14:paraId="73A75162" w14:textId="77777777" w:rsidR="00CE4035" w:rsidRPr="005116BD" w:rsidRDefault="00CE4035" w:rsidP="009B753C">
            <w:pPr>
              <w:pStyle w:val="Default"/>
              <w:jc w:val="center"/>
              <w:rPr>
                <w:rFonts w:ascii="Times New Roman" w:hAnsi="Times New Roman" w:cs="Times New Roman"/>
                <w:b/>
                <w:color w:val="auto"/>
                <w:lang w:val="sq-AL"/>
              </w:rPr>
            </w:pPr>
          </w:p>
        </w:tc>
        <w:tc>
          <w:tcPr>
            <w:tcW w:w="1440" w:type="dxa"/>
            <w:shd w:val="clear" w:color="auto" w:fill="auto"/>
          </w:tcPr>
          <w:p w14:paraId="74EA14EF" w14:textId="77777777" w:rsidR="00CE4035" w:rsidRPr="005116BD" w:rsidRDefault="00CE4035" w:rsidP="009B753C">
            <w:pPr>
              <w:pStyle w:val="Default"/>
              <w:jc w:val="center"/>
              <w:rPr>
                <w:rFonts w:ascii="Times New Roman" w:hAnsi="Times New Roman" w:cs="Times New Roman"/>
                <w:b/>
                <w:color w:val="auto"/>
                <w:lang w:val="sq-AL"/>
              </w:rPr>
            </w:pPr>
            <w:r w:rsidRPr="005116BD">
              <w:rPr>
                <w:rFonts w:ascii="Times New Roman" w:hAnsi="Times New Roman" w:cs="Times New Roman"/>
                <w:b/>
                <w:color w:val="auto"/>
                <w:lang w:val="sq-AL"/>
              </w:rPr>
              <w:t>Treguesi i ndërmjetëm 2021</w:t>
            </w:r>
          </w:p>
        </w:tc>
        <w:tc>
          <w:tcPr>
            <w:tcW w:w="1260" w:type="dxa"/>
            <w:shd w:val="clear" w:color="auto" w:fill="auto"/>
          </w:tcPr>
          <w:p w14:paraId="53320A3C" w14:textId="77777777" w:rsidR="00CE4035" w:rsidRPr="005116BD" w:rsidRDefault="00CE4035" w:rsidP="009B753C">
            <w:pPr>
              <w:pStyle w:val="Default"/>
              <w:jc w:val="center"/>
              <w:rPr>
                <w:rFonts w:ascii="Times New Roman" w:hAnsi="Times New Roman" w:cs="Times New Roman"/>
                <w:b/>
                <w:color w:val="auto"/>
                <w:lang w:val="sq-AL"/>
              </w:rPr>
            </w:pPr>
            <w:r w:rsidRPr="005116BD">
              <w:rPr>
                <w:rFonts w:ascii="Times New Roman" w:hAnsi="Times New Roman" w:cs="Times New Roman"/>
                <w:b/>
                <w:color w:val="auto"/>
                <w:lang w:val="sq-AL"/>
              </w:rPr>
              <w:t>Synimi 2023</w:t>
            </w:r>
          </w:p>
        </w:tc>
      </w:tr>
      <w:tr w:rsidR="00CE4035" w:rsidRPr="004C3B99" w14:paraId="7AC1A514" w14:textId="77777777" w:rsidTr="005116BD">
        <w:trPr>
          <w:trHeight w:val="593"/>
        </w:trPr>
        <w:tc>
          <w:tcPr>
            <w:tcW w:w="4855" w:type="dxa"/>
            <w:shd w:val="clear" w:color="auto" w:fill="auto"/>
          </w:tcPr>
          <w:p w14:paraId="6D4D89FC" w14:textId="77777777" w:rsidR="00CE4035" w:rsidRPr="005116BD" w:rsidRDefault="00CE4035" w:rsidP="009B753C">
            <w:pPr>
              <w:pStyle w:val="Default"/>
              <w:jc w:val="both"/>
              <w:rPr>
                <w:rFonts w:ascii="Times New Roman" w:hAnsi="Times New Roman" w:cs="Times New Roman"/>
                <w:lang w:val="sq-AL"/>
              </w:rPr>
            </w:pPr>
            <w:r w:rsidRPr="005116BD">
              <w:rPr>
                <w:rFonts w:ascii="Times New Roman" w:hAnsi="Times New Roman" w:cs="Times New Roman"/>
                <w:color w:val="auto"/>
                <w:lang w:val="sq-AL"/>
              </w:rPr>
              <w:t>Pjesëmarrja e BVSH (MVD), të Industrisë Përpunuese në BPV, me çmime aktuale (%)</w:t>
            </w:r>
          </w:p>
        </w:tc>
        <w:tc>
          <w:tcPr>
            <w:tcW w:w="1080" w:type="dxa"/>
            <w:shd w:val="clear" w:color="auto" w:fill="auto"/>
            <w:vAlign w:val="center"/>
          </w:tcPr>
          <w:p w14:paraId="52B3696E" w14:textId="77777777" w:rsidR="00CE4035" w:rsidRPr="005116BD" w:rsidRDefault="00CE4035" w:rsidP="009B753C">
            <w:pPr>
              <w:pStyle w:val="Default"/>
              <w:jc w:val="center"/>
              <w:rPr>
                <w:rFonts w:ascii="Times New Roman" w:hAnsi="Times New Roman" w:cs="Times New Roman"/>
                <w:lang w:val="sq-AL"/>
              </w:rPr>
            </w:pPr>
          </w:p>
          <w:p w14:paraId="47E0758E" w14:textId="77777777" w:rsidR="00CE4035" w:rsidRPr="005116BD" w:rsidRDefault="00CE4035" w:rsidP="009B753C">
            <w:pPr>
              <w:pStyle w:val="Default"/>
              <w:jc w:val="center"/>
              <w:rPr>
                <w:rFonts w:ascii="Times New Roman" w:hAnsi="Times New Roman" w:cs="Times New Roman"/>
                <w:lang w:val="sq-AL"/>
              </w:rPr>
            </w:pPr>
            <w:r w:rsidRPr="005116BD">
              <w:rPr>
                <w:rFonts w:ascii="Times New Roman" w:hAnsi="Times New Roman" w:cs="Times New Roman"/>
                <w:lang w:val="sq-AL"/>
              </w:rPr>
              <w:t>11.67%</w:t>
            </w:r>
          </w:p>
        </w:tc>
        <w:tc>
          <w:tcPr>
            <w:tcW w:w="1440" w:type="dxa"/>
            <w:shd w:val="clear" w:color="auto" w:fill="auto"/>
            <w:vAlign w:val="center"/>
          </w:tcPr>
          <w:p w14:paraId="090AA533" w14:textId="77777777" w:rsidR="00CE4035" w:rsidRPr="005116BD" w:rsidRDefault="00CE4035" w:rsidP="009B753C">
            <w:pPr>
              <w:pStyle w:val="Default"/>
              <w:jc w:val="center"/>
              <w:rPr>
                <w:rFonts w:ascii="Times New Roman" w:hAnsi="Times New Roman" w:cs="Times New Roman"/>
                <w:lang w:val="sq-AL"/>
              </w:rPr>
            </w:pPr>
          </w:p>
          <w:p w14:paraId="78705C7B" w14:textId="77777777" w:rsidR="00CE4035" w:rsidRPr="005116BD" w:rsidDel="00237ECA" w:rsidRDefault="00CE4035" w:rsidP="009B753C">
            <w:pPr>
              <w:pStyle w:val="Default"/>
              <w:jc w:val="center"/>
              <w:rPr>
                <w:rFonts w:ascii="Times New Roman" w:hAnsi="Times New Roman" w:cs="Times New Roman"/>
                <w:lang w:val="sq-AL"/>
              </w:rPr>
            </w:pPr>
            <w:r w:rsidRPr="005116BD">
              <w:rPr>
                <w:rFonts w:ascii="Times New Roman" w:hAnsi="Times New Roman" w:cs="Times New Roman"/>
                <w:color w:val="000000" w:themeColor="text1"/>
                <w:lang w:val="sq-AL"/>
              </w:rPr>
              <w:t>12.10%</w:t>
            </w:r>
          </w:p>
        </w:tc>
        <w:tc>
          <w:tcPr>
            <w:tcW w:w="1260" w:type="dxa"/>
            <w:shd w:val="clear" w:color="auto" w:fill="auto"/>
            <w:vAlign w:val="center"/>
          </w:tcPr>
          <w:p w14:paraId="0998DB6A" w14:textId="77777777" w:rsidR="00CE4035" w:rsidRPr="005116BD" w:rsidRDefault="00CE4035" w:rsidP="009B753C">
            <w:pPr>
              <w:pStyle w:val="Default"/>
              <w:jc w:val="center"/>
              <w:rPr>
                <w:rFonts w:ascii="Times New Roman" w:hAnsi="Times New Roman" w:cs="Times New Roman"/>
                <w:lang w:val="sq-AL"/>
              </w:rPr>
            </w:pPr>
          </w:p>
          <w:p w14:paraId="48262762" w14:textId="77777777" w:rsidR="00CE4035" w:rsidRPr="005116BD" w:rsidDel="00237ECA" w:rsidRDefault="00CE4035" w:rsidP="009B753C">
            <w:pPr>
              <w:pStyle w:val="Default"/>
              <w:jc w:val="center"/>
              <w:rPr>
                <w:rFonts w:ascii="Times New Roman" w:hAnsi="Times New Roman" w:cs="Times New Roman"/>
                <w:lang w:val="sq-AL"/>
              </w:rPr>
            </w:pPr>
            <w:r w:rsidRPr="005116BD">
              <w:rPr>
                <w:rFonts w:ascii="Times New Roman" w:hAnsi="Times New Roman" w:cs="Times New Roman"/>
                <w:lang w:val="sq-AL"/>
              </w:rPr>
              <w:t>12.60%</w:t>
            </w:r>
          </w:p>
        </w:tc>
      </w:tr>
      <w:tr w:rsidR="00CE4035" w:rsidRPr="004C3B99" w14:paraId="10B023E5" w14:textId="77777777" w:rsidTr="005116BD">
        <w:trPr>
          <w:trHeight w:val="593"/>
        </w:trPr>
        <w:tc>
          <w:tcPr>
            <w:tcW w:w="4855" w:type="dxa"/>
            <w:shd w:val="clear" w:color="auto" w:fill="auto"/>
          </w:tcPr>
          <w:p w14:paraId="71E6DF3B" w14:textId="77777777" w:rsidR="00CE4035" w:rsidRPr="005116BD" w:rsidRDefault="00CE4035" w:rsidP="009B753C">
            <w:pPr>
              <w:pStyle w:val="Default"/>
              <w:jc w:val="both"/>
              <w:rPr>
                <w:rFonts w:ascii="Times New Roman" w:hAnsi="Times New Roman" w:cs="Times New Roman"/>
                <w:color w:val="auto"/>
                <w:lang w:val="sq-AL"/>
              </w:rPr>
            </w:pPr>
            <w:r w:rsidRPr="005116BD">
              <w:rPr>
                <w:rFonts w:ascii="Times New Roman" w:hAnsi="Times New Roman" w:cs="Times New Roman"/>
                <w:color w:val="auto"/>
                <w:lang w:val="sq-AL"/>
              </w:rPr>
              <w:t>BVSH (MVD) e Industrisë Përpunuese për kokë banori (Euro)</w:t>
            </w:r>
          </w:p>
        </w:tc>
        <w:tc>
          <w:tcPr>
            <w:tcW w:w="1080" w:type="dxa"/>
            <w:shd w:val="clear" w:color="auto" w:fill="auto"/>
            <w:vAlign w:val="center"/>
          </w:tcPr>
          <w:p w14:paraId="410EDB16" w14:textId="77777777" w:rsidR="00CE4035" w:rsidRPr="005116BD" w:rsidRDefault="00CE4035" w:rsidP="009B753C">
            <w:pPr>
              <w:pStyle w:val="Default"/>
              <w:jc w:val="center"/>
              <w:rPr>
                <w:rFonts w:ascii="Times New Roman" w:hAnsi="Times New Roman" w:cs="Times New Roman"/>
                <w:lang w:val="sq-AL"/>
              </w:rPr>
            </w:pPr>
            <w:r w:rsidRPr="005116BD">
              <w:rPr>
                <w:rFonts w:ascii="Times New Roman" w:hAnsi="Times New Roman" w:cs="Times New Roman"/>
                <w:color w:val="auto"/>
                <w:lang w:val="sq-AL"/>
              </w:rPr>
              <w:t>465</w:t>
            </w:r>
          </w:p>
        </w:tc>
        <w:tc>
          <w:tcPr>
            <w:tcW w:w="1440" w:type="dxa"/>
            <w:shd w:val="clear" w:color="auto" w:fill="auto"/>
            <w:vAlign w:val="center"/>
          </w:tcPr>
          <w:p w14:paraId="71F7B02F" w14:textId="77777777" w:rsidR="00CE4035" w:rsidRPr="005116BD" w:rsidRDefault="00CE4035" w:rsidP="009B753C">
            <w:pPr>
              <w:pStyle w:val="Default"/>
              <w:jc w:val="center"/>
              <w:rPr>
                <w:rFonts w:ascii="Times New Roman" w:hAnsi="Times New Roman" w:cs="Times New Roman"/>
                <w:lang w:val="sq-AL"/>
              </w:rPr>
            </w:pPr>
            <w:r w:rsidRPr="005116BD">
              <w:rPr>
                <w:rFonts w:ascii="Times New Roman" w:hAnsi="Times New Roman" w:cs="Times New Roman"/>
                <w:color w:val="auto"/>
                <w:lang w:val="sq-AL"/>
              </w:rPr>
              <w:t>521</w:t>
            </w:r>
          </w:p>
        </w:tc>
        <w:tc>
          <w:tcPr>
            <w:tcW w:w="1260" w:type="dxa"/>
            <w:shd w:val="clear" w:color="auto" w:fill="auto"/>
            <w:vAlign w:val="center"/>
          </w:tcPr>
          <w:p w14:paraId="462EE912" w14:textId="77777777" w:rsidR="00CE4035" w:rsidRPr="005116BD" w:rsidRDefault="00CE4035" w:rsidP="009B753C">
            <w:pPr>
              <w:pStyle w:val="Default"/>
              <w:jc w:val="center"/>
              <w:rPr>
                <w:rFonts w:ascii="Times New Roman" w:hAnsi="Times New Roman" w:cs="Times New Roman"/>
                <w:lang w:val="sq-AL"/>
              </w:rPr>
            </w:pPr>
            <w:r w:rsidRPr="005116BD">
              <w:rPr>
                <w:rFonts w:ascii="Times New Roman" w:hAnsi="Times New Roman" w:cs="Times New Roman"/>
                <w:color w:val="auto"/>
                <w:lang w:val="sq-AL"/>
              </w:rPr>
              <w:t>577</w:t>
            </w:r>
          </w:p>
        </w:tc>
      </w:tr>
      <w:tr w:rsidR="00CE4035" w:rsidRPr="004C3B99" w14:paraId="7DC3DCA5" w14:textId="77777777" w:rsidTr="005116BD">
        <w:trPr>
          <w:trHeight w:val="539"/>
        </w:trPr>
        <w:tc>
          <w:tcPr>
            <w:tcW w:w="4855" w:type="dxa"/>
            <w:shd w:val="clear" w:color="auto" w:fill="auto"/>
          </w:tcPr>
          <w:p w14:paraId="505DBF30" w14:textId="77777777" w:rsidR="00CE4035" w:rsidRPr="005116BD" w:rsidRDefault="00CE4035" w:rsidP="009B753C">
            <w:pPr>
              <w:pStyle w:val="Default"/>
              <w:jc w:val="both"/>
              <w:rPr>
                <w:rFonts w:ascii="Times New Roman" w:hAnsi="Times New Roman" w:cs="Times New Roman"/>
                <w:lang w:val="sq-AL"/>
              </w:rPr>
            </w:pPr>
            <w:r w:rsidRPr="005116BD">
              <w:rPr>
                <w:rFonts w:ascii="Times New Roman" w:hAnsi="Times New Roman" w:cs="Times New Roman"/>
                <w:lang w:val="sq-AL"/>
              </w:rPr>
              <w:t>Pjesëmarrja e Kompanive eksportuese të Industrisë Përpunuese në  Sektorin C</w:t>
            </w:r>
          </w:p>
        </w:tc>
        <w:tc>
          <w:tcPr>
            <w:tcW w:w="1080" w:type="dxa"/>
            <w:shd w:val="clear" w:color="auto" w:fill="auto"/>
            <w:vAlign w:val="center"/>
          </w:tcPr>
          <w:p w14:paraId="377C7AB7" w14:textId="77777777" w:rsidR="00CE4035" w:rsidRPr="005116BD" w:rsidRDefault="00CE4035" w:rsidP="009B753C">
            <w:pPr>
              <w:pStyle w:val="Default"/>
              <w:jc w:val="center"/>
              <w:rPr>
                <w:rFonts w:ascii="Times New Roman" w:hAnsi="Times New Roman" w:cs="Times New Roman"/>
                <w:lang w:val="sq-AL"/>
              </w:rPr>
            </w:pPr>
            <w:r w:rsidRPr="005116BD">
              <w:rPr>
                <w:rFonts w:ascii="Times New Roman" w:hAnsi="Times New Roman" w:cs="Times New Roman"/>
                <w:lang w:val="sq-AL"/>
              </w:rPr>
              <w:t>16,81%</w:t>
            </w:r>
          </w:p>
        </w:tc>
        <w:tc>
          <w:tcPr>
            <w:tcW w:w="1440" w:type="dxa"/>
            <w:shd w:val="clear" w:color="auto" w:fill="auto"/>
            <w:vAlign w:val="center"/>
          </w:tcPr>
          <w:p w14:paraId="3D7C95FF" w14:textId="77777777" w:rsidR="00CE4035" w:rsidRPr="005116BD" w:rsidRDefault="00CE4035" w:rsidP="009B753C">
            <w:pPr>
              <w:pStyle w:val="Default"/>
              <w:jc w:val="center"/>
              <w:rPr>
                <w:rFonts w:ascii="Times New Roman" w:hAnsi="Times New Roman" w:cs="Times New Roman"/>
                <w:color w:val="FF0000"/>
                <w:lang w:val="sq-AL"/>
              </w:rPr>
            </w:pPr>
            <w:r w:rsidRPr="005116BD">
              <w:rPr>
                <w:rFonts w:ascii="Times New Roman" w:hAnsi="Times New Roman" w:cs="Times New Roman"/>
                <w:color w:val="auto"/>
                <w:lang w:val="sq-AL"/>
              </w:rPr>
              <w:t>18%</w:t>
            </w:r>
          </w:p>
        </w:tc>
        <w:tc>
          <w:tcPr>
            <w:tcW w:w="1260" w:type="dxa"/>
            <w:shd w:val="clear" w:color="auto" w:fill="auto"/>
            <w:vAlign w:val="center"/>
          </w:tcPr>
          <w:p w14:paraId="6F933778" w14:textId="77777777" w:rsidR="00CE4035" w:rsidRPr="005116BD" w:rsidRDefault="00CE4035" w:rsidP="009B753C">
            <w:pPr>
              <w:pStyle w:val="Default"/>
              <w:jc w:val="center"/>
              <w:rPr>
                <w:rFonts w:ascii="Times New Roman" w:hAnsi="Times New Roman" w:cs="Times New Roman"/>
                <w:lang w:val="sq-AL"/>
              </w:rPr>
            </w:pPr>
            <w:r w:rsidRPr="005116BD">
              <w:rPr>
                <w:rFonts w:ascii="Times New Roman" w:hAnsi="Times New Roman" w:cs="Times New Roman"/>
                <w:lang w:val="sq-AL"/>
              </w:rPr>
              <w:t>21%</w:t>
            </w:r>
          </w:p>
        </w:tc>
      </w:tr>
      <w:tr w:rsidR="00CE4035" w:rsidRPr="004C3B99" w14:paraId="1CD20876" w14:textId="77777777" w:rsidTr="005116BD">
        <w:trPr>
          <w:trHeight w:val="634"/>
        </w:trPr>
        <w:tc>
          <w:tcPr>
            <w:tcW w:w="4855" w:type="dxa"/>
            <w:shd w:val="clear" w:color="auto" w:fill="auto"/>
          </w:tcPr>
          <w:p w14:paraId="5DF48F10" w14:textId="77777777" w:rsidR="00CE4035" w:rsidRPr="005116BD" w:rsidRDefault="00CE4035" w:rsidP="009B753C">
            <w:pPr>
              <w:keepNext/>
              <w:ind w:right="-111"/>
            </w:pPr>
            <w:r w:rsidRPr="005116BD">
              <w:t>Numri i kompanive të përkrahura për certifikimin e produkteve për tregun e BE-se</w:t>
            </w:r>
          </w:p>
        </w:tc>
        <w:tc>
          <w:tcPr>
            <w:tcW w:w="1080" w:type="dxa"/>
            <w:shd w:val="clear" w:color="auto" w:fill="auto"/>
            <w:vAlign w:val="center"/>
          </w:tcPr>
          <w:p w14:paraId="0A215306" w14:textId="77777777" w:rsidR="00CE4035" w:rsidRPr="005116BD" w:rsidRDefault="00CE4035" w:rsidP="009B753C">
            <w:pPr>
              <w:pStyle w:val="Default"/>
              <w:jc w:val="center"/>
              <w:rPr>
                <w:rFonts w:ascii="Times New Roman" w:hAnsi="Times New Roman" w:cs="Times New Roman"/>
                <w:iCs/>
                <w:lang w:val="sq-AL"/>
              </w:rPr>
            </w:pPr>
            <w:r w:rsidRPr="005116BD">
              <w:rPr>
                <w:rFonts w:ascii="Times New Roman" w:hAnsi="Times New Roman" w:cs="Times New Roman"/>
                <w:iCs/>
                <w:lang w:val="sq-AL"/>
              </w:rPr>
              <w:t>4</w:t>
            </w:r>
          </w:p>
        </w:tc>
        <w:tc>
          <w:tcPr>
            <w:tcW w:w="1440" w:type="dxa"/>
            <w:shd w:val="clear" w:color="auto" w:fill="auto"/>
            <w:vAlign w:val="center"/>
          </w:tcPr>
          <w:p w14:paraId="3B7ACA79" w14:textId="77777777" w:rsidR="00CE4035" w:rsidRPr="005116BD" w:rsidRDefault="00CE4035" w:rsidP="009B753C">
            <w:pPr>
              <w:pStyle w:val="Default"/>
              <w:jc w:val="center"/>
              <w:rPr>
                <w:rFonts w:ascii="Times New Roman" w:hAnsi="Times New Roman" w:cs="Times New Roman"/>
                <w:color w:val="FF0000"/>
                <w:lang w:val="sq-AL"/>
              </w:rPr>
            </w:pPr>
            <w:r w:rsidRPr="005116BD">
              <w:rPr>
                <w:rFonts w:ascii="Times New Roman" w:hAnsi="Times New Roman" w:cs="Times New Roman"/>
                <w:color w:val="auto"/>
                <w:lang w:val="sq-AL"/>
              </w:rPr>
              <w:t>62</w:t>
            </w:r>
          </w:p>
        </w:tc>
        <w:tc>
          <w:tcPr>
            <w:tcW w:w="1260" w:type="dxa"/>
            <w:shd w:val="clear" w:color="auto" w:fill="auto"/>
            <w:vAlign w:val="center"/>
          </w:tcPr>
          <w:p w14:paraId="70B64DC2" w14:textId="77777777" w:rsidR="00CE4035" w:rsidRPr="005116BD" w:rsidRDefault="00CE4035" w:rsidP="009B753C">
            <w:pPr>
              <w:pStyle w:val="Default"/>
              <w:jc w:val="center"/>
              <w:rPr>
                <w:rFonts w:ascii="Times New Roman" w:hAnsi="Times New Roman" w:cs="Times New Roman"/>
                <w:iCs/>
                <w:lang w:val="sq-AL"/>
              </w:rPr>
            </w:pPr>
            <w:r w:rsidRPr="005116BD">
              <w:rPr>
                <w:rFonts w:ascii="Times New Roman" w:hAnsi="Times New Roman" w:cs="Times New Roman"/>
                <w:iCs/>
                <w:lang w:val="sq-AL"/>
              </w:rPr>
              <w:t>120</w:t>
            </w:r>
          </w:p>
        </w:tc>
      </w:tr>
    </w:tbl>
    <w:p w14:paraId="205D6532" w14:textId="6AB1BD2D" w:rsidR="00CE4035" w:rsidRPr="00713BDC" w:rsidRDefault="00CE4035" w:rsidP="00CE4035">
      <w:pPr>
        <w:jc w:val="both"/>
        <w:rPr>
          <w:i/>
        </w:rPr>
      </w:pPr>
      <w:r w:rsidRPr="00C3730A">
        <w:rPr>
          <w:i/>
        </w:rPr>
        <w:t>Arritja e këtyre tregues</w:t>
      </w:r>
      <w:r>
        <w:rPr>
          <w:i/>
        </w:rPr>
        <w:t>ve është në pajtim me Objektiven 9 të O</w:t>
      </w:r>
      <w:r w:rsidRPr="00C3730A">
        <w:rPr>
          <w:i/>
        </w:rPr>
        <w:t>ZHQ</w:t>
      </w:r>
      <w:r>
        <w:rPr>
          <w:i/>
        </w:rPr>
        <w:t xml:space="preserve"> </w:t>
      </w:r>
      <w:r w:rsidRPr="00713BDC">
        <w:rPr>
          <w:i/>
        </w:rPr>
        <w:t xml:space="preserve">Ndërtimi një </w:t>
      </w:r>
      <w:r w:rsidR="005116BD">
        <w:rPr>
          <w:i/>
        </w:rPr>
        <w:t xml:space="preserve">infrastructure </w:t>
      </w:r>
      <w:r>
        <w:rPr>
          <w:i/>
        </w:rPr>
        <w:t xml:space="preserve">rezistuese, promovimi i industrializimit të qëndrueshëm </w:t>
      </w:r>
      <w:r w:rsidRPr="00713BDC">
        <w:rPr>
          <w:i/>
        </w:rPr>
        <w:t>dhe promovimi i inovacionit</w:t>
      </w:r>
      <w:r>
        <w:rPr>
          <w:i/>
        </w:rPr>
        <w:t>’, caku 9.2 ‘</w:t>
      </w:r>
      <w:r w:rsidRPr="00713BDC">
        <w:rPr>
          <w:i/>
        </w:rPr>
        <w:t>Të promovohet industr</w:t>
      </w:r>
      <w:r>
        <w:rPr>
          <w:i/>
        </w:rPr>
        <w:t xml:space="preserve">ializimi gjithëpërfshirës dhe i </w:t>
      </w:r>
      <w:r w:rsidRPr="00713BDC">
        <w:rPr>
          <w:i/>
        </w:rPr>
        <w:t>qëndrueshëm dhe deri në</w:t>
      </w:r>
      <w:r>
        <w:rPr>
          <w:i/>
        </w:rPr>
        <w:t xml:space="preserve"> vitin 2030, të rritet ndjeshëm </w:t>
      </w:r>
      <w:r w:rsidRPr="00713BDC">
        <w:rPr>
          <w:i/>
        </w:rPr>
        <w:t>pjesa e industrisë në pu</w:t>
      </w:r>
      <w:r>
        <w:rPr>
          <w:i/>
        </w:rPr>
        <w:t xml:space="preserve">nësim dhe në prodhimin e </w:t>
      </w:r>
      <w:r w:rsidRPr="00713BDC">
        <w:rPr>
          <w:i/>
        </w:rPr>
        <w:t>brendshëm bruto, në pë</w:t>
      </w:r>
      <w:r>
        <w:rPr>
          <w:i/>
        </w:rPr>
        <w:t xml:space="preserve">rputhje me rrethanat kombëtare, </w:t>
      </w:r>
      <w:r w:rsidRPr="00713BDC">
        <w:rPr>
          <w:i/>
        </w:rPr>
        <w:t>dhe të dyfishohet</w:t>
      </w:r>
      <w:r>
        <w:rPr>
          <w:i/>
        </w:rPr>
        <w:t xml:space="preserve"> prania saj në vendet më pak të zhvilluara, caku 9.4 ‘</w:t>
      </w:r>
      <w:r w:rsidRPr="00713BDC">
        <w:rPr>
          <w:i/>
        </w:rPr>
        <w:t>Deri në vitin 2030, të përmirësohen infrastruktura dhe industritë retrofite, për t’i bërë ato të qëndrueshme, me rritje të efikasitetit në shfrytëzimin e burimeve dhe përdorim më të madh të teknologjive dhe proceseve industriale të pastra e të sigurta mjedisore, ku të gjitha vendet marrin vendime në përputhje me aftësitë e tyre përkatëse’.</w:t>
      </w:r>
      <w:r>
        <w:rPr>
          <w:i/>
        </w:rPr>
        <w:t xml:space="preserve"> </w:t>
      </w:r>
    </w:p>
    <w:p w14:paraId="2A3EACE3" w14:textId="77777777" w:rsidR="00CE4035" w:rsidRPr="004C3B99" w:rsidRDefault="00CE4035" w:rsidP="00CE4035">
      <w:pPr>
        <w:jc w:val="both"/>
      </w:pPr>
      <w:r w:rsidRPr="004C3B99">
        <w:rPr>
          <w:b/>
          <w:bCs/>
        </w:rPr>
        <w:t xml:space="preserve">Ndikimi i pritur në konkurrueshmëri: </w:t>
      </w:r>
      <w:r w:rsidRPr="004C3B99">
        <w:t xml:space="preserve">Hartimi politikave për sektorët industrial do të ndikojnë në krijimin e mundësive të reja për zhvillimin e mëtejmë të NVM-ve, qasjen në tregje të reja, si dhe rrjetëzimin e ndërmarrjeve në sektorët me potencial zhvillimi përmes zingjirit të vlerës. </w:t>
      </w:r>
    </w:p>
    <w:p w14:paraId="417B501D" w14:textId="0B437B31" w:rsidR="00CE4035" w:rsidRDefault="00CE4035" w:rsidP="00CE4035">
      <w:pPr>
        <w:jc w:val="both"/>
      </w:pPr>
      <w:r w:rsidRPr="004C3B99">
        <w:t xml:space="preserve">Zbatimi i masave të politikës industriale do të mundësojë prodhimin e produkteve me vlerë të shtuar  dhe rritjen e konkurueshmërisë të ndërmarrjeve, si rezultat i investimet ne teknologji moderne, digjitalizim, certifikim dhe këshillime, investimet në zonat ekonomike si dhe bashkëpunimit të kompanive vendore me partnerë të rajonit dhe të BE-së. Pjesëmarrja e ndërmarrjeve në panaire ndërkombëtare do t’iu ofron mundësinë që të jenë pjesë e tregut global si dhe rritjen e potencialeve për eksport. </w:t>
      </w:r>
    </w:p>
    <w:p w14:paraId="36D9C4D8" w14:textId="77777777" w:rsidR="005116BD" w:rsidRPr="004C3B99" w:rsidRDefault="005116BD" w:rsidP="00CE4035">
      <w:pPr>
        <w:jc w:val="both"/>
      </w:pPr>
    </w:p>
    <w:p w14:paraId="32BD4599" w14:textId="50D1A3B5" w:rsidR="00CE4035" w:rsidRDefault="00CE4035" w:rsidP="00CE4035">
      <w:pPr>
        <w:jc w:val="both"/>
      </w:pPr>
      <w:r w:rsidRPr="004C3B99">
        <w:rPr>
          <w:b/>
          <w:bCs/>
          <w:shd w:val="clear" w:color="auto" w:fill="FFFFFF" w:themeFill="background1"/>
        </w:rPr>
        <w:t xml:space="preserve">Vlerësimi i kostos së aktiviteteve dhe </w:t>
      </w:r>
      <w:r w:rsidRPr="004C3B99">
        <w:rPr>
          <w:b/>
          <w:shd w:val="clear" w:color="auto" w:fill="FFFFFF" w:themeFill="background1"/>
        </w:rPr>
        <w:t>burimet e financimit:</w:t>
      </w:r>
      <w:r w:rsidRPr="004C3B99">
        <w:rPr>
          <w:b/>
        </w:rPr>
        <w:t xml:space="preserve"> </w:t>
      </w:r>
      <w:r w:rsidRPr="004C3B99">
        <w:t>Kostoja totale e llogaritur për zbatimin e kësaj mase 2021-2023 pritet të jetë rreth 7,970,000 €, ku 6,070,000 € nga buxheti i Kosovës dhe 1,800,000 € nga kredia e BB dhe 100,000 € nga projekti i ADA për digjitalizimin në sektorin privat. Në vitin 2021 do të shpenzohen 2,740,000 €, ku nga buxheti i Kosovës do të jenë 2,040,000 € dhe kredia nga BB në vlerë prej 600,000 €, dhe Programi i ADA rreth 100,000 €. Në vitin 2022 do të shpenzohen 2,615,000 €, ku nga buxheti i Kosovës do të jenë 2,015,000 € dhe kredia nga BB në vlerë prej 600,000 €. Në vitin 2023 do të shpenzohen 2,615,000 €, ku nga buxheti i Kosovës do të jenë 2,015,000 € dhe kredia nga BB në vlerë prej 600,000 €.</w:t>
      </w:r>
    </w:p>
    <w:p w14:paraId="15823D55" w14:textId="77777777" w:rsidR="005116BD" w:rsidRPr="004C3B99" w:rsidRDefault="005116BD" w:rsidP="00CE4035">
      <w:pPr>
        <w:jc w:val="both"/>
      </w:pPr>
    </w:p>
    <w:p w14:paraId="2223C8FD" w14:textId="77777777" w:rsidR="00CE4035" w:rsidRPr="004C3B99" w:rsidRDefault="00CE4035" w:rsidP="00CE4035">
      <w:pPr>
        <w:spacing w:line="276" w:lineRule="auto"/>
        <w:jc w:val="both"/>
        <w:rPr>
          <w:bCs/>
        </w:rPr>
      </w:pPr>
      <w:r w:rsidRPr="004C3B99">
        <w:rPr>
          <w:b/>
          <w:bCs/>
        </w:rPr>
        <w:t xml:space="preserve">Ndikimet e pritshme mbi rezultatet sociale, të tilla si punësimi, reduktimi i varfërisë, barazia gjinore: </w:t>
      </w:r>
      <w:r w:rsidRPr="004C3B99">
        <w:rPr>
          <w:bCs/>
        </w:rPr>
        <w:t>Priten efekte pozitive në rritjen e punësimit në sektorët industrial të synuar. Si rezultat i zbatimit të kësaj mase pritet që të krijohen mundësi punësimi për rreth 250 persona në vit dhe do të fuqizohen gratë ndërmarrëse, si dhe do të sigurohet barazia gjinore.</w:t>
      </w:r>
    </w:p>
    <w:p w14:paraId="51E2538C" w14:textId="77777777" w:rsidR="00CE4035" w:rsidRPr="005116BD" w:rsidRDefault="00CE4035" w:rsidP="00CE4035">
      <w:pPr>
        <w:pStyle w:val="Default"/>
        <w:jc w:val="both"/>
        <w:rPr>
          <w:rFonts w:ascii="Times New Roman" w:hAnsi="Times New Roman" w:cs="Times New Roman"/>
          <w:lang w:val="sq-AL"/>
        </w:rPr>
      </w:pPr>
      <w:r w:rsidRPr="005116BD">
        <w:rPr>
          <w:rFonts w:ascii="Times New Roman" w:hAnsi="Times New Roman" w:cs="Times New Roman"/>
          <w:b/>
          <w:bCs/>
          <w:lang w:val="sq-AL"/>
        </w:rPr>
        <w:t xml:space="preserve">Ndikimi i pritshëm në mjedis: </w:t>
      </w:r>
      <w:r w:rsidRPr="005116BD">
        <w:rPr>
          <w:rFonts w:ascii="Times New Roman" w:hAnsi="Times New Roman" w:cs="Times New Roman"/>
          <w:bCs/>
          <w:lang w:val="sq-AL"/>
        </w:rPr>
        <w:t xml:space="preserve">Për të gjitha zonat ekonomike duhet të merren vlerësimet e nevojshme të ndikimit në mjedis, pasi që gjatë ndërtimit do të degradohet zona ku realizohen punimet e infrastrukturës.  </w:t>
      </w:r>
      <w:r w:rsidRPr="005116BD">
        <w:rPr>
          <w:rFonts w:ascii="Times New Roman" w:hAnsi="Times New Roman" w:cs="Times New Roman"/>
          <w:bCs/>
          <w:iCs/>
          <w:lang w:val="sq-AL"/>
        </w:rPr>
        <w:t>Po ashtu, përkrahja e NVM-ve për investime në teknologjinë moderne, do të ketë ndikim pozitiv në mjedis, në uljen e emetimit të gazrave serrë.</w:t>
      </w:r>
    </w:p>
    <w:p w14:paraId="72AC0031" w14:textId="77777777" w:rsidR="00CE4035" w:rsidRDefault="00CE4035" w:rsidP="00CE4035">
      <w:pPr>
        <w:rPr>
          <w:b/>
          <w:bCs/>
        </w:rPr>
      </w:pPr>
    </w:p>
    <w:p w14:paraId="4B904BF0" w14:textId="77777777" w:rsidR="00CE4035" w:rsidRPr="005116BD" w:rsidRDefault="00CE4035" w:rsidP="00CE4035">
      <w:pPr>
        <w:rPr>
          <w:b/>
          <w:bCs/>
        </w:rPr>
      </w:pPr>
      <w:r w:rsidRPr="005116BD">
        <w:rPr>
          <w:b/>
          <w:bCs/>
        </w:rPr>
        <w:t>Rreziqet potenciale:</w:t>
      </w:r>
    </w:p>
    <w:tbl>
      <w:tblPr>
        <w:tblpPr w:leftFromText="180" w:rightFromText="180" w:vertAnchor="text" w:horzAnchor="margin" w:tblpY="74"/>
        <w:tblOverlap w:val="neve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1440"/>
        <w:gridCol w:w="4590"/>
      </w:tblGrid>
      <w:tr w:rsidR="00CE4035" w:rsidRPr="005116BD" w14:paraId="58AB7C40" w14:textId="77777777" w:rsidTr="005116BD">
        <w:trPr>
          <w:trHeight w:val="353"/>
        </w:trPr>
        <w:tc>
          <w:tcPr>
            <w:tcW w:w="2605" w:type="dxa"/>
            <w:shd w:val="clear" w:color="auto" w:fill="auto"/>
          </w:tcPr>
          <w:p w14:paraId="79BE2501" w14:textId="77777777" w:rsidR="00CE4035" w:rsidRPr="005116BD" w:rsidRDefault="00CE4035" w:rsidP="009B753C">
            <w:pPr>
              <w:pStyle w:val="Default"/>
              <w:jc w:val="both"/>
              <w:rPr>
                <w:rFonts w:ascii="Times New Roman" w:hAnsi="Times New Roman" w:cs="Times New Roman"/>
                <w:lang w:val="sq-AL"/>
              </w:rPr>
            </w:pPr>
            <w:r w:rsidRPr="005116BD">
              <w:rPr>
                <w:rFonts w:ascii="Times New Roman" w:hAnsi="Times New Roman" w:cs="Times New Roman"/>
                <w:b/>
                <w:bCs/>
                <w:lang w:val="sq-AL"/>
              </w:rPr>
              <w:t xml:space="preserve">Rreziku </w:t>
            </w:r>
          </w:p>
        </w:tc>
        <w:tc>
          <w:tcPr>
            <w:tcW w:w="1440" w:type="dxa"/>
            <w:shd w:val="clear" w:color="auto" w:fill="auto"/>
          </w:tcPr>
          <w:p w14:paraId="0E9E8A02" w14:textId="77777777" w:rsidR="00CE4035" w:rsidRPr="005116BD" w:rsidRDefault="00CE4035" w:rsidP="009B753C">
            <w:pPr>
              <w:pStyle w:val="Default"/>
              <w:ind w:right="-122"/>
              <w:rPr>
                <w:rFonts w:ascii="Times New Roman" w:hAnsi="Times New Roman" w:cs="Times New Roman"/>
                <w:lang w:val="sq-AL"/>
              </w:rPr>
            </w:pPr>
            <w:r w:rsidRPr="005116BD">
              <w:rPr>
                <w:rFonts w:ascii="Times New Roman" w:hAnsi="Times New Roman" w:cs="Times New Roman"/>
                <w:b/>
                <w:bCs/>
                <w:lang w:val="sq-AL"/>
              </w:rPr>
              <w:t xml:space="preserve">Probabiliteti </w:t>
            </w:r>
          </w:p>
        </w:tc>
        <w:tc>
          <w:tcPr>
            <w:tcW w:w="4590" w:type="dxa"/>
            <w:shd w:val="clear" w:color="auto" w:fill="auto"/>
          </w:tcPr>
          <w:p w14:paraId="73211EE7" w14:textId="77777777" w:rsidR="00CE4035" w:rsidRPr="005116BD" w:rsidRDefault="00CE4035" w:rsidP="009B753C">
            <w:pPr>
              <w:pStyle w:val="Default"/>
              <w:rPr>
                <w:rFonts w:ascii="Times New Roman" w:hAnsi="Times New Roman" w:cs="Times New Roman"/>
                <w:lang w:val="sq-AL"/>
              </w:rPr>
            </w:pPr>
            <w:r w:rsidRPr="005116BD">
              <w:rPr>
                <w:rFonts w:ascii="Times New Roman" w:hAnsi="Times New Roman" w:cs="Times New Roman"/>
                <w:b/>
                <w:bCs/>
                <w:lang w:val="sq-AL"/>
              </w:rPr>
              <w:t xml:space="preserve">Veprimi lehtësues i planifikuar </w:t>
            </w:r>
          </w:p>
        </w:tc>
      </w:tr>
      <w:tr w:rsidR="00CE4035" w:rsidRPr="005116BD" w14:paraId="5083EFAB" w14:textId="77777777" w:rsidTr="005116BD">
        <w:trPr>
          <w:trHeight w:val="606"/>
        </w:trPr>
        <w:tc>
          <w:tcPr>
            <w:tcW w:w="2605" w:type="dxa"/>
            <w:shd w:val="clear" w:color="auto" w:fill="auto"/>
          </w:tcPr>
          <w:p w14:paraId="45CA98AA" w14:textId="77777777" w:rsidR="00CE4035" w:rsidRPr="005116BD" w:rsidRDefault="00CE4035" w:rsidP="009B753C">
            <w:pPr>
              <w:pStyle w:val="Default"/>
              <w:jc w:val="both"/>
              <w:rPr>
                <w:rFonts w:ascii="Times New Roman" w:hAnsi="Times New Roman" w:cs="Times New Roman"/>
                <w:lang w:val="sq-AL"/>
              </w:rPr>
            </w:pPr>
            <w:r w:rsidRPr="005116BD">
              <w:rPr>
                <w:rFonts w:ascii="Times New Roman" w:hAnsi="Times New Roman" w:cs="Times New Roman"/>
                <w:bCs/>
                <w:lang w:val="sq-AL"/>
              </w:rPr>
              <w:t>Mungesë e produkteve  me standarde për depërtim në tregjet ndërkombëtare</w:t>
            </w:r>
          </w:p>
        </w:tc>
        <w:tc>
          <w:tcPr>
            <w:tcW w:w="1440" w:type="dxa"/>
            <w:shd w:val="clear" w:color="auto" w:fill="auto"/>
            <w:vAlign w:val="center"/>
          </w:tcPr>
          <w:p w14:paraId="084F7D70" w14:textId="77777777" w:rsidR="00CE4035" w:rsidRPr="005116BD" w:rsidRDefault="00CE4035" w:rsidP="009B753C">
            <w:pPr>
              <w:pStyle w:val="Default"/>
              <w:rPr>
                <w:rFonts w:ascii="Times New Roman" w:hAnsi="Times New Roman" w:cs="Times New Roman"/>
                <w:lang w:val="sq-AL"/>
              </w:rPr>
            </w:pPr>
            <w:r w:rsidRPr="005116BD">
              <w:rPr>
                <w:rFonts w:ascii="Times New Roman" w:hAnsi="Times New Roman" w:cs="Times New Roman"/>
                <w:lang w:val="sq-AL"/>
              </w:rPr>
              <w:t>I mesëm</w:t>
            </w:r>
          </w:p>
        </w:tc>
        <w:tc>
          <w:tcPr>
            <w:tcW w:w="4590" w:type="dxa"/>
            <w:shd w:val="clear" w:color="auto" w:fill="auto"/>
          </w:tcPr>
          <w:p w14:paraId="6C8BF6B2" w14:textId="77777777" w:rsidR="00CE4035" w:rsidRPr="005116BD" w:rsidRDefault="00CE4035" w:rsidP="009B753C">
            <w:pPr>
              <w:pStyle w:val="Default"/>
              <w:jc w:val="both"/>
              <w:rPr>
                <w:rFonts w:ascii="Times New Roman" w:hAnsi="Times New Roman" w:cs="Times New Roman"/>
                <w:lang w:val="sq-AL"/>
              </w:rPr>
            </w:pPr>
            <w:r w:rsidRPr="005116BD">
              <w:rPr>
                <w:rFonts w:ascii="Times New Roman" w:hAnsi="Times New Roman" w:cs="Times New Roman"/>
                <w:bCs/>
                <w:lang w:val="sq-AL"/>
              </w:rPr>
              <w:t>Mbështetje e ofruar për certifikimin e produkteve dhe këshillime për rritjen e eksportit</w:t>
            </w:r>
          </w:p>
        </w:tc>
      </w:tr>
      <w:tr w:rsidR="00CE4035" w:rsidRPr="005116BD" w14:paraId="54050145" w14:textId="77777777" w:rsidTr="005116BD">
        <w:trPr>
          <w:trHeight w:val="606"/>
        </w:trPr>
        <w:tc>
          <w:tcPr>
            <w:tcW w:w="2605" w:type="dxa"/>
            <w:shd w:val="clear" w:color="auto" w:fill="auto"/>
          </w:tcPr>
          <w:p w14:paraId="708E4743" w14:textId="77777777" w:rsidR="00CE4035" w:rsidRPr="005116BD" w:rsidRDefault="00CE4035" w:rsidP="009B753C">
            <w:pPr>
              <w:pStyle w:val="Default"/>
              <w:tabs>
                <w:tab w:val="left" w:pos="157"/>
              </w:tabs>
              <w:jc w:val="both"/>
              <w:rPr>
                <w:rFonts w:ascii="Times New Roman" w:hAnsi="Times New Roman" w:cs="Times New Roman"/>
                <w:bCs/>
                <w:lang w:val="sq-AL"/>
              </w:rPr>
            </w:pPr>
            <w:r w:rsidRPr="005116BD">
              <w:rPr>
                <w:rFonts w:ascii="Times New Roman" w:hAnsi="Times New Roman" w:cs="Times New Roman"/>
                <w:bCs/>
                <w:lang w:val="sq-AL"/>
              </w:rPr>
              <w:t>Zgjatja e pandemisë në nivel global</w:t>
            </w:r>
          </w:p>
        </w:tc>
        <w:tc>
          <w:tcPr>
            <w:tcW w:w="1440" w:type="dxa"/>
            <w:shd w:val="clear" w:color="auto" w:fill="auto"/>
            <w:vAlign w:val="center"/>
          </w:tcPr>
          <w:p w14:paraId="1D50D4DF" w14:textId="77777777" w:rsidR="00CE4035" w:rsidRPr="005116BD" w:rsidRDefault="00CE4035" w:rsidP="009B753C">
            <w:pPr>
              <w:pStyle w:val="Default"/>
              <w:rPr>
                <w:rFonts w:ascii="Times New Roman" w:hAnsi="Times New Roman" w:cs="Times New Roman"/>
                <w:lang w:val="sq-AL"/>
              </w:rPr>
            </w:pPr>
            <w:r w:rsidRPr="005116BD">
              <w:rPr>
                <w:rFonts w:ascii="Times New Roman" w:hAnsi="Times New Roman" w:cs="Times New Roman"/>
                <w:lang w:val="sq-AL"/>
              </w:rPr>
              <w:t>I lart</w:t>
            </w:r>
            <w:r w:rsidRPr="005116BD">
              <w:rPr>
                <w:rFonts w:ascii="Times New Roman" w:hAnsi="Times New Roman" w:cs="Times New Roman"/>
                <w:bCs/>
                <w:lang w:val="sq-AL"/>
              </w:rPr>
              <w:t>ë</w:t>
            </w:r>
          </w:p>
        </w:tc>
        <w:tc>
          <w:tcPr>
            <w:tcW w:w="4590" w:type="dxa"/>
            <w:shd w:val="clear" w:color="auto" w:fill="auto"/>
          </w:tcPr>
          <w:p w14:paraId="4103287B" w14:textId="77777777" w:rsidR="00CE4035" w:rsidRPr="005116BD" w:rsidRDefault="00CE4035" w:rsidP="009B753C">
            <w:pPr>
              <w:pStyle w:val="Default"/>
              <w:jc w:val="both"/>
              <w:rPr>
                <w:rFonts w:ascii="Times New Roman" w:hAnsi="Times New Roman" w:cs="Times New Roman"/>
                <w:bCs/>
                <w:lang w:val="sq-AL"/>
              </w:rPr>
            </w:pPr>
            <w:r w:rsidRPr="005116BD">
              <w:rPr>
                <w:rFonts w:ascii="Times New Roman" w:hAnsi="Times New Roman" w:cs="Times New Roman"/>
                <w:bCs/>
                <w:lang w:val="sq-AL"/>
              </w:rPr>
              <w:t>Zbatimi i Planit kombëtar për rimëkëmbje ekonomike vazhdon edhe në vitet tjera;</w:t>
            </w:r>
          </w:p>
          <w:p w14:paraId="3134DCBD" w14:textId="77777777" w:rsidR="00CE4035" w:rsidRPr="005116BD" w:rsidRDefault="00CE4035" w:rsidP="009B753C">
            <w:pPr>
              <w:pStyle w:val="Default"/>
              <w:jc w:val="both"/>
              <w:rPr>
                <w:rFonts w:ascii="Times New Roman" w:hAnsi="Times New Roman" w:cs="Times New Roman"/>
                <w:bCs/>
                <w:lang w:val="sq-AL"/>
              </w:rPr>
            </w:pPr>
            <w:r w:rsidRPr="005116BD">
              <w:rPr>
                <w:rFonts w:ascii="Times New Roman" w:hAnsi="Times New Roman" w:cs="Times New Roman"/>
                <w:bCs/>
                <w:lang w:val="sq-AL"/>
              </w:rPr>
              <w:t>Adaptimi i politikave në varësi të rrethanave si pasojë e pandemisë.</w:t>
            </w:r>
          </w:p>
        </w:tc>
      </w:tr>
    </w:tbl>
    <w:p w14:paraId="5F0EA043" w14:textId="77777777" w:rsidR="00CE4035" w:rsidRPr="004C3B99" w:rsidRDefault="00CE4035" w:rsidP="00CE4035"/>
    <w:p w14:paraId="4F270F45" w14:textId="77777777" w:rsidR="00CE4035" w:rsidRPr="004C3B99" w:rsidRDefault="00CE4035" w:rsidP="00CE4035">
      <w:pPr>
        <w:shd w:val="clear" w:color="auto" w:fill="9CC2E5" w:themeFill="accent1" w:themeFillTint="99"/>
        <w:jc w:val="both"/>
        <w:rPr>
          <w:b/>
          <w:bCs/>
          <w:spacing w:val="-1"/>
        </w:rPr>
      </w:pPr>
      <w:r w:rsidRPr="004C3B99">
        <w:rPr>
          <w:b/>
          <w:bCs/>
          <w:shd w:val="clear" w:color="auto" w:fill="9CC2E5" w:themeFill="accent1" w:themeFillTint="99"/>
        </w:rPr>
        <w:t xml:space="preserve">Masa e reformës #5: </w:t>
      </w:r>
      <w:r w:rsidRPr="004C3B99">
        <w:rPr>
          <w:b/>
          <w:bCs/>
          <w:spacing w:val="-1"/>
          <w:shd w:val="clear" w:color="auto" w:fill="9CC2E5" w:themeFill="accent1" w:themeFillTint="99"/>
        </w:rPr>
        <w:t xml:space="preserve">Ngritja e Konkurueshmërisë në Sektorin e Turizmit dhe Hotelerisë   </w:t>
      </w:r>
    </w:p>
    <w:p w14:paraId="2881973F" w14:textId="77777777" w:rsidR="00CE4035" w:rsidRPr="004C3B99" w:rsidRDefault="00CE4035" w:rsidP="00CE4035">
      <w:pPr>
        <w:tabs>
          <w:tab w:val="left" w:pos="850"/>
          <w:tab w:val="left" w:pos="1191"/>
          <w:tab w:val="left" w:pos="1531"/>
        </w:tabs>
        <w:jc w:val="both"/>
        <w:rPr>
          <w:shd w:val="clear" w:color="auto" w:fill="FFFFFF"/>
          <w:lang w:eastAsia="zh-CN"/>
        </w:rPr>
      </w:pPr>
      <w:r w:rsidRPr="004C3B99">
        <w:rPr>
          <w:b/>
          <w:bCs/>
        </w:rPr>
        <w:t>Përshkrimi i masës:</w:t>
      </w:r>
      <w:r w:rsidRPr="004C3B99">
        <w:rPr>
          <w:bCs/>
        </w:rPr>
        <w:t xml:space="preserve"> </w:t>
      </w:r>
      <w:r w:rsidRPr="004C3B99">
        <w:rPr>
          <w:shd w:val="clear" w:color="auto" w:fill="FFFFFF"/>
          <w:lang w:eastAsia="zh-CN"/>
        </w:rPr>
        <w:t>Qëllimi kryesor masës është nxitja e zhvillimit të konkurueshmërisë në sektorin e turizmit e cila do të ndikon në rritjen e vlerës ekonomike të turizmit dhe rritjen e punësimit. Aktivitetet që do të ndërmerren në këtë masë, janë përmirësimi i infrastrukturës ligjore dhe harmonizimi me Acquis communautaire , zhvillimi dhe promovimi i produkteve turistike që ndikojnë drejtpërdrejtë në rritjen e ofertës turisti</w:t>
      </w:r>
      <w:r>
        <w:rPr>
          <w:shd w:val="clear" w:color="auto" w:fill="FFFFFF"/>
          <w:lang w:eastAsia="zh-CN"/>
        </w:rPr>
        <w:t>ke. Masë është në përputhje me O</w:t>
      </w:r>
      <w:r w:rsidRPr="004C3B99">
        <w:rPr>
          <w:shd w:val="clear" w:color="auto" w:fill="FFFFFF"/>
          <w:lang w:eastAsia="zh-CN"/>
        </w:rPr>
        <w:t xml:space="preserve">ZHQ 8 (Puna e denjë dhe rritja ekonomike), duke u përqendruar në pjesën e turizmit në PBB dhe rritjen e vendeve të punës. </w:t>
      </w:r>
    </w:p>
    <w:p w14:paraId="0E9402D0" w14:textId="77777777" w:rsidR="00CE4035" w:rsidRPr="004C3B99" w:rsidRDefault="00CE4035" w:rsidP="00CE4035">
      <w:pPr>
        <w:tabs>
          <w:tab w:val="left" w:pos="850"/>
          <w:tab w:val="left" w:pos="1191"/>
          <w:tab w:val="left" w:pos="1531"/>
        </w:tabs>
        <w:jc w:val="both"/>
        <w:rPr>
          <w:bCs/>
        </w:rPr>
      </w:pPr>
      <w:r w:rsidRPr="004C3B99">
        <w:rPr>
          <w:shd w:val="clear" w:color="auto" w:fill="FFFFFF"/>
          <w:lang w:eastAsia="zh-CN"/>
        </w:rPr>
        <w:t xml:space="preserve">Masa ndërlidhet me Programin e Qeverisë 2020-2023, Programin për bujqësi dhe zhvillim rural, si dhe në aspektin e promovimit të trashëgimisë kulturore ndërlidhet me Strategjinë Kombëtare për Trashëgiminë Kulturore 2017-2027 dhe </w:t>
      </w:r>
      <w:r w:rsidRPr="004C3B99">
        <w:rPr>
          <w:bCs/>
        </w:rPr>
        <w:t xml:space="preserve">Plani Kombëtar për rimëkëmbje ekonomike 2020-2021 për lehtësimin e pasojave nga pandemia COVID-19. </w:t>
      </w:r>
    </w:p>
    <w:p w14:paraId="5F3C9E82" w14:textId="77777777" w:rsidR="00CE4035" w:rsidRDefault="00CE4035" w:rsidP="00CE4035">
      <w:pPr>
        <w:tabs>
          <w:tab w:val="left" w:pos="850"/>
          <w:tab w:val="left" w:pos="1191"/>
          <w:tab w:val="left" w:pos="1531"/>
        </w:tabs>
        <w:jc w:val="both"/>
        <w:rPr>
          <w:shd w:val="clear" w:color="auto" w:fill="FFFFFF"/>
          <w:lang w:eastAsia="zh-CN"/>
        </w:rPr>
      </w:pPr>
      <w:r w:rsidRPr="004C3B99">
        <w:rPr>
          <w:bCs/>
        </w:rPr>
        <w:t>P</w:t>
      </w:r>
      <w:r w:rsidRPr="004C3B99">
        <w:rPr>
          <w:shd w:val="clear" w:color="auto" w:fill="FFFFFF"/>
          <w:lang w:eastAsia="zh-CN"/>
        </w:rPr>
        <w:t>andemia ka atakuar më së shumti sektorin e turizmit edhe pse ende nuk ekzistojnë të dhëna zyrtare për humbjet në këtë sektor. Sipas ASK, për q</w:t>
      </w:r>
      <w:r w:rsidRPr="004C3B99">
        <w:t>arkullimin  turistik në pikë kalimet kufitare</w:t>
      </w:r>
      <w:r w:rsidRPr="004C3B99">
        <w:rPr>
          <w:shd w:val="clear" w:color="auto" w:fill="FFFFFF"/>
          <w:lang w:eastAsia="zh-CN"/>
        </w:rPr>
        <w:t xml:space="preserve"> të dhënat tregojnë ndikim negativ që ka pësuar ky sektor krahasuar me periudhën e njëjtë të vitit 2019.  Statistikat rezultojnë rënie të numrit të vizitorëve të jashtëm nga 3,719,473 sa kane qene në vitin 2019, në 2,066,087 në vitin 2020 ose shprehur në përqindje kemi rënie prej 44.45%. Gjatë vitit 2020 shumë aktivitete të planifikuara nuk kanë mundur të realizohen për shkak të pandemisë por edhe ndryshimeve politike prandaj disa prej tyre janë bartur nga vitit 2020 në vitin 2021. </w:t>
      </w:r>
    </w:p>
    <w:p w14:paraId="3399BCDD" w14:textId="77777777" w:rsidR="00CE4035" w:rsidRPr="004C3B99" w:rsidRDefault="00CE4035" w:rsidP="00CE4035">
      <w:pPr>
        <w:tabs>
          <w:tab w:val="left" w:pos="850"/>
          <w:tab w:val="left" w:pos="1191"/>
          <w:tab w:val="left" w:pos="1531"/>
        </w:tabs>
        <w:jc w:val="both"/>
        <w:rPr>
          <w:shd w:val="clear" w:color="auto" w:fill="FFFFFF"/>
          <w:lang w:eastAsia="zh-CN"/>
        </w:rPr>
      </w:pPr>
    </w:p>
    <w:p w14:paraId="2BEF49BF" w14:textId="77777777" w:rsidR="00CE4035" w:rsidRPr="005116BD" w:rsidRDefault="00CE4035" w:rsidP="00CE4035">
      <w:pPr>
        <w:jc w:val="both"/>
        <w:rPr>
          <w:b/>
          <w:bCs/>
        </w:rPr>
      </w:pPr>
      <w:r w:rsidRPr="004C3B99">
        <w:rPr>
          <w:b/>
          <w:bCs/>
        </w:rPr>
        <w:t xml:space="preserve">a. </w:t>
      </w:r>
      <w:r w:rsidRPr="005116BD">
        <w:rPr>
          <w:b/>
          <w:bCs/>
        </w:rPr>
        <w:t>Aktivitetet e planifikuara për 2021:</w:t>
      </w:r>
    </w:p>
    <w:p w14:paraId="15ECE79A" w14:textId="77777777" w:rsidR="00CE4035" w:rsidRPr="005116BD" w:rsidRDefault="00CE4035" w:rsidP="0068706C">
      <w:pPr>
        <w:pStyle w:val="Default"/>
        <w:numPr>
          <w:ilvl w:val="0"/>
          <w:numId w:val="74"/>
        </w:numPr>
        <w:ind w:left="360"/>
        <w:jc w:val="both"/>
        <w:rPr>
          <w:rFonts w:ascii="Times New Roman" w:hAnsi="Times New Roman" w:cs="Times New Roman"/>
          <w:bCs/>
          <w:color w:val="auto"/>
          <w:lang w:val="sq-AL"/>
        </w:rPr>
      </w:pPr>
      <w:r w:rsidRPr="005116BD">
        <w:rPr>
          <w:rFonts w:ascii="Times New Roman" w:hAnsi="Times New Roman" w:cs="Times New Roman"/>
          <w:bCs/>
          <w:color w:val="auto"/>
          <w:lang w:val="sq-AL"/>
        </w:rPr>
        <w:t>Hartimi dhe miratimi i Strategjisë së sektorit të turizmit dhe planit të veprimit (MTI);</w:t>
      </w:r>
    </w:p>
    <w:p w14:paraId="3C7DAFCD" w14:textId="77777777" w:rsidR="00CE4035" w:rsidRPr="005116BD" w:rsidRDefault="00CE4035" w:rsidP="0068706C">
      <w:pPr>
        <w:pStyle w:val="Default"/>
        <w:numPr>
          <w:ilvl w:val="0"/>
          <w:numId w:val="74"/>
        </w:numPr>
        <w:ind w:left="360"/>
        <w:jc w:val="both"/>
        <w:rPr>
          <w:rFonts w:ascii="Times New Roman" w:hAnsi="Times New Roman" w:cs="Times New Roman"/>
          <w:bCs/>
          <w:color w:val="auto"/>
          <w:lang w:val="sq-AL"/>
        </w:rPr>
      </w:pPr>
      <w:r w:rsidRPr="005116BD">
        <w:rPr>
          <w:rFonts w:ascii="Times New Roman" w:hAnsi="Times New Roman" w:cs="Times New Roman"/>
          <w:bCs/>
          <w:color w:val="auto"/>
          <w:lang w:val="sq-AL"/>
        </w:rPr>
        <w:t>Miratimi i Projektligjit për Turizmin (MTI);</w:t>
      </w:r>
    </w:p>
    <w:p w14:paraId="3CCE0F6F" w14:textId="77777777" w:rsidR="00CE4035" w:rsidRPr="005116BD" w:rsidRDefault="00CE4035" w:rsidP="0068706C">
      <w:pPr>
        <w:pStyle w:val="Default"/>
        <w:numPr>
          <w:ilvl w:val="0"/>
          <w:numId w:val="74"/>
        </w:numPr>
        <w:ind w:left="360"/>
        <w:jc w:val="both"/>
        <w:rPr>
          <w:rFonts w:ascii="Times New Roman" w:hAnsi="Times New Roman" w:cs="Times New Roman"/>
          <w:bCs/>
          <w:color w:val="auto"/>
          <w:lang w:val="sq-AL"/>
        </w:rPr>
      </w:pPr>
      <w:r w:rsidRPr="005116BD">
        <w:rPr>
          <w:rFonts w:ascii="Times New Roman" w:hAnsi="Times New Roman" w:cs="Times New Roman"/>
          <w:bCs/>
          <w:color w:val="auto"/>
          <w:lang w:val="sq-AL"/>
        </w:rPr>
        <w:t>Miratimi i UA për Udhërrëfyesit Turistik, UA për regjistrin me të dhënat e Agjencive Turistike, UA ekspertët të pavarur dhe klasifikimin e strukturave akomoduese;</w:t>
      </w:r>
    </w:p>
    <w:p w14:paraId="4832E57F" w14:textId="77777777" w:rsidR="00CE4035" w:rsidRPr="005116BD" w:rsidRDefault="00CE4035" w:rsidP="0068706C">
      <w:pPr>
        <w:pStyle w:val="Default"/>
        <w:numPr>
          <w:ilvl w:val="0"/>
          <w:numId w:val="74"/>
        </w:numPr>
        <w:ind w:left="360"/>
        <w:jc w:val="both"/>
        <w:rPr>
          <w:rFonts w:ascii="Times New Roman" w:hAnsi="Times New Roman" w:cs="Times New Roman"/>
          <w:color w:val="auto"/>
          <w:lang w:val="sq-AL"/>
        </w:rPr>
      </w:pPr>
      <w:r w:rsidRPr="005116BD">
        <w:rPr>
          <w:rFonts w:ascii="Times New Roman" w:hAnsi="Times New Roman" w:cs="Times New Roman"/>
          <w:bCs/>
          <w:color w:val="auto"/>
          <w:lang w:val="sq-AL"/>
        </w:rPr>
        <w:t>Përkrahja financiare e bizneseve në zhvillimin e turizmit rural edhe agro-turizëm (MBPZHR);</w:t>
      </w:r>
    </w:p>
    <w:p w14:paraId="639B209C" w14:textId="77777777" w:rsidR="00CE4035" w:rsidRPr="005116BD" w:rsidRDefault="00CE4035" w:rsidP="00CE4035">
      <w:pPr>
        <w:pStyle w:val="Default"/>
        <w:ind w:left="360"/>
        <w:jc w:val="both"/>
        <w:rPr>
          <w:rFonts w:ascii="Times New Roman" w:hAnsi="Times New Roman" w:cs="Times New Roman"/>
          <w:color w:val="auto"/>
          <w:lang w:val="sq-AL"/>
        </w:rPr>
      </w:pPr>
    </w:p>
    <w:p w14:paraId="513EFAF4" w14:textId="77777777" w:rsidR="00CE4035" w:rsidRPr="005116BD" w:rsidRDefault="00CE4035" w:rsidP="00CE4035">
      <w:pPr>
        <w:jc w:val="both"/>
        <w:rPr>
          <w:b/>
          <w:bCs/>
        </w:rPr>
      </w:pPr>
      <w:r w:rsidRPr="005116BD">
        <w:rPr>
          <w:b/>
          <w:bCs/>
        </w:rPr>
        <w:t>b. Aktivitetet e planifikuara për 2022:</w:t>
      </w:r>
    </w:p>
    <w:p w14:paraId="782E4D43" w14:textId="77777777" w:rsidR="00CE4035" w:rsidRPr="005116BD" w:rsidRDefault="00CE4035" w:rsidP="0068706C">
      <w:pPr>
        <w:pStyle w:val="ListParagraph"/>
        <w:numPr>
          <w:ilvl w:val="0"/>
          <w:numId w:val="75"/>
        </w:numPr>
        <w:spacing w:after="0" w:line="240" w:lineRule="auto"/>
        <w:ind w:left="360" w:right="466"/>
        <w:jc w:val="both"/>
        <w:rPr>
          <w:rFonts w:ascii="Times New Roman" w:hAnsi="Times New Roman"/>
          <w:sz w:val="24"/>
          <w:szCs w:val="24"/>
        </w:rPr>
      </w:pPr>
      <w:r w:rsidRPr="005116BD">
        <w:rPr>
          <w:rFonts w:ascii="Times New Roman" w:hAnsi="Times New Roman"/>
          <w:sz w:val="24"/>
          <w:szCs w:val="24"/>
        </w:rPr>
        <w:t>Certifikimi i Guidave Turistike (MTI);</w:t>
      </w:r>
    </w:p>
    <w:p w14:paraId="2356EF63" w14:textId="77777777" w:rsidR="00CE4035" w:rsidRPr="005116BD" w:rsidRDefault="00CE4035" w:rsidP="0068706C">
      <w:pPr>
        <w:pStyle w:val="ListParagraph"/>
        <w:numPr>
          <w:ilvl w:val="0"/>
          <w:numId w:val="75"/>
        </w:numPr>
        <w:spacing w:after="0" w:line="240" w:lineRule="auto"/>
        <w:ind w:left="360" w:right="466"/>
        <w:jc w:val="both"/>
        <w:rPr>
          <w:rFonts w:ascii="Times New Roman" w:hAnsi="Times New Roman"/>
          <w:sz w:val="24"/>
          <w:szCs w:val="24"/>
        </w:rPr>
      </w:pPr>
      <w:r w:rsidRPr="005116BD">
        <w:rPr>
          <w:rFonts w:ascii="Times New Roman" w:hAnsi="Times New Roman"/>
          <w:sz w:val="24"/>
          <w:szCs w:val="24"/>
        </w:rPr>
        <w:t>Zhvillimi i produkteve turistike në zonat e trashëgimisë kulturore (Lipjan, Graqanica, Prizreni); do dedikohet për aktivitete si: artizanate tradicionale, kopshtari, transport rural dhe produkte të larmishme turistike, posaçërisht për ato produkte që rrezikojnë të zhduken</w:t>
      </w:r>
    </w:p>
    <w:p w14:paraId="592A801B" w14:textId="77777777" w:rsidR="00CE4035" w:rsidRPr="005116BD" w:rsidRDefault="00CE4035" w:rsidP="0068706C">
      <w:pPr>
        <w:pStyle w:val="ListParagraph"/>
        <w:numPr>
          <w:ilvl w:val="0"/>
          <w:numId w:val="75"/>
        </w:numPr>
        <w:spacing w:after="0" w:line="240" w:lineRule="auto"/>
        <w:ind w:left="360" w:right="466"/>
        <w:jc w:val="both"/>
        <w:rPr>
          <w:rFonts w:ascii="Times New Roman" w:hAnsi="Times New Roman"/>
          <w:sz w:val="24"/>
          <w:szCs w:val="24"/>
        </w:rPr>
      </w:pPr>
      <w:r w:rsidRPr="005116BD">
        <w:rPr>
          <w:rFonts w:ascii="Times New Roman" w:hAnsi="Times New Roman"/>
          <w:sz w:val="24"/>
          <w:szCs w:val="24"/>
        </w:rPr>
        <w:t>Analiza dhe hulumtimi i tregjeve turistike për qasjen dhe promovimin e ofertës turistike të Kosovës në tregjet ndërkombëtare;</w:t>
      </w:r>
    </w:p>
    <w:p w14:paraId="4E816F2A" w14:textId="77777777" w:rsidR="00CE4035" w:rsidRPr="005116BD" w:rsidRDefault="00CE4035" w:rsidP="0068706C">
      <w:pPr>
        <w:pStyle w:val="ListParagraph"/>
        <w:numPr>
          <w:ilvl w:val="0"/>
          <w:numId w:val="75"/>
        </w:numPr>
        <w:spacing w:after="0" w:line="240" w:lineRule="auto"/>
        <w:ind w:left="360" w:right="466"/>
        <w:jc w:val="both"/>
        <w:rPr>
          <w:rFonts w:ascii="Times New Roman" w:hAnsi="Times New Roman"/>
          <w:sz w:val="24"/>
          <w:szCs w:val="24"/>
        </w:rPr>
      </w:pPr>
      <w:r w:rsidRPr="005116BD">
        <w:rPr>
          <w:rFonts w:ascii="Times New Roman" w:hAnsi="Times New Roman"/>
          <w:sz w:val="24"/>
          <w:szCs w:val="24"/>
        </w:rPr>
        <w:t>Përkrahja financiare e bizneseve në zhvillimin e turizmit rural dhe agro-turizëm (MBPZHR).</w:t>
      </w:r>
    </w:p>
    <w:p w14:paraId="5692728D" w14:textId="77777777" w:rsidR="00CE4035" w:rsidRPr="005116BD" w:rsidRDefault="00CE4035" w:rsidP="00CE4035">
      <w:pPr>
        <w:jc w:val="both"/>
        <w:rPr>
          <w:b/>
          <w:bCs/>
        </w:rPr>
      </w:pPr>
    </w:p>
    <w:p w14:paraId="4B417253" w14:textId="77777777" w:rsidR="00CE4035" w:rsidRPr="005116BD" w:rsidRDefault="00CE4035" w:rsidP="00CE4035">
      <w:pPr>
        <w:jc w:val="both"/>
        <w:rPr>
          <w:b/>
          <w:bCs/>
        </w:rPr>
      </w:pPr>
      <w:r w:rsidRPr="005116BD">
        <w:rPr>
          <w:b/>
          <w:bCs/>
        </w:rPr>
        <w:t>c. Aktivitetet e planifikuara për 2023:</w:t>
      </w:r>
    </w:p>
    <w:p w14:paraId="28CBB198" w14:textId="77777777" w:rsidR="00CE4035" w:rsidRPr="005116BD" w:rsidRDefault="00CE4035" w:rsidP="0068706C">
      <w:pPr>
        <w:pStyle w:val="Default"/>
        <w:numPr>
          <w:ilvl w:val="0"/>
          <w:numId w:val="76"/>
        </w:numPr>
        <w:jc w:val="both"/>
        <w:rPr>
          <w:rFonts w:ascii="Times New Roman" w:hAnsi="Times New Roman" w:cs="Times New Roman"/>
          <w:color w:val="auto"/>
          <w:lang w:val="sq-AL"/>
        </w:rPr>
      </w:pPr>
      <w:r w:rsidRPr="005116BD">
        <w:rPr>
          <w:rFonts w:ascii="Times New Roman" w:hAnsi="Times New Roman" w:cs="Times New Roman"/>
          <w:bCs/>
          <w:color w:val="auto"/>
          <w:lang w:val="sq-AL"/>
        </w:rPr>
        <w:t>Përkrahja e bizneseve në zhvillimin e turizmit rural edhe agro-turizëm (MBPZHR);</w:t>
      </w:r>
    </w:p>
    <w:p w14:paraId="2968ED16" w14:textId="77777777" w:rsidR="00CE4035" w:rsidRPr="005116BD" w:rsidRDefault="00CE4035" w:rsidP="0068706C">
      <w:pPr>
        <w:pStyle w:val="Default"/>
        <w:numPr>
          <w:ilvl w:val="0"/>
          <w:numId w:val="76"/>
        </w:numPr>
        <w:jc w:val="both"/>
        <w:rPr>
          <w:rFonts w:ascii="Times New Roman" w:hAnsi="Times New Roman" w:cs="Times New Roman"/>
          <w:color w:val="auto"/>
          <w:lang w:val="sq-AL"/>
        </w:rPr>
      </w:pPr>
      <w:r w:rsidRPr="005116BD">
        <w:rPr>
          <w:rFonts w:ascii="Times New Roman" w:hAnsi="Times New Roman" w:cs="Times New Roman"/>
          <w:color w:val="auto"/>
          <w:lang w:val="sq-AL"/>
        </w:rPr>
        <w:t>Zhvillimi i produkteve turistike në zonat e trashëgimisë kulturore (Lipjan, Graqanica, Prizreni); do dedikohet për aktivitete si: artizanate tradicionale, kopshtari, transport rural dhe produkte të larmishme turistike, posaçërisht për ato produkte që rrezikojnë të zhduken;</w:t>
      </w:r>
    </w:p>
    <w:p w14:paraId="395C28CE" w14:textId="77777777" w:rsidR="00CE4035" w:rsidRPr="005116BD" w:rsidRDefault="00CE4035" w:rsidP="0068706C">
      <w:pPr>
        <w:pStyle w:val="Default"/>
        <w:numPr>
          <w:ilvl w:val="0"/>
          <w:numId w:val="76"/>
        </w:numPr>
        <w:jc w:val="both"/>
        <w:rPr>
          <w:rFonts w:ascii="Times New Roman" w:hAnsi="Times New Roman" w:cs="Times New Roman"/>
          <w:color w:val="auto"/>
          <w:lang w:val="sq-AL"/>
        </w:rPr>
      </w:pPr>
      <w:r w:rsidRPr="005116BD">
        <w:rPr>
          <w:rFonts w:ascii="Times New Roman" w:hAnsi="Times New Roman" w:cs="Times New Roman"/>
          <w:color w:val="auto"/>
          <w:lang w:val="sq-AL"/>
        </w:rPr>
        <w:t>Analiza dhe hulumtimi i tregjeve turistike për qasjen dhe promovimin e ofertës turistike të Kosovës në tregjet ndërkombëtar;</w:t>
      </w:r>
    </w:p>
    <w:p w14:paraId="1F962913" w14:textId="77777777" w:rsidR="00CE4035" w:rsidRPr="005116BD" w:rsidRDefault="00CE4035" w:rsidP="0068706C">
      <w:pPr>
        <w:pStyle w:val="ListParagraph"/>
        <w:numPr>
          <w:ilvl w:val="0"/>
          <w:numId w:val="76"/>
        </w:numPr>
        <w:spacing w:after="0" w:line="240" w:lineRule="auto"/>
        <w:ind w:right="466"/>
        <w:jc w:val="both"/>
        <w:rPr>
          <w:rFonts w:ascii="Times New Roman" w:hAnsi="Times New Roman"/>
          <w:sz w:val="24"/>
          <w:szCs w:val="24"/>
        </w:rPr>
      </w:pPr>
      <w:r w:rsidRPr="005116BD">
        <w:rPr>
          <w:rFonts w:ascii="Times New Roman" w:hAnsi="Times New Roman"/>
          <w:sz w:val="24"/>
          <w:szCs w:val="24"/>
        </w:rPr>
        <w:t>Zhvillimi i së paku 5 produkteve të reja turistike në bashkëpunim me komunat (Komunat, MTI).</w:t>
      </w:r>
    </w:p>
    <w:p w14:paraId="5EB28741" w14:textId="77777777" w:rsidR="00CE4035" w:rsidRDefault="00CE4035" w:rsidP="00CE4035">
      <w:pPr>
        <w:rPr>
          <w:b/>
        </w:rPr>
      </w:pPr>
    </w:p>
    <w:p w14:paraId="01FBC227" w14:textId="77777777" w:rsidR="00CE4035" w:rsidRPr="005116BD" w:rsidRDefault="00CE4035" w:rsidP="00CE4035">
      <w:pPr>
        <w:rPr>
          <w:b/>
          <w:bCs/>
        </w:rPr>
      </w:pPr>
      <w:r w:rsidRPr="005116BD">
        <w:rPr>
          <w:b/>
        </w:rPr>
        <w:t>Treguesit e rezultateve</w:t>
      </w:r>
      <w:r w:rsidRPr="005116BD">
        <w:rPr>
          <w:b/>
          <w:bCs/>
        </w:rPr>
        <w:t xml:space="preserve">: </w:t>
      </w:r>
    </w:p>
    <w:tbl>
      <w:tblPr>
        <w:tblpPr w:leftFromText="180" w:rightFromText="180" w:vertAnchor="text" w:horzAnchor="margin" w:tblpY="168"/>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1440"/>
        <w:gridCol w:w="2250"/>
        <w:gridCol w:w="1530"/>
      </w:tblGrid>
      <w:tr w:rsidR="00CE4035" w:rsidRPr="005116BD" w14:paraId="3CE01441" w14:textId="77777777" w:rsidTr="005116BD">
        <w:trPr>
          <w:trHeight w:val="617"/>
        </w:trPr>
        <w:tc>
          <w:tcPr>
            <w:tcW w:w="3415" w:type="dxa"/>
            <w:shd w:val="clear" w:color="auto" w:fill="auto"/>
            <w:vAlign w:val="center"/>
          </w:tcPr>
          <w:p w14:paraId="3253F71C" w14:textId="77777777" w:rsidR="00CE4035" w:rsidRPr="005116BD" w:rsidRDefault="00CE4035" w:rsidP="009B753C">
            <w:pPr>
              <w:pStyle w:val="Default"/>
              <w:jc w:val="center"/>
              <w:rPr>
                <w:rFonts w:ascii="Times New Roman" w:hAnsi="Times New Roman" w:cs="Times New Roman"/>
                <w:b/>
                <w:color w:val="auto"/>
                <w:lang w:val="sq-AL"/>
              </w:rPr>
            </w:pPr>
            <w:r w:rsidRPr="005116BD">
              <w:rPr>
                <w:rFonts w:ascii="Times New Roman" w:hAnsi="Times New Roman" w:cs="Times New Roman"/>
                <w:b/>
                <w:color w:val="auto"/>
                <w:lang w:val="sq-AL"/>
              </w:rPr>
              <w:t>Treguesi</w:t>
            </w:r>
          </w:p>
        </w:tc>
        <w:tc>
          <w:tcPr>
            <w:tcW w:w="1440" w:type="dxa"/>
            <w:shd w:val="clear" w:color="auto" w:fill="auto"/>
            <w:vAlign w:val="center"/>
          </w:tcPr>
          <w:p w14:paraId="5A3BB5B4" w14:textId="77777777" w:rsidR="00CE4035" w:rsidRPr="005116BD" w:rsidRDefault="00CE4035" w:rsidP="009B753C">
            <w:pPr>
              <w:pStyle w:val="Default"/>
              <w:jc w:val="center"/>
              <w:rPr>
                <w:rFonts w:ascii="Times New Roman" w:hAnsi="Times New Roman" w:cs="Times New Roman"/>
                <w:b/>
                <w:color w:val="auto"/>
                <w:lang w:val="sq-AL"/>
              </w:rPr>
            </w:pPr>
            <w:r w:rsidRPr="005116BD">
              <w:rPr>
                <w:rFonts w:ascii="Times New Roman" w:hAnsi="Times New Roman" w:cs="Times New Roman"/>
                <w:b/>
                <w:color w:val="auto"/>
                <w:lang w:val="sq-AL"/>
              </w:rPr>
              <w:t>Baza 2019</w:t>
            </w:r>
          </w:p>
        </w:tc>
        <w:tc>
          <w:tcPr>
            <w:tcW w:w="2250" w:type="dxa"/>
            <w:shd w:val="clear" w:color="auto" w:fill="auto"/>
            <w:vAlign w:val="center"/>
          </w:tcPr>
          <w:p w14:paraId="3FB6A4A4" w14:textId="77777777" w:rsidR="00CE4035" w:rsidRPr="005116BD" w:rsidRDefault="00CE4035" w:rsidP="009B753C">
            <w:pPr>
              <w:pStyle w:val="Default"/>
              <w:jc w:val="center"/>
              <w:rPr>
                <w:rFonts w:ascii="Times New Roman" w:hAnsi="Times New Roman" w:cs="Times New Roman"/>
                <w:b/>
                <w:color w:val="auto"/>
                <w:lang w:val="sq-AL"/>
              </w:rPr>
            </w:pPr>
            <w:r w:rsidRPr="005116BD">
              <w:rPr>
                <w:rFonts w:ascii="Times New Roman" w:hAnsi="Times New Roman" w:cs="Times New Roman"/>
                <w:b/>
                <w:color w:val="auto"/>
                <w:lang w:val="sq-AL"/>
              </w:rPr>
              <w:t>Treguesi i ndërmjetëm   2021</w:t>
            </w:r>
          </w:p>
        </w:tc>
        <w:tc>
          <w:tcPr>
            <w:tcW w:w="1530" w:type="dxa"/>
            <w:shd w:val="clear" w:color="auto" w:fill="auto"/>
            <w:vAlign w:val="center"/>
          </w:tcPr>
          <w:p w14:paraId="5CD6F0C8" w14:textId="77777777" w:rsidR="00CE4035" w:rsidRPr="005116BD" w:rsidRDefault="00CE4035" w:rsidP="009B753C">
            <w:pPr>
              <w:pStyle w:val="Default"/>
              <w:jc w:val="center"/>
              <w:rPr>
                <w:rFonts w:ascii="Times New Roman" w:hAnsi="Times New Roman" w:cs="Times New Roman"/>
                <w:b/>
                <w:color w:val="auto"/>
                <w:lang w:val="sq-AL"/>
              </w:rPr>
            </w:pPr>
            <w:r w:rsidRPr="005116BD">
              <w:rPr>
                <w:rFonts w:ascii="Times New Roman" w:hAnsi="Times New Roman" w:cs="Times New Roman"/>
                <w:b/>
                <w:color w:val="auto"/>
                <w:lang w:val="sq-AL"/>
              </w:rPr>
              <w:t>Synimi 2023</w:t>
            </w:r>
          </w:p>
        </w:tc>
      </w:tr>
      <w:tr w:rsidR="00CE4035" w:rsidRPr="005116BD" w14:paraId="06CA658E" w14:textId="77777777" w:rsidTr="005116BD">
        <w:trPr>
          <w:trHeight w:val="617"/>
        </w:trPr>
        <w:tc>
          <w:tcPr>
            <w:tcW w:w="3415" w:type="dxa"/>
            <w:shd w:val="clear" w:color="auto" w:fill="auto"/>
            <w:vAlign w:val="center"/>
          </w:tcPr>
          <w:p w14:paraId="7B75D528" w14:textId="77777777" w:rsidR="00CE4035" w:rsidRPr="005116BD" w:rsidRDefault="00CE4035" w:rsidP="009B753C">
            <w:pPr>
              <w:pStyle w:val="Default"/>
              <w:rPr>
                <w:rFonts w:ascii="Times New Roman" w:hAnsi="Times New Roman" w:cs="Times New Roman"/>
                <w:color w:val="auto"/>
                <w:lang w:val="sq-AL"/>
              </w:rPr>
            </w:pPr>
            <w:r w:rsidRPr="005116BD">
              <w:rPr>
                <w:rFonts w:ascii="Times New Roman" w:hAnsi="Times New Roman" w:cs="Times New Roman"/>
                <w:bCs/>
                <w:color w:val="auto"/>
                <w:lang w:val="sq-AL"/>
              </w:rPr>
              <w:t>Numri i ardhjeve të vizitorëve të huaj</w:t>
            </w:r>
            <w:r w:rsidRPr="005116BD">
              <w:rPr>
                <w:rStyle w:val="FootnoteReference"/>
                <w:rFonts w:ascii="Times New Roman" w:hAnsi="Times New Roman" w:cs="Times New Roman"/>
                <w:bCs/>
                <w:color w:val="auto"/>
                <w:lang w:val="sq-AL"/>
              </w:rPr>
              <w:footnoteReference w:id="19"/>
            </w:r>
          </w:p>
        </w:tc>
        <w:tc>
          <w:tcPr>
            <w:tcW w:w="1440" w:type="dxa"/>
            <w:shd w:val="clear" w:color="auto" w:fill="auto"/>
            <w:vAlign w:val="center"/>
          </w:tcPr>
          <w:p w14:paraId="727F4DAC" w14:textId="77777777" w:rsidR="00CE4035" w:rsidRPr="005116BD" w:rsidRDefault="00CE4035" w:rsidP="009B753C">
            <w:pPr>
              <w:pStyle w:val="Default"/>
              <w:jc w:val="center"/>
              <w:rPr>
                <w:rFonts w:ascii="Times New Roman" w:hAnsi="Times New Roman" w:cs="Times New Roman"/>
                <w:color w:val="auto"/>
                <w:lang w:val="sq-AL"/>
              </w:rPr>
            </w:pPr>
            <w:r w:rsidRPr="005116BD">
              <w:rPr>
                <w:rFonts w:ascii="Times New Roman" w:hAnsi="Times New Roman" w:cs="Times New Roman"/>
                <w:color w:val="auto"/>
                <w:lang w:val="sq-AL"/>
              </w:rPr>
              <w:t>4,962,335</w:t>
            </w:r>
          </w:p>
        </w:tc>
        <w:tc>
          <w:tcPr>
            <w:tcW w:w="2250" w:type="dxa"/>
            <w:shd w:val="clear" w:color="auto" w:fill="auto"/>
            <w:vAlign w:val="center"/>
          </w:tcPr>
          <w:p w14:paraId="18D3C04A" w14:textId="77777777" w:rsidR="00CE4035" w:rsidRPr="005116BD" w:rsidRDefault="00CE4035" w:rsidP="009B753C">
            <w:pPr>
              <w:pStyle w:val="Default"/>
              <w:jc w:val="center"/>
              <w:rPr>
                <w:rFonts w:ascii="Times New Roman" w:hAnsi="Times New Roman" w:cs="Times New Roman"/>
                <w:color w:val="auto"/>
                <w:lang w:val="sq-AL"/>
              </w:rPr>
            </w:pPr>
            <w:r w:rsidRPr="005116BD">
              <w:rPr>
                <w:rFonts w:ascii="Times New Roman" w:hAnsi="Times New Roman" w:cs="Times New Roman"/>
                <w:color w:val="auto"/>
                <w:lang w:val="sq-AL"/>
              </w:rPr>
              <w:t xml:space="preserve">5,210,452 </w:t>
            </w:r>
          </w:p>
          <w:p w14:paraId="0E8493A7" w14:textId="77777777" w:rsidR="00CE4035" w:rsidRPr="005116BD" w:rsidRDefault="00CE4035" w:rsidP="009B753C">
            <w:pPr>
              <w:pStyle w:val="Default"/>
              <w:jc w:val="center"/>
              <w:rPr>
                <w:rFonts w:ascii="Times New Roman" w:hAnsi="Times New Roman" w:cs="Times New Roman"/>
                <w:color w:val="auto"/>
                <w:lang w:val="sq-AL"/>
              </w:rPr>
            </w:pPr>
            <w:r w:rsidRPr="005116BD">
              <w:rPr>
                <w:rFonts w:ascii="Times New Roman" w:hAnsi="Times New Roman" w:cs="Times New Roman"/>
                <w:color w:val="auto"/>
                <w:lang w:val="sq-AL"/>
              </w:rPr>
              <w:t xml:space="preserve"> </w:t>
            </w:r>
            <w:r w:rsidRPr="005116BD">
              <w:rPr>
                <w:rFonts w:ascii="Times New Roman" w:hAnsi="Times New Roman" w:cs="Times New Roman"/>
                <w:i/>
                <w:color w:val="auto"/>
                <w:lang w:val="sq-AL"/>
              </w:rPr>
              <w:t>përjashtuar efektin negativ nga pandemia</w:t>
            </w:r>
          </w:p>
        </w:tc>
        <w:tc>
          <w:tcPr>
            <w:tcW w:w="1530" w:type="dxa"/>
            <w:shd w:val="clear" w:color="auto" w:fill="auto"/>
            <w:vAlign w:val="center"/>
          </w:tcPr>
          <w:p w14:paraId="0F212D10" w14:textId="77777777" w:rsidR="00CE4035" w:rsidRPr="005116BD" w:rsidRDefault="00CE4035" w:rsidP="009B753C">
            <w:pPr>
              <w:pStyle w:val="Default"/>
              <w:jc w:val="center"/>
              <w:rPr>
                <w:rFonts w:ascii="Times New Roman" w:hAnsi="Times New Roman" w:cs="Times New Roman"/>
                <w:color w:val="auto"/>
                <w:lang w:val="sq-AL"/>
              </w:rPr>
            </w:pPr>
            <w:r w:rsidRPr="005116BD">
              <w:rPr>
                <w:rFonts w:ascii="Times New Roman" w:hAnsi="Times New Roman" w:cs="Times New Roman"/>
                <w:color w:val="auto"/>
                <w:lang w:val="sq-AL"/>
              </w:rPr>
              <w:t>5,731,497</w:t>
            </w:r>
          </w:p>
        </w:tc>
      </w:tr>
      <w:tr w:rsidR="00CE4035" w:rsidRPr="005116BD" w14:paraId="3719AD6B" w14:textId="77777777" w:rsidTr="005116BD">
        <w:trPr>
          <w:trHeight w:val="275"/>
        </w:trPr>
        <w:tc>
          <w:tcPr>
            <w:tcW w:w="3415" w:type="dxa"/>
            <w:shd w:val="clear" w:color="auto" w:fill="auto"/>
            <w:vAlign w:val="center"/>
          </w:tcPr>
          <w:p w14:paraId="1DA6A88B" w14:textId="77777777" w:rsidR="00CE4035" w:rsidRPr="005116BD" w:rsidRDefault="00CE4035" w:rsidP="009B753C">
            <w:r w:rsidRPr="005116BD">
              <w:t xml:space="preserve"> Nr. netë qëndrimi të vizitoreve vendor dhe të jashtëm</w:t>
            </w:r>
          </w:p>
        </w:tc>
        <w:tc>
          <w:tcPr>
            <w:tcW w:w="1440" w:type="dxa"/>
            <w:shd w:val="clear" w:color="auto" w:fill="auto"/>
            <w:vAlign w:val="center"/>
          </w:tcPr>
          <w:p w14:paraId="1D9C9991" w14:textId="77777777" w:rsidR="00CE4035" w:rsidRPr="005116BD" w:rsidRDefault="00CE4035" w:rsidP="009B753C">
            <w:pPr>
              <w:pStyle w:val="Default"/>
              <w:jc w:val="center"/>
              <w:rPr>
                <w:rFonts w:ascii="Times New Roman" w:hAnsi="Times New Roman" w:cs="Times New Roman"/>
                <w:iCs/>
                <w:color w:val="auto"/>
                <w:lang w:val="sq-AL"/>
              </w:rPr>
            </w:pPr>
            <w:r w:rsidRPr="005116BD">
              <w:rPr>
                <w:rFonts w:ascii="Times New Roman" w:hAnsi="Times New Roman" w:cs="Times New Roman"/>
                <w:iCs/>
                <w:color w:val="auto"/>
                <w:lang w:val="sq-AL"/>
              </w:rPr>
              <w:t>490,402</w:t>
            </w:r>
          </w:p>
        </w:tc>
        <w:tc>
          <w:tcPr>
            <w:tcW w:w="2250" w:type="dxa"/>
            <w:shd w:val="clear" w:color="auto" w:fill="auto"/>
            <w:vAlign w:val="center"/>
          </w:tcPr>
          <w:p w14:paraId="1BBC0494" w14:textId="77777777" w:rsidR="00CE4035" w:rsidRPr="005116BD" w:rsidRDefault="00CE4035" w:rsidP="009B753C">
            <w:pPr>
              <w:pStyle w:val="Default"/>
              <w:jc w:val="center"/>
              <w:rPr>
                <w:rFonts w:ascii="Times New Roman" w:hAnsi="Times New Roman" w:cs="Times New Roman"/>
                <w:iCs/>
                <w:color w:val="auto"/>
                <w:lang w:val="sq-AL"/>
              </w:rPr>
            </w:pPr>
            <w:r w:rsidRPr="005116BD">
              <w:rPr>
                <w:rFonts w:ascii="Times New Roman" w:hAnsi="Times New Roman" w:cs="Times New Roman"/>
                <w:iCs/>
                <w:color w:val="auto"/>
                <w:lang w:val="sq-AL"/>
              </w:rPr>
              <w:t>530,000</w:t>
            </w:r>
          </w:p>
        </w:tc>
        <w:tc>
          <w:tcPr>
            <w:tcW w:w="1530" w:type="dxa"/>
            <w:shd w:val="clear" w:color="auto" w:fill="auto"/>
            <w:vAlign w:val="center"/>
          </w:tcPr>
          <w:p w14:paraId="17085E63" w14:textId="77777777" w:rsidR="00CE4035" w:rsidRPr="005116BD" w:rsidRDefault="00CE4035" w:rsidP="009B753C">
            <w:pPr>
              <w:pStyle w:val="Default"/>
              <w:jc w:val="center"/>
              <w:rPr>
                <w:rFonts w:ascii="Times New Roman" w:hAnsi="Times New Roman" w:cs="Times New Roman"/>
                <w:iCs/>
                <w:color w:val="auto"/>
                <w:lang w:val="sq-AL"/>
              </w:rPr>
            </w:pPr>
            <w:r w:rsidRPr="005116BD">
              <w:rPr>
                <w:rFonts w:ascii="Times New Roman" w:hAnsi="Times New Roman" w:cs="Times New Roman"/>
                <w:iCs/>
                <w:color w:val="auto"/>
                <w:lang w:val="sq-AL"/>
              </w:rPr>
              <w:t>650,000</w:t>
            </w:r>
          </w:p>
        </w:tc>
      </w:tr>
      <w:tr w:rsidR="00CE4035" w:rsidRPr="005116BD" w14:paraId="668C21EC" w14:textId="77777777" w:rsidTr="005116BD">
        <w:trPr>
          <w:trHeight w:val="275"/>
        </w:trPr>
        <w:tc>
          <w:tcPr>
            <w:tcW w:w="3415" w:type="dxa"/>
            <w:shd w:val="clear" w:color="auto" w:fill="auto"/>
            <w:vAlign w:val="center"/>
          </w:tcPr>
          <w:p w14:paraId="6F1EB736" w14:textId="77777777" w:rsidR="00CE4035" w:rsidRPr="005116BD" w:rsidRDefault="00CE4035" w:rsidP="009B753C">
            <w:r w:rsidRPr="005116BD">
              <w:t>BPV  (Bruto produkti vendor sipas aktivitetit ekonomik: Hotele dhe restorante)</w:t>
            </w:r>
          </w:p>
        </w:tc>
        <w:tc>
          <w:tcPr>
            <w:tcW w:w="1440" w:type="dxa"/>
            <w:shd w:val="clear" w:color="auto" w:fill="auto"/>
            <w:vAlign w:val="center"/>
          </w:tcPr>
          <w:p w14:paraId="08678E8D" w14:textId="77777777" w:rsidR="00CE4035" w:rsidRPr="005116BD" w:rsidRDefault="00CE4035" w:rsidP="009B753C">
            <w:pPr>
              <w:pStyle w:val="Default"/>
              <w:jc w:val="center"/>
              <w:rPr>
                <w:rFonts w:ascii="Times New Roman" w:hAnsi="Times New Roman" w:cs="Times New Roman"/>
                <w:iCs/>
                <w:color w:val="auto"/>
                <w:lang w:val="sq-AL"/>
              </w:rPr>
            </w:pPr>
            <w:r w:rsidRPr="005116BD">
              <w:rPr>
                <w:rFonts w:ascii="Times New Roman" w:hAnsi="Times New Roman" w:cs="Times New Roman"/>
                <w:iCs/>
                <w:color w:val="auto"/>
                <w:lang w:val="sq-AL"/>
              </w:rPr>
              <w:t>1.4 %</w:t>
            </w:r>
          </w:p>
        </w:tc>
        <w:tc>
          <w:tcPr>
            <w:tcW w:w="2250" w:type="dxa"/>
            <w:shd w:val="clear" w:color="auto" w:fill="auto"/>
            <w:vAlign w:val="center"/>
          </w:tcPr>
          <w:p w14:paraId="07D47B7C" w14:textId="77777777" w:rsidR="00CE4035" w:rsidRPr="005116BD" w:rsidRDefault="00CE4035" w:rsidP="009B753C">
            <w:pPr>
              <w:pStyle w:val="Default"/>
              <w:jc w:val="center"/>
              <w:rPr>
                <w:rFonts w:ascii="Times New Roman" w:hAnsi="Times New Roman" w:cs="Times New Roman"/>
                <w:iCs/>
                <w:color w:val="auto"/>
                <w:lang w:val="sq-AL"/>
              </w:rPr>
            </w:pPr>
            <w:r w:rsidRPr="005116BD">
              <w:rPr>
                <w:rFonts w:ascii="Times New Roman" w:hAnsi="Times New Roman" w:cs="Times New Roman"/>
                <w:iCs/>
                <w:color w:val="auto"/>
                <w:lang w:val="sq-AL"/>
              </w:rPr>
              <w:t>1.5 %</w:t>
            </w:r>
          </w:p>
        </w:tc>
        <w:tc>
          <w:tcPr>
            <w:tcW w:w="1530" w:type="dxa"/>
            <w:shd w:val="clear" w:color="auto" w:fill="auto"/>
            <w:vAlign w:val="center"/>
          </w:tcPr>
          <w:p w14:paraId="7D9209BA" w14:textId="77777777" w:rsidR="00CE4035" w:rsidRPr="005116BD" w:rsidRDefault="00CE4035" w:rsidP="009B753C">
            <w:pPr>
              <w:pStyle w:val="Default"/>
              <w:jc w:val="center"/>
              <w:rPr>
                <w:rFonts w:ascii="Times New Roman" w:hAnsi="Times New Roman" w:cs="Times New Roman"/>
                <w:iCs/>
                <w:color w:val="auto"/>
                <w:lang w:val="sq-AL"/>
              </w:rPr>
            </w:pPr>
            <w:r w:rsidRPr="005116BD">
              <w:rPr>
                <w:rFonts w:ascii="Times New Roman" w:hAnsi="Times New Roman" w:cs="Times New Roman"/>
                <w:iCs/>
                <w:color w:val="auto"/>
                <w:lang w:val="sq-AL"/>
              </w:rPr>
              <w:t>2 %</w:t>
            </w:r>
          </w:p>
        </w:tc>
      </w:tr>
      <w:tr w:rsidR="00CE4035" w:rsidRPr="005116BD" w14:paraId="4422513C" w14:textId="77777777" w:rsidTr="005116BD">
        <w:trPr>
          <w:trHeight w:val="275"/>
        </w:trPr>
        <w:tc>
          <w:tcPr>
            <w:tcW w:w="3415" w:type="dxa"/>
            <w:shd w:val="clear" w:color="auto" w:fill="auto"/>
            <w:vAlign w:val="center"/>
          </w:tcPr>
          <w:p w14:paraId="28FE5698" w14:textId="77777777" w:rsidR="00CE4035" w:rsidRPr="005116BD" w:rsidRDefault="00CE4035" w:rsidP="009B753C">
            <w:r w:rsidRPr="005116BD">
              <w:t>Numri i vendeve të punës sipas aktiviteteve  akomodimi dhe shërbimet e ushqimit</w:t>
            </w:r>
          </w:p>
        </w:tc>
        <w:tc>
          <w:tcPr>
            <w:tcW w:w="1440" w:type="dxa"/>
            <w:shd w:val="clear" w:color="auto" w:fill="auto"/>
            <w:vAlign w:val="center"/>
          </w:tcPr>
          <w:p w14:paraId="404CC25C" w14:textId="77777777" w:rsidR="00CE4035" w:rsidRPr="005116BD" w:rsidRDefault="00CE4035" w:rsidP="009B753C">
            <w:pPr>
              <w:pStyle w:val="Default"/>
              <w:jc w:val="center"/>
              <w:rPr>
                <w:rFonts w:ascii="Times New Roman" w:hAnsi="Times New Roman" w:cs="Times New Roman"/>
                <w:iCs/>
                <w:color w:val="auto"/>
                <w:lang w:val="sq-AL"/>
              </w:rPr>
            </w:pPr>
            <w:r w:rsidRPr="005116BD">
              <w:rPr>
                <w:rFonts w:ascii="Times New Roman" w:hAnsi="Times New Roman" w:cs="Times New Roman"/>
              </w:rPr>
              <w:t>6,4 %</w:t>
            </w:r>
          </w:p>
        </w:tc>
        <w:tc>
          <w:tcPr>
            <w:tcW w:w="2250" w:type="dxa"/>
            <w:shd w:val="clear" w:color="auto" w:fill="auto"/>
            <w:vAlign w:val="center"/>
          </w:tcPr>
          <w:p w14:paraId="5BC925A7" w14:textId="77777777" w:rsidR="00CE4035" w:rsidRPr="005116BD" w:rsidRDefault="00CE4035" w:rsidP="009B753C">
            <w:pPr>
              <w:pStyle w:val="Default"/>
              <w:jc w:val="center"/>
              <w:rPr>
                <w:rFonts w:ascii="Times New Roman" w:hAnsi="Times New Roman" w:cs="Times New Roman"/>
                <w:iCs/>
                <w:color w:val="auto"/>
                <w:lang w:val="sq-AL"/>
              </w:rPr>
            </w:pPr>
            <w:r w:rsidRPr="005116BD">
              <w:rPr>
                <w:rFonts w:ascii="Times New Roman" w:hAnsi="Times New Roman" w:cs="Times New Roman"/>
                <w:iCs/>
                <w:color w:val="auto"/>
                <w:lang w:val="sq-AL"/>
              </w:rPr>
              <w:t>6.8%</w:t>
            </w:r>
          </w:p>
        </w:tc>
        <w:tc>
          <w:tcPr>
            <w:tcW w:w="1530" w:type="dxa"/>
            <w:shd w:val="clear" w:color="auto" w:fill="auto"/>
            <w:vAlign w:val="center"/>
          </w:tcPr>
          <w:p w14:paraId="4EB65687" w14:textId="77777777" w:rsidR="00CE4035" w:rsidRPr="005116BD" w:rsidRDefault="00CE4035" w:rsidP="009B753C">
            <w:pPr>
              <w:pStyle w:val="Default"/>
              <w:jc w:val="center"/>
              <w:rPr>
                <w:rFonts w:ascii="Times New Roman" w:hAnsi="Times New Roman" w:cs="Times New Roman"/>
                <w:iCs/>
                <w:color w:val="auto"/>
                <w:lang w:val="sq-AL"/>
              </w:rPr>
            </w:pPr>
            <w:r w:rsidRPr="005116BD">
              <w:rPr>
                <w:rFonts w:ascii="Times New Roman" w:hAnsi="Times New Roman" w:cs="Times New Roman"/>
                <w:lang w:val="sq-AL"/>
              </w:rPr>
              <w:t>7.5%</w:t>
            </w:r>
          </w:p>
        </w:tc>
      </w:tr>
    </w:tbl>
    <w:p w14:paraId="73933C9E" w14:textId="648428E4" w:rsidR="00CE4035" w:rsidRDefault="00CE4035" w:rsidP="00CE4035">
      <w:pPr>
        <w:jc w:val="both"/>
        <w:rPr>
          <w:i/>
        </w:rPr>
      </w:pPr>
      <w:r w:rsidRPr="00C3730A">
        <w:rPr>
          <w:i/>
        </w:rPr>
        <w:t>Arritja e këtyre tregues</w:t>
      </w:r>
      <w:r>
        <w:rPr>
          <w:i/>
        </w:rPr>
        <w:t>ve është në pajtim me Objektiven 8 të O</w:t>
      </w:r>
      <w:r w:rsidRPr="00C3730A">
        <w:rPr>
          <w:i/>
        </w:rPr>
        <w:t>ZHQ</w:t>
      </w:r>
      <w:r>
        <w:rPr>
          <w:i/>
        </w:rPr>
        <w:t xml:space="preserve"> </w:t>
      </w:r>
      <w:r w:rsidRPr="000B6DA2">
        <w:rPr>
          <w:i/>
        </w:rPr>
        <w:t>Nxitja e rritjes ekonomike të pandërprerë, përfshirëse dhe të qëndrueshme, punësimit të plotë e produktiv dhe punës së denjë për të gjithë</w:t>
      </w:r>
      <w:r>
        <w:rPr>
          <w:i/>
        </w:rPr>
        <w:t xml:space="preserve">’, Caku 8.9 </w:t>
      </w:r>
      <w:r w:rsidRPr="000B6DA2">
        <w:rPr>
          <w:i/>
        </w:rPr>
        <w:t>Deri në vitin 2030, të har</w:t>
      </w:r>
      <w:r>
        <w:rPr>
          <w:i/>
        </w:rPr>
        <w:t xml:space="preserve">tohen dhe zbatohen politika për </w:t>
      </w:r>
      <w:r w:rsidRPr="000B6DA2">
        <w:rPr>
          <w:i/>
        </w:rPr>
        <w:t>promovimin e turizmit</w:t>
      </w:r>
      <w:r>
        <w:rPr>
          <w:i/>
        </w:rPr>
        <w:t xml:space="preserve"> të qëndrueshëm që krijon vende </w:t>
      </w:r>
      <w:r w:rsidRPr="000B6DA2">
        <w:rPr>
          <w:i/>
        </w:rPr>
        <w:t>pune dhe promovon kulturën dhe produktet lokale</w:t>
      </w:r>
      <w:r>
        <w:rPr>
          <w:i/>
        </w:rPr>
        <w:t>’ indikatori 8.9.2 ‘</w:t>
      </w:r>
      <w:r w:rsidRPr="004D77FA">
        <w:rPr>
          <w:i/>
        </w:rPr>
        <w:t>Numri i vendeve të punës në industritë e turizmit si një përqindje e punëve totale dhe shkalla e rritjes së vendeve të punës, sipas gjinisë</w:t>
      </w:r>
      <w:r>
        <w:rPr>
          <w:i/>
        </w:rPr>
        <w:t xml:space="preserve">’. </w:t>
      </w:r>
    </w:p>
    <w:p w14:paraId="3D219BCE" w14:textId="77777777" w:rsidR="005116BD" w:rsidRPr="000B6DA2" w:rsidRDefault="005116BD" w:rsidP="00CE4035">
      <w:pPr>
        <w:jc w:val="both"/>
        <w:rPr>
          <w:i/>
        </w:rPr>
      </w:pPr>
    </w:p>
    <w:p w14:paraId="728960B9" w14:textId="6DD78356" w:rsidR="00CE4035" w:rsidRDefault="00CE4035" w:rsidP="00CE4035">
      <w:pPr>
        <w:jc w:val="both"/>
        <w:rPr>
          <w:shd w:val="clear" w:color="auto" w:fill="FFFFFF"/>
        </w:rPr>
      </w:pPr>
      <w:r w:rsidRPr="004C3B99">
        <w:rPr>
          <w:b/>
          <w:bCs/>
        </w:rPr>
        <w:t xml:space="preserve">Ndikimi i pritur në konkurrueshmëri: </w:t>
      </w:r>
      <w:r w:rsidRPr="004C3B99">
        <w:rPr>
          <w:shd w:val="clear" w:color="auto" w:fill="FFFFFF"/>
        </w:rPr>
        <w:t xml:space="preserve">Ligji i ri për turizëm rregullon infrastrukturën ligjore në aspektin e njohjes si profesionit të guidave, rregullimit të operimit të agjencive turistike, akomulimi i taksës së akomodimit si dhe ngritjen e promovimit të turizmit në nivel kombëtare, e gjithë kjo do të ndikon në uljen e informalitetit në sektorin e turizmit dhe promovimin e vlerave konkurruese sidomos në turizmin rural. Zhvillimi i  turizmit do të zgjerohet në zonat rurale dhe malore ku synohet rritja e punësimit në këto zona, rritja e bizneseve familjare ku gratë do të kenë mundësi të lehta të punësimit. Rritja e produkteve të reja turistike do të ndikon në zgjerimin e ofertës turistike të Kosovës e cila ndikon direkt në rritjen e konsumit të shërbimeve turistike dhe si rezultat nxit punësimin dhe rritjen e mirëqenies. </w:t>
      </w:r>
    </w:p>
    <w:p w14:paraId="7FD65D38" w14:textId="77777777" w:rsidR="005116BD" w:rsidRPr="004C3B99" w:rsidRDefault="005116BD" w:rsidP="00CE4035">
      <w:pPr>
        <w:jc w:val="both"/>
        <w:rPr>
          <w:shd w:val="clear" w:color="auto" w:fill="FFFFFF"/>
        </w:rPr>
      </w:pPr>
    </w:p>
    <w:p w14:paraId="1B5085A1" w14:textId="257C94DA" w:rsidR="00CE4035" w:rsidRDefault="00CE4035" w:rsidP="00CE4035">
      <w:pPr>
        <w:jc w:val="both"/>
      </w:pPr>
      <w:r w:rsidRPr="004C3B99">
        <w:rPr>
          <w:b/>
          <w:bCs/>
        </w:rPr>
        <w:t xml:space="preserve">Vlerësimi i kostos së aktiviteteve dhe </w:t>
      </w:r>
      <w:r w:rsidRPr="004C3B99">
        <w:rPr>
          <w:b/>
        </w:rPr>
        <w:t xml:space="preserve">burimet e financimit: </w:t>
      </w:r>
      <w:r w:rsidRPr="004C3B99">
        <w:t xml:space="preserve">Sipas vlerësimeve preliminare, implementimi i aktiviteteve të listuara në këtë propozim për periudhën 2021-2023 do të jetë në vlerën prej 2,949,000 €. Nga këto mjete 2,289,000 € janë mjete të buxhetit të Kosovës kurse 660,000 € nga fondet e BE-së, projektin e IPA-së që do të mbështet zhvillimin e Turizmit përmes trashëgimisë kulturore. </w:t>
      </w:r>
    </w:p>
    <w:p w14:paraId="37673075" w14:textId="77777777" w:rsidR="005116BD" w:rsidRPr="004C3B99" w:rsidRDefault="005116BD" w:rsidP="00CE4035">
      <w:pPr>
        <w:jc w:val="both"/>
      </w:pPr>
    </w:p>
    <w:p w14:paraId="7B234508" w14:textId="251680FB" w:rsidR="00CE4035" w:rsidRDefault="00CE4035" w:rsidP="00CE4035">
      <w:pPr>
        <w:jc w:val="both"/>
        <w:rPr>
          <w:shd w:val="clear" w:color="auto" w:fill="FFFFFF"/>
        </w:rPr>
      </w:pPr>
      <w:r w:rsidRPr="004C3B99">
        <w:rPr>
          <w:b/>
          <w:bCs/>
        </w:rPr>
        <w:t xml:space="preserve">Ndikimet e pritshme mbi rezultatet sociale, të tilla si punësimi, reduktimi i varfërisë, barazia gjinore: </w:t>
      </w:r>
      <w:r w:rsidRPr="004C3B99">
        <w:rPr>
          <w:shd w:val="clear" w:color="auto" w:fill="FFFFFF"/>
        </w:rPr>
        <w:t>Zhvillimi i turizmit do të zgjerohet në zonat rurale dhe malore ku synohet rritja e punësimit në këto zona, rritja e bizneseve familjare ku grat do të kenë mundësi të lehta të punësimit, sidomos në fushën e kulinarisë dhe artizanateve. Gjithashtu aktiviteti i IPA fondeve përqendrohet në mbështetjen e MTI-së për të krijuar një skemë të ardhshëm të grantëve të vogla për prodhuesit vendor, në mënyrë që të kontribojë në shkallë të vogël të sektorit privat, veçanërisht me fokusin në fuqizimin e grave në këtë sektor. Skema e grantit gjithashtu do të synojë rritjen e cilësisë dhe sasisë së produktit dhe rritjen e aftësive të biznesit të komunitetit. Zgjerimi i ofertës turistike, duke ofruar shërbimeve cilësore dhe të standardizuara si dhe promovimi i Kosovës në tregjet ndërkombëtare, do të sjell edhe prurje të reja të turistëve ndërkombëtar dhe kjo do të rezulton në veçanti në rritjen e numrit të turistëve ndërkombëtar në Kosovë, ku pritet qe deri në fund të vitit 2023 të kemi rreth 30% rritje, me një ngritje të vazhdueshme nga 10% për çdo vit.  Kjo pritet të ndikon drejtpërdrejt edhe në kohëzgjatjen e qëndrimit në njësitë e akomodimit prandaj pritet të kemi një ngritje të bujtjeve deri në 30 %. Ndërsa pjesëmarrja e turizmit n</w:t>
      </w:r>
      <w:r>
        <w:rPr>
          <w:shd w:val="clear" w:color="auto" w:fill="FFFFFF"/>
        </w:rPr>
        <w:t xml:space="preserve">ë BPV pritet të rritet mbi 2%. </w:t>
      </w:r>
    </w:p>
    <w:p w14:paraId="6B5EDC59" w14:textId="77777777" w:rsidR="005116BD" w:rsidRPr="004C3B99" w:rsidRDefault="005116BD" w:rsidP="00CE4035">
      <w:pPr>
        <w:jc w:val="both"/>
        <w:rPr>
          <w:shd w:val="clear" w:color="auto" w:fill="FFFFFF"/>
        </w:rPr>
      </w:pPr>
    </w:p>
    <w:p w14:paraId="131C320E" w14:textId="1B9F41E6" w:rsidR="00CE4035" w:rsidRDefault="00CE4035" w:rsidP="00CE4035">
      <w:pPr>
        <w:jc w:val="both"/>
        <w:rPr>
          <w:bCs/>
          <w:iCs/>
        </w:rPr>
      </w:pPr>
      <w:r w:rsidRPr="004C3B99">
        <w:rPr>
          <w:b/>
          <w:bCs/>
        </w:rPr>
        <w:t xml:space="preserve">Ndikimi i pritshëm në mjedis: </w:t>
      </w:r>
      <w:r w:rsidRPr="004C3B99">
        <w:rPr>
          <w:bCs/>
          <w:iCs/>
        </w:rPr>
        <w:t>Zhvillimi i turizmit e sidomos në zonat e mbrojtura mund të çoj në rritjen e ndotjes, më shumë mbeturina, në prekjen e specieve që janë në zhdukje etj. Këto afekte mjedisore mund që gradualisht të ndikojnë edhe në dëmtimin e burimeve turistike prej të cilave varet turizmi. Prandaj kjo masë kërkon një bashkëveprim më të madh ndërinstitucional (ndërministror dhe me komunat), në mënyrë që të zhvillohet një turizëm i qëndrueshëm. Rol kyç në ngritjen të bashkëpunimit ndërministror ka Këshilli i Turizmit, i cili në përbërjen e vet ka anëtarë nga ministritë e linjës për turizëm përfshirë edhe Ministrinë e Mjedis</w:t>
      </w:r>
      <w:r>
        <w:rPr>
          <w:bCs/>
          <w:iCs/>
        </w:rPr>
        <w:t xml:space="preserve">it dhe Planifikimit Hapësinor. </w:t>
      </w:r>
    </w:p>
    <w:p w14:paraId="47AFD6F1" w14:textId="77777777" w:rsidR="005116BD" w:rsidRPr="004C3B99" w:rsidRDefault="005116BD" w:rsidP="00CE4035">
      <w:pPr>
        <w:jc w:val="both"/>
        <w:rPr>
          <w:bCs/>
          <w:iCs/>
        </w:rPr>
      </w:pPr>
    </w:p>
    <w:p w14:paraId="3BB8F729" w14:textId="77777777" w:rsidR="00CE4035" w:rsidRPr="004C3B99" w:rsidRDefault="00CE4035" w:rsidP="00CE4035">
      <w:pPr>
        <w:rPr>
          <w:b/>
          <w:bCs/>
        </w:rPr>
      </w:pPr>
      <w:r w:rsidRPr="004C3B99">
        <w:rPr>
          <w:b/>
          <w:bCs/>
        </w:rPr>
        <w:t>Rreziqet potenciale:</w:t>
      </w:r>
    </w:p>
    <w:tbl>
      <w:tblPr>
        <w:tblStyle w:val="TableGrid"/>
        <w:tblW w:w="0" w:type="auto"/>
        <w:tblLook w:val="04A0" w:firstRow="1" w:lastRow="0" w:firstColumn="1" w:lastColumn="0" w:noHBand="0" w:noVBand="1"/>
      </w:tblPr>
      <w:tblGrid>
        <w:gridCol w:w="2928"/>
        <w:gridCol w:w="1821"/>
        <w:gridCol w:w="3865"/>
      </w:tblGrid>
      <w:tr w:rsidR="00CE4035" w:rsidRPr="004C3B99" w14:paraId="1C904537" w14:textId="77777777" w:rsidTr="009B753C">
        <w:tc>
          <w:tcPr>
            <w:tcW w:w="3325" w:type="dxa"/>
            <w:vAlign w:val="center"/>
          </w:tcPr>
          <w:p w14:paraId="41EEC2F3" w14:textId="77777777" w:rsidR="00CE4035" w:rsidRPr="004C3B99" w:rsidRDefault="00CE4035" w:rsidP="009B753C">
            <w:pPr>
              <w:pStyle w:val="Default"/>
              <w:jc w:val="both"/>
              <w:rPr>
                <w:color w:val="auto"/>
                <w:lang w:val="sq-AL"/>
              </w:rPr>
            </w:pPr>
            <w:r w:rsidRPr="004C3B99">
              <w:rPr>
                <w:b/>
                <w:bCs/>
                <w:color w:val="auto"/>
                <w:lang w:val="sq-AL"/>
              </w:rPr>
              <w:t xml:space="preserve">Rreziku </w:t>
            </w:r>
          </w:p>
        </w:tc>
        <w:tc>
          <w:tcPr>
            <w:tcW w:w="1440" w:type="dxa"/>
            <w:vAlign w:val="center"/>
          </w:tcPr>
          <w:p w14:paraId="7FB9C30F" w14:textId="77777777" w:rsidR="00CE4035" w:rsidRPr="004C3B99" w:rsidRDefault="00CE4035" w:rsidP="009B753C">
            <w:pPr>
              <w:pStyle w:val="Default"/>
              <w:ind w:right="-122"/>
              <w:rPr>
                <w:color w:val="auto"/>
                <w:lang w:val="sq-AL"/>
              </w:rPr>
            </w:pPr>
            <w:r w:rsidRPr="004C3B99">
              <w:rPr>
                <w:b/>
                <w:bCs/>
                <w:color w:val="auto"/>
                <w:lang w:val="sq-AL"/>
              </w:rPr>
              <w:t xml:space="preserve">Probabiliteti </w:t>
            </w:r>
          </w:p>
        </w:tc>
        <w:tc>
          <w:tcPr>
            <w:tcW w:w="4585" w:type="dxa"/>
            <w:vAlign w:val="center"/>
          </w:tcPr>
          <w:p w14:paraId="147D0E0A" w14:textId="77777777" w:rsidR="00CE4035" w:rsidRPr="004C3B99" w:rsidRDefault="00CE4035" w:rsidP="009B753C">
            <w:pPr>
              <w:pStyle w:val="Default"/>
              <w:rPr>
                <w:color w:val="auto"/>
                <w:lang w:val="sq-AL"/>
              </w:rPr>
            </w:pPr>
            <w:r w:rsidRPr="004C3B99">
              <w:rPr>
                <w:b/>
                <w:bCs/>
                <w:color w:val="auto"/>
                <w:lang w:val="sq-AL"/>
              </w:rPr>
              <w:t xml:space="preserve">Veprimi lehtësues i planifikuar </w:t>
            </w:r>
          </w:p>
        </w:tc>
      </w:tr>
      <w:tr w:rsidR="00CE4035" w:rsidRPr="004C3B99" w14:paraId="785E835E" w14:textId="77777777" w:rsidTr="009B753C">
        <w:tc>
          <w:tcPr>
            <w:tcW w:w="3325" w:type="dxa"/>
          </w:tcPr>
          <w:p w14:paraId="65BC0F91" w14:textId="77777777" w:rsidR="00CE4035" w:rsidRPr="004C3B99" w:rsidRDefault="00CE4035" w:rsidP="009B753C">
            <w:pPr>
              <w:pStyle w:val="Default"/>
              <w:jc w:val="both"/>
              <w:rPr>
                <w:b/>
                <w:bCs/>
                <w:color w:val="auto"/>
                <w:lang w:val="sq-AL"/>
              </w:rPr>
            </w:pPr>
            <w:r w:rsidRPr="004C3B99">
              <w:rPr>
                <w:lang w:val="sq-AL"/>
              </w:rPr>
              <w:t>Vonesat në miratimin e legjislacionit</w:t>
            </w:r>
          </w:p>
        </w:tc>
        <w:tc>
          <w:tcPr>
            <w:tcW w:w="1440" w:type="dxa"/>
          </w:tcPr>
          <w:p w14:paraId="7AAE1D8A" w14:textId="77777777" w:rsidR="00CE4035" w:rsidRPr="004C3B99" w:rsidRDefault="00CE4035" w:rsidP="009B753C">
            <w:pPr>
              <w:pStyle w:val="Default"/>
              <w:ind w:right="-122"/>
              <w:rPr>
                <w:b/>
                <w:bCs/>
                <w:color w:val="auto"/>
                <w:lang w:val="sq-AL"/>
              </w:rPr>
            </w:pPr>
            <w:r w:rsidRPr="004C3B99">
              <w:rPr>
                <w:lang w:val="sq-AL"/>
              </w:rPr>
              <w:t>I lartë</w:t>
            </w:r>
          </w:p>
        </w:tc>
        <w:tc>
          <w:tcPr>
            <w:tcW w:w="4585" w:type="dxa"/>
          </w:tcPr>
          <w:p w14:paraId="04B03E9B" w14:textId="77777777" w:rsidR="00CE4035" w:rsidRPr="004C3B99" w:rsidRDefault="00CE4035" w:rsidP="009B753C">
            <w:pPr>
              <w:pStyle w:val="Default"/>
              <w:rPr>
                <w:b/>
                <w:bCs/>
                <w:color w:val="auto"/>
                <w:lang w:val="sq-AL"/>
              </w:rPr>
            </w:pPr>
            <w:r w:rsidRPr="004C3B99">
              <w:rPr>
                <w:lang w:val="sq-AL"/>
              </w:rPr>
              <w:t>Rritja e bashkëpunimit koordinues me trupat relevant duke respektuar hierarkinë.</w:t>
            </w:r>
          </w:p>
        </w:tc>
      </w:tr>
      <w:tr w:rsidR="00CE4035" w:rsidRPr="004C3B99" w14:paraId="5AE2857A" w14:textId="77777777" w:rsidTr="009B753C">
        <w:trPr>
          <w:trHeight w:val="674"/>
        </w:trPr>
        <w:tc>
          <w:tcPr>
            <w:tcW w:w="3325" w:type="dxa"/>
            <w:vAlign w:val="center"/>
          </w:tcPr>
          <w:p w14:paraId="5CE29CCA" w14:textId="77777777" w:rsidR="00CE4035" w:rsidRPr="004C3B99" w:rsidRDefault="00CE4035" w:rsidP="009B753C">
            <w:pPr>
              <w:pStyle w:val="Default"/>
              <w:rPr>
                <w:lang w:val="sq-AL"/>
              </w:rPr>
            </w:pPr>
            <w:r w:rsidRPr="004C3B99">
              <w:rPr>
                <w:lang w:val="sq-AL"/>
              </w:rPr>
              <w:t>Bashkëpunimi jo i mjaftueshëm me komunat dhe institucionet tjera relevante</w:t>
            </w:r>
          </w:p>
        </w:tc>
        <w:tc>
          <w:tcPr>
            <w:tcW w:w="1440" w:type="dxa"/>
            <w:vAlign w:val="center"/>
          </w:tcPr>
          <w:p w14:paraId="7CA5E418" w14:textId="77777777" w:rsidR="00CE4035" w:rsidRPr="004C3B99" w:rsidRDefault="00CE4035" w:rsidP="009B753C">
            <w:pPr>
              <w:pStyle w:val="Default"/>
              <w:rPr>
                <w:lang w:val="sq-AL"/>
              </w:rPr>
            </w:pPr>
            <w:r w:rsidRPr="004C3B99">
              <w:rPr>
                <w:lang w:val="sq-AL"/>
              </w:rPr>
              <w:t>I mesëm</w:t>
            </w:r>
          </w:p>
        </w:tc>
        <w:tc>
          <w:tcPr>
            <w:tcW w:w="4585" w:type="dxa"/>
            <w:vAlign w:val="center"/>
          </w:tcPr>
          <w:p w14:paraId="032C7072" w14:textId="77777777" w:rsidR="00CE4035" w:rsidRPr="004C3B99" w:rsidRDefault="00CE4035" w:rsidP="009B753C">
            <w:pPr>
              <w:pStyle w:val="Default"/>
              <w:jc w:val="both"/>
              <w:rPr>
                <w:lang w:val="sq-AL"/>
              </w:rPr>
            </w:pPr>
            <w:r w:rsidRPr="004C3B99">
              <w:rPr>
                <w:lang w:val="sq-AL"/>
              </w:rPr>
              <w:t xml:space="preserve">Planifikohet të intensifikohen takimet me komunat me potencial me te larte për turizëm </w:t>
            </w:r>
          </w:p>
        </w:tc>
      </w:tr>
    </w:tbl>
    <w:p w14:paraId="3F277EC7" w14:textId="77777777" w:rsidR="00CE4035" w:rsidRPr="004C3B99" w:rsidRDefault="00CE4035" w:rsidP="00CE4035">
      <w:pPr>
        <w:rPr>
          <w:bCs/>
        </w:rPr>
      </w:pPr>
    </w:p>
    <w:p w14:paraId="69376086" w14:textId="77777777" w:rsidR="00CE4035" w:rsidRPr="004C3B99" w:rsidRDefault="00CE4035" w:rsidP="00CE4035">
      <w:pPr>
        <w:shd w:val="clear" w:color="auto" w:fill="9CC2E5" w:themeFill="accent1" w:themeFillTint="99"/>
        <w:jc w:val="both"/>
        <w:rPr>
          <w:b/>
          <w:bCs/>
        </w:rPr>
      </w:pPr>
      <w:r w:rsidRPr="004C3B99">
        <w:rPr>
          <w:b/>
          <w:bCs/>
        </w:rPr>
        <w:t>Masa e reformës #6: Rritja e konkurrueshmërisë në sektorin e tregtisë në shërbime</w:t>
      </w:r>
    </w:p>
    <w:p w14:paraId="0C7ED26B" w14:textId="77777777" w:rsidR="00CE4035" w:rsidRPr="004C3B99" w:rsidRDefault="00CE4035" w:rsidP="00CE4035">
      <w:pPr>
        <w:jc w:val="both"/>
        <w:rPr>
          <w:bCs/>
        </w:rPr>
      </w:pPr>
      <w:r w:rsidRPr="004C3B99">
        <w:rPr>
          <w:b/>
          <w:bCs/>
        </w:rPr>
        <w:t>Përshkrimi i masës:</w:t>
      </w:r>
      <w:r w:rsidRPr="004C3B99">
        <w:rPr>
          <w:bCs/>
        </w:rPr>
        <w:t xml:space="preserve"> Kjo masë synon të përmirësojë efikasitetin dhe konkurrueshmërinë e veprimtarive të shërbimeve të tregtueshme në Kosovë dhe të  nxisë zhvillimin e tyre në nivel me sektorët që ndërlidhen me tregtinë në shërbime. Zhvillimi i mëtejmë i aktiviteteve të shërbimeve do të jetë thelbësore në reduktimin e deficitit tregtar dhe përmirësimin e tregtisë së mallrave dhe shërbimeve pas ndikimit të COVID-19. Gjithashtu, kjo</w:t>
      </w:r>
      <w:r w:rsidRPr="004C3B99">
        <w:t xml:space="preserve"> </w:t>
      </w:r>
      <w:r w:rsidRPr="004C3B99">
        <w:rPr>
          <w:bCs/>
        </w:rPr>
        <w:t xml:space="preserve">masë synon rritjen e niveleve të përgjithshme të produktivitetit dhe konkurrueshmërisë së ekonomisë së Kosovës dhe rritjes së eksporteve të shërbimeve. Kosova tashmë ka marrë obligime në nivel rajonal dhe global, përmes Protokollit Shtesë 6 të CEFTAs dhe MSA-së. Zhvillimi i shërbimeve moderne dhe efikase parashihet në Programin e Qeverisë 20-23 dhe Programin Kombëtar për Zbatimin e MSA-së. </w:t>
      </w:r>
    </w:p>
    <w:p w14:paraId="785B0F43" w14:textId="77777777" w:rsidR="00CE4035" w:rsidRPr="004C3B99" w:rsidRDefault="00CE4035" w:rsidP="00CE4035">
      <w:pPr>
        <w:jc w:val="both"/>
        <w:rPr>
          <w:bCs/>
        </w:rPr>
      </w:pPr>
      <w:r w:rsidRPr="004C3B99">
        <w:rPr>
          <w:bCs/>
        </w:rPr>
        <w:t>Kjo masë është e ndërlidhur me disa dokumente strategjike, të tilla si: Marrëveshja e Gjelbër, pika 2: transformimi i ekonomisë së BE-së për një të ardhme të qëndrueshme; nën-pika 2.1.3 Industria mobilizuese për një ekonomi të pastër dhe rrethore. "Teknologjitë dixhitale janë një mundësi e rëndësishme për arritjen e qëllimeve të qëndrueshmërisë së marrëveshjes së Gjelbër në shumë sekto</w:t>
      </w:r>
      <w:r>
        <w:rPr>
          <w:bCs/>
        </w:rPr>
        <w:t>rë të ndryshëm". Ndërlidhet me O</w:t>
      </w:r>
      <w:r w:rsidRPr="004C3B99">
        <w:rPr>
          <w:bCs/>
        </w:rPr>
        <w:t>ZHQ 17, Forcimi i mjeteve të zbatimit dhe rivitalizimi i partneritetit global për zhvillim të qëndrueshëm". Gjithashtu, ndërlidhet me deklaratën e Tregut të Përbashkët Rajonal i cili rrjedh nga Samiti i Sofjes, pikat: Miratimi i paketës së liberalizimit të tregtisë së shërbimeve, ndër të tjera, mundësimin e furnizimit të shërbimeve pa themelim dhe autorizim të detyrueshëm, në përputhje me Kapitullin 3 të acquis të BE-së; Mundësimi i lëvizjes për studentët, studiuesit dhe profesorët; Krijimi i tregut rajonal të tregtisë elektronike duke miratuar rregulla thelbësore të harmonizuara dhe parimin e tregut të brendshëm, duke lehtësuar zhdoganimin e parcelave.</w:t>
      </w:r>
    </w:p>
    <w:p w14:paraId="5865669D" w14:textId="77777777" w:rsidR="00CE4035" w:rsidRPr="004C3B99" w:rsidRDefault="00CE4035" w:rsidP="00CE4035">
      <w:pPr>
        <w:jc w:val="both"/>
        <w:rPr>
          <w:bCs/>
        </w:rPr>
      </w:pPr>
    </w:p>
    <w:p w14:paraId="451E76D1" w14:textId="77777777" w:rsidR="00CE4035" w:rsidRPr="004C3B99" w:rsidRDefault="00CE4035" w:rsidP="00CE4035">
      <w:pPr>
        <w:jc w:val="both"/>
        <w:rPr>
          <w:b/>
          <w:bCs/>
        </w:rPr>
      </w:pPr>
      <w:r w:rsidRPr="004C3B99">
        <w:rPr>
          <w:b/>
          <w:bCs/>
        </w:rPr>
        <w:t>a. Aktivitetet e planifikuara për 2021:</w:t>
      </w:r>
    </w:p>
    <w:p w14:paraId="3CC10B57" w14:textId="77777777" w:rsidR="00CE4035" w:rsidRPr="004C3B99" w:rsidRDefault="00CE4035" w:rsidP="0068706C">
      <w:pPr>
        <w:pStyle w:val="ListParagraph"/>
        <w:numPr>
          <w:ilvl w:val="0"/>
          <w:numId w:val="77"/>
        </w:numPr>
        <w:spacing w:after="0" w:line="240" w:lineRule="auto"/>
        <w:ind w:left="360" w:right="466"/>
        <w:jc w:val="both"/>
        <w:rPr>
          <w:rFonts w:ascii="Times New Roman" w:hAnsi="Times New Roman"/>
          <w:sz w:val="24"/>
          <w:szCs w:val="24"/>
        </w:rPr>
      </w:pPr>
      <w:r w:rsidRPr="004C3B99">
        <w:rPr>
          <w:rFonts w:ascii="Times New Roman" w:hAnsi="Times New Roman"/>
          <w:sz w:val="24"/>
          <w:szCs w:val="24"/>
        </w:rPr>
        <w:t xml:space="preserve">Diagnostifikimi i sektorëve potencial të tregtisë së shërbimeve dhe vlerësimi i përparësisë së konkurrueshmërisë në tregtinë e shërbimeve (MTI); </w:t>
      </w:r>
    </w:p>
    <w:p w14:paraId="54DCD328" w14:textId="77777777" w:rsidR="00CE4035" w:rsidRPr="004C3B99" w:rsidRDefault="00CE4035" w:rsidP="0068706C">
      <w:pPr>
        <w:pStyle w:val="ListParagraph"/>
        <w:numPr>
          <w:ilvl w:val="0"/>
          <w:numId w:val="77"/>
        </w:numPr>
        <w:spacing w:after="0" w:line="240" w:lineRule="auto"/>
        <w:ind w:left="360" w:right="466"/>
        <w:jc w:val="both"/>
        <w:rPr>
          <w:rFonts w:ascii="Times New Roman" w:hAnsi="Times New Roman"/>
          <w:sz w:val="24"/>
          <w:szCs w:val="24"/>
        </w:rPr>
      </w:pPr>
      <w:r w:rsidRPr="004C3B99">
        <w:rPr>
          <w:rFonts w:ascii="Times New Roman" w:hAnsi="Times New Roman"/>
          <w:sz w:val="24"/>
          <w:szCs w:val="24"/>
        </w:rPr>
        <w:t xml:space="preserve">Njohja e ndërsjellë në mes të vendeve anëtare të CEFTAs për  profesionet e përzgjedhura (mjekët e përgjithshëm, dentistët, arkitektet dhe inxhinieret); </w:t>
      </w:r>
    </w:p>
    <w:p w14:paraId="369D9B78" w14:textId="77777777" w:rsidR="00CE4035" w:rsidRPr="004C3B99" w:rsidRDefault="00CE4035" w:rsidP="0068706C">
      <w:pPr>
        <w:pStyle w:val="ListParagraph"/>
        <w:numPr>
          <w:ilvl w:val="0"/>
          <w:numId w:val="77"/>
        </w:numPr>
        <w:spacing w:after="0" w:line="276" w:lineRule="auto"/>
        <w:ind w:left="360" w:right="466"/>
        <w:jc w:val="both"/>
        <w:rPr>
          <w:rFonts w:ascii="Times New Roman" w:hAnsi="Times New Roman"/>
          <w:color w:val="FF0000"/>
          <w:sz w:val="24"/>
          <w:szCs w:val="24"/>
        </w:rPr>
      </w:pPr>
      <w:r w:rsidRPr="004C3B99">
        <w:rPr>
          <w:rFonts w:ascii="Times New Roman" w:hAnsi="Times New Roman"/>
          <w:sz w:val="24"/>
          <w:szCs w:val="24"/>
        </w:rPr>
        <w:t xml:space="preserve">Ratifikimi i Protokollit Shtesë të CEFTA, AP6 për tregti në shërbime (MTI); </w:t>
      </w:r>
    </w:p>
    <w:p w14:paraId="576220AF" w14:textId="77777777" w:rsidR="00CE4035" w:rsidRPr="004C3B99" w:rsidRDefault="00CE4035" w:rsidP="0068706C">
      <w:pPr>
        <w:pStyle w:val="ListParagraph"/>
        <w:numPr>
          <w:ilvl w:val="0"/>
          <w:numId w:val="77"/>
        </w:numPr>
        <w:spacing w:after="0" w:line="276" w:lineRule="auto"/>
        <w:ind w:left="360" w:right="466"/>
        <w:jc w:val="both"/>
        <w:rPr>
          <w:rFonts w:ascii="Times New Roman" w:hAnsi="Times New Roman"/>
          <w:color w:val="FF0000"/>
          <w:sz w:val="24"/>
          <w:szCs w:val="24"/>
        </w:rPr>
      </w:pPr>
      <w:r w:rsidRPr="004C3B99">
        <w:rPr>
          <w:rFonts w:ascii="Times New Roman" w:hAnsi="Times New Roman"/>
          <w:sz w:val="24"/>
          <w:szCs w:val="24"/>
        </w:rPr>
        <w:t xml:space="preserve">Hartimi dhe miratimi i Ligjit për Tregtinë Elektronike (MTI); </w:t>
      </w:r>
    </w:p>
    <w:p w14:paraId="6A8CCE76" w14:textId="77777777" w:rsidR="00CE4035" w:rsidRPr="004C3B99" w:rsidRDefault="00CE4035" w:rsidP="0068706C">
      <w:pPr>
        <w:pStyle w:val="ListParagraph"/>
        <w:numPr>
          <w:ilvl w:val="0"/>
          <w:numId w:val="77"/>
        </w:numPr>
        <w:spacing w:after="0" w:line="240" w:lineRule="auto"/>
        <w:ind w:left="360" w:right="466"/>
        <w:jc w:val="both"/>
        <w:rPr>
          <w:rFonts w:ascii="Times New Roman" w:hAnsi="Times New Roman"/>
          <w:sz w:val="24"/>
          <w:szCs w:val="24"/>
        </w:rPr>
      </w:pPr>
      <w:r w:rsidRPr="004C3B99">
        <w:rPr>
          <w:rFonts w:ascii="Times New Roman" w:hAnsi="Times New Roman"/>
          <w:sz w:val="24"/>
          <w:szCs w:val="24"/>
        </w:rPr>
        <w:t>Ngritja e kapaciteteve njerëzore dhe të infrastrukturës së IT-së në institucionet e nivelit qendror për themelimin e PVK-së.</w:t>
      </w:r>
      <w:r w:rsidRPr="004C3B99">
        <w:rPr>
          <w:rFonts w:ascii="Times New Roman" w:hAnsi="Times New Roman"/>
          <w:color w:val="FF0000"/>
          <w:sz w:val="24"/>
          <w:szCs w:val="24"/>
        </w:rPr>
        <w:t xml:space="preserve"> </w:t>
      </w:r>
    </w:p>
    <w:p w14:paraId="36D96C7E" w14:textId="77777777" w:rsidR="00CE4035" w:rsidRPr="004C3B99" w:rsidRDefault="00CE4035" w:rsidP="00CE4035">
      <w:pPr>
        <w:jc w:val="both"/>
        <w:rPr>
          <w:b/>
          <w:bCs/>
        </w:rPr>
      </w:pPr>
    </w:p>
    <w:p w14:paraId="4E23FFA1" w14:textId="77777777" w:rsidR="00CE4035" w:rsidRPr="004C3B99" w:rsidRDefault="00CE4035" w:rsidP="00CE4035">
      <w:pPr>
        <w:jc w:val="both"/>
        <w:rPr>
          <w:b/>
          <w:bCs/>
        </w:rPr>
      </w:pPr>
      <w:r w:rsidRPr="004C3B99">
        <w:rPr>
          <w:b/>
          <w:bCs/>
        </w:rPr>
        <w:t>b. Aktivitetet e planifikuara për 2022:</w:t>
      </w:r>
    </w:p>
    <w:p w14:paraId="5612A5DE" w14:textId="77777777" w:rsidR="00CE4035" w:rsidRPr="004C3B99" w:rsidRDefault="00CE4035" w:rsidP="0068706C">
      <w:pPr>
        <w:pStyle w:val="ListParagraph"/>
        <w:widowControl w:val="0"/>
        <w:numPr>
          <w:ilvl w:val="0"/>
          <w:numId w:val="82"/>
        </w:numPr>
        <w:spacing w:after="0" w:line="240" w:lineRule="auto"/>
        <w:ind w:right="466"/>
        <w:jc w:val="both"/>
        <w:rPr>
          <w:rFonts w:ascii="Times New Roman" w:hAnsi="Times New Roman"/>
          <w:sz w:val="24"/>
          <w:szCs w:val="24"/>
        </w:rPr>
      </w:pPr>
      <w:r w:rsidRPr="004C3B99">
        <w:rPr>
          <w:rFonts w:ascii="Times New Roman" w:hAnsi="Times New Roman"/>
          <w:sz w:val="24"/>
          <w:szCs w:val="24"/>
        </w:rPr>
        <w:t xml:space="preserve">Analiza e së paku dy sektorëve mbi diagnostifikimin e sektorëve potencial të tregtisë së shërbimeve dhe vlerësimi i përparësisë së konkurrueshmërisë në tregtinë e shërbimeve (MTI); </w:t>
      </w:r>
    </w:p>
    <w:p w14:paraId="24722272" w14:textId="77777777" w:rsidR="00CE4035" w:rsidRPr="004C3B99" w:rsidRDefault="00CE4035" w:rsidP="0068706C">
      <w:pPr>
        <w:pStyle w:val="ListParagraph"/>
        <w:widowControl w:val="0"/>
        <w:numPr>
          <w:ilvl w:val="0"/>
          <w:numId w:val="82"/>
        </w:numPr>
        <w:spacing w:after="0" w:line="240" w:lineRule="auto"/>
        <w:ind w:right="466"/>
        <w:jc w:val="both"/>
        <w:rPr>
          <w:rFonts w:ascii="Times New Roman" w:hAnsi="Times New Roman"/>
          <w:sz w:val="24"/>
          <w:szCs w:val="24"/>
        </w:rPr>
      </w:pPr>
      <w:r w:rsidRPr="004C3B99">
        <w:rPr>
          <w:rFonts w:ascii="Times New Roman" w:hAnsi="Times New Roman"/>
          <w:sz w:val="24"/>
          <w:szCs w:val="24"/>
        </w:rPr>
        <w:t>Ngritja e kapaciteteve njerëzore dhe të infrastrukturës së IT-së në institucionet e nivelit qendror për themelimin e PVK-së;</w:t>
      </w:r>
      <w:r w:rsidRPr="004C3B99">
        <w:rPr>
          <w:rFonts w:ascii="Times New Roman" w:hAnsi="Times New Roman"/>
          <w:color w:val="FF0000"/>
          <w:sz w:val="24"/>
          <w:szCs w:val="24"/>
        </w:rPr>
        <w:t xml:space="preserve">  </w:t>
      </w:r>
    </w:p>
    <w:p w14:paraId="23ABA55C" w14:textId="7B56D33D" w:rsidR="00CE4035" w:rsidRPr="005116BD" w:rsidRDefault="00CE4035" w:rsidP="0068706C">
      <w:pPr>
        <w:pStyle w:val="ListParagraph"/>
        <w:numPr>
          <w:ilvl w:val="0"/>
          <w:numId w:val="82"/>
        </w:numPr>
        <w:spacing w:after="0" w:line="240" w:lineRule="auto"/>
        <w:jc w:val="both"/>
        <w:rPr>
          <w:rFonts w:ascii="Times New Roman" w:hAnsi="Times New Roman"/>
          <w:sz w:val="24"/>
          <w:szCs w:val="24"/>
        </w:rPr>
      </w:pPr>
      <w:r w:rsidRPr="004C3B99">
        <w:rPr>
          <w:rFonts w:ascii="Times New Roman" w:hAnsi="Times New Roman"/>
          <w:sz w:val="24"/>
          <w:szCs w:val="24"/>
        </w:rPr>
        <w:t xml:space="preserve">Identifikimi i barrierave në tregtinë në shërbime dhe hartimi i planit të veprimit për heqjen </w:t>
      </w:r>
      <w:r w:rsidRPr="005116BD">
        <w:rPr>
          <w:rFonts w:ascii="Times New Roman" w:hAnsi="Times New Roman"/>
          <w:sz w:val="24"/>
          <w:szCs w:val="24"/>
        </w:rPr>
        <w:t>e këtyre barrierave nën AP6 (MTI);</w:t>
      </w:r>
    </w:p>
    <w:p w14:paraId="0AF37458" w14:textId="2D496698" w:rsidR="00CE4035" w:rsidRDefault="00CE4035" w:rsidP="0068706C">
      <w:pPr>
        <w:pStyle w:val="ListParagraph"/>
        <w:numPr>
          <w:ilvl w:val="0"/>
          <w:numId w:val="82"/>
        </w:numPr>
        <w:spacing w:after="0" w:line="240" w:lineRule="auto"/>
        <w:ind w:right="466"/>
        <w:jc w:val="both"/>
        <w:rPr>
          <w:rFonts w:ascii="Times New Roman" w:hAnsi="Times New Roman"/>
          <w:sz w:val="24"/>
          <w:szCs w:val="24"/>
        </w:rPr>
      </w:pPr>
      <w:r w:rsidRPr="004C3B99">
        <w:rPr>
          <w:rFonts w:ascii="Times New Roman" w:hAnsi="Times New Roman"/>
          <w:sz w:val="24"/>
          <w:szCs w:val="24"/>
        </w:rPr>
        <w:t>Analiza e rregulloreve vendore të cilat duhet të harmonizohen në kuadër të AP6  (MTI).</w:t>
      </w:r>
    </w:p>
    <w:p w14:paraId="73F1967A" w14:textId="77777777" w:rsidR="005116BD" w:rsidRPr="004C3B99" w:rsidRDefault="005116BD" w:rsidP="005116BD">
      <w:pPr>
        <w:pStyle w:val="ListParagraph"/>
        <w:spacing w:after="0" w:line="240" w:lineRule="auto"/>
        <w:ind w:left="346" w:right="466"/>
        <w:jc w:val="both"/>
        <w:rPr>
          <w:rFonts w:ascii="Times New Roman" w:hAnsi="Times New Roman"/>
          <w:sz w:val="24"/>
          <w:szCs w:val="24"/>
        </w:rPr>
      </w:pPr>
    </w:p>
    <w:p w14:paraId="2F5A370F" w14:textId="77777777" w:rsidR="00CE4035" w:rsidRPr="004C3B99" w:rsidRDefault="00CE4035" w:rsidP="00CE4035">
      <w:pPr>
        <w:jc w:val="both"/>
        <w:rPr>
          <w:b/>
          <w:bCs/>
        </w:rPr>
      </w:pPr>
      <w:r w:rsidRPr="004C3B99">
        <w:rPr>
          <w:b/>
          <w:bCs/>
        </w:rPr>
        <w:t>c. Aktivitetet e planifikuara për 2023:</w:t>
      </w:r>
    </w:p>
    <w:p w14:paraId="32FF0288" w14:textId="77777777" w:rsidR="00CE4035" w:rsidRPr="004C3B99" w:rsidRDefault="00CE4035" w:rsidP="0068706C">
      <w:pPr>
        <w:pStyle w:val="ListParagraph"/>
        <w:numPr>
          <w:ilvl w:val="0"/>
          <w:numId w:val="78"/>
        </w:numPr>
        <w:spacing w:after="0" w:line="240" w:lineRule="auto"/>
        <w:ind w:right="466"/>
        <w:jc w:val="both"/>
        <w:rPr>
          <w:rFonts w:ascii="Times New Roman" w:hAnsi="Times New Roman"/>
          <w:sz w:val="24"/>
          <w:szCs w:val="24"/>
        </w:rPr>
      </w:pPr>
      <w:r w:rsidRPr="004C3B99">
        <w:rPr>
          <w:rFonts w:ascii="Times New Roman" w:hAnsi="Times New Roman"/>
          <w:sz w:val="24"/>
          <w:szCs w:val="24"/>
        </w:rPr>
        <w:t xml:space="preserve">Adresimi i agjendës së integruar dhe llogaritja e shkallës së masave kufizuese që ndikojnë në tregtinë në shërbime (MTI); </w:t>
      </w:r>
    </w:p>
    <w:p w14:paraId="7C10EB34" w14:textId="77777777" w:rsidR="00CE4035" w:rsidRPr="004C3B99" w:rsidRDefault="00CE4035" w:rsidP="0068706C">
      <w:pPr>
        <w:pStyle w:val="ListParagraph"/>
        <w:numPr>
          <w:ilvl w:val="0"/>
          <w:numId w:val="78"/>
        </w:numPr>
        <w:spacing w:after="0" w:line="240" w:lineRule="auto"/>
        <w:ind w:right="466"/>
        <w:jc w:val="both"/>
        <w:rPr>
          <w:rFonts w:ascii="Times New Roman" w:hAnsi="Times New Roman"/>
          <w:sz w:val="24"/>
          <w:szCs w:val="24"/>
        </w:rPr>
      </w:pPr>
      <w:r w:rsidRPr="004C3B99">
        <w:rPr>
          <w:rFonts w:ascii="Times New Roman" w:hAnsi="Times New Roman"/>
          <w:sz w:val="24"/>
          <w:szCs w:val="24"/>
        </w:rPr>
        <w:t>Liberalizimi i mëtejmë i tregtisë në shërbime ndërmjet vendeve anëtare të CEFTA-s (MTI);</w:t>
      </w:r>
    </w:p>
    <w:p w14:paraId="301C14E4" w14:textId="77777777" w:rsidR="00CE4035" w:rsidRPr="004C3B99" w:rsidRDefault="00CE4035" w:rsidP="0068706C">
      <w:pPr>
        <w:pStyle w:val="ListParagraph"/>
        <w:numPr>
          <w:ilvl w:val="0"/>
          <w:numId w:val="78"/>
        </w:numPr>
        <w:spacing w:after="5" w:line="240" w:lineRule="auto"/>
        <w:ind w:right="466"/>
        <w:jc w:val="both"/>
        <w:rPr>
          <w:rFonts w:ascii="Times New Roman" w:hAnsi="Times New Roman"/>
          <w:sz w:val="24"/>
          <w:szCs w:val="24"/>
        </w:rPr>
      </w:pPr>
      <w:r w:rsidRPr="004C3B99">
        <w:rPr>
          <w:rFonts w:ascii="Times New Roman" w:hAnsi="Times New Roman"/>
          <w:sz w:val="24"/>
          <w:szCs w:val="24"/>
        </w:rPr>
        <w:t>Liberalizimi i shërbimeve me partnerët tregtarë (Mbretëria e Bashkuar, Turqia) (MTI).</w:t>
      </w:r>
    </w:p>
    <w:p w14:paraId="405A30FD" w14:textId="77777777" w:rsidR="00CE4035" w:rsidRPr="004C3B99" w:rsidRDefault="00CE4035" w:rsidP="00CE4035">
      <w:pPr>
        <w:rPr>
          <w:b/>
          <w:color w:val="000000" w:themeColor="text1"/>
        </w:rPr>
      </w:pPr>
    </w:p>
    <w:p w14:paraId="5F1642A9" w14:textId="77777777" w:rsidR="00CE4035" w:rsidRPr="005116BD" w:rsidRDefault="00CE4035" w:rsidP="00CE4035">
      <w:pPr>
        <w:rPr>
          <w:b/>
          <w:bCs/>
          <w:color w:val="000000" w:themeColor="text1"/>
        </w:rPr>
      </w:pPr>
      <w:r w:rsidRPr="005116BD">
        <w:rPr>
          <w:b/>
          <w:color w:val="000000" w:themeColor="text1"/>
        </w:rPr>
        <w:t>Treguesit e rezultateve</w:t>
      </w:r>
      <w:r w:rsidRPr="005116BD">
        <w:rPr>
          <w:b/>
          <w:bCs/>
          <w:color w:val="000000" w:themeColor="text1"/>
        </w:rPr>
        <w:t xml:space="preserve">: </w:t>
      </w:r>
    </w:p>
    <w:tbl>
      <w:tblPr>
        <w:tblpPr w:leftFromText="180" w:rightFromText="180" w:vertAnchor="text" w:horzAnchor="margin" w:tblpY="168"/>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1440"/>
        <w:gridCol w:w="1530"/>
        <w:gridCol w:w="2520"/>
      </w:tblGrid>
      <w:tr w:rsidR="00CE4035" w:rsidRPr="005116BD" w14:paraId="66EBC001" w14:textId="77777777" w:rsidTr="005116BD">
        <w:trPr>
          <w:trHeight w:val="528"/>
        </w:trPr>
        <w:tc>
          <w:tcPr>
            <w:tcW w:w="3055" w:type="dxa"/>
            <w:shd w:val="clear" w:color="auto" w:fill="auto"/>
          </w:tcPr>
          <w:p w14:paraId="740824AF" w14:textId="77777777" w:rsidR="00CE4035" w:rsidRPr="005116BD" w:rsidRDefault="00CE4035" w:rsidP="005116BD">
            <w:pPr>
              <w:pStyle w:val="Default"/>
              <w:jc w:val="center"/>
              <w:rPr>
                <w:rFonts w:ascii="Times New Roman" w:hAnsi="Times New Roman" w:cs="Times New Roman"/>
                <w:b/>
                <w:color w:val="000000" w:themeColor="text1"/>
                <w:lang w:val="sq-AL"/>
              </w:rPr>
            </w:pPr>
            <w:r w:rsidRPr="005116BD">
              <w:rPr>
                <w:rFonts w:ascii="Times New Roman" w:hAnsi="Times New Roman" w:cs="Times New Roman"/>
                <w:b/>
                <w:color w:val="000000" w:themeColor="text1"/>
                <w:lang w:val="sq-AL"/>
              </w:rPr>
              <w:t>Treguesi</w:t>
            </w:r>
          </w:p>
        </w:tc>
        <w:tc>
          <w:tcPr>
            <w:tcW w:w="1440" w:type="dxa"/>
            <w:shd w:val="clear" w:color="auto" w:fill="auto"/>
          </w:tcPr>
          <w:p w14:paraId="77743EDD" w14:textId="77777777" w:rsidR="00CE4035" w:rsidRPr="005116BD" w:rsidRDefault="00CE4035" w:rsidP="005116BD">
            <w:pPr>
              <w:pStyle w:val="Default"/>
              <w:jc w:val="center"/>
              <w:rPr>
                <w:rFonts w:ascii="Times New Roman" w:hAnsi="Times New Roman" w:cs="Times New Roman"/>
                <w:b/>
                <w:color w:val="000000" w:themeColor="text1"/>
                <w:lang w:val="sq-AL"/>
              </w:rPr>
            </w:pPr>
            <w:r w:rsidRPr="005116BD">
              <w:rPr>
                <w:rFonts w:ascii="Times New Roman" w:hAnsi="Times New Roman" w:cs="Times New Roman"/>
                <w:b/>
                <w:color w:val="000000" w:themeColor="text1"/>
                <w:lang w:val="sq-AL"/>
              </w:rPr>
              <w:t>Baza  2019</w:t>
            </w:r>
          </w:p>
        </w:tc>
        <w:tc>
          <w:tcPr>
            <w:tcW w:w="1530" w:type="dxa"/>
            <w:shd w:val="clear" w:color="auto" w:fill="auto"/>
          </w:tcPr>
          <w:p w14:paraId="419C96B3" w14:textId="45533890" w:rsidR="00CE4035" w:rsidRPr="005116BD" w:rsidRDefault="00CE4035" w:rsidP="005116BD">
            <w:pPr>
              <w:pStyle w:val="Default"/>
              <w:jc w:val="center"/>
              <w:rPr>
                <w:rFonts w:ascii="Times New Roman" w:hAnsi="Times New Roman" w:cs="Times New Roman"/>
                <w:b/>
                <w:color w:val="000000" w:themeColor="text1"/>
                <w:lang w:val="sq-AL"/>
              </w:rPr>
            </w:pPr>
            <w:r w:rsidRPr="005116BD">
              <w:rPr>
                <w:rFonts w:ascii="Times New Roman" w:hAnsi="Times New Roman" w:cs="Times New Roman"/>
                <w:b/>
                <w:color w:val="000000" w:themeColor="text1"/>
                <w:lang w:val="sq-AL"/>
              </w:rPr>
              <w:t>Treguesi i ndërmjetëm</w:t>
            </w:r>
          </w:p>
        </w:tc>
        <w:tc>
          <w:tcPr>
            <w:tcW w:w="2520" w:type="dxa"/>
            <w:shd w:val="clear" w:color="auto" w:fill="auto"/>
          </w:tcPr>
          <w:p w14:paraId="2F4E38F4" w14:textId="77777777" w:rsidR="00CE4035" w:rsidRPr="005116BD" w:rsidRDefault="00CE4035" w:rsidP="005116BD">
            <w:pPr>
              <w:pStyle w:val="Default"/>
              <w:jc w:val="center"/>
              <w:rPr>
                <w:rFonts w:ascii="Times New Roman" w:hAnsi="Times New Roman" w:cs="Times New Roman"/>
                <w:b/>
                <w:color w:val="000000" w:themeColor="text1"/>
                <w:lang w:val="sq-AL"/>
              </w:rPr>
            </w:pPr>
            <w:r w:rsidRPr="005116BD">
              <w:rPr>
                <w:rFonts w:ascii="Times New Roman" w:hAnsi="Times New Roman" w:cs="Times New Roman"/>
                <w:b/>
                <w:color w:val="000000" w:themeColor="text1"/>
                <w:lang w:val="sq-AL"/>
              </w:rPr>
              <w:t>Synimi 2023</w:t>
            </w:r>
          </w:p>
        </w:tc>
      </w:tr>
      <w:tr w:rsidR="00CE4035" w:rsidRPr="005116BD" w14:paraId="5DDF94D5" w14:textId="77777777" w:rsidTr="005116BD">
        <w:trPr>
          <w:trHeight w:val="678"/>
        </w:trPr>
        <w:tc>
          <w:tcPr>
            <w:tcW w:w="3055" w:type="dxa"/>
            <w:shd w:val="clear" w:color="auto" w:fill="auto"/>
          </w:tcPr>
          <w:p w14:paraId="7D31DE9F" w14:textId="77777777" w:rsidR="00CE4035" w:rsidRPr="005116BD" w:rsidRDefault="00CE4035" w:rsidP="005116BD">
            <w:pPr>
              <w:pStyle w:val="Default"/>
              <w:jc w:val="center"/>
              <w:rPr>
                <w:rFonts w:ascii="Times New Roman" w:hAnsi="Times New Roman" w:cs="Times New Roman"/>
                <w:color w:val="000000" w:themeColor="text1"/>
                <w:lang w:val="sq-AL"/>
              </w:rPr>
            </w:pPr>
            <w:r w:rsidRPr="005116BD">
              <w:rPr>
                <w:rFonts w:ascii="Times New Roman" w:hAnsi="Times New Roman" w:cs="Times New Roman"/>
                <w:color w:val="000000" w:themeColor="text1"/>
                <w:lang w:val="sq-AL"/>
              </w:rPr>
              <w:t>Kontributi i sh</w:t>
            </w:r>
            <w:r w:rsidRPr="005116BD">
              <w:rPr>
                <w:rFonts w:ascii="Times New Roman" w:eastAsia="Times New Roman" w:hAnsi="Times New Roman" w:cs="Times New Roman"/>
                <w:color w:val="000000" w:themeColor="text1"/>
                <w:lang w:val="sq-AL" w:eastAsia="sq-AL"/>
              </w:rPr>
              <w:t>ërbimeve të tregëtueshme në BPV (%)</w:t>
            </w:r>
          </w:p>
        </w:tc>
        <w:tc>
          <w:tcPr>
            <w:tcW w:w="1440" w:type="dxa"/>
            <w:shd w:val="clear" w:color="auto" w:fill="auto"/>
          </w:tcPr>
          <w:p w14:paraId="7D36680E" w14:textId="77777777" w:rsidR="00CE4035" w:rsidRPr="005116BD" w:rsidRDefault="00CE4035" w:rsidP="005116BD">
            <w:pPr>
              <w:pStyle w:val="Default"/>
              <w:jc w:val="center"/>
              <w:rPr>
                <w:rFonts w:ascii="Times New Roman" w:hAnsi="Times New Roman" w:cs="Times New Roman"/>
                <w:color w:val="000000" w:themeColor="text1"/>
                <w:lang w:val="sq-AL"/>
              </w:rPr>
            </w:pPr>
            <w:r w:rsidRPr="005116BD">
              <w:rPr>
                <w:rFonts w:ascii="Times New Roman" w:hAnsi="Times New Roman" w:cs="Times New Roman"/>
                <w:color w:val="000000" w:themeColor="text1"/>
                <w:lang w:val="sq-AL"/>
              </w:rPr>
              <w:t>5.3%</w:t>
            </w:r>
          </w:p>
        </w:tc>
        <w:tc>
          <w:tcPr>
            <w:tcW w:w="1530" w:type="dxa"/>
            <w:shd w:val="clear" w:color="auto" w:fill="auto"/>
          </w:tcPr>
          <w:p w14:paraId="2B42C950" w14:textId="77777777" w:rsidR="00CE4035" w:rsidRPr="005116BD" w:rsidRDefault="00CE4035" w:rsidP="005116BD">
            <w:pPr>
              <w:pStyle w:val="Default"/>
              <w:jc w:val="center"/>
              <w:rPr>
                <w:rFonts w:ascii="Times New Roman" w:hAnsi="Times New Roman" w:cs="Times New Roman"/>
                <w:color w:val="000000" w:themeColor="text1"/>
                <w:lang w:val="sq-AL"/>
              </w:rPr>
            </w:pPr>
          </w:p>
        </w:tc>
        <w:tc>
          <w:tcPr>
            <w:tcW w:w="2520" w:type="dxa"/>
            <w:shd w:val="clear" w:color="auto" w:fill="auto"/>
          </w:tcPr>
          <w:p w14:paraId="3C31CF04" w14:textId="77777777" w:rsidR="00CE4035" w:rsidRPr="005116BD" w:rsidRDefault="00CE4035" w:rsidP="005116BD">
            <w:pPr>
              <w:jc w:val="center"/>
              <w:rPr>
                <w:color w:val="000000" w:themeColor="text1"/>
              </w:rPr>
            </w:pPr>
            <w:r w:rsidRPr="005116BD">
              <w:rPr>
                <w:color w:val="000000" w:themeColor="text1"/>
              </w:rPr>
              <w:t>Rritja n</w:t>
            </w:r>
            <w:r w:rsidRPr="005116BD">
              <w:rPr>
                <w:color w:val="000000" w:themeColor="text1"/>
                <w:lang w:eastAsia="sq-AL"/>
              </w:rPr>
              <w:t xml:space="preserve">ë </w:t>
            </w:r>
            <w:r w:rsidRPr="005116BD">
              <w:rPr>
                <w:color w:val="000000" w:themeColor="text1"/>
              </w:rPr>
              <w:t>7.5%</w:t>
            </w:r>
          </w:p>
        </w:tc>
      </w:tr>
      <w:tr w:rsidR="00CE4035" w:rsidRPr="005116BD" w14:paraId="306F1763" w14:textId="77777777" w:rsidTr="005116BD">
        <w:trPr>
          <w:trHeight w:val="354"/>
        </w:trPr>
        <w:tc>
          <w:tcPr>
            <w:tcW w:w="3055" w:type="dxa"/>
            <w:shd w:val="clear" w:color="auto" w:fill="auto"/>
          </w:tcPr>
          <w:p w14:paraId="655D9B0D" w14:textId="77777777" w:rsidR="00CE4035" w:rsidRPr="005116BD" w:rsidRDefault="00CE4035" w:rsidP="005116BD">
            <w:pPr>
              <w:pStyle w:val="Default"/>
              <w:jc w:val="center"/>
              <w:rPr>
                <w:rFonts w:ascii="Times New Roman" w:hAnsi="Times New Roman" w:cs="Times New Roman"/>
                <w:color w:val="000000" w:themeColor="text1"/>
                <w:lang w:val="sq-AL"/>
              </w:rPr>
            </w:pPr>
            <w:r w:rsidRPr="005116BD">
              <w:rPr>
                <w:rFonts w:ascii="Times New Roman" w:hAnsi="Times New Roman" w:cs="Times New Roman"/>
                <w:color w:val="000000" w:themeColor="text1"/>
                <w:lang w:val="sq-AL"/>
              </w:rPr>
              <w:t>Vlera e eksporteve në shërbime</w:t>
            </w:r>
          </w:p>
        </w:tc>
        <w:tc>
          <w:tcPr>
            <w:tcW w:w="1440" w:type="dxa"/>
            <w:shd w:val="clear" w:color="auto" w:fill="auto"/>
          </w:tcPr>
          <w:p w14:paraId="53121C3C" w14:textId="77777777" w:rsidR="00CE4035" w:rsidRPr="005116BD" w:rsidRDefault="00CE4035" w:rsidP="005116BD">
            <w:pPr>
              <w:pStyle w:val="Default"/>
              <w:jc w:val="center"/>
              <w:rPr>
                <w:rFonts w:ascii="Times New Roman" w:hAnsi="Times New Roman" w:cs="Times New Roman"/>
                <w:color w:val="000000" w:themeColor="text1"/>
                <w:lang w:val="sq-AL"/>
              </w:rPr>
            </w:pPr>
            <w:r w:rsidRPr="005116BD">
              <w:rPr>
                <w:rFonts w:ascii="Times New Roman" w:hAnsi="Times New Roman" w:cs="Times New Roman"/>
                <w:color w:val="000000" w:themeColor="text1"/>
                <w:lang w:val="sq-AL"/>
              </w:rPr>
              <w:t>1.6 miliard €</w:t>
            </w:r>
          </w:p>
        </w:tc>
        <w:tc>
          <w:tcPr>
            <w:tcW w:w="1530" w:type="dxa"/>
            <w:shd w:val="clear" w:color="auto" w:fill="auto"/>
          </w:tcPr>
          <w:p w14:paraId="78D213D1" w14:textId="77777777" w:rsidR="00CE4035" w:rsidRPr="005116BD" w:rsidRDefault="00CE4035" w:rsidP="005116BD">
            <w:pPr>
              <w:pStyle w:val="Default"/>
              <w:jc w:val="center"/>
              <w:rPr>
                <w:rFonts w:ascii="Times New Roman" w:hAnsi="Times New Roman" w:cs="Times New Roman"/>
                <w:color w:val="000000" w:themeColor="text1"/>
                <w:lang w:val="sq-AL"/>
              </w:rPr>
            </w:pPr>
          </w:p>
        </w:tc>
        <w:tc>
          <w:tcPr>
            <w:tcW w:w="2520" w:type="dxa"/>
            <w:shd w:val="clear" w:color="auto" w:fill="auto"/>
          </w:tcPr>
          <w:p w14:paraId="2E4F39F4" w14:textId="77777777" w:rsidR="00CE4035" w:rsidRPr="005116BD" w:rsidRDefault="00CE4035" w:rsidP="005116BD">
            <w:pPr>
              <w:pStyle w:val="Default"/>
              <w:jc w:val="center"/>
              <w:rPr>
                <w:rFonts w:ascii="Times New Roman" w:hAnsi="Times New Roman" w:cs="Times New Roman"/>
                <w:color w:val="000000" w:themeColor="text1"/>
                <w:lang w:val="sq-AL"/>
              </w:rPr>
            </w:pPr>
            <w:r w:rsidRPr="005116BD">
              <w:rPr>
                <w:rFonts w:ascii="Times New Roman" w:hAnsi="Times New Roman" w:cs="Times New Roman"/>
                <w:color w:val="000000" w:themeColor="text1"/>
                <w:lang w:val="sq-AL"/>
              </w:rPr>
              <w:t>Rritja n</w:t>
            </w:r>
            <w:r w:rsidRPr="005116BD">
              <w:rPr>
                <w:rFonts w:ascii="Times New Roman" w:eastAsia="Times New Roman" w:hAnsi="Times New Roman" w:cs="Times New Roman"/>
                <w:color w:val="000000" w:themeColor="text1"/>
                <w:lang w:val="sq-AL" w:eastAsia="sq-AL"/>
              </w:rPr>
              <w:t xml:space="preserve">ë </w:t>
            </w:r>
            <w:r w:rsidRPr="005116BD">
              <w:rPr>
                <w:rFonts w:ascii="Times New Roman" w:hAnsi="Times New Roman" w:cs="Times New Roman"/>
                <w:color w:val="000000" w:themeColor="text1"/>
                <w:lang w:val="sq-AL"/>
              </w:rPr>
              <w:t>1.9 miliard €</w:t>
            </w:r>
          </w:p>
        </w:tc>
      </w:tr>
    </w:tbl>
    <w:p w14:paraId="30E11153" w14:textId="1DEDB9D8" w:rsidR="00CE4035" w:rsidRDefault="00CE4035" w:rsidP="00CE4035">
      <w:pPr>
        <w:jc w:val="both"/>
        <w:rPr>
          <w:i/>
        </w:rPr>
      </w:pPr>
      <w:r w:rsidRPr="002E55FD">
        <w:rPr>
          <w:i/>
        </w:rPr>
        <w:t>Arritja e këtyre treguesve është në pajtim me Objektiven 17</w:t>
      </w:r>
      <w:r>
        <w:rPr>
          <w:i/>
        </w:rPr>
        <w:t xml:space="preserve"> të OZHQ</w:t>
      </w:r>
      <w:r w:rsidRPr="002E55FD">
        <w:rPr>
          <w:i/>
        </w:rPr>
        <w:t xml:space="preserve"> ‘Forcimi i mjeteve të zbatimit dhe rivitalizimi i Partneritetit Global për Zhvillim të Qëndrueshëm’ Caku 17.12 ‘Të realizohet implementin në kohë i qasjes në tregje pa dogana dhe pa kuota, në baza të qëndrueshme, për të gjitha vendet më pak të zhvilluara, në përputhje me vendimet e Organizatës Botërore të Tregtisë, përfshirë dhe përmes mundësimit që rregullat preferenciale të origjinës të zbatueshme mbi importet nga vendet më pak të zhvilluara të jenë transparente dhe të thjeshta, dhe të kontribuojnë për lehtësimin e qasjes në treg’.</w:t>
      </w:r>
    </w:p>
    <w:p w14:paraId="43FF68BD" w14:textId="77777777" w:rsidR="005116BD" w:rsidRPr="002E55FD" w:rsidRDefault="005116BD" w:rsidP="00CE4035">
      <w:pPr>
        <w:jc w:val="both"/>
        <w:rPr>
          <w:b/>
          <w:bCs/>
          <w:i/>
        </w:rPr>
      </w:pPr>
    </w:p>
    <w:p w14:paraId="45626742" w14:textId="5B01AF57" w:rsidR="00CE4035" w:rsidRDefault="00CE4035" w:rsidP="00CE4035">
      <w:pPr>
        <w:jc w:val="both"/>
        <w:rPr>
          <w:color w:val="000000" w:themeColor="text1"/>
        </w:rPr>
      </w:pPr>
      <w:r w:rsidRPr="004C3B99">
        <w:rPr>
          <w:b/>
          <w:bCs/>
        </w:rPr>
        <w:t>Ndikimi i pritur në konkurrueshmëri:</w:t>
      </w:r>
      <w:r w:rsidRPr="004C3B99">
        <w:t xml:space="preserve"> Z</w:t>
      </w:r>
      <w:r w:rsidRPr="004C3B99">
        <w:rPr>
          <w:color w:val="000000" w:themeColor="text1"/>
        </w:rPr>
        <w:t>batimi i aktiviteteve të planifikuara do të kontribuojë në rritjen e eksporteve të shërbimeve dhe orientimin e politikave favorizuese në fushën e shërbimeve. Politika për zhvillim në fushën e shërbimeve profesionale, do të kenë një ndikim pozitiv në konkurrencën e sektorit në përgjithësi dhe tregtisë së shërbimeve profesionale, veçanërisht përmes mundësive të reja të punës dhe një rritje të IHD-ve në shërbimet me produktivitet të lartë, si dhe ofrojnë lehtësim ne qasje në financa për bizneset.</w:t>
      </w:r>
    </w:p>
    <w:p w14:paraId="6AB07B16" w14:textId="77777777" w:rsidR="005116BD" w:rsidRPr="004C3B99" w:rsidRDefault="005116BD" w:rsidP="00CE4035">
      <w:pPr>
        <w:jc w:val="both"/>
        <w:rPr>
          <w:color w:val="000000" w:themeColor="text1"/>
        </w:rPr>
      </w:pPr>
    </w:p>
    <w:p w14:paraId="6B201B1A" w14:textId="1E6B2E4F" w:rsidR="00CE4035" w:rsidRDefault="00CE4035" w:rsidP="00CE4035">
      <w:pPr>
        <w:jc w:val="both"/>
        <w:rPr>
          <w:bCs/>
          <w:color w:val="000000" w:themeColor="text1"/>
        </w:rPr>
      </w:pPr>
      <w:r w:rsidRPr="004C3B99">
        <w:rPr>
          <w:b/>
          <w:bCs/>
          <w:color w:val="000000" w:themeColor="text1"/>
        </w:rPr>
        <w:t xml:space="preserve">Vlerësimi i kostos së aktiviteteve dhe </w:t>
      </w:r>
      <w:r w:rsidRPr="004C3B99">
        <w:rPr>
          <w:b/>
          <w:color w:val="000000" w:themeColor="text1"/>
        </w:rPr>
        <w:t>burimet e financimit:</w:t>
      </w:r>
      <w:r>
        <w:rPr>
          <w:bCs/>
          <w:color w:val="000000" w:themeColor="text1"/>
        </w:rPr>
        <w:t xml:space="preserve"> </w:t>
      </w:r>
      <w:r w:rsidRPr="004C3B99">
        <w:rPr>
          <w:bCs/>
          <w:color w:val="000000" w:themeColor="text1"/>
        </w:rPr>
        <w:t>Shuma totale e buxhetit të planifikuar për këto aktivitete për 3 vjet është 260,000 €, e ndarë sipas viteve: 111,500 € për 2021, 114,500 € për 2022 dhe 34,000 € për 2023. Shuma prej 60,000 € do të financohet nga buxheti i Kosovës dhe 200,000 € nga fondet e IPA.</w:t>
      </w:r>
    </w:p>
    <w:p w14:paraId="10DC4772" w14:textId="77777777" w:rsidR="005116BD" w:rsidRPr="004C3B99" w:rsidRDefault="005116BD" w:rsidP="00CE4035">
      <w:pPr>
        <w:jc w:val="both"/>
        <w:rPr>
          <w:bCs/>
          <w:color w:val="000000" w:themeColor="text1"/>
        </w:rPr>
      </w:pPr>
    </w:p>
    <w:p w14:paraId="2E62D732" w14:textId="77777777" w:rsidR="005116BD" w:rsidRDefault="00CE4035" w:rsidP="005116BD">
      <w:pPr>
        <w:jc w:val="both"/>
        <w:rPr>
          <w:bCs/>
        </w:rPr>
      </w:pPr>
      <w:r w:rsidRPr="004C3B99">
        <w:rPr>
          <w:b/>
          <w:bCs/>
        </w:rPr>
        <w:t xml:space="preserve">Ndikimet e pritshme mbi rezultatet sociale, të tilla si punësimi, reduktimi i varfërisë, barazia gjinore: </w:t>
      </w:r>
      <w:r w:rsidRPr="004C3B99">
        <w:t xml:space="preserve">Zhvillimi i aktiviteteve në sektorin e tregtisë në shërbime do të orientohet drejt punësimit të grave. Meqenëse shumë aktivitete të shërbimeve varen nga punësimi i grave siç janë arsimi shëndetësor dhe shërbime të tjera të biznesit; zhvillimi i mëtejshëm i shërbimeve do të kontribuojë në rritjen e nivelit të pjesëmarrjes së grave në fuqinë punëtore. </w:t>
      </w:r>
      <w:r w:rsidRPr="004C3B99">
        <w:rPr>
          <w:bCs/>
        </w:rPr>
        <w:t>Në vitin 2019, 85.2% e të punësuarve në Kosovë ishin të punësuar në sektorin e shërbimeve. Kjo është një rritje prej 3.7% krahasuar me 2017, ku aktivitetet e shërbimeve punësuan 81.5% të forcës së punës. Pas ndikimit nga pandemia, kjo tendencë pritet të përjetojë një rënie të theksuar në vitin 2020</w:t>
      </w:r>
      <w:r w:rsidRPr="004C3B99">
        <w:rPr>
          <w:b/>
          <w:bCs/>
        </w:rPr>
        <w:t xml:space="preserve">. </w:t>
      </w:r>
      <w:r w:rsidRPr="004C3B99">
        <w:rPr>
          <w:bCs/>
        </w:rPr>
        <w:t>(burimi: Raporti Vjetor për Shërbime dhe Tregtinë e Shërbimeve 2019). Ky trend i rritjes pritet të pësoj ngadalësime gjatë periudhës 2021-2023, për shkak të rrethanave të reja të krijuara nga COVID-19.</w:t>
      </w:r>
    </w:p>
    <w:p w14:paraId="10A4AE4F" w14:textId="77777777" w:rsidR="005116BD" w:rsidRDefault="005116BD" w:rsidP="005116BD">
      <w:pPr>
        <w:jc w:val="both"/>
        <w:rPr>
          <w:bCs/>
        </w:rPr>
      </w:pPr>
    </w:p>
    <w:p w14:paraId="2269DA73" w14:textId="517D8FEF" w:rsidR="00CE4035" w:rsidRDefault="00CE4035" w:rsidP="005116BD">
      <w:pPr>
        <w:jc w:val="both"/>
      </w:pPr>
      <w:r w:rsidRPr="004C3B99">
        <w:rPr>
          <w:b/>
          <w:bCs/>
        </w:rPr>
        <w:t xml:space="preserve">Ndikimi i pritshëm në mjedis: </w:t>
      </w:r>
      <w:r w:rsidRPr="004C3B99">
        <w:t>Kjo masë nuk pritet të ketë ndikim në mjedis.</w:t>
      </w:r>
    </w:p>
    <w:p w14:paraId="5907A408" w14:textId="77777777" w:rsidR="005116BD" w:rsidRPr="005116BD" w:rsidRDefault="005116BD" w:rsidP="005116BD">
      <w:pPr>
        <w:jc w:val="both"/>
      </w:pPr>
    </w:p>
    <w:p w14:paraId="395BB6D1" w14:textId="77777777" w:rsidR="00CE4035" w:rsidRPr="005116BD" w:rsidRDefault="00CE4035" w:rsidP="00CE4035">
      <w:pPr>
        <w:jc w:val="both"/>
        <w:rPr>
          <w:b/>
        </w:rPr>
      </w:pPr>
      <w:r w:rsidRPr="005116BD">
        <w:rPr>
          <w:b/>
        </w:rPr>
        <w:t>Rreziqet potenciale:</w:t>
      </w:r>
    </w:p>
    <w:tbl>
      <w:tblPr>
        <w:tblStyle w:val="TableGrid"/>
        <w:tblW w:w="0" w:type="auto"/>
        <w:tblLook w:val="04A0" w:firstRow="1" w:lastRow="0" w:firstColumn="1" w:lastColumn="0" w:noHBand="0" w:noVBand="1"/>
      </w:tblPr>
      <w:tblGrid>
        <w:gridCol w:w="3298"/>
        <w:gridCol w:w="1527"/>
        <w:gridCol w:w="3789"/>
      </w:tblGrid>
      <w:tr w:rsidR="00CE4035" w:rsidRPr="005116BD" w14:paraId="24B9DCA7" w14:textId="77777777" w:rsidTr="009B753C">
        <w:tc>
          <w:tcPr>
            <w:tcW w:w="3595" w:type="dxa"/>
          </w:tcPr>
          <w:p w14:paraId="0E814FC3" w14:textId="77777777" w:rsidR="00CE4035" w:rsidRPr="005116BD" w:rsidRDefault="00CE4035" w:rsidP="009B753C">
            <w:pPr>
              <w:pStyle w:val="Default"/>
              <w:jc w:val="both"/>
              <w:rPr>
                <w:rFonts w:ascii="Times New Roman" w:hAnsi="Times New Roman" w:cs="Times New Roman"/>
                <w:lang w:val="sq-AL"/>
              </w:rPr>
            </w:pPr>
            <w:r w:rsidRPr="005116BD">
              <w:rPr>
                <w:rFonts w:ascii="Times New Roman" w:hAnsi="Times New Roman" w:cs="Times New Roman"/>
                <w:b/>
                <w:bCs/>
                <w:lang w:val="sq-AL"/>
              </w:rPr>
              <w:t xml:space="preserve">Rreziku </w:t>
            </w:r>
          </w:p>
        </w:tc>
        <w:tc>
          <w:tcPr>
            <w:tcW w:w="1530" w:type="dxa"/>
          </w:tcPr>
          <w:p w14:paraId="11DDAB88" w14:textId="77777777" w:rsidR="00CE4035" w:rsidRPr="005116BD" w:rsidRDefault="00CE4035" w:rsidP="009B753C">
            <w:pPr>
              <w:pStyle w:val="Default"/>
              <w:ind w:right="-122"/>
              <w:rPr>
                <w:rFonts w:ascii="Times New Roman" w:hAnsi="Times New Roman" w:cs="Times New Roman"/>
                <w:b/>
                <w:bCs/>
                <w:lang w:val="sq-AL"/>
              </w:rPr>
            </w:pPr>
            <w:r w:rsidRPr="005116BD">
              <w:rPr>
                <w:rFonts w:ascii="Times New Roman" w:hAnsi="Times New Roman" w:cs="Times New Roman"/>
                <w:b/>
                <w:bCs/>
                <w:lang w:val="sq-AL"/>
              </w:rPr>
              <w:t xml:space="preserve">Probabiliteti </w:t>
            </w:r>
          </w:p>
        </w:tc>
        <w:tc>
          <w:tcPr>
            <w:tcW w:w="4225" w:type="dxa"/>
          </w:tcPr>
          <w:p w14:paraId="000A4306" w14:textId="77777777" w:rsidR="00CE4035" w:rsidRPr="005116BD" w:rsidRDefault="00CE4035" w:rsidP="009B753C">
            <w:pPr>
              <w:pStyle w:val="Default"/>
              <w:rPr>
                <w:rFonts w:ascii="Times New Roman" w:hAnsi="Times New Roman" w:cs="Times New Roman"/>
                <w:lang w:val="sq-AL"/>
              </w:rPr>
            </w:pPr>
            <w:r w:rsidRPr="005116BD">
              <w:rPr>
                <w:rFonts w:ascii="Times New Roman" w:hAnsi="Times New Roman" w:cs="Times New Roman"/>
                <w:b/>
                <w:bCs/>
                <w:lang w:val="sq-AL"/>
              </w:rPr>
              <w:t xml:space="preserve">Veprimi lehtësues i planifikuar </w:t>
            </w:r>
          </w:p>
        </w:tc>
      </w:tr>
      <w:tr w:rsidR="00CE4035" w:rsidRPr="005116BD" w14:paraId="11440870" w14:textId="77777777" w:rsidTr="009B753C">
        <w:tc>
          <w:tcPr>
            <w:tcW w:w="3595" w:type="dxa"/>
          </w:tcPr>
          <w:p w14:paraId="0952B13D" w14:textId="77777777" w:rsidR="00CE4035" w:rsidRPr="005116BD" w:rsidRDefault="00CE4035" w:rsidP="009B753C">
            <w:pPr>
              <w:pStyle w:val="BodyText"/>
              <w:ind w:left="-25"/>
              <w:rPr>
                <w:sz w:val="24"/>
                <w:szCs w:val="24"/>
              </w:rPr>
            </w:pPr>
            <w:r w:rsidRPr="005116BD">
              <w:rPr>
                <w:sz w:val="24"/>
                <w:szCs w:val="24"/>
              </w:rPr>
              <w:t>Koordinimi i institucioneve  publike  qendrore dhe lokale në ndërhyrjen për rregullimin e shërbimeve</w:t>
            </w:r>
          </w:p>
        </w:tc>
        <w:tc>
          <w:tcPr>
            <w:tcW w:w="1530" w:type="dxa"/>
          </w:tcPr>
          <w:p w14:paraId="4466259C" w14:textId="77777777" w:rsidR="00CE4035" w:rsidRPr="005116BD" w:rsidRDefault="00CE4035" w:rsidP="009B753C">
            <w:pPr>
              <w:pStyle w:val="Default"/>
              <w:rPr>
                <w:rFonts w:ascii="Times New Roman" w:hAnsi="Times New Roman" w:cs="Times New Roman"/>
                <w:lang w:val="sq-AL"/>
              </w:rPr>
            </w:pPr>
            <w:r w:rsidRPr="005116BD">
              <w:rPr>
                <w:rFonts w:ascii="Times New Roman" w:hAnsi="Times New Roman" w:cs="Times New Roman"/>
                <w:lang w:val="sq-AL"/>
              </w:rPr>
              <w:t>I ulët</w:t>
            </w:r>
          </w:p>
        </w:tc>
        <w:tc>
          <w:tcPr>
            <w:tcW w:w="4225" w:type="dxa"/>
          </w:tcPr>
          <w:p w14:paraId="1DBDB135" w14:textId="77777777" w:rsidR="00CE4035" w:rsidRPr="005116BD" w:rsidRDefault="00CE4035" w:rsidP="009B753C">
            <w:pPr>
              <w:pStyle w:val="Default"/>
              <w:rPr>
                <w:rFonts w:ascii="Times New Roman" w:hAnsi="Times New Roman" w:cs="Times New Roman"/>
                <w:lang w:val="sq-AL"/>
              </w:rPr>
            </w:pPr>
            <w:r w:rsidRPr="005116BD">
              <w:rPr>
                <w:rFonts w:ascii="Times New Roman" w:hAnsi="Times New Roman" w:cs="Times New Roman"/>
                <w:lang w:val="sq-AL"/>
              </w:rPr>
              <w:t>Analiza e vlerësimit të kapaciteteve njerëzore dhe të infrastrukturës së IT-së në institucionet e nivelit qendror për themelimin e PVK-së.</w:t>
            </w:r>
          </w:p>
        </w:tc>
      </w:tr>
      <w:tr w:rsidR="00CE4035" w:rsidRPr="005116BD" w14:paraId="044DCE2D" w14:textId="77777777" w:rsidTr="009B753C">
        <w:tc>
          <w:tcPr>
            <w:tcW w:w="3595" w:type="dxa"/>
          </w:tcPr>
          <w:p w14:paraId="7A045D6B" w14:textId="77777777" w:rsidR="00CE4035" w:rsidRPr="005116BD" w:rsidRDefault="00CE4035" w:rsidP="009B753C">
            <w:pPr>
              <w:pStyle w:val="Default"/>
              <w:rPr>
                <w:rFonts w:ascii="Times New Roman" w:hAnsi="Times New Roman" w:cs="Times New Roman"/>
                <w:lang w:val="sq-AL"/>
              </w:rPr>
            </w:pPr>
            <w:r w:rsidRPr="005116BD">
              <w:rPr>
                <w:rFonts w:ascii="Times New Roman" w:hAnsi="Times New Roman" w:cs="Times New Roman"/>
                <w:lang w:val="sq-AL"/>
              </w:rPr>
              <w:t>Vonesat në miratimin e legjislacionit</w:t>
            </w:r>
          </w:p>
        </w:tc>
        <w:tc>
          <w:tcPr>
            <w:tcW w:w="1530" w:type="dxa"/>
          </w:tcPr>
          <w:p w14:paraId="1480BC92" w14:textId="77777777" w:rsidR="00CE4035" w:rsidRPr="005116BD" w:rsidRDefault="00CE4035" w:rsidP="009B753C">
            <w:pPr>
              <w:pStyle w:val="Default"/>
              <w:rPr>
                <w:rFonts w:ascii="Times New Roman" w:hAnsi="Times New Roman" w:cs="Times New Roman"/>
                <w:lang w:val="sq-AL"/>
              </w:rPr>
            </w:pPr>
            <w:r w:rsidRPr="005116BD">
              <w:rPr>
                <w:rFonts w:ascii="Times New Roman" w:hAnsi="Times New Roman" w:cs="Times New Roman"/>
                <w:lang w:val="sq-AL"/>
              </w:rPr>
              <w:t>I lartë</w:t>
            </w:r>
          </w:p>
        </w:tc>
        <w:tc>
          <w:tcPr>
            <w:tcW w:w="4225" w:type="dxa"/>
          </w:tcPr>
          <w:p w14:paraId="29CEF9B1" w14:textId="77777777" w:rsidR="00CE4035" w:rsidRPr="005116BD" w:rsidRDefault="00CE4035" w:rsidP="009B753C">
            <w:pPr>
              <w:pStyle w:val="Default"/>
              <w:rPr>
                <w:rFonts w:ascii="Times New Roman" w:hAnsi="Times New Roman" w:cs="Times New Roman"/>
                <w:lang w:val="sq-AL"/>
              </w:rPr>
            </w:pPr>
            <w:r w:rsidRPr="005116BD">
              <w:rPr>
                <w:rFonts w:ascii="Times New Roman" w:hAnsi="Times New Roman" w:cs="Times New Roman"/>
                <w:lang w:val="sq-AL"/>
              </w:rPr>
              <w:t>Rritja e bashkëpunimit koordinues me trupat relevant duke respektuar hierarkinë.</w:t>
            </w:r>
          </w:p>
        </w:tc>
      </w:tr>
      <w:tr w:rsidR="00CE4035" w:rsidRPr="005116BD" w14:paraId="22B28FC6" w14:textId="77777777" w:rsidTr="009B753C">
        <w:trPr>
          <w:trHeight w:val="602"/>
        </w:trPr>
        <w:tc>
          <w:tcPr>
            <w:tcW w:w="3595" w:type="dxa"/>
          </w:tcPr>
          <w:p w14:paraId="37EB43C7" w14:textId="77777777" w:rsidR="00CE4035" w:rsidRPr="005116BD" w:rsidRDefault="00CE4035" w:rsidP="009B753C">
            <w:pPr>
              <w:pStyle w:val="Default"/>
              <w:rPr>
                <w:rFonts w:ascii="Times New Roman" w:hAnsi="Times New Roman" w:cs="Times New Roman"/>
                <w:highlight w:val="yellow"/>
                <w:lang w:val="sq-AL"/>
              </w:rPr>
            </w:pPr>
            <w:r w:rsidRPr="005116BD">
              <w:rPr>
                <w:rFonts w:ascii="Times New Roman" w:hAnsi="Times New Roman" w:cs="Times New Roman"/>
                <w:lang w:val="sq-AL"/>
              </w:rPr>
              <w:t xml:space="preserve">Paparikushmeria e kohëzgjatjes së pandemisë </w:t>
            </w:r>
            <w:r w:rsidRPr="005116BD">
              <w:rPr>
                <w:rFonts w:ascii="Times New Roman" w:hAnsi="Times New Roman" w:cs="Times New Roman"/>
                <w:color w:val="auto"/>
                <w:lang w:val="sq-AL"/>
              </w:rPr>
              <w:t>Covid-19</w:t>
            </w:r>
          </w:p>
        </w:tc>
        <w:tc>
          <w:tcPr>
            <w:tcW w:w="1530" w:type="dxa"/>
          </w:tcPr>
          <w:p w14:paraId="5794024F" w14:textId="77777777" w:rsidR="00CE4035" w:rsidRPr="005116BD" w:rsidRDefault="00CE4035" w:rsidP="009B753C">
            <w:pPr>
              <w:pStyle w:val="Default"/>
              <w:rPr>
                <w:rFonts w:ascii="Times New Roman" w:hAnsi="Times New Roman" w:cs="Times New Roman"/>
                <w:highlight w:val="yellow"/>
                <w:lang w:val="sq-AL"/>
              </w:rPr>
            </w:pPr>
            <w:r w:rsidRPr="005116BD">
              <w:rPr>
                <w:rFonts w:ascii="Times New Roman" w:hAnsi="Times New Roman" w:cs="Times New Roman"/>
                <w:lang w:val="sq-AL"/>
              </w:rPr>
              <w:t>I lartë</w:t>
            </w:r>
          </w:p>
        </w:tc>
        <w:tc>
          <w:tcPr>
            <w:tcW w:w="4225" w:type="dxa"/>
          </w:tcPr>
          <w:p w14:paraId="64296272" w14:textId="77777777" w:rsidR="00CE4035" w:rsidRPr="005116BD" w:rsidRDefault="00CE4035" w:rsidP="009B753C">
            <w:r w:rsidRPr="005116BD">
              <w:t xml:space="preserve">Masat e qeverisë kundër pandemisë Covid-19 </w:t>
            </w:r>
          </w:p>
        </w:tc>
      </w:tr>
    </w:tbl>
    <w:p w14:paraId="37426909" w14:textId="77777777" w:rsidR="00CE4035" w:rsidRDefault="00CE4035" w:rsidP="00CE4035">
      <w:pPr>
        <w:pStyle w:val="NoSpacing"/>
        <w:jc w:val="both"/>
        <w:rPr>
          <w:rFonts w:ascii="Times New Roman" w:hAnsi="Times New Roman"/>
          <w:b/>
          <w:sz w:val="24"/>
          <w:szCs w:val="24"/>
        </w:rPr>
      </w:pPr>
    </w:p>
    <w:p w14:paraId="09C44A66" w14:textId="77777777" w:rsidR="00CE4035" w:rsidRDefault="00CE4035" w:rsidP="00CE4035">
      <w:pPr>
        <w:pStyle w:val="NoSpacing"/>
        <w:jc w:val="both"/>
        <w:rPr>
          <w:rFonts w:ascii="Times New Roman" w:hAnsi="Times New Roman"/>
          <w:b/>
          <w:sz w:val="24"/>
          <w:szCs w:val="24"/>
        </w:rPr>
      </w:pPr>
      <w:r w:rsidRPr="005540F0">
        <w:rPr>
          <w:rFonts w:ascii="Times New Roman" w:hAnsi="Times New Roman"/>
          <w:b/>
          <w:sz w:val="24"/>
          <w:szCs w:val="24"/>
        </w:rPr>
        <w:t xml:space="preserve">4.3.3 Mjedisi i biznesit dhe </w:t>
      </w:r>
      <w:r>
        <w:rPr>
          <w:rFonts w:ascii="Times New Roman" w:hAnsi="Times New Roman"/>
          <w:b/>
          <w:sz w:val="24"/>
          <w:szCs w:val="24"/>
        </w:rPr>
        <w:t>zvogëlimi</w:t>
      </w:r>
      <w:r w:rsidRPr="005540F0">
        <w:rPr>
          <w:rFonts w:ascii="Times New Roman" w:hAnsi="Times New Roman"/>
          <w:b/>
          <w:sz w:val="24"/>
          <w:szCs w:val="24"/>
        </w:rPr>
        <w:t xml:space="preserve"> i ekonomisë </w:t>
      </w:r>
      <w:r>
        <w:rPr>
          <w:rFonts w:ascii="Times New Roman" w:hAnsi="Times New Roman"/>
          <w:b/>
          <w:sz w:val="24"/>
          <w:szCs w:val="24"/>
        </w:rPr>
        <w:t>joformale</w:t>
      </w:r>
    </w:p>
    <w:p w14:paraId="4A66F383" w14:textId="77777777" w:rsidR="00CE4035" w:rsidRPr="005540F0" w:rsidRDefault="00CE4035" w:rsidP="00CE4035">
      <w:pPr>
        <w:pStyle w:val="NoSpacing"/>
        <w:jc w:val="both"/>
        <w:rPr>
          <w:rFonts w:ascii="Times New Roman" w:hAnsi="Times New Roman"/>
          <w:b/>
          <w:sz w:val="24"/>
          <w:szCs w:val="24"/>
        </w:rPr>
      </w:pPr>
    </w:p>
    <w:p w14:paraId="6A98B4DD" w14:textId="77777777" w:rsidR="00CE4035" w:rsidRPr="003229B1" w:rsidRDefault="00CE4035" w:rsidP="00CE4035">
      <w:pPr>
        <w:pStyle w:val="NoSpacing"/>
        <w:jc w:val="both"/>
        <w:rPr>
          <w:rFonts w:ascii="Times New Roman" w:hAnsi="Times New Roman"/>
          <w:b/>
          <w:sz w:val="24"/>
          <w:szCs w:val="24"/>
        </w:rPr>
      </w:pPr>
      <w:r w:rsidRPr="005540F0">
        <w:rPr>
          <w:rFonts w:ascii="Times New Roman" w:hAnsi="Times New Roman"/>
          <w:b/>
          <w:sz w:val="24"/>
          <w:szCs w:val="24"/>
        </w:rPr>
        <w:t xml:space="preserve">a. Analiza e pengesave strukturore </w:t>
      </w:r>
    </w:p>
    <w:p w14:paraId="7F5F7F0A" w14:textId="77777777" w:rsidR="00CE4035" w:rsidRPr="00750504" w:rsidRDefault="00CE4035" w:rsidP="00CE4035">
      <w:pPr>
        <w:jc w:val="both"/>
      </w:pPr>
      <w:r w:rsidRPr="00DC7A10">
        <w:t xml:space="preserve">Pengesat kryesore në mjedisin e biznesit dhe </w:t>
      </w:r>
      <w:r>
        <w:t>zvogëlimin</w:t>
      </w:r>
      <w:r w:rsidRPr="00DC7A10">
        <w:t xml:space="preserve"> e ekonomisë joformale në Kosovë janë të mëdha dhe mjaft të dukshme. Niveli i lartë i ekonomisë joformale, barra administrative për bizneset, mungesa e </w:t>
      </w:r>
      <w:r>
        <w:t xml:space="preserve">mekanizmit dhe </w:t>
      </w:r>
      <w:r w:rsidRPr="00DC7A10">
        <w:t xml:space="preserve">adresimit të duhur të kontesteve </w:t>
      </w:r>
      <w:r>
        <w:t>ekonomike</w:t>
      </w:r>
      <w:r w:rsidRPr="00DC7A10">
        <w:t xml:space="preserve">, ekonomia joformale në toka, mungesa e koordinimit dhe trajnimit të duhur në fushën e inspektimeve dhe gjendja jo e mirë e rregullatorit tatimor në Kosovë, kanë ndikuar dhe vazhdimisht ndikojnë në pasigurinë juridike dhe konkurrencën në treg. </w:t>
      </w:r>
      <w:r>
        <w:t xml:space="preserve">Mes tjerash, pandemia COVID 19 ka ndikuar në falimentimin dhe mbylljen e një numri të madh të bizneseve, në humbjen e një numri të madh të vendeve të punës dhe në ulje të madhe të aktivitetit ekonomik në vend. Rrjedhimisht, </w:t>
      </w:r>
      <w:r w:rsidRPr="00DC7A10">
        <w:t>pengesa</w:t>
      </w:r>
      <w:r>
        <w:t>t strukturore</w:t>
      </w:r>
      <w:r w:rsidRPr="00DC7A10">
        <w:t xml:space="preserve"> kanë ndikuar dhe po ndikojnë </w:t>
      </w:r>
      <w:r>
        <w:t xml:space="preserve">edhe </w:t>
      </w:r>
      <w:r w:rsidRPr="00DC7A10">
        <w:t>në politikëbë</w:t>
      </w:r>
      <w:r>
        <w:t xml:space="preserve">rjen e shtetit për të ndihmuar individët dhe bizneset dhe në rimëkëmbjen ekonomike të vendit pas </w:t>
      </w:r>
      <w:r w:rsidRPr="00DC7A10">
        <w:t>dë</w:t>
      </w:r>
      <w:r>
        <w:t>mit të shkaktuar nga COVID 19.</w:t>
      </w:r>
    </w:p>
    <w:p w14:paraId="0D998D09" w14:textId="77777777" w:rsidR="00CE4035" w:rsidRDefault="00CE4035" w:rsidP="00CE4035">
      <w:pPr>
        <w:jc w:val="both"/>
      </w:pPr>
      <w:r w:rsidRPr="00750504">
        <w:t>Ndon</w:t>
      </w:r>
      <w:r>
        <w:t>ë</w:t>
      </w:r>
      <w:r w:rsidRPr="00750504">
        <w:t>se jan</w:t>
      </w:r>
      <w:r>
        <w:t>ë</w:t>
      </w:r>
      <w:r w:rsidRPr="00750504">
        <w:t xml:space="preserve"> b</w:t>
      </w:r>
      <w:r>
        <w:t>ë</w:t>
      </w:r>
      <w:r w:rsidRPr="00750504">
        <w:t>r</w:t>
      </w:r>
      <w:r>
        <w:t>ë</w:t>
      </w:r>
      <w:r w:rsidRPr="00750504">
        <w:t xml:space="preserve"> p</w:t>
      </w:r>
      <w:r>
        <w:t>ë</w:t>
      </w:r>
      <w:r w:rsidRPr="00750504">
        <w:t>rpjekje t</w:t>
      </w:r>
      <w:r>
        <w:t>ë</w:t>
      </w:r>
      <w:r w:rsidRPr="00750504">
        <w:t xml:space="preserve"> m</w:t>
      </w:r>
      <w:r>
        <w:t>ë</w:t>
      </w:r>
      <w:r w:rsidRPr="00750504">
        <w:t>dha p</w:t>
      </w:r>
      <w:r>
        <w:t>ë</w:t>
      </w:r>
      <w:r w:rsidRPr="00750504">
        <w:t>r luftuar pun</w:t>
      </w:r>
      <w:r>
        <w:t>ë</w:t>
      </w:r>
      <w:r w:rsidRPr="00750504">
        <w:t xml:space="preserve">simin joformal, vazhdimi i </w:t>
      </w:r>
      <w:r>
        <w:t>kësaj dukurie</w:t>
      </w:r>
      <w:r w:rsidRPr="00750504">
        <w:t xml:space="preserve"> vjen si pasoj</w:t>
      </w:r>
      <w:r>
        <w:t>ë</w:t>
      </w:r>
      <w:r w:rsidRPr="00750504">
        <w:t xml:space="preserve"> e vet</w:t>
      </w:r>
      <w:r>
        <w:t>ë</w:t>
      </w:r>
      <w:r w:rsidRPr="00750504">
        <w:t>dij</w:t>
      </w:r>
      <w:r>
        <w:t>e</w:t>
      </w:r>
      <w:r w:rsidRPr="00750504">
        <w:t>s s</w:t>
      </w:r>
      <w:r>
        <w:t>ë</w:t>
      </w:r>
      <w:r w:rsidRPr="00750504">
        <w:t xml:space="preserve"> ul</w:t>
      </w:r>
      <w:r>
        <w:t>ë</w:t>
      </w:r>
      <w:r w:rsidRPr="00750504">
        <w:t>t mbi efektet negative</w:t>
      </w:r>
      <w:r>
        <w:t xml:space="preserve"> të saj</w:t>
      </w:r>
      <w:r w:rsidRPr="00750504">
        <w:t xml:space="preserve">, </w:t>
      </w:r>
      <w:r>
        <w:t>efiçiencws së</w:t>
      </w:r>
      <w:r w:rsidRPr="00750504">
        <w:t xml:space="preserve"> ul</w:t>
      </w:r>
      <w:r>
        <w:t>ë</w:t>
      </w:r>
      <w:r w:rsidRPr="00750504">
        <w:t xml:space="preserve">t </w:t>
      </w:r>
      <w:r>
        <w:t>të</w:t>
      </w:r>
      <w:r w:rsidRPr="00750504">
        <w:t xml:space="preserve"> Inspektoratit t</w:t>
      </w:r>
      <w:r>
        <w:t>ë</w:t>
      </w:r>
      <w:r w:rsidRPr="00750504">
        <w:t xml:space="preserve"> Pun</w:t>
      </w:r>
      <w:r>
        <w:t>ë</w:t>
      </w:r>
      <w:r w:rsidRPr="00750504">
        <w:t>s dhe bashk</w:t>
      </w:r>
      <w:r>
        <w:t>ë</w:t>
      </w:r>
      <w:r w:rsidRPr="00750504">
        <w:t>punimit t</w:t>
      </w:r>
      <w:r>
        <w:t>ë</w:t>
      </w:r>
      <w:r w:rsidRPr="00750504">
        <w:t xml:space="preserve"> kufizuar nd</w:t>
      </w:r>
      <w:r>
        <w:t>ë</w:t>
      </w:r>
      <w:r w:rsidRPr="00750504">
        <w:t>rinstitucional p</w:t>
      </w:r>
      <w:r>
        <w:t>ë</w:t>
      </w:r>
      <w:r w:rsidRPr="00750504">
        <w:t>r parandalimin dhe zvog</w:t>
      </w:r>
      <w:r>
        <w:t>ë</w:t>
      </w:r>
      <w:r w:rsidRPr="00750504">
        <w:t>limin e ekonomis</w:t>
      </w:r>
      <w:r>
        <w:t>ë joformale. P</w:t>
      </w:r>
      <w:r w:rsidRPr="00750504">
        <w:t xml:space="preserve">roblem </w:t>
      </w:r>
      <w:r>
        <w:t xml:space="preserve">tjetër </w:t>
      </w:r>
      <w:r w:rsidRPr="00750504">
        <w:t>kyç mbete</w:t>
      </w:r>
      <w:r>
        <w:t>n</w:t>
      </w:r>
      <w:r w:rsidRPr="00750504">
        <w:t xml:space="preserve"> barra administrative dhe mungesa e nj</w:t>
      </w:r>
      <w:r>
        <w:t>ë</w:t>
      </w:r>
      <w:r w:rsidRPr="00750504">
        <w:t xml:space="preserve"> mekanizmi t</w:t>
      </w:r>
      <w:r>
        <w:t>ë</w:t>
      </w:r>
      <w:r w:rsidRPr="00750504">
        <w:t xml:space="preserve"> duhur p</w:t>
      </w:r>
      <w:r>
        <w:t>ë</w:t>
      </w:r>
      <w:r w:rsidRPr="00750504">
        <w:t>r zgjidhjen e kontesteve tregtare. Mungesa e sh</w:t>
      </w:r>
      <w:r>
        <w:t>ë</w:t>
      </w:r>
      <w:r w:rsidRPr="00750504">
        <w:t>rbimeve one-stop-shop, koha dhe kostoja e lart</w:t>
      </w:r>
      <w:r>
        <w:t>ë</w:t>
      </w:r>
      <w:r w:rsidRPr="00750504">
        <w:t xml:space="preserve"> e sh</w:t>
      </w:r>
      <w:r>
        <w:t>ë</w:t>
      </w:r>
      <w:r w:rsidRPr="00750504">
        <w:t>rbimeve p</w:t>
      </w:r>
      <w:r>
        <w:t>ë</w:t>
      </w:r>
      <w:r w:rsidRPr="00750504">
        <w:t>r biznese dhe mandatet e paqarta, juridiksioni dhe vonesa deri n</w:t>
      </w:r>
      <w:r>
        <w:t>ë</w:t>
      </w:r>
      <w:r w:rsidRPr="00750504">
        <w:t xml:space="preserve"> 3 vite p</w:t>
      </w:r>
      <w:r>
        <w:t>ë</w:t>
      </w:r>
      <w:r w:rsidRPr="00750504">
        <w:t>r zgjidhjen e nj</w:t>
      </w:r>
      <w:r>
        <w:t>ë kontesti tregtar në Departamentin</w:t>
      </w:r>
      <w:r w:rsidRPr="00750504">
        <w:t xml:space="preserve"> Ekonomik dhe atij Administrativ n</w:t>
      </w:r>
      <w:r>
        <w:t>ë</w:t>
      </w:r>
      <w:r w:rsidRPr="00750504">
        <w:t xml:space="preserve"> Gjykat</w:t>
      </w:r>
      <w:r>
        <w:t>ë</w:t>
      </w:r>
      <w:r w:rsidRPr="00750504">
        <w:t>n Themelore t</w:t>
      </w:r>
      <w:r>
        <w:t>ë</w:t>
      </w:r>
      <w:r w:rsidRPr="00750504">
        <w:t xml:space="preserve"> Prishtin</w:t>
      </w:r>
      <w:r>
        <w:t>ë</w:t>
      </w:r>
      <w:r w:rsidRPr="00750504">
        <w:t>s, dekurajojn</w:t>
      </w:r>
      <w:r>
        <w:t>ë</w:t>
      </w:r>
      <w:r w:rsidRPr="00750504">
        <w:t xml:space="preserve"> bizneset p</w:t>
      </w:r>
      <w:r>
        <w:t>ë</w:t>
      </w:r>
      <w:r w:rsidRPr="00750504">
        <w:t>r operim dhe investim n</w:t>
      </w:r>
      <w:r>
        <w:t>ë</w:t>
      </w:r>
      <w:r w:rsidRPr="00750504">
        <w:t xml:space="preserve"> Kosov</w:t>
      </w:r>
      <w:r>
        <w:t>ë</w:t>
      </w:r>
      <w:r w:rsidRPr="00750504">
        <w:t xml:space="preserve">. </w:t>
      </w:r>
      <w:r>
        <w:t>Një p</w:t>
      </w:r>
      <w:r w:rsidRPr="00750504">
        <w:t>roblem tjet</w:t>
      </w:r>
      <w:r>
        <w:t>ë</w:t>
      </w:r>
      <w:r w:rsidRPr="00750504">
        <w:t xml:space="preserve">r kyç </w:t>
      </w:r>
      <w:r>
        <w:t>ë</w:t>
      </w:r>
      <w:r w:rsidRPr="00750504">
        <w:t>sht</w:t>
      </w:r>
      <w:r>
        <w:t>ë</w:t>
      </w:r>
      <w:r w:rsidRPr="00750504">
        <w:t xml:space="preserve"> </w:t>
      </w:r>
      <w:r>
        <w:t>ekonomia joformale</w:t>
      </w:r>
      <w:r w:rsidRPr="00750504">
        <w:t xml:space="preserve"> n</w:t>
      </w:r>
      <w:r>
        <w:t>ë</w:t>
      </w:r>
      <w:r w:rsidRPr="00750504">
        <w:t xml:space="preserve"> toka. T</w:t>
      </w:r>
      <w:r>
        <w:t>ë</w:t>
      </w:r>
      <w:r w:rsidRPr="00750504">
        <w:t xml:space="preserve"> drejtat joformale t</w:t>
      </w:r>
      <w:r>
        <w:t>ë</w:t>
      </w:r>
      <w:r w:rsidRPr="00750504">
        <w:t xml:space="preserve"> cilat nuk mund t</w:t>
      </w:r>
      <w:r>
        <w:t>ë</w:t>
      </w:r>
      <w:r w:rsidRPr="00750504">
        <w:t xml:space="preserve"> regjistrohen nuk mund t</w:t>
      </w:r>
      <w:r>
        <w:t>ë</w:t>
      </w:r>
      <w:r w:rsidRPr="00750504">
        <w:t xml:space="preserve"> p</w:t>
      </w:r>
      <w:r>
        <w:t>ë</w:t>
      </w:r>
      <w:r w:rsidRPr="00750504">
        <w:t>rdoret si hipotek</w:t>
      </w:r>
      <w:r>
        <w:t>ë</w:t>
      </w:r>
      <w:r w:rsidRPr="00750504">
        <w:t xml:space="preserve"> nga individ</w:t>
      </w:r>
      <w:r>
        <w:t>ë</w:t>
      </w:r>
      <w:r w:rsidRPr="00750504">
        <w:t>t dhe bizneset p</w:t>
      </w:r>
      <w:r>
        <w:t>ë</w:t>
      </w:r>
      <w:r w:rsidRPr="00750504">
        <w:t>r t</w:t>
      </w:r>
      <w:r>
        <w:t>ë</w:t>
      </w:r>
      <w:r w:rsidRPr="00750504">
        <w:t xml:space="preserve"> siguruar kredi, rrjedhimisht t</w:t>
      </w:r>
      <w:r>
        <w:t>ë</w:t>
      </w:r>
      <w:r w:rsidRPr="00750504">
        <w:t xml:space="preserve"> nj</w:t>
      </w:r>
      <w:r>
        <w:t>ë</w:t>
      </w:r>
      <w:r w:rsidRPr="00750504">
        <w:t>jtat nuk mund t</w:t>
      </w:r>
      <w:r>
        <w:t>ë</w:t>
      </w:r>
      <w:r w:rsidRPr="00750504">
        <w:t xml:space="preserve"> tatohen nga komunat p</w:t>
      </w:r>
      <w:r>
        <w:t>ë</w:t>
      </w:r>
      <w:r w:rsidRPr="00750504">
        <w:t>r t</w:t>
      </w:r>
      <w:r>
        <w:t>ë</w:t>
      </w:r>
      <w:r w:rsidRPr="00750504">
        <w:t xml:space="preserve"> </w:t>
      </w:r>
      <w:r>
        <w:t>mbledhur</w:t>
      </w:r>
      <w:r w:rsidRPr="00750504">
        <w:t xml:space="preserve"> t</w:t>
      </w:r>
      <w:r>
        <w:t>ë</w:t>
      </w:r>
      <w:r w:rsidRPr="00750504">
        <w:t xml:space="preserve"> ardhura. Kjo e pamund</w:t>
      </w:r>
      <w:r>
        <w:t>ë</w:t>
      </w:r>
      <w:r w:rsidRPr="00750504">
        <w:t>son futjen n</w:t>
      </w:r>
      <w:r>
        <w:t>ë</w:t>
      </w:r>
      <w:r w:rsidRPr="00750504">
        <w:t xml:space="preserve"> ekonomi t</w:t>
      </w:r>
      <w:r>
        <w:t>ë</w:t>
      </w:r>
      <w:r w:rsidRPr="00750504">
        <w:t xml:space="preserve"> potencialit ekonomik dhe</w:t>
      </w:r>
      <w:r>
        <w:t xml:space="preserve"> ndikon</w:t>
      </w:r>
      <w:r w:rsidRPr="00750504">
        <w:t xml:space="preserve"> n</w:t>
      </w:r>
      <w:r>
        <w:t>ë</w:t>
      </w:r>
      <w:r w:rsidRPr="00750504">
        <w:t xml:space="preserve"> rregullat e loj</w:t>
      </w:r>
      <w:r>
        <w:t>ë</w:t>
      </w:r>
      <w:r w:rsidRPr="00750504">
        <w:t>s p</w:t>
      </w:r>
      <w:r>
        <w:t>ë</w:t>
      </w:r>
      <w:r w:rsidRPr="00750504">
        <w:t>r konkurrueshm</w:t>
      </w:r>
      <w:r>
        <w:t>ë</w:t>
      </w:r>
      <w:r w:rsidRPr="00750504">
        <w:t>ri t</w:t>
      </w:r>
      <w:r>
        <w:t>ë</w:t>
      </w:r>
      <w:r w:rsidRPr="00750504">
        <w:t xml:space="preserve"> drejt</w:t>
      </w:r>
      <w:r>
        <w:t>ë në treg</w:t>
      </w:r>
      <w:r w:rsidRPr="00750504">
        <w:t>. Prandaj, reformat e vazhdueshme n</w:t>
      </w:r>
      <w:r>
        <w:t>ë</w:t>
      </w:r>
      <w:r w:rsidRPr="00750504">
        <w:t xml:space="preserve"> k</w:t>
      </w:r>
      <w:r>
        <w:t>ë</w:t>
      </w:r>
      <w:r w:rsidRPr="00750504">
        <w:t>to fusha do t</w:t>
      </w:r>
      <w:r>
        <w:t>ë</w:t>
      </w:r>
      <w:r w:rsidRPr="00750504">
        <w:t xml:space="preserve"> ndikojn</w:t>
      </w:r>
      <w:r>
        <w:t>ë</w:t>
      </w:r>
      <w:r w:rsidRPr="00750504">
        <w:t xml:space="preserve"> n</w:t>
      </w:r>
      <w:r>
        <w:t>ë</w:t>
      </w:r>
      <w:r w:rsidRPr="00750504">
        <w:t xml:space="preserve"> politik</w:t>
      </w:r>
      <w:r>
        <w:t>ë</w:t>
      </w:r>
      <w:r w:rsidRPr="00750504">
        <w:t>b</w:t>
      </w:r>
      <w:r>
        <w:t>ë</w:t>
      </w:r>
      <w:r w:rsidRPr="00750504">
        <w:t>rje m</w:t>
      </w:r>
      <w:r>
        <w:t>ë</w:t>
      </w:r>
      <w:r w:rsidRPr="00750504">
        <w:t xml:space="preserve"> t</w:t>
      </w:r>
      <w:r>
        <w:t>ë</w:t>
      </w:r>
      <w:r w:rsidRPr="00750504">
        <w:t xml:space="preserve"> mir</w:t>
      </w:r>
      <w:r>
        <w:t>ë, posaçërisht për rimëkëmbjen ekonomike pas dëmeve të shkaktuara nga COVID 119</w:t>
      </w:r>
      <w:r w:rsidRPr="00750504">
        <w:t>, rritjen e buxhetit t</w:t>
      </w:r>
      <w:r>
        <w:t>ë</w:t>
      </w:r>
      <w:r w:rsidRPr="00750504">
        <w:t xml:space="preserve"> shtetit dhe posaç</w:t>
      </w:r>
      <w:r>
        <w:t>ë</w:t>
      </w:r>
      <w:r w:rsidRPr="00750504">
        <w:t>risht n</w:t>
      </w:r>
      <w:r>
        <w:t>ë</w:t>
      </w:r>
      <w:r w:rsidRPr="00750504">
        <w:t xml:space="preserve"> rritjen e konkurrueshm</w:t>
      </w:r>
      <w:r>
        <w:t>ë</w:t>
      </w:r>
      <w:r w:rsidRPr="00750504">
        <w:t>ris</w:t>
      </w:r>
      <w:r>
        <w:t>ë së drejtë</w:t>
      </w:r>
      <w:r w:rsidRPr="00750504">
        <w:t xml:space="preserve"> n</w:t>
      </w:r>
      <w:r>
        <w:t>ë</w:t>
      </w:r>
      <w:r w:rsidRPr="00750504">
        <w:t xml:space="preserve"> vend.</w:t>
      </w:r>
    </w:p>
    <w:p w14:paraId="56C4430C" w14:textId="77777777" w:rsidR="00CE4035" w:rsidRPr="00750504" w:rsidRDefault="00CE4035" w:rsidP="00CE4035">
      <w:pPr>
        <w:jc w:val="both"/>
      </w:pPr>
      <w:r>
        <w:t>Në ndjekje të frymës së</w:t>
      </w:r>
      <w:r w:rsidRPr="00E70C24">
        <w:t xml:space="preserve"> Synimeve të Zhvillimit të Qën</w:t>
      </w:r>
      <w:r>
        <w:t>drueshëm (SDG) dhe Marrëveshjes së</w:t>
      </w:r>
      <w:r w:rsidRPr="00E70C24">
        <w:t xml:space="preserve"> Gjelbër për zhvillim të </w:t>
      </w:r>
      <w:r>
        <w:t xml:space="preserve"> </w:t>
      </w:r>
      <w:r w:rsidRPr="00E70C24">
        <w:t xml:space="preserve">qëndrueshëm, Republika e Kosovës është e përkushtuar </w:t>
      </w:r>
      <w:r>
        <w:t>për</w:t>
      </w:r>
      <w:r w:rsidRPr="00E70C24">
        <w:t xml:space="preserve"> rritje ekonomike, drejtësi dhe institucione të  dhe për mbrojtjen e mjedisit.</w:t>
      </w:r>
    </w:p>
    <w:p w14:paraId="424D06B7" w14:textId="77777777" w:rsidR="00CE4035" w:rsidRDefault="00CE4035" w:rsidP="00CE4035">
      <w:pPr>
        <w:jc w:val="both"/>
      </w:pPr>
      <w:r w:rsidRPr="005540F0">
        <w:rPr>
          <w:b/>
        </w:rPr>
        <w:t>Pengesat strukturore:</w:t>
      </w:r>
      <w:r w:rsidRPr="00750504">
        <w:t xml:space="preserve"> </w:t>
      </w:r>
      <w:r>
        <w:t>Pengesat dhe sfidat kryesore në këtë fushë janë konkurrenca jo e drejtë si pasojë e ekonomisë joformale</w:t>
      </w:r>
      <w:r w:rsidRPr="00750504">
        <w:t xml:space="preserve">, </w:t>
      </w:r>
      <w:r>
        <w:t>vonesa dhe kostoja e lartë në zgjidhjen e kontesteve tregtare, mungesa e konsistencës të zbatimi i ligjit sa i përket kontesteve tregtare</w:t>
      </w:r>
      <w:r w:rsidRPr="00750504">
        <w:t xml:space="preserve">, </w:t>
      </w:r>
      <w:r>
        <w:t xml:space="preserve">mungesat e inspektimeve të shpeshta dhe të bashkërenduara, bashkërendimi i ulët dhe i dobët ndër-institucional dhe bashkërendimi i institucioneve publike me ato private në mbledhjen dhe ndarjen e informatave financiare, pamundësia e hipotekës së tokës për shkak të mangësive për realizimin e të drejtave pronësore në sistem, ekonomia joformale në toka që shkakton shpërputhshmëri të lartë mes shënimeve të kadastrës dhe posedimit real të tokës, mungesa e zbatimit të legjislacionit për të drejtat e pronësisë intelektuale. Këto pengesa strukturore ndikojnë pasigurinë juridike, dekurajimin për investim dhe operim në treg, në realizimin e të drejtave ekonomike, në buxhetin e shtetit dhe në rritjen e kunkurrueshmërisë së drejtë në Kosovë. </w:t>
      </w:r>
    </w:p>
    <w:p w14:paraId="20076EC7" w14:textId="77777777" w:rsidR="00CE4035" w:rsidRDefault="00CE4035" w:rsidP="00CE4035">
      <w:pPr>
        <w:jc w:val="both"/>
      </w:pPr>
    </w:p>
    <w:p w14:paraId="58318908" w14:textId="77777777" w:rsidR="00CE4035" w:rsidRPr="003229B1" w:rsidRDefault="00CE4035" w:rsidP="00CE4035">
      <w:pPr>
        <w:shd w:val="clear" w:color="auto" w:fill="9CC2E5" w:themeFill="accent1" w:themeFillTint="99"/>
        <w:jc w:val="both"/>
        <w:rPr>
          <w:bCs/>
        </w:rPr>
      </w:pPr>
      <w:r w:rsidRPr="003229B1">
        <w:rPr>
          <w:b/>
          <w:bCs/>
          <w:shd w:val="clear" w:color="auto" w:fill="9CC2E5" w:themeFill="accent1" w:themeFillTint="99"/>
        </w:rPr>
        <w:t>Masa e reformës #7: E</w:t>
      </w:r>
      <w:r w:rsidRPr="003229B1">
        <w:rPr>
          <w:b/>
          <w:shd w:val="clear" w:color="auto" w:fill="9CC2E5" w:themeFill="accent1" w:themeFillTint="99"/>
          <w:lang w:eastAsia="sq-AL"/>
        </w:rPr>
        <w:t>liminimi i barrierave ligjore dhe zvogëlimi i burokracisë</w:t>
      </w:r>
      <w:r w:rsidRPr="003229B1">
        <w:rPr>
          <w:lang w:eastAsia="sq-AL"/>
        </w:rPr>
        <w:t xml:space="preserve"> </w:t>
      </w:r>
      <w:r w:rsidRPr="003229B1">
        <w:rPr>
          <w:bCs/>
        </w:rPr>
        <w:t xml:space="preserve"> </w:t>
      </w:r>
    </w:p>
    <w:p w14:paraId="7F62CF58" w14:textId="77777777" w:rsidR="00CE4035" w:rsidRPr="003229B1" w:rsidRDefault="00CE4035" w:rsidP="00CE4035">
      <w:pPr>
        <w:jc w:val="both"/>
      </w:pPr>
      <w:r w:rsidRPr="003229B1">
        <w:rPr>
          <w:b/>
          <w:bCs/>
        </w:rPr>
        <w:t xml:space="preserve">Përshkrimi i masës: </w:t>
      </w:r>
      <w:r w:rsidRPr="003229B1">
        <w:t>Në vazhdimësi të reformave thelbësore përmes dizajnimit të politikave të reja duke përdorur vlerësimin e ndikimit rregullativ, si dhe përmes thjeshtimit të legjislacionit për uljen e barrës administrative, Qeveria synon të ndikojë në cilësinë e shërbimeve publike për qytetarët dhe bizneset, e poashtu edhe në transparencën dhe efikasitetin e administratës. Pra, duke zbatuar masat e paraqitura në Programin për Zvogëlimin e Barrës Administrative synohet të arrihet caku prej 30% për zvogëlimin e barrës administrative përgjatë tetë (8) viteve të ardhshme. Prandaj, duke hequr procedurat dhe kërkesat e panevojshme, duke thjeshtuar dhe digjitalizuar procedurat e nevojshme, ky program ndikon direkt në përfitimet e qytetarëve, bizneseve dhe administratës, e rrjedhimisht edhe në zhvillimin ekonomik të vendit sidomos pas krizës së shkaktuar nga COVID-19. Kjo masë komunikon me Treguesin SDG 16.6.2 (Shërbime Publike të Kënaqshme) duke zhvilluar institucione efektive, të përgjegjshme dhe transparente, dhe Treguesi SDG 16.10.2 (Qasja në Dokumente Publike) duke siguruar qasjen e publikut në informacion.</w:t>
      </w:r>
    </w:p>
    <w:p w14:paraId="0CB96233" w14:textId="77777777" w:rsidR="00CE4035" w:rsidRPr="003229B1" w:rsidRDefault="00CE4035" w:rsidP="00CE4035">
      <w:pPr>
        <w:autoSpaceDE w:val="0"/>
        <w:autoSpaceDN w:val="0"/>
        <w:adjustRightInd w:val="0"/>
        <w:spacing w:after="83"/>
        <w:jc w:val="both"/>
      </w:pPr>
      <w:r w:rsidRPr="003229B1">
        <w:rPr>
          <w:b/>
          <w:bCs/>
          <w:iCs/>
        </w:rPr>
        <w:t xml:space="preserve">a. Aktivitetet e planifikuara për 2021: </w:t>
      </w:r>
    </w:p>
    <w:p w14:paraId="3EF9027D" w14:textId="77777777" w:rsidR="00CE4035" w:rsidRPr="003229B1" w:rsidRDefault="00CE4035" w:rsidP="0068706C">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3229B1">
        <w:rPr>
          <w:rFonts w:ascii="Times New Roman" w:hAnsi="Times New Roman"/>
          <w:sz w:val="24"/>
          <w:szCs w:val="24"/>
        </w:rPr>
        <w:t>Përditësimi i Regjistrit qendror të lejeve dhe licencave në mënyrë që sistemi të jetë i përdorshëm për zyrtarët që kanë qasje në të dhëna dhe trajnimi i 52 zyrtarëve nga ZL dhe institucioneve që lëshojnë leje dhe licenca mbi përdorimin e sistemit të përditësuar (ZKM);</w:t>
      </w:r>
    </w:p>
    <w:p w14:paraId="71E14595" w14:textId="77777777" w:rsidR="00CE4035" w:rsidRPr="003229B1" w:rsidRDefault="00CE4035" w:rsidP="0068706C">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3229B1">
        <w:rPr>
          <w:rFonts w:ascii="Times New Roman" w:hAnsi="Times New Roman"/>
          <w:sz w:val="24"/>
          <w:szCs w:val="24"/>
        </w:rPr>
        <w:t>Ndryshimi dhe plotësimi i akteve ligjore dhe nënligjore për qëllim të thjeshtëzimit, bashkimit dhe zvogëlimit të lejeve dhe licencave (ZKM);</w:t>
      </w:r>
    </w:p>
    <w:p w14:paraId="6A374C9A" w14:textId="77777777" w:rsidR="00CE4035" w:rsidRPr="003229B1" w:rsidRDefault="00CE4035" w:rsidP="0068706C">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3229B1">
        <w:rPr>
          <w:rFonts w:ascii="Times New Roman" w:hAnsi="Times New Roman"/>
          <w:sz w:val="24"/>
          <w:szCs w:val="24"/>
        </w:rPr>
        <w:t xml:space="preserve">Përditësimi dhe miratimi i manualit të modelit të kostimit standard me udhëzime të reja për matjen e barrës administrative për qytetarët dhe administratën; </w:t>
      </w:r>
    </w:p>
    <w:p w14:paraId="6682AA4D" w14:textId="77777777" w:rsidR="00CE4035" w:rsidRPr="003229B1" w:rsidRDefault="00CE4035" w:rsidP="0068706C">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3229B1">
        <w:rPr>
          <w:rFonts w:ascii="Times New Roman" w:hAnsi="Times New Roman"/>
          <w:sz w:val="24"/>
          <w:szCs w:val="24"/>
        </w:rPr>
        <w:t xml:space="preserve">Zhvillimi i kapaciteteve për Modelin e Kostimit Standard (MKS), </w:t>
      </w:r>
      <w:r w:rsidRPr="003229B1">
        <w:rPr>
          <w:rFonts w:ascii="Times New Roman" w:eastAsia="Times New Roman" w:hAnsi="Times New Roman"/>
          <w:sz w:val="24"/>
          <w:szCs w:val="24"/>
        </w:rPr>
        <w:t>Trajnimi i parë i Trajnerëve për MKS për stafin e SKQ dhe koordinatorët e ZBA</w:t>
      </w:r>
      <w:r w:rsidRPr="003229B1">
        <w:rPr>
          <w:rFonts w:ascii="Times New Roman" w:hAnsi="Times New Roman"/>
          <w:sz w:val="24"/>
          <w:szCs w:val="24"/>
        </w:rPr>
        <w:t xml:space="preserve"> nëpër ministri (</w:t>
      </w:r>
      <w:r w:rsidRPr="003229B1">
        <w:rPr>
          <w:rFonts w:ascii="Times New Roman" w:hAnsi="Times New Roman"/>
          <w:i/>
          <w:sz w:val="24"/>
          <w:szCs w:val="24"/>
        </w:rPr>
        <w:t>një trajnimi i organizuar me 20 pjesëmarrës deri në fund të vitit 2021</w:t>
      </w:r>
      <w:r w:rsidRPr="003229B1">
        <w:rPr>
          <w:rFonts w:ascii="Times New Roman" w:hAnsi="Times New Roman"/>
          <w:sz w:val="24"/>
          <w:szCs w:val="24"/>
        </w:rPr>
        <w:t>).</w:t>
      </w:r>
    </w:p>
    <w:p w14:paraId="3DCC3D90" w14:textId="77777777" w:rsidR="00CE4035" w:rsidRPr="003229B1" w:rsidRDefault="00CE4035" w:rsidP="00CE4035">
      <w:pPr>
        <w:autoSpaceDE w:val="0"/>
        <w:autoSpaceDN w:val="0"/>
        <w:adjustRightInd w:val="0"/>
        <w:spacing w:after="83"/>
        <w:jc w:val="both"/>
      </w:pPr>
    </w:p>
    <w:p w14:paraId="5F62A53D" w14:textId="77777777" w:rsidR="00CE4035" w:rsidRPr="003229B1" w:rsidRDefault="00CE4035" w:rsidP="00CE4035">
      <w:pPr>
        <w:autoSpaceDE w:val="0"/>
        <w:autoSpaceDN w:val="0"/>
        <w:adjustRightInd w:val="0"/>
        <w:spacing w:after="83"/>
        <w:jc w:val="both"/>
        <w:rPr>
          <w:b/>
          <w:bCs/>
          <w:iCs/>
        </w:rPr>
      </w:pPr>
      <w:r w:rsidRPr="003229B1">
        <w:rPr>
          <w:b/>
          <w:bCs/>
          <w:iCs/>
        </w:rPr>
        <w:t xml:space="preserve">b. Aktivitetet e planifikuara për 2022: </w:t>
      </w:r>
    </w:p>
    <w:p w14:paraId="6669EC86" w14:textId="77777777" w:rsidR="00CE4035" w:rsidRPr="003229B1" w:rsidRDefault="00CE4035" w:rsidP="0068706C">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3229B1">
        <w:rPr>
          <w:rFonts w:ascii="Times New Roman" w:hAnsi="Times New Roman"/>
          <w:sz w:val="24"/>
          <w:szCs w:val="24"/>
        </w:rPr>
        <w:t xml:space="preserve">Zhvillimi i kapaciteteve për Modelin e Kostimit Standard (MKS), </w:t>
      </w:r>
      <w:r w:rsidRPr="003229B1">
        <w:rPr>
          <w:rFonts w:ascii="Times New Roman" w:eastAsia="Times New Roman" w:hAnsi="Times New Roman"/>
          <w:sz w:val="24"/>
          <w:szCs w:val="24"/>
        </w:rPr>
        <w:t xml:space="preserve">Trajnimi i dytë i Trajnerëve për MKS </w:t>
      </w:r>
      <w:r w:rsidRPr="003229B1">
        <w:rPr>
          <w:rFonts w:ascii="Times New Roman" w:hAnsi="Times New Roman"/>
          <w:sz w:val="24"/>
          <w:szCs w:val="24"/>
        </w:rPr>
        <w:t xml:space="preserve">nga trajnuesit e certifikuar </w:t>
      </w:r>
      <w:r w:rsidRPr="003229B1">
        <w:rPr>
          <w:rFonts w:ascii="Times New Roman" w:eastAsia="Times New Roman" w:hAnsi="Times New Roman"/>
          <w:sz w:val="24"/>
          <w:szCs w:val="24"/>
        </w:rPr>
        <w:t>për stafin e SKQ dhe koordinatorët e Zbatimit të Barrës Administrative</w:t>
      </w:r>
      <w:r w:rsidRPr="003229B1">
        <w:rPr>
          <w:rFonts w:ascii="Times New Roman" w:hAnsi="Times New Roman"/>
          <w:sz w:val="24"/>
          <w:szCs w:val="24"/>
        </w:rPr>
        <w:t xml:space="preserve"> nëpër ministri - një (1) cikël i trajnimit me 20 pjesëmarrës deri në fund të vitit 2022</w:t>
      </w:r>
      <w:r>
        <w:rPr>
          <w:rFonts w:ascii="Times New Roman" w:hAnsi="Times New Roman"/>
          <w:sz w:val="24"/>
          <w:szCs w:val="24"/>
        </w:rPr>
        <w:t xml:space="preserve"> (ZKM)</w:t>
      </w:r>
      <w:r w:rsidRPr="003229B1">
        <w:rPr>
          <w:rFonts w:ascii="Times New Roman" w:hAnsi="Times New Roman"/>
          <w:sz w:val="24"/>
          <w:szCs w:val="24"/>
        </w:rPr>
        <w:t>;</w:t>
      </w:r>
    </w:p>
    <w:p w14:paraId="08A3C8F1" w14:textId="77777777" w:rsidR="00CE4035" w:rsidRPr="003229B1" w:rsidRDefault="00CE4035" w:rsidP="0068706C">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3229B1">
        <w:rPr>
          <w:rFonts w:ascii="Times New Roman" w:hAnsi="Times New Roman"/>
          <w:sz w:val="24"/>
          <w:szCs w:val="24"/>
        </w:rPr>
        <w:t>Ofrimi i trajnimeve për MKS (</w:t>
      </w:r>
      <w:r w:rsidRPr="003229B1">
        <w:rPr>
          <w:rFonts w:ascii="Times New Roman" w:hAnsi="Times New Roman"/>
          <w:i/>
          <w:sz w:val="24"/>
          <w:szCs w:val="24"/>
        </w:rPr>
        <w:t xml:space="preserve">së paku 3 trajnime </w:t>
      </w:r>
      <w:r w:rsidRPr="003229B1">
        <w:rPr>
          <w:rFonts w:ascii="Times New Roman" w:hAnsi="Times New Roman"/>
          <w:bCs/>
          <w:i/>
          <w:sz w:val="24"/>
          <w:szCs w:val="24"/>
        </w:rPr>
        <w:t>me nga 20 pjesëmarrës</w:t>
      </w:r>
      <w:r w:rsidRPr="003229B1">
        <w:rPr>
          <w:rFonts w:ascii="Times New Roman" w:hAnsi="Times New Roman"/>
          <w:i/>
          <w:sz w:val="24"/>
          <w:szCs w:val="24"/>
        </w:rPr>
        <w:t xml:space="preserve"> deri në fund të 2022-ës</w:t>
      </w:r>
      <w:r w:rsidRPr="003229B1">
        <w:rPr>
          <w:rFonts w:ascii="Times New Roman" w:hAnsi="Times New Roman"/>
          <w:sz w:val="24"/>
          <w:szCs w:val="24"/>
        </w:rPr>
        <w:t xml:space="preserve">) </w:t>
      </w:r>
      <w:r w:rsidRPr="003229B1">
        <w:rPr>
          <w:rFonts w:ascii="Times New Roman" w:hAnsi="Times New Roman"/>
          <w:bCs/>
          <w:sz w:val="24"/>
          <w:szCs w:val="24"/>
        </w:rPr>
        <w:t>për ministritë e linjës, si dhe o</w:t>
      </w:r>
      <w:r w:rsidRPr="003229B1">
        <w:rPr>
          <w:rFonts w:ascii="Times New Roman" w:hAnsi="Times New Roman"/>
          <w:sz w:val="24"/>
          <w:szCs w:val="24"/>
        </w:rPr>
        <w:t>frimi i trajnimeve për</w:t>
      </w:r>
      <w:r>
        <w:rPr>
          <w:rFonts w:ascii="Times New Roman" w:hAnsi="Times New Roman"/>
          <w:sz w:val="24"/>
          <w:szCs w:val="24"/>
        </w:rPr>
        <w:t xml:space="preserve"> secilën komunë për MKS (ZKM)</w:t>
      </w:r>
    </w:p>
    <w:p w14:paraId="0E608D7C" w14:textId="77777777" w:rsidR="00CE4035" w:rsidRPr="003229B1" w:rsidRDefault="00CE4035" w:rsidP="00CE4035">
      <w:pPr>
        <w:autoSpaceDE w:val="0"/>
        <w:autoSpaceDN w:val="0"/>
        <w:adjustRightInd w:val="0"/>
        <w:spacing w:after="83"/>
        <w:jc w:val="both"/>
      </w:pPr>
    </w:p>
    <w:p w14:paraId="29208FE9" w14:textId="77777777" w:rsidR="00CE4035" w:rsidRPr="003229B1" w:rsidRDefault="00CE4035" w:rsidP="00CE4035">
      <w:pPr>
        <w:autoSpaceDE w:val="0"/>
        <w:autoSpaceDN w:val="0"/>
        <w:adjustRightInd w:val="0"/>
        <w:jc w:val="both"/>
        <w:rPr>
          <w:b/>
          <w:bCs/>
          <w:iCs/>
        </w:rPr>
      </w:pPr>
      <w:r w:rsidRPr="003229B1">
        <w:rPr>
          <w:b/>
          <w:bCs/>
          <w:iCs/>
        </w:rPr>
        <w:t xml:space="preserve">c. Aktivitetet e planifikuara për 2023: </w:t>
      </w:r>
    </w:p>
    <w:p w14:paraId="613DAA85" w14:textId="77777777" w:rsidR="00CE4035" w:rsidRPr="003229B1" w:rsidRDefault="00CE4035" w:rsidP="0068706C">
      <w:pPr>
        <w:pStyle w:val="ListParagraph"/>
        <w:numPr>
          <w:ilvl w:val="0"/>
          <w:numId w:val="13"/>
        </w:numPr>
        <w:jc w:val="both"/>
        <w:rPr>
          <w:rFonts w:ascii="Times New Roman" w:eastAsia="Times New Roman" w:hAnsi="Times New Roman"/>
          <w:color w:val="000000" w:themeColor="text1"/>
          <w:sz w:val="24"/>
          <w:szCs w:val="24"/>
        </w:rPr>
      </w:pPr>
      <w:r w:rsidRPr="003229B1">
        <w:rPr>
          <w:rFonts w:ascii="Times New Roman" w:hAnsi="Times New Roman"/>
          <w:sz w:val="24"/>
          <w:szCs w:val="24"/>
        </w:rPr>
        <w:t>Ofrimi i trajnimeve për MKS për komunat.</w:t>
      </w:r>
    </w:p>
    <w:p w14:paraId="15C39818" w14:textId="77777777" w:rsidR="00CE4035" w:rsidRPr="003229B1" w:rsidRDefault="00CE4035" w:rsidP="00CE4035">
      <w:pPr>
        <w:autoSpaceDE w:val="0"/>
        <w:autoSpaceDN w:val="0"/>
        <w:adjustRightInd w:val="0"/>
        <w:contextualSpacing/>
        <w:jc w:val="both"/>
        <w:rPr>
          <w:color w:val="000000" w:themeColor="text1"/>
        </w:rPr>
      </w:pPr>
    </w:p>
    <w:p w14:paraId="0BAE9A27" w14:textId="77777777" w:rsidR="00CE4035" w:rsidRPr="003229B1" w:rsidRDefault="00CE4035" w:rsidP="00CE4035">
      <w:pPr>
        <w:autoSpaceDE w:val="0"/>
        <w:autoSpaceDN w:val="0"/>
        <w:adjustRightInd w:val="0"/>
        <w:contextualSpacing/>
        <w:jc w:val="both"/>
        <w:rPr>
          <w:b/>
          <w:bCs/>
        </w:rPr>
      </w:pPr>
      <w:r w:rsidRPr="003229B1">
        <w:rPr>
          <w:b/>
          <w:bCs/>
        </w:rPr>
        <w:t>Treguesit e rezultateve:</w:t>
      </w:r>
    </w:p>
    <w:tbl>
      <w:tblPr>
        <w:tblStyle w:val="TableGrid"/>
        <w:tblW w:w="0" w:type="auto"/>
        <w:tblLook w:val="04A0" w:firstRow="1" w:lastRow="0" w:firstColumn="1" w:lastColumn="0" w:noHBand="0" w:noVBand="1"/>
      </w:tblPr>
      <w:tblGrid>
        <w:gridCol w:w="2849"/>
        <w:gridCol w:w="1089"/>
        <w:gridCol w:w="3011"/>
        <w:gridCol w:w="1665"/>
      </w:tblGrid>
      <w:tr w:rsidR="00CE4035" w:rsidRPr="003229B1" w14:paraId="4007A2E2" w14:textId="77777777" w:rsidTr="009B753C">
        <w:tc>
          <w:tcPr>
            <w:tcW w:w="3145" w:type="dxa"/>
          </w:tcPr>
          <w:p w14:paraId="445C7DF2" w14:textId="77777777" w:rsidR="00CE4035" w:rsidRPr="003229B1" w:rsidRDefault="00CE4035" w:rsidP="009B753C">
            <w:pPr>
              <w:autoSpaceDE w:val="0"/>
              <w:autoSpaceDN w:val="0"/>
              <w:adjustRightInd w:val="0"/>
              <w:rPr>
                <w:b/>
                <w:bCs/>
              </w:rPr>
            </w:pPr>
            <w:r w:rsidRPr="003229B1">
              <w:rPr>
                <w:b/>
                <w:bCs/>
              </w:rPr>
              <w:t xml:space="preserve">Treguesi </w:t>
            </w:r>
          </w:p>
        </w:tc>
        <w:tc>
          <w:tcPr>
            <w:tcW w:w="1170" w:type="dxa"/>
          </w:tcPr>
          <w:p w14:paraId="2B587419" w14:textId="77777777" w:rsidR="00CE4035" w:rsidRPr="003229B1" w:rsidRDefault="00CE4035" w:rsidP="009B753C">
            <w:pPr>
              <w:autoSpaceDE w:val="0"/>
              <w:autoSpaceDN w:val="0"/>
              <w:adjustRightInd w:val="0"/>
            </w:pPr>
            <w:r w:rsidRPr="003229B1">
              <w:rPr>
                <w:b/>
                <w:bCs/>
              </w:rPr>
              <w:t xml:space="preserve">Viti bazë </w:t>
            </w:r>
          </w:p>
        </w:tc>
        <w:tc>
          <w:tcPr>
            <w:tcW w:w="3330" w:type="dxa"/>
          </w:tcPr>
          <w:p w14:paraId="7B6AABFC" w14:textId="77777777" w:rsidR="00CE4035" w:rsidRPr="003229B1" w:rsidRDefault="00CE4035" w:rsidP="009B753C">
            <w:pPr>
              <w:autoSpaceDE w:val="0"/>
              <w:autoSpaceDN w:val="0"/>
              <w:adjustRightInd w:val="0"/>
            </w:pPr>
            <w:r w:rsidRPr="003229B1">
              <w:rPr>
                <w:b/>
                <w:bCs/>
              </w:rPr>
              <w:t xml:space="preserve">Synimi i ndërmjetëm 2021 </w:t>
            </w:r>
          </w:p>
        </w:tc>
        <w:tc>
          <w:tcPr>
            <w:tcW w:w="1705" w:type="dxa"/>
          </w:tcPr>
          <w:p w14:paraId="4654D8A2" w14:textId="77777777" w:rsidR="00CE4035" w:rsidRPr="003229B1" w:rsidRDefault="00CE4035" w:rsidP="009B753C">
            <w:pPr>
              <w:autoSpaceDE w:val="0"/>
              <w:autoSpaceDN w:val="0"/>
              <w:adjustRightInd w:val="0"/>
            </w:pPr>
            <w:r w:rsidRPr="003229B1">
              <w:rPr>
                <w:b/>
                <w:bCs/>
              </w:rPr>
              <w:t xml:space="preserve">Synimi 2023 </w:t>
            </w:r>
          </w:p>
        </w:tc>
      </w:tr>
      <w:tr w:rsidR="00CE4035" w:rsidRPr="003229B1" w14:paraId="51A24B21" w14:textId="77777777" w:rsidTr="009B753C">
        <w:tc>
          <w:tcPr>
            <w:tcW w:w="3145" w:type="dxa"/>
          </w:tcPr>
          <w:p w14:paraId="00007E63" w14:textId="77777777" w:rsidR="00CE4035" w:rsidRPr="003229B1" w:rsidRDefault="00CE4035" w:rsidP="009B753C">
            <w:pPr>
              <w:autoSpaceDE w:val="0"/>
              <w:autoSpaceDN w:val="0"/>
              <w:adjustRightInd w:val="0"/>
              <w:spacing w:after="83"/>
              <w:rPr>
                <w:highlight w:val="yellow"/>
              </w:rPr>
            </w:pPr>
            <w:r w:rsidRPr="003229B1">
              <w:t>Zvogëlimi i lejeve dhe licencave</w:t>
            </w:r>
          </w:p>
        </w:tc>
        <w:tc>
          <w:tcPr>
            <w:tcW w:w="1170" w:type="dxa"/>
          </w:tcPr>
          <w:p w14:paraId="2DFD5DFA" w14:textId="77777777" w:rsidR="00CE4035" w:rsidRPr="003229B1" w:rsidRDefault="00CE4035" w:rsidP="009B753C">
            <w:pPr>
              <w:autoSpaceDE w:val="0"/>
              <w:autoSpaceDN w:val="0"/>
              <w:adjustRightInd w:val="0"/>
              <w:rPr>
                <w:b/>
              </w:rPr>
            </w:pPr>
            <w:r w:rsidRPr="003229B1">
              <w:rPr>
                <w:b/>
              </w:rPr>
              <w:t>2014</w:t>
            </w:r>
          </w:p>
          <w:p w14:paraId="6C0B1AA2" w14:textId="77777777" w:rsidR="00CE4035" w:rsidRPr="003229B1" w:rsidRDefault="00CE4035" w:rsidP="009B753C">
            <w:pPr>
              <w:autoSpaceDE w:val="0"/>
              <w:autoSpaceDN w:val="0"/>
              <w:adjustRightInd w:val="0"/>
            </w:pPr>
            <w:r w:rsidRPr="003229B1">
              <w:t xml:space="preserve">480 leje </w:t>
            </w:r>
          </w:p>
          <w:p w14:paraId="0109A62D" w14:textId="77777777" w:rsidR="00CE4035" w:rsidRPr="003229B1" w:rsidRDefault="00CE4035" w:rsidP="009B753C">
            <w:pPr>
              <w:autoSpaceDE w:val="0"/>
              <w:autoSpaceDN w:val="0"/>
              <w:adjustRightInd w:val="0"/>
              <w:rPr>
                <w:bCs/>
                <w:highlight w:val="yellow"/>
              </w:rPr>
            </w:pPr>
          </w:p>
        </w:tc>
        <w:tc>
          <w:tcPr>
            <w:tcW w:w="3330" w:type="dxa"/>
          </w:tcPr>
          <w:p w14:paraId="6A38C06C" w14:textId="77777777" w:rsidR="00CE4035" w:rsidRPr="003229B1" w:rsidRDefault="00CE4035" w:rsidP="009B753C">
            <w:pPr>
              <w:autoSpaceDE w:val="0"/>
              <w:autoSpaceDN w:val="0"/>
              <w:adjustRightInd w:val="0"/>
              <w:rPr>
                <w:bCs/>
                <w:highlight w:val="yellow"/>
              </w:rPr>
            </w:pPr>
            <w:r w:rsidRPr="003229B1">
              <w:t>Të paktën 10% e licencave dhe lejeve të thjeshtuara, bashkuara dhe /ose shfuqizuar</w:t>
            </w:r>
          </w:p>
        </w:tc>
        <w:tc>
          <w:tcPr>
            <w:tcW w:w="1705" w:type="dxa"/>
          </w:tcPr>
          <w:p w14:paraId="1E3AD24B" w14:textId="77777777" w:rsidR="00CE4035" w:rsidRPr="003229B1" w:rsidRDefault="00CE4035" w:rsidP="009B753C">
            <w:pPr>
              <w:autoSpaceDE w:val="0"/>
              <w:autoSpaceDN w:val="0"/>
              <w:adjustRightInd w:val="0"/>
              <w:contextualSpacing/>
              <w:jc w:val="both"/>
              <w:rPr>
                <w:b/>
                <w:bCs/>
              </w:rPr>
            </w:pPr>
          </w:p>
        </w:tc>
      </w:tr>
      <w:tr w:rsidR="00CE4035" w:rsidRPr="003229B1" w14:paraId="1B84E008" w14:textId="77777777" w:rsidTr="009B753C">
        <w:tc>
          <w:tcPr>
            <w:tcW w:w="3145" w:type="dxa"/>
          </w:tcPr>
          <w:p w14:paraId="5A29208E" w14:textId="77777777" w:rsidR="00CE4035" w:rsidRPr="003229B1" w:rsidRDefault="00CE4035" w:rsidP="009B753C">
            <w:pPr>
              <w:autoSpaceDE w:val="0"/>
              <w:autoSpaceDN w:val="0"/>
              <w:adjustRightInd w:val="0"/>
            </w:pPr>
            <w:r w:rsidRPr="003229B1">
              <w:t>Programi TiT i përfunduar, gjithsejtë 54 trajnerë të rinj të certifikuar.</w:t>
            </w:r>
          </w:p>
        </w:tc>
        <w:tc>
          <w:tcPr>
            <w:tcW w:w="1170" w:type="dxa"/>
          </w:tcPr>
          <w:p w14:paraId="76D2D32E" w14:textId="77777777" w:rsidR="00CE4035" w:rsidRPr="003229B1" w:rsidRDefault="00CE4035" w:rsidP="009B753C">
            <w:pPr>
              <w:autoSpaceDE w:val="0"/>
              <w:autoSpaceDN w:val="0"/>
              <w:adjustRightInd w:val="0"/>
              <w:rPr>
                <w:rFonts w:eastAsia="MS Mincho"/>
                <w:b/>
                <w:bCs/>
                <w:kern w:val="24"/>
              </w:rPr>
            </w:pPr>
            <w:r w:rsidRPr="003229B1">
              <w:rPr>
                <w:rFonts w:eastAsia="MS Mincho"/>
                <w:b/>
                <w:bCs/>
                <w:kern w:val="24"/>
              </w:rPr>
              <w:t>2020</w:t>
            </w:r>
          </w:p>
          <w:p w14:paraId="10FC859F" w14:textId="77777777" w:rsidR="00CE4035" w:rsidRPr="003229B1" w:rsidRDefault="00CE4035" w:rsidP="009B753C">
            <w:pPr>
              <w:autoSpaceDE w:val="0"/>
              <w:autoSpaceDN w:val="0"/>
              <w:adjustRightInd w:val="0"/>
            </w:pPr>
            <w:r w:rsidRPr="003229B1">
              <w:rPr>
                <w:rFonts w:eastAsia="MS Mincho"/>
                <w:bCs/>
                <w:kern w:val="24"/>
              </w:rPr>
              <w:t xml:space="preserve">14 TiT </w:t>
            </w:r>
          </w:p>
        </w:tc>
        <w:tc>
          <w:tcPr>
            <w:tcW w:w="3330" w:type="dxa"/>
          </w:tcPr>
          <w:p w14:paraId="429EEC9E" w14:textId="77777777" w:rsidR="00CE4035" w:rsidRPr="003229B1" w:rsidRDefault="00CE4035" w:rsidP="009B753C">
            <w:r w:rsidRPr="003229B1">
              <w:rPr>
                <w:rFonts w:eastAsia="MS Mincho"/>
                <w:bCs/>
                <w:kern w:val="24"/>
              </w:rPr>
              <w:t>40 TiT të rinjë të certifikuar në MKS</w:t>
            </w:r>
          </w:p>
        </w:tc>
        <w:tc>
          <w:tcPr>
            <w:tcW w:w="1705" w:type="dxa"/>
          </w:tcPr>
          <w:p w14:paraId="65E84AA7" w14:textId="77777777" w:rsidR="00CE4035" w:rsidRPr="003229B1" w:rsidRDefault="00CE4035" w:rsidP="009B753C">
            <w:pPr>
              <w:autoSpaceDE w:val="0"/>
              <w:autoSpaceDN w:val="0"/>
              <w:adjustRightInd w:val="0"/>
              <w:contextualSpacing/>
              <w:jc w:val="both"/>
              <w:rPr>
                <w:b/>
                <w:bCs/>
              </w:rPr>
            </w:pPr>
          </w:p>
        </w:tc>
      </w:tr>
      <w:tr w:rsidR="00CE4035" w:rsidRPr="003229B1" w14:paraId="4D4D63CC" w14:textId="77777777" w:rsidTr="009B753C">
        <w:tc>
          <w:tcPr>
            <w:tcW w:w="3145" w:type="dxa"/>
          </w:tcPr>
          <w:p w14:paraId="539353F1" w14:textId="77777777" w:rsidR="00CE4035" w:rsidRPr="003229B1" w:rsidRDefault="00CE4035" w:rsidP="009B753C">
            <w:pPr>
              <w:autoSpaceDE w:val="0"/>
              <w:autoSpaceDN w:val="0"/>
              <w:adjustRightInd w:val="0"/>
            </w:pPr>
            <w:r w:rsidRPr="003229B1">
              <w:t>Ngritja e kapaciteteve të zyrtarëve përgjegjës për Modelin e Kostimit Standard (MKS) në Ministri dhe Komuna.</w:t>
            </w:r>
          </w:p>
        </w:tc>
        <w:tc>
          <w:tcPr>
            <w:tcW w:w="1170" w:type="dxa"/>
          </w:tcPr>
          <w:p w14:paraId="560837DD" w14:textId="77777777" w:rsidR="00CE4035" w:rsidRPr="003229B1" w:rsidRDefault="00CE4035" w:rsidP="009B753C">
            <w:pPr>
              <w:autoSpaceDE w:val="0"/>
              <w:autoSpaceDN w:val="0"/>
              <w:adjustRightInd w:val="0"/>
              <w:rPr>
                <w:b/>
              </w:rPr>
            </w:pPr>
            <w:r w:rsidRPr="003229B1">
              <w:rPr>
                <w:b/>
              </w:rPr>
              <w:t>2020</w:t>
            </w:r>
          </w:p>
          <w:p w14:paraId="14540808" w14:textId="77777777" w:rsidR="00CE4035" w:rsidRPr="003229B1" w:rsidRDefault="00CE4035" w:rsidP="009B753C">
            <w:pPr>
              <w:autoSpaceDE w:val="0"/>
              <w:autoSpaceDN w:val="0"/>
              <w:adjustRightInd w:val="0"/>
            </w:pPr>
            <w:r w:rsidRPr="003229B1">
              <w:t>0</w:t>
            </w:r>
          </w:p>
        </w:tc>
        <w:tc>
          <w:tcPr>
            <w:tcW w:w="3330" w:type="dxa"/>
          </w:tcPr>
          <w:p w14:paraId="76C4E036" w14:textId="77777777" w:rsidR="00CE4035" w:rsidRPr="003229B1" w:rsidRDefault="00CE4035" w:rsidP="009B753C">
            <w:pPr>
              <w:autoSpaceDE w:val="0"/>
              <w:autoSpaceDN w:val="0"/>
              <w:adjustRightInd w:val="0"/>
            </w:pPr>
          </w:p>
        </w:tc>
        <w:tc>
          <w:tcPr>
            <w:tcW w:w="1705" w:type="dxa"/>
          </w:tcPr>
          <w:p w14:paraId="79DA787E" w14:textId="77777777" w:rsidR="00CE4035" w:rsidRPr="003229B1" w:rsidRDefault="00CE4035" w:rsidP="009B753C">
            <w:pPr>
              <w:autoSpaceDE w:val="0"/>
              <w:autoSpaceDN w:val="0"/>
              <w:adjustRightInd w:val="0"/>
            </w:pPr>
            <w:r w:rsidRPr="003229B1">
              <w:rPr>
                <w:b/>
              </w:rPr>
              <w:t>60 pjesëmarrës</w:t>
            </w:r>
            <w:r w:rsidRPr="003229B1">
              <w:t xml:space="preserve"> të Komunave të trajnuar.</w:t>
            </w:r>
          </w:p>
        </w:tc>
      </w:tr>
    </w:tbl>
    <w:p w14:paraId="2CFA63D9" w14:textId="164624A9" w:rsidR="00CE4035" w:rsidRDefault="00CE4035" w:rsidP="00CE4035">
      <w:pPr>
        <w:tabs>
          <w:tab w:val="left" w:pos="1200"/>
        </w:tabs>
        <w:jc w:val="both"/>
      </w:pPr>
      <w:r w:rsidRPr="003229B1">
        <w:br w:type="textWrapping" w:clear="all"/>
      </w:r>
      <w:r w:rsidRPr="003229B1">
        <w:rPr>
          <w:b/>
        </w:rPr>
        <w:t>Ndikimi i pritshëm në konkurrueshmëri:</w:t>
      </w:r>
      <w:r w:rsidRPr="003229B1">
        <w:t xml:space="preserve"> Cilësia e bërjes së politikave dhe hartimit të legjislacionit do të përmirësohet dhe do të largohen pengesat e panevojshme në kuadër të procesit për zvogëlimin e barrës administrative (ZBA). Prandaj, duke hequr procedurat dhe kërkesat e panevojshme, duke thjeshtuar dhe digjitalizuar procedurat e nevojshme, do të ketë direkt në përfitimet e bizneseve dhe konkurrueshmërinë. ZBA do të jetë faktor i rëndësishëm për stimulimin e zhvillimit ekonomik dhe zbutjen e krizës së shkaktuar nga pandemia COVID-19 duke marrë parasysh që zvogëlimi i barrës administrative ndikon direkt në të bërit biznes dhe një prej masave është edhe digjitalizimi i procedurave administrative aty ku është e mundshme.</w:t>
      </w:r>
    </w:p>
    <w:p w14:paraId="1BF914CE" w14:textId="77777777" w:rsidR="005116BD" w:rsidRPr="003229B1" w:rsidRDefault="005116BD" w:rsidP="00CE4035">
      <w:pPr>
        <w:tabs>
          <w:tab w:val="left" w:pos="1200"/>
        </w:tabs>
        <w:jc w:val="both"/>
      </w:pPr>
    </w:p>
    <w:p w14:paraId="1CD55466" w14:textId="1E05A3A5" w:rsidR="00CE4035" w:rsidRDefault="00CE4035" w:rsidP="00CE4035">
      <w:pPr>
        <w:jc w:val="both"/>
      </w:pPr>
      <w:r w:rsidRPr="003229B1">
        <w:rPr>
          <w:b/>
          <w:bCs/>
        </w:rPr>
        <w:t xml:space="preserve">Vlerësimi i kostos së aktiviteteve dhe burimet e financimit: </w:t>
      </w:r>
      <w:r w:rsidRPr="003229B1">
        <w:t>Ndikimi në buxhet do të jetë € 245.000,00 për tre vitet e ardhshme (2021-2023). Për vitin 2021- 2023 do të planifikohen në buxhetin e Zyrës së Kryeministrit € 233.000.00 për zhvillimin e kapaciteteve për aplikimin e suksesshëm të MKS-së dhe € 12.000 për përditësimin e Sistemit Qendror të Lejeve dhe Licencave.</w:t>
      </w:r>
    </w:p>
    <w:p w14:paraId="5963AC95" w14:textId="77777777" w:rsidR="005116BD" w:rsidRPr="003229B1" w:rsidRDefault="005116BD" w:rsidP="00CE4035">
      <w:pPr>
        <w:jc w:val="both"/>
      </w:pPr>
    </w:p>
    <w:p w14:paraId="3F139B5B" w14:textId="441B5AAF" w:rsidR="00CE4035" w:rsidRDefault="00CE4035" w:rsidP="00CE4035">
      <w:pPr>
        <w:jc w:val="both"/>
      </w:pPr>
      <w:r w:rsidRPr="003229B1">
        <w:rPr>
          <w:b/>
          <w:bCs/>
        </w:rPr>
        <w:t xml:space="preserve">Ndikimet e pritshme mbi rezultatet sociale, të tilla si punësimi, reduktimi i varfërisë, barazia gjinore: </w:t>
      </w:r>
      <w:r w:rsidRPr="003229B1">
        <w:t>Zvogëlimi i barrës administrative për qytetarët, bizneset dhe administratën dhe futja e mjeteve shtesë për analizë gjatë hartimit të politikave (duke përfshirë MKS) si ndikimet gjinore, sociale dhe ekonomike, do të sjellin përfitime direkte për grupet e fokusuara dhe qytetarët sa i përket rezultateve sociale, gjinore, punësimit dhe zbutjen e varfërisë, për shkak se duke zvogëluar barrën administrative dhe duke hartuar politika dhe ligje më të mira, ndikohet direkt në jetën dhe cilësinë e shërbimeve për qytetarët.</w:t>
      </w:r>
    </w:p>
    <w:p w14:paraId="6872C2CA" w14:textId="77777777" w:rsidR="005116BD" w:rsidRPr="003229B1" w:rsidRDefault="005116BD" w:rsidP="00CE4035">
      <w:pPr>
        <w:jc w:val="both"/>
      </w:pPr>
    </w:p>
    <w:p w14:paraId="6E3BC4C7" w14:textId="1678E8FD" w:rsidR="00CE4035" w:rsidRDefault="00CE4035" w:rsidP="00CE4035">
      <w:pPr>
        <w:jc w:val="both"/>
        <w:rPr>
          <w:bCs/>
        </w:rPr>
      </w:pPr>
      <w:r w:rsidRPr="003229B1">
        <w:rPr>
          <w:b/>
          <w:bCs/>
        </w:rPr>
        <w:t xml:space="preserve">Ndikimi i pritshëm në mjedis: </w:t>
      </w:r>
      <w:r w:rsidRPr="003229B1">
        <w:rPr>
          <w:bCs/>
        </w:rPr>
        <w:t>Masa nuk pritet të ketë ndikim në mjedis</w:t>
      </w:r>
    </w:p>
    <w:p w14:paraId="378EE5FC" w14:textId="77777777" w:rsidR="005116BD" w:rsidRPr="003229B1" w:rsidRDefault="005116BD" w:rsidP="00CE4035">
      <w:pPr>
        <w:jc w:val="both"/>
      </w:pPr>
    </w:p>
    <w:p w14:paraId="05F8F484" w14:textId="77777777" w:rsidR="00CE4035" w:rsidRPr="003229B1" w:rsidRDefault="00CE4035" w:rsidP="00CE4035">
      <w:pPr>
        <w:jc w:val="both"/>
        <w:rPr>
          <w:b/>
        </w:rPr>
      </w:pPr>
      <w:r w:rsidRPr="003229B1">
        <w:rPr>
          <w:b/>
        </w:rPr>
        <w:t>Rreziqet potenciale:</w:t>
      </w:r>
    </w:p>
    <w:tbl>
      <w:tblPr>
        <w:tblW w:w="8640" w:type="dxa"/>
        <w:tblInd w:w="-5" w:type="dxa"/>
        <w:tblBorders>
          <w:top w:val="nil"/>
          <w:left w:val="nil"/>
          <w:bottom w:val="nil"/>
          <w:right w:val="nil"/>
        </w:tblBorders>
        <w:tblLayout w:type="fixed"/>
        <w:tblLook w:val="0000" w:firstRow="0" w:lastRow="0" w:firstColumn="0" w:lastColumn="0" w:noHBand="0" w:noVBand="0"/>
      </w:tblPr>
      <w:tblGrid>
        <w:gridCol w:w="3780"/>
        <w:gridCol w:w="1620"/>
        <w:gridCol w:w="3240"/>
      </w:tblGrid>
      <w:tr w:rsidR="00CE4035" w:rsidRPr="003229B1" w14:paraId="76221D06" w14:textId="77777777" w:rsidTr="005116BD">
        <w:trPr>
          <w:trHeight w:val="98"/>
        </w:trPr>
        <w:tc>
          <w:tcPr>
            <w:tcW w:w="3780" w:type="dxa"/>
            <w:tcBorders>
              <w:top w:val="single" w:sz="4" w:space="0" w:color="auto"/>
              <w:left w:val="single" w:sz="4" w:space="0" w:color="auto"/>
              <w:bottom w:val="single" w:sz="4" w:space="0" w:color="auto"/>
              <w:right w:val="single" w:sz="4" w:space="0" w:color="auto"/>
            </w:tcBorders>
          </w:tcPr>
          <w:p w14:paraId="3AC926EC" w14:textId="77777777" w:rsidR="00CE4035" w:rsidRPr="003229B1" w:rsidRDefault="00CE4035" w:rsidP="009B753C">
            <w:pPr>
              <w:autoSpaceDE w:val="0"/>
              <w:autoSpaceDN w:val="0"/>
              <w:adjustRightInd w:val="0"/>
              <w:jc w:val="both"/>
            </w:pPr>
            <w:r w:rsidRPr="003229B1">
              <w:rPr>
                <w:b/>
                <w:bCs/>
              </w:rPr>
              <w:t xml:space="preserve">Rreziku </w:t>
            </w:r>
          </w:p>
        </w:tc>
        <w:tc>
          <w:tcPr>
            <w:tcW w:w="1620" w:type="dxa"/>
            <w:tcBorders>
              <w:top w:val="single" w:sz="4" w:space="0" w:color="auto"/>
              <w:left w:val="single" w:sz="4" w:space="0" w:color="auto"/>
              <w:bottom w:val="single" w:sz="4" w:space="0" w:color="auto"/>
              <w:right w:val="single" w:sz="4" w:space="0" w:color="auto"/>
            </w:tcBorders>
          </w:tcPr>
          <w:p w14:paraId="51E703B3" w14:textId="77777777" w:rsidR="00CE4035" w:rsidRPr="003229B1" w:rsidRDefault="00CE4035" w:rsidP="009B753C">
            <w:pPr>
              <w:autoSpaceDE w:val="0"/>
              <w:autoSpaceDN w:val="0"/>
              <w:adjustRightInd w:val="0"/>
              <w:jc w:val="both"/>
            </w:pPr>
            <w:r w:rsidRPr="003229B1">
              <w:rPr>
                <w:b/>
                <w:bCs/>
              </w:rPr>
              <w:t xml:space="preserve">Probabiliteti </w:t>
            </w:r>
          </w:p>
        </w:tc>
        <w:tc>
          <w:tcPr>
            <w:tcW w:w="3240" w:type="dxa"/>
            <w:tcBorders>
              <w:top w:val="single" w:sz="4" w:space="0" w:color="auto"/>
              <w:left w:val="single" w:sz="4" w:space="0" w:color="auto"/>
              <w:bottom w:val="single" w:sz="4" w:space="0" w:color="auto"/>
              <w:right w:val="single" w:sz="4" w:space="0" w:color="auto"/>
            </w:tcBorders>
          </w:tcPr>
          <w:p w14:paraId="2685CD4F" w14:textId="77777777" w:rsidR="00CE4035" w:rsidRPr="003229B1" w:rsidRDefault="00CE4035" w:rsidP="009B753C">
            <w:pPr>
              <w:autoSpaceDE w:val="0"/>
              <w:autoSpaceDN w:val="0"/>
              <w:adjustRightInd w:val="0"/>
              <w:jc w:val="both"/>
            </w:pPr>
            <w:r w:rsidRPr="003229B1">
              <w:rPr>
                <w:b/>
                <w:bCs/>
              </w:rPr>
              <w:t xml:space="preserve">Veprimi lehtësues i planifikuar </w:t>
            </w:r>
          </w:p>
        </w:tc>
      </w:tr>
      <w:tr w:rsidR="00CE4035" w:rsidRPr="003229B1" w14:paraId="5288A9A1" w14:textId="77777777" w:rsidTr="005116BD">
        <w:trPr>
          <w:trHeight w:val="353"/>
        </w:trPr>
        <w:tc>
          <w:tcPr>
            <w:tcW w:w="3780" w:type="dxa"/>
            <w:tcBorders>
              <w:top w:val="single" w:sz="4" w:space="0" w:color="auto"/>
              <w:left w:val="single" w:sz="4" w:space="0" w:color="auto"/>
              <w:bottom w:val="single" w:sz="4" w:space="0" w:color="auto"/>
              <w:right w:val="single" w:sz="4" w:space="0" w:color="auto"/>
            </w:tcBorders>
          </w:tcPr>
          <w:p w14:paraId="15C05A68" w14:textId="77777777" w:rsidR="00CE4035" w:rsidRPr="003229B1" w:rsidRDefault="00CE4035" w:rsidP="009B753C">
            <w:pPr>
              <w:autoSpaceDE w:val="0"/>
              <w:autoSpaceDN w:val="0"/>
              <w:adjustRightInd w:val="0"/>
              <w:jc w:val="both"/>
            </w:pPr>
            <w:r w:rsidRPr="003229B1">
              <w:t>Vonesat në miratimin e legjislacionit për shkak të rrjedhave politike dhe për momentin të gjitha proceset në ndonjë mënyrë janë afektuar nga pandemia COVID-19.</w:t>
            </w:r>
          </w:p>
        </w:tc>
        <w:tc>
          <w:tcPr>
            <w:tcW w:w="1620" w:type="dxa"/>
            <w:tcBorders>
              <w:top w:val="single" w:sz="4" w:space="0" w:color="auto"/>
              <w:left w:val="single" w:sz="4" w:space="0" w:color="auto"/>
              <w:bottom w:val="single" w:sz="4" w:space="0" w:color="auto"/>
              <w:right w:val="single" w:sz="4" w:space="0" w:color="auto"/>
            </w:tcBorders>
          </w:tcPr>
          <w:p w14:paraId="0F58F890" w14:textId="77777777" w:rsidR="00CE4035" w:rsidRPr="003229B1" w:rsidRDefault="00CE4035" w:rsidP="009B753C">
            <w:pPr>
              <w:autoSpaceDE w:val="0"/>
              <w:autoSpaceDN w:val="0"/>
              <w:adjustRightInd w:val="0"/>
              <w:jc w:val="both"/>
            </w:pPr>
            <w:r w:rsidRPr="003229B1">
              <w:t xml:space="preserve">I mesëm </w:t>
            </w:r>
          </w:p>
        </w:tc>
        <w:tc>
          <w:tcPr>
            <w:tcW w:w="3240" w:type="dxa"/>
            <w:tcBorders>
              <w:top w:val="single" w:sz="4" w:space="0" w:color="auto"/>
              <w:left w:val="single" w:sz="4" w:space="0" w:color="auto"/>
              <w:bottom w:val="single" w:sz="4" w:space="0" w:color="auto"/>
              <w:right w:val="single" w:sz="4" w:space="0" w:color="auto"/>
            </w:tcBorders>
          </w:tcPr>
          <w:p w14:paraId="6344694D" w14:textId="77777777" w:rsidR="00CE4035" w:rsidRPr="003229B1" w:rsidRDefault="00CE4035" w:rsidP="009B753C">
            <w:pPr>
              <w:autoSpaceDE w:val="0"/>
              <w:autoSpaceDN w:val="0"/>
              <w:adjustRightInd w:val="0"/>
              <w:jc w:val="both"/>
            </w:pPr>
            <w:r w:rsidRPr="003229B1">
              <w:t>Koordinimi i grupeve punuese ndër institucionale të themeluara për hartimin e legjislacionit dhe përfshirja sa më e madhe e zyrtarëve të SKQ-së në proces.</w:t>
            </w:r>
          </w:p>
        </w:tc>
      </w:tr>
    </w:tbl>
    <w:p w14:paraId="5FE06C97" w14:textId="77777777" w:rsidR="00CE4035" w:rsidRDefault="00CE4035" w:rsidP="00CE4035">
      <w:pPr>
        <w:jc w:val="both"/>
      </w:pPr>
    </w:p>
    <w:p w14:paraId="3FB2B44C" w14:textId="77777777" w:rsidR="00CE4035" w:rsidRPr="003229B1" w:rsidRDefault="00CE4035" w:rsidP="00CE4035">
      <w:pPr>
        <w:shd w:val="clear" w:color="auto" w:fill="9CC2E5" w:themeFill="accent1" w:themeFillTint="99"/>
        <w:jc w:val="both"/>
      </w:pPr>
      <w:r w:rsidRPr="003229B1">
        <w:rPr>
          <w:b/>
          <w:bCs/>
        </w:rPr>
        <w:t>Masa e reformës 8#: Reforma e përgjithshme e inspektimeve</w:t>
      </w:r>
    </w:p>
    <w:p w14:paraId="45BBA079" w14:textId="589221C0" w:rsidR="00CE4035" w:rsidRDefault="00CE4035" w:rsidP="00CE4035">
      <w:pPr>
        <w:jc w:val="both"/>
      </w:pPr>
      <w:r w:rsidRPr="003229B1">
        <w:rPr>
          <w:b/>
          <w:bCs/>
        </w:rPr>
        <w:t xml:space="preserve">Përshkrimi i masës: </w:t>
      </w:r>
      <w:r w:rsidRPr="003229B1">
        <w:rPr>
          <w:bCs/>
        </w:rPr>
        <w:t xml:space="preserve">Masa synon reformën e inspektimeve me qëllim realizimin e dy objektivave: përmirësimin e koordinimit ndërinstitucional sa i përket inspektimeve të aktiviteteve të bizneseve dhe digjitalizimin e procesit të inspektimeve. Reforma e inspektimeve si masë është e paraparë edhe ne Strategjinë Kombëtare për Zhvillim 2016-2020, konkretisht masa 10 e kësaj strategjie parasheh përmirësimin e inspektimeve. </w:t>
      </w:r>
      <w:r w:rsidRPr="003229B1">
        <w:t>Është viti i katërt i kësaj mase që ekziston në Programin e Reformës Ekonomike, implementimi vazhdon sipas planit, si rezultat në këtë vit është miratuar koncept dokumenti për inspektimet, është bërë analiza e zbrazëtirave dhe janë identifikuar segmentet e parapara për tu reformuar ndërsa vazhdon hartimi i ligjit për inspektime i planifikuar të përfundoj brenda afatit kohor. Momentalisht grupi punues është duke u takuar me trupat inspektuese me qëllim të konsultimit për procesin. Kjo masë komunikon me Treguesin SDG 16.5.1 (Prevalenca e Ryshfetit) dhe Treguesit SDG 16.5.2 (Rryshfeti në Biznes) duke ulur ndjeshëm korrupsionin dhe ryshfetin në të gjitha format.</w:t>
      </w:r>
    </w:p>
    <w:p w14:paraId="7925A14E" w14:textId="77777777" w:rsidR="005116BD" w:rsidRPr="003229B1" w:rsidRDefault="005116BD" w:rsidP="00CE4035">
      <w:pPr>
        <w:jc w:val="both"/>
      </w:pPr>
    </w:p>
    <w:p w14:paraId="4A082C21" w14:textId="77777777" w:rsidR="00CE4035" w:rsidRPr="003229B1" w:rsidRDefault="00CE4035" w:rsidP="00CE4035">
      <w:pPr>
        <w:autoSpaceDE w:val="0"/>
        <w:autoSpaceDN w:val="0"/>
        <w:adjustRightInd w:val="0"/>
        <w:spacing w:after="83"/>
        <w:jc w:val="both"/>
      </w:pPr>
      <w:r w:rsidRPr="003229B1">
        <w:rPr>
          <w:b/>
          <w:bCs/>
          <w:iCs/>
        </w:rPr>
        <w:t xml:space="preserve">a. Aktivitetet e planifikuara për 2021: </w:t>
      </w:r>
    </w:p>
    <w:p w14:paraId="3691D697" w14:textId="77777777" w:rsidR="00CE4035" w:rsidRPr="003229B1" w:rsidRDefault="00CE4035" w:rsidP="0068706C">
      <w:pPr>
        <w:pStyle w:val="ListParagraph"/>
        <w:widowControl w:val="0"/>
        <w:numPr>
          <w:ilvl w:val="0"/>
          <w:numId w:val="17"/>
        </w:numPr>
        <w:autoSpaceDE w:val="0"/>
        <w:autoSpaceDN w:val="0"/>
        <w:adjustRightInd w:val="0"/>
        <w:spacing w:after="0" w:line="240" w:lineRule="auto"/>
        <w:jc w:val="both"/>
        <w:rPr>
          <w:rFonts w:ascii="Times New Roman" w:hAnsi="Times New Roman"/>
          <w:sz w:val="24"/>
          <w:szCs w:val="24"/>
        </w:rPr>
      </w:pPr>
      <w:r w:rsidRPr="003229B1">
        <w:rPr>
          <w:rFonts w:ascii="Times New Roman" w:hAnsi="Times New Roman"/>
          <w:bCs/>
          <w:sz w:val="24"/>
          <w:szCs w:val="24"/>
        </w:rPr>
        <w:t>Miratimi i ligjit për inspektimet</w:t>
      </w:r>
      <w:r w:rsidRPr="003229B1">
        <w:rPr>
          <w:rFonts w:ascii="Times New Roman" w:hAnsi="Times New Roman"/>
          <w:b/>
          <w:bCs/>
          <w:sz w:val="24"/>
          <w:szCs w:val="24"/>
        </w:rPr>
        <w:t xml:space="preserve"> </w:t>
      </w:r>
      <w:r w:rsidRPr="003229B1">
        <w:rPr>
          <w:rFonts w:ascii="Times New Roman" w:hAnsi="Times New Roman"/>
          <w:sz w:val="24"/>
          <w:szCs w:val="24"/>
        </w:rPr>
        <w:t xml:space="preserve">i cili do të vendos themelet e një qasje të inspektimit të bazuar në rrezik, (MTI); </w:t>
      </w:r>
    </w:p>
    <w:p w14:paraId="13E22837" w14:textId="77777777" w:rsidR="00CE4035" w:rsidRPr="003229B1" w:rsidRDefault="00CE4035" w:rsidP="0068706C">
      <w:pPr>
        <w:pStyle w:val="ListParagraph"/>
        <w:widowControl w:val="0"/>
        <w:numPr>
          <w:ilvl w:val="0"/>
          <w:numId w:val="17"/>
        </w:numPr>
        <w:autoSpaceDE w:val="0"/>
        <w:autoSpaceDN w:val="0"/>
        <w:adjustRightInd w:val="0"/>
        <w:spacing w:after="83" w:line="240" w:lineRule="auto"/>
        <w:jc w:val="both"/>
        <w:rPr>
          <w:rFonts w:ascii="Times New Roman" w:hAnsi="Times New Roman"/>
          <w:sz w:val="24"/>
          <w:szCs w:val="24"/>
        </w:rPr>
      </w:pPr>
      <w:r w:rsidRPr="003229B1">
        <w:rPr>
          <w:rFonts w:ascii="Times New Roman" w:hAnsi="Times New Roman"/>
          <w:sz w:val="24"/>
          <w:szCs w:val="24"/>
        </w:rPr>
        <w:t xml:space="preserve">Amandamentimi i legjislacionit horizontal duke lejuar dhe rregulluar reformën e inspektimeve (MTI, ZKM); </w:t>
      </w:r>
    </w:p>
    <w:p w14:paraId="662D72C9" w14:textId="77777777" w:rsidR="00CE4035" w:rsidRPr="003229B1" w:rsidRDefault="00CE4035" w:rsidP="0068706C">
      <w:pPr>
        <w:pStyle w:val="ListParagraph"/>
        <w:widowControl w:val="0"/>
        <w:numPr>
          <w:ilvl w:val="0"/>
          <w:numId w:val="17"/>
        </w:numPr>
        <w:autoSpaceDE w:val="0"/>
        <w:autoSpaceDN w:val="0"/>
        <w:adjustRightInd w:val="0"/>
        <w:spacing w:after="83" w:line="240" w:lineRule="auto"/>
        <w:jc w:val="both"/>
        <w:rPr>
          <w:rFonts w:ascii="Times New Roman" w:hAnsi="Times New Roman"/>
          <w:sz w:val="24"/>
          <w:szCs w:val="24"/>
        </w:rPr>
      </w:pPr>
      <w:r w:rsidRPr="003229B1">
        <w:rPr>
          <w:rFonts w:ascii="Times New Roman" w:hAnsi="Times New Roman"/>
          <w:sz w:val="24"/>
          <w:szCs w:val="24"/>
        </w:rPr>
        <w:t xml:space="preserve">Themelimi i zyrës qendrore të inspektimeve që koordinon inspektimet dhe përshtatja e strukturës relevante organizative (ZKM). </w:t>
      </w:r>
    </w:p>
    <w:p w14:paraId="78997AAF" w14:textId="77777777" w:rsidR="00CE4035" w:rsidRPr="003229B1" w:rsidRDefault="00CE4035" w:rsidP="00CE4035">
      <w:pPr>
        <w:pStyle w:val="ListParagraph"/>
        <w:autoSpaceDE w:val="0"/>
        <w:autoSpaceDN w:val="0"/>
        <w:adjustRightInd w:val="0"/>
        <w:spacing w:after="83"/>
        <w:jc w:val="both"/>
        <w:rPr>
          <w:rFonts w:ascii="Times New Roman" w:hAnsi="Times New Roman"/>
          <w:sz w:val="24"/>
          <w:szCs w:val="24"/>
        </w:rPr>
      </w:pPr>
    </w:p>
    <w:p w14:paraId="33047A78" w14:textId="77777777" w:rsidR="00CE4035" w:rsidRPr="003229B1" w:rsidRDefault="00CE4035" w:rsidP="00CE4035">
      <w:pPr>
        <w:autoSpaceDE w:val="0"/>
        <w:autoSpaceDN w:val="0"/>
        <w:adjustRightInd w:val="0"/>
        <w:spacing w:after="83"/>
        <w:jc w:val="both"/>
        <w:rPr>
          <w:b/>
          <w:bCs/>
          <w:iCs/>
        </w:rPr>
      </w:pPr>
      <w:r w:rsidRPr="003229B1">
        <w:rPr>
          <w:b/>
          <w:bCs/>
          <w:iCs/>
        </w:rPr>
        <w:t xml:space="preserve">b. Aktivitetet e planifikuara për 2022: </w:t>
      </w:r>
    </w:p>
    <w:p w14:paraId="4DDB20D7" w14:textId="77777777" w:rsidR="00CE4035" w:rsidRPr="003229B1" w:rsidRDefault="00CE4035" w:rsidP="0068706C">
      <w:pPr>
        <w:pStyle w:val="ListParagraph"/>
        <w:widowControl w:val="0"/>
        <w:numPr>
          <w:ilvl w:val="0"/>
          <w:numId w:val="18"/>
        </w:numPr>
        <w:autoSpaceDE w:val="0"/>
        <w:autoSpaceDN w:val="0"/>
        <w:adjustRightInd w:val="0"/>
        <w:spacing w:after="0" w:line="240" w:lineRule="auto"/>
        <w:jc w:val="both"/>
        <w:rPr>
          <w:rFonts w:ascii="Times New Roman" w:eastAsia="Times New Roman" w:hAnsi="Times New Roman"/>
          <w:sz w:val="24"/>
          <w:szCs w:val="24"/>
        </w:rPr>
      </w:pPr>
      <w:r w:rsidRPr="003229B1">
        <w:rPr>
          <w:rFonts w:ascii="Times New Roman" w:hAnsi="Times New Roman"/>
          <w:sz w:val="24"/>
          <w:szCs w:val="24"/>
        </w:rPr>
        <w:t>Amandamentimi i legjislacionit horizontal</w:t>
      </w:r>
      <w:r w:rsidRPr="003229B1">
        <w:rPr>
          <w:rFonts w:ascii="Times New Roman" w:hAnsi="Times New Roman"/>
          <w:b/>
          <w:sz w:val="24"/>
          <w:szCs w:val="24"/>
        </w:rPr>
        <w:t xml:space="preserve"> </w:t>
      </w:r>
      <w:r w:rsidRPr="003229B1">
        <w:rPr>
          <w:rFonts w:ascii="Times New Roman" w:hAnsi="Times New Roman"/>
          <w:sz w:val="24"/>
          <w:szCs w:val="24"/>
        </w:rPr>
        <w:t xml:space="preserve">duke lejuar dhe rregulluar reformën e inspektimeve (ZKM); </w:t>
      </w:r>
    </w:p>
    <w:p w14:paraId="6A87AA60" w14:textId="77777777" w:rsidR="00CE4035" w:rsidRPr="003229B1" w:rsidRDefault="00CE4035" w:rsidP="0068706C">
      <w:pPr>
        <w:pStyle w:val="BodyText"/>
        <w:widowControl w:val="0"/>
        <w:numPr>
          <w:ilvl w:val="0"/>
          <w:numId w:val="18"/>
        </w:numPr>
        <w:tabs>
          <w:tab w:val="clear" w:pos="850"/>
          <w:tab w:val="clear" w:pos="1191"/>
          <w:tab w:val="clear" w:pos="1531"/>
        </w:tabs>
        <w:spacing w:after="0"/>
        <w:rPr>
          <w:color w:val="000000"/>
          <w:sz w:val="24"/>
          <w:szCs w:val="24"/>
        </w:rPr>
      </w:pPr>
      <w:r w:rsidRPr="003229B1">
        <w:rPr>
          <w:color w:val="000000"/>
          <w:sz w:val="24"/>
          <w:szCs w:val="24"/>
        </w:rPr>
        <w:t>Ngritje e kapaciteteve njerëzore, që nënkupton trajnimin e inspektorëve dhe zyrtarëve tjerë relevant duke i përgatitë për zbatimin e plot të konceptit të ri të inspektimeve (Zyra Qendrore e Inspektimeve);</w:t>
      </w:r>
    </w:p>
    <w:p w14:paraId="71A00FA5" w14:textId="77777777" w:rsidR="00CE4035" w:rsidRPr="003229B1" w:rsidRDefault="00CE4035" w:rsidP="0068706C">
      <w:pPr>
        <w:pStyle w:val="BodyText"/>
        <w:widowControl w:val="0"/>
        <w:numPr>
          <w:ilvl w:val="0"/>
          <w:numId w:val="18"/>
        </w:numPr>
        <w:tabs>
          <w:tab w:val="clear" w:pos="850"/>
          <w:tab w:val="clear" w:pos="1191"/>
          <w:tab w:val="clear" w:pos="1531"/>
        </w:tabs>
        <w:spacing w:after="0"/>
        <w:rPr>
          <w:color w:val="000000"/>
          <w:sz w:val="24"/>
          <w:szCs w:val="24"/>
        </w:rPr>
      </w:pPr>
      <w:r w:rsidRPr="003229B1">
        <w:rPr>
          <w:color w:val="000000"/>
          <w:sz w:val="24"/>
          <w:szCs w:val="24"/>
        </w:rPr>
        <w:t xml:space="preserve">Zhvillimi dhe implementimi i platformës elektronike ‘E-Inspektori’ dhe pajisja e inspektorëve të organeve inspektuese me pajisje të specializuara elektronike që mundëson ndërlidhjen e inspektorëve dhe shkëmbimin e informatave/raporteve në kohë reale. Zhvillimi i platformës mbështetet nga projekti i bankës botërore dhe mbikëqyret nga Zyra Qendrore e Inspektimeve dhe Ministria e Tregtisë dhe Industrisë (Zyra Qendrore e Inspektimeve). </w:t>
      </w:r>
    </w:p>
    <w:p w14:paraId="5F1EE7EC" w14:textId="77777777" w:rsidR="005116BD" w:rsidRPr="005116BD" w:rsidRDefault="005116BD" w:rsidP="005116BD">
      <w:pPr>
        <w:pStyle w:val="ListParagraph"/>
        <w:widowControl w:val="0"/>
        <w:autoSpaceDE w:val="0"/>
        <w:autoSpaceDN w:val="0"/>
        <w:adjustRightInd w:val="0"/>
        <w:spacing w:after="0" w:line="240" w:lineRule="auto"/>
        <w:ind w:left="360"/>
        <w:contextualSpacing w:val="0"/>
        <w:jc w:val="both"/>
        <w:rPr>
          <w:rFonts w:ascii="Times New Roman" w:hAnsi="Times New Roman"/>
          <w:b/>
          <w:bCs/>
          <w:i/>
          <w:iCs/>
          <w:sz w:val="24"/>
          <w:szCs w:val="24"/>
        </w:rPr>
      </w:pPr>
    </w:p>
    <w:p w14:paraId="233320D9" w14:textId="6BCAD374" w:rsidR="00CE4035" w:rsidRPr="003229B1" w:rsidRDefault="00CE4035" w:rsidP="0068706C">
      <w:pPr>
        <w:pStyle w:val="ListParagraph"/>
        <w:widowControl w:val="0"/>
        <w:numPr>
          <w:ilvl w:val="0"/>
          <w:numId w:val="16"/>
        </w:numPr>
        <w:autoSpaceDE w:val="0"/>
        <w:autoSpaceDN w:val="0"/>
        <w:adjustRightInd w:val="0"/>
        <w:spacing w:after="0" w:line="240" w:lineRule="auto"/>
        <w:ind w:left="360"/>
        <w:contextualSpacing w:val="0"/>
        <w:jc w:val="both"/>
        <w:rPr>
          <w:rFonts w:ascii="Times New Roman" w:hAnsi="Times New Roman"/>
          <w:b/>
          <w:bCs/>
          <w:i/>
          <w:iCs/>
          <w:sz w:val="24"/>
          <w:szCs w:val="24"/>
        </w:rPr>
      </w:pPr>
      <w:r w:rsidRPr="003229B1">
        <w:rPr>
          <w:rFonts w:ascii="Times New Roman" w:hAnsi="Times New Roman"/>
          <w:b/>
          <w:bCs/>
          <w:iCs/>
          <w:sz w:val="24"/>
          <w:szCs w:val="24"/>
        </w:rPr>
        <w:t>Aktivitetet e planifikuara për 2023:</w:t>
      </w:r>
      <w:r w:rsidRPr="003229B1">
        <w:rPr>
          <w:rFonts w:ascii="Times New Roman" w:hAnsi="Times New Roman"/>
          <w:b/>
          <w:bCs/>
          <w:i/>
          <w:iCs/>
          <w:sz w:val="24"/>
          <w:szCs w:val="24"/>
        </w:rPr>
        <w:t xml:space="preserve"> </w:t>
      </w:r>
    </w:p>
    <w:p w14:paraId="7B7FFAFF" w14:textId="77777777" w:rsidR="00CE4035" w:rsidRPr="003229B1" w:rsidRDefault="00CE4035" w:rsidP="0068706C">
      <w:pPr>
        <w:pStyle w:val="BodyText"/>
        <w:widowControl w:val="0"/>
        <w:numPr>
          <w:ilvl w:val="0"/>
          <w:numId w:val="19"/>
        </w:numPr>
        <w:tabs>
          <w:tab w:val="clear" w:pos="850"/>
          <w:tab w:val="clear" w:pos="1191"/>
          <w:tab w:val="clear" w:pos="1531"/>
        </w:tabs>
        <w:spacing w:after="0"/>
        <w:rPr>
          <w:color w:val="000000"/>
          <w:sz w:val="24"/>
          <w:szCs w:val="24"/>
        </w:rPr>
      </w:pPr>
      <w:r w:rsidRPr="003229B1">
        <w:rPr>
          <w:color w:val="000000"/>
          <w:sz w:val="24"/>
          <w:szCs w:val="24"/>
        </w:rPr>
        <w:t>Ngritje e kapaciteteve njerëzore, që nënkupton trajnimin e inspektorëve dhe zyrtarëve tjerë relevant duke i përgatitë për zbatimin e plot të konceptit të ri të inspektimeve (Zyra Qendrore e Inspektimeve);</w:t>
      </w:r>
    </w:p>
    <w:p w14:paraId="77CD047D" w14:textId="77777777" w:rsidR="00CE4035" w:rsidRPr="003229B1" w:rsidRDefault="00CE4035" w:rsidP="0068706C">
      <w:pPr>
        <w:pStyle w:val="BodyText"/>
        <w:widowControl w:val="0"/>
        <w:numPr>
          <w:ilvl w:val="0"/>
          <w:numId w:val="19"/>
        </w:numPr>
        <w:tabs>
          <w:tab w:val="clear" w:pos="850"/>
          <w:tab w:val="clear" w:pos="1191"/>
          <w:tab w:val="clear" w:pos="1531"/>
        </w:tabs>
        <w:autoSpaceDE w:val="0"/>
        <w:autoSpaceDN w:val="0"/>
        <w:adjustRightInd w:val="0"/>
        <w:spacing w:after="0"/>
        <w:rPr>
          <w:sz w:val="24"/>
          <w:szCs w:val="24"/>
        </w:rPr>
      </w:pPr>
      <w:r w:rsidRPr="003229B1">
        <w:rPr>
          <w:color w:val="000000"/>
          <w:sz w:val="24"/>
          <w:szCs w:val="24"/>
        </w:rPr>
        <w:t xml:space="preserve">Zhvillimi dhe implementimi i platformës elektronike ‘E-Inspektori’ dhe pajisja e inspektorëve të organeve inspektuese me pajisje të specializuara elektronike që mundëson ndërlidhjen e inspektorëve dhe shkëmbimin e informatave/raporteve në kohë reale (Zyra Qendrore e Inspektimeve). </w:t>
      </w:r>
    </w:p>
    <w:p w14:paraId="0F32395B" w14:textId="77777777" w:rsidR="00CE4035" w:rsidRDefault="00CE4035" w:rsidP="00CE4035">
      <w:pPr>
        <w:autoSpaceDE w:val="0"/>
        <w:autoSpaceDN w:val="0"/>
        <w:adjustRightInd w:val="0"/>
        <w:contextualSpacing/>
        <w:jc w:val="both"/>
        <w:rPr>
          <w:b/>
          <w:bCs/>
        </w:rPr>
      </w:pPr>
    </w:p>
    <w:p w14:paraId="14CF1AF9" w14:textId="77777777" w:rsidR="00CE4035" w:rsidRPr="003229B1" w:rsidRDefault="00CE4035" w:rsidP="00CE4035">
      <w:pPr>
        <w:autoSpaceDE w:val="0"/>
        <w:autoSpaceDN w:val="0"/>
        <w:adjustRightInd w:val="0"/>
        <w:contextualSpacing/>
        <w:jc w:val="both"/>
        <w:rPr>
          <w:b/>
          <w:bCs/>
        </w:rPr>
      </w:pPr>
      <w:r w:rsidRPr="003229B1">
        <w:rPr>
          <w:b/>
          <w:bCs/>
        </w:rPr>
        <w:t>Treguesit e rezultateve:</w:t>
      </w:r>
    </w:p>
    <w:p w14:paraId="684A7DCC" w14:textId="77777777" w:rsidR="00CE4035" w:rsidRPr="003229B1" w:rsidRDefault="00CE4035" w:rsidP="00CE4035">
      <w:pPr>
        <w:autoSpaceDE w:val="0"/>
        <w:autoSpaceDN w:val="0"/>
        <w:adjustRightInd w:val="0"/>
        <w:contextualSpacing/>
        <w:jc w:val="both"/>
        <w:rPr>
          <w:b/>
          <w:bCs/>
        </w:rPr>
      </w:pPr>
    </w:p>
    <w:tbl>
      <w:tblPr>
        <w:tblStyle w:val="TableGrid"/>
        <w:tblW w:w="0" w:type="auto"/>
        <w:tblLook w:val="04A0" w:firstRow="1" w:lastRow="0" w:firstColumn="1" w:lastColumn="0" w:noHBand="0" w:noVBand="1"/>
      </w:tblPr>
      <w:tblGrid>
        <w:gridCol w:w="2280"/>
        <w:gridCol w:w="1688"/>
        <w:gridCol w:w="2548"/>
        <w:gridCol w:w="2098"/>
      </w:tblGrid>
      <w:tr w:rsidR="00CE4035" w:rsidRPr="003229B1" w14:paraId="224A1872" w14:textId="77777777" w:rsidTr="009B753C">
        <w:tc>
          <w:tcPr>
            <w:tcW w:w="2337" w:type="dxa"/>
          </w:tcPr>
          <w:p w14:paraId="0CC8F5EC" w14:textId="77777777" w:rsidR="00CE4035" w:rsidRPr="003229B1" w:rsidRDefault="00CE4035" w:rsidP="009B753C">
            <w:pPr>
              <w:autoSpaceDE w:val="0"/>
              <w:autoSpaceDN w:val="0"/>
              <w:adjustRightInd w:val="0"/>
              <w:jc w:val="both"/>
              <w:rPr>
                <w:bCs/>
              </w:rPr>
            </w:pPr>
            <w:r w:rsidRPr="003229B1">
              <w:rPr>
                <w:bCs/>
              </w:rPr>
              <w:t xml:space="preserve">Treguesi </w:t>
            </w:r>
          </w:p>
        </w:tc>
        <w:tc>
          <w:tcPr>
            <w:tcW w:w="1888" w:type="dxa"/>
          </w:tcPr>
          <w:p w14:paraId="148F070C" w14:textId="77777777" w:rsidR="00CE4035" w:rsidRPr="003229B1" w:rsidRDefault="00CE4035" w:rsidP="009B753C">
            <w:pPr>
              <w:autoSpaceDE w:val="0"/>
              <w:autoSpaceDN w:val="0"/>
              <w:adjustRightInd w:val="0"/>
              <w:jc w:val="both"/>
            </w:pPr>
            <w:r w:rsidRPr="003229B1">
              <w:rPr>
                <w:bCs/>
              </w:rPr>
              <w:t xml:space="preserve">Viti bazë 2020 </w:t>
            </w:r>
          </w:p>
        </w:tc>
        <w:tc>
          <w:tcPr>
            <w:tcW w:w="2787" w:type="dxa"/>
          </w:tcPr>
          <w:p w14:paraId="4E0E268F" w14:textId="77777777" w:rsidR="00CE4035" w:rsidRPr="003229B1" w:rsidRDefault="00CE4035" w:rsidP="009B753C">
            <w:pPr>
              <w:autoSpaceDE w:val="0"/>
              <w:autoSpaceDN w:val="0"/>
              <w:adjustRightInd w:val="0"/>
              <w:jc w:val="both"/>
            </w:pPr>
            <w:r w:rsidRPr="003229B1">
              <w:rPr>
                <w:bCs/>
              </w:rPr>
              <w:t xml:space="preserve">Synimi i ndërmjetëm 2021 </w:t>
            </w:r>
          </w:p>
        </w:tc>
        <w:tc>
          <w:tcPr>
            <w:tcW w:w="2338" w:type="dxa"/>
          </w:tcPr>
          <w:p w14:paraId="0FEA1591" w14:textId="77777777" w:rsidR="00CE4035" w:rsidRPr="003229B1" w:rsidRDefault="00CE4035" w:rsidP="009B753C">
            <w:pPr>
              <w:autoSpaceDE w:val="0"/>
              <w:autoSpaceDN w:val="0"/>
              <w:adjustRightInd w:val="0"/>
              <w:jc w:val="both"/>
            </w:pPr>
            <w:r w:rsidRPr="003229B1">
              <w:rPr>
                <w:bCs/>
              </w:rPr>
              <w:t xml:space="preserve">Synimi 2023 </w:t>
            </w:r>
          </w:p>
        </w:tc>
      </w:tr>
      <w:tr w:rsidR="00CE4035" w:rsidRPr="003229B1" w14:paraId="44170882" w14:textId="77777777" w:rsidTr="009B753C">
        <w:tc>
          <w:tcPr>
            <w:tcW w:w="2337" w:type="dxa"/>
          </w:tcPr>
          <w:p w14:paraId="0F988CCF" w14:textId="77777777" w:rsidR="00CE4035" w:rsidRPr="003229B1" w:rsidRDefault="00CE4035" w:rsidP="009B753C">
            <w:pPr>
              <w:autoSpaceDE w:val="0"/>
              <w:autoSpaceDN w:val="0"/>
              <w:adjustRightInd w:val="0"/>
              <w:spacing w:after="83"/>
            </w:pPr>
            <w:r w:rsidRPr="003229B1">
              <w:rPr>
                <w:lang w:eastAsia="zh-CN"/>
              </w:rPr>
              <w:t>N</w:t>
            </w:r>
            <w:r w:rsidRPr="003229B1">
              <w:rPr>
                <w:lang w:eastAsia="en-GB"/>
              </w:rPr>
              <w:t>umri i ankesave të konsumatorëve të adresuara/trajtuara</w:t>
            </w:r>
          </w:p>
        </w:tc>
        <w:tc>
          <w:tcPr>
            <w:tcW w:w="1888" w:type="dxa"/>
            <w:vAlign w:val="center"/>
          </w:tcPr>
          <w:p w14:paraId="6A5E87EF" w14:textId="77777777" w:rsidR="00CE4035" w:rsidRPr="003229B1" w:rsidRDefault="00CE4035" w:rsidP="009B753C">
            <w:pPr>
              <w:autoSpaceDE w:val="0"/>
              <w:autoSpaceDN w:val="0"/>
              <w:adjustRightInd w:val="0"/>
              <w:jc w:val="center"/>
              <w:rPr>
                <w:bCs/>
              </w:rPr>
            </w:pPr>
            <w:r w:rsidRPr="003229B1">
              <w:rPr>
                <w:lang w:eastAsia="zh-CN"/>
              </w:rPr>
              <w:t>821</w:t>
            </w:r>
          </w:p>
        </w:tc>
        <w:tc>
          <w:tcPr>
            <w:tcW w:w="2787" w:type="dxa"/>
            <w:vAlign w:val="center"/>
          </w:tcPr>
          <w:p w14:paraId="4791D881" w14:textId="77777777" w:rsidR="00CE4035" w:rsidRPr="003229B1" w:rsidRDefault="00CE4035" w:rsidP="009B753C">
            <w:pPr>
              <w:autoSpaceDE w:val="0"/>
              <w:autoSpaceDN w:val="0"/>
              <w:adjustRightInd w:val="0"/>
              <w:jc w:val="center"/>
              <w:rPr>
                <w:bCs/>
              </w:rPr>
            </w:pPr>
            <w:r w:rsidRPr="003229B1">
              <w:rPr>
                <w:lang w:eastAsia="zh-CN"/>
              </w:rPr>
              <w:t>1200</w:t>
            </w:r>
          </w:p>
        </w:tc>
        <w:tc>
          <w:tcPr>
            <w:tcW w:w="2338" w:type="dxa"/>
            <w:vAlign w:val="center"/>
          </w:tcPr>
          <w:p w14:paraId="412BB04B" w14:textId="77777777" w:rsidR="00CE4035" w:rsidRPr="003229B1" w:rsidRDefault="00CE4035" w:rsidP="009B753C">
            <w:pPr>
              <w:autoSpaceDE w:val="0"/>
              <w:autoSpaceDN w:val="0"/>
              <w:adjustRightInd w:val="0"/>
              <w:jc w:val="center"/>
              <w:rPr>
                <w:bCs/>
              </w:rPr>
            </w:pPr>
            <w:r w:rsidRPr="003229B1">
              <w:rPr>
                <w:lang w:eastAsia="zh-CN"/>
              </w:rPr>
              <w:t>1800</w:t>
            </w:r>
          </w:p>
        </w:tc>
      </w:tr>
      <w:tr w:rsidR="00CE4035" w:rsidRPr="003229B1" w14:paraId="166CA399" w14:textId="77777777" w:rsidTr="009B753C">
        <w:tc>
          <w:tcPr>
            <w:tcW w:w="2337" w:type="dxa"/>
          </w:tcPr>
          <w:p w14:paraId="42AE4635" w14:textId="77777777" w:rsidR="00CE4035" w:rsidRPr="003229B1" w:rsidRDefault="00CE4035" w:rsidP="009B753C">
            <w:pPr>
              <w:autoSpaceDE w:val="0"/>
              <w:autoSpaceDN w:val="0"/>
              <w:adjustRightInd w:val="0"/>
              <w:rPr>
                <w:highlight w:val="yellow"/>
                <w:lang w:eastAsia="zh-CN"/>
              </w:rPr>
            </w:pPr>
            <w:r w:rsidRPr="003229B1">
              <w:rPr>
                <w:lang w:eastAsia="zh-CN"/>
              </w:rPr>
              <w:t>Zvogëlimi i trupave inspektuese</w:t>
            </w:r>
          </w:p>
        </w:tc>
        <w:tc>
          <w:tcPr>
            <w:tcW w:w="1888" w:type="dxa"/>
            <w:vAlign w:val="center"/>
          </w:tcPr>
          <w:p w14:paraId="32C83712" w14:textId="77777777" w:rsidR="00CE4035" w:rsidRPr="003229B1" w:rsidRDefault="00CE4035" w:rsidP="009B753C">
            <w:pPr>
              <w:autoSpaceDE w:val="0"/>
              <w:autoSpaceDN w:val="0"/>
              <w:adjustRightInd w:val="0"/>
              <w:jc w:val="center"/>
              <w:rPr>
                <w:highlight w:val="yellow"/>
                <w:lang w:eastAsia="zh-CN"/>
              </w:rPr>
            </w:pPr>
            <w:r w:rsidRPr="003229B1">
              <w:rPr>
                <w:lang w:eastAsia="zh-CN"/>
              </w:rPr>
              <w:t>36</w:t>
            </w:r>
          </w:p>
        </w:tc>
        <w:tc>
          <w:tcPr>
            <w:tcW w:w="2787" w:type="dxa"/>
            <w:vAlign w:val="center"/>
          </w:tcPr>
          <w:p w14:paraId="45F582E2" w14:textId="77777777" w:rsidR="00CE4035" w:rsidRPr="003229B1" w:rsidRDefault="00CE4035" w:rsidP="009B753C">
            <w:pPr>
              <w:autoSpaceDE w:val="0"/>
              <w:autoSpaceDN w:val="0"/>
              <w:adjustRightInd w:val="0"/>
              <w:jc w:val="center"/>
              <w:rPr>
                <w:highlight w:val="yellow"/>
                <w:lang w:eastAsia="zh-CN"/>
              </w:rPr>
            </w:pPr>
            <w:r w:rsidRPr="003229B1">
              <w:rPr>
                <w:lang w:eastAsia="zh-CN"/>
              </w:rPr>
              <w:t>36</w:t>
            </w:r>
          </w:p>
        </w:tc>
        <w:tc>
          <w:tcPr>
            <w:tcW w:w="2338" w:type="dxa"/>
            <w:vAlign w:val="center"/>
          </w:tcPr>
          <w:p w14:paraId="76AAEDAB" w14:textId="77777777" w:rsidR="00CE4035" w:rsidRPr="003229B1" w:rsidRDefault="00CE4035" w:rsidP="009B753C">
            <w:pPr>
              <w:autoSpaceDE w:val="0"/>
              <w:autoSpaceDN w:val="0"/>
              <w:adjustRightInd w:val="0"/>
              <w:jc w:val="center"/>
              <w:rPr>
                <w:highlight w:val="yellow"/>
                <w:lang w:eastAsia="zh-CN"/>
              </w:rPr>
            </w:pPr>
            <w:r w:rsidRPr="003229B1">
              <w:rPr>
                <w:lang w:eastAsia="zh-CN"/>
              </w:rPr>
              <w:t>18</w:t>
            </w:r>
          </w:p>
        </w:tc>
      </w:tr>
    </w:tbl>
    <w:p w14:paraId="60CCDC67" w14:textId="77777777" w:rsidR="00CE4035" w:rsidRPr="003229B1" w:rsidRDefault="00CE4035" w:rsidP="00CE4035">
      <w:pPr>
        <w:tabs>
          <w:tab w:val="left" w:pos="1200"/>
        </w:tabs>
        <w:rPr>
          <w:b/>
        </w:rPr>
      </w:pPr>
    </w:p>
    <w:p w14:paraId="2E30419F" w14:textId="77777777" w:rsidR="00CE4035" w:rsidRPr="003229B1" w:rsidRDefault="00CE4035" w:rsidP="00CE4035">
      <w:pPr>
        <w:tabs>
          <w:tab w:val="left" w:pos="1200"/>
        </w:tabs>
        <w:jc w:val="both"/>
      </w:pPr>
      <w:r w:rsidRPr="003229B1">
        <w:rPr>
          <w:b/>
          <w:bCs/>
        </w:rPr>
        <w:t xml:space="preserve">Ndikimi i pritur në konkurrueshmëri: </w:t>
      </w:r>
      <w:r w:rsidRPr="003229B1">
        <w:t xml:space="preserve">Masa synon krijimin e një sistemi të unifikuar i cili siguron koordinim ndërinstitucional të qëndrueshëm, mbikëqyrje efikase dhe transparencë të plotë gjatë ushtrimit të mbikëqyrjes dhe llogaridhënies me rastin e zbatimit të kompetencave dhe përgjegjësive ligjore nga ana e autoriteteve inspektuese. Ky mision pritet të përmirësoj konkurrueshmërinë duke lehtësuar ambientin e të bërit biznes, përmes zvogëlimit të barrës mbikëqyrëse për bizneset, një kontroll më efektive po ashtu zvogëlon informalitetin duke e favorizuar biznesin dhe prodhimin cilësor dhe të rregulluar. </w:t>
      </w:r>
    </w:p>
    <w:p w14:paraId="5F8F94FC" w14:textId="77777777" w:rsidR="005116BD" w:rsidRDefault="005116BD" w:rsidP="005116BD">
      <w:pPr>
        <w:pStyle w:val="BodyText"/>
        <w:ind w:firstLine="0"/>
        <w:rPr>
          <w:b/>
          <w:bCs/>
          <w:sz w:val="24"/>
          <w:szCs w:val="24"/>
        </w:rPr>
      </w:pPr>
    </w:p>
    <w:p w14:paraId="044F875A" w14:textId="4E78CB6E" w:rsidR="00CE4035" w:rsidRPr="005116BD" w:rsidRDefault="00CE4035" w:rsidP="005116BD">
      <w:pPr>
        <w:pStyle w:val="BodyText"/>
        <w:ind w:firstLine="0"/>
        <w:rPr>
          <w:sz w:val="24"/>
          <w:szCs w:val="24"/>
        </w:rPr>
      </w:pPr>
      <w:r w:rsidRPr="003229B1">
        <w:rPr>
          <w:b/>
          <w:bCs/>
          <w:sz w:val="24"/>
          <w:szCs w:val="24"/>
        </w:rPr>
        <w:t xml:space="preserve">Vlerësimi i kostos së aktiviteteve dhe burimet e financimit: </w:t>
      </w:r>
      <w:r w:rsidRPr="003229B1">
        <w:rPr>
          <w:bCs/>
          <w:sz w:val="24"/>
          <w:szCs w:val="24"/>
        </w:rPr>
        <w:t xml:space="preserve">Kostoja totale e kësaj mase është </w:t>
      </w:r>
      <w:r w:rsidRPr="003229B1">
        <w:rPr>
          <w:color w:val="000000"/>
          <w:sz w:val="24"/>
          <w:szCs w:val="24"/>
        </w:rPr>
        <w:t xml:space="preserve">€ </w:t>
      </w:r>
      <w:r w:rsidRPr="003229B1">
        <w:rPr>
          <w:bCs/>
          <w:sz w:val="24"/>
          <w:szCs w:val="24"/>
        </w:rPr>
        <w:t xml:space="preserve">1,206,900.00. Nga ky buxhet, </w:t>
      </w:r>
      <w:r w:rsidRPr="003229B1">
        <w:rPr>
          <w:color w:val="000000"/>
          <w:sz w:val="24"/>
          <w:szCs w:val="24"/>
        </w:rPr>
        <w:t xml:space="preserve">€ </w:t>
      </w:r>
      <w:r w:rsidRPr="003229B1">
        <w:rPr>
          <w:bCs/>
          <w:sz w:val="24"/>
          <w:szCs w:val="24"/>
        </w:rPr>
        <w:t xml:space="preserve">254,000.00 ndahen nga Buxheti i Kosovës ndërsa </w:t>
      </w:r>
      <w:r w:rsidRPr="003229B1">
        <w:rPr>
          <w:color w:val="000000"/>
          <w:sz w:val="24"/>
          <w:szCs w:val="24"/>
        </w:rPr>
        <w:t xml:space="preserve">€ </w:t>
      </w:r>
      <w:r w:rsidRPr="003229B1">
        <w:rPr>
          <w:bCs/>
          <w:sz w:val="24"/>
          <w:szCs w:val="24"/>
        </w:rPr>
        <w:t xml:space="preserve">952,900.00 kredi nga Banka Botërore. Për vitin 2021 parashihen </w:t>
      </w:r>
      <w:r w:rsidRPr="003229B1">
        <w:rPr>
          <w:color w:val="000000"/>
          <w:sz w:val="24"/>
          <w:szCs w:val="24"/>
        </w:rPr>
        <w:t xml:space="preserve">€ </w:t>
      </w:r>
      <w:r w:rsidRPr="003229B1">
        <w:rPr>
          <w:bCs/>
          <w:sz w:val="24"/>
          <w:szCs w:val="24"/>
        </w:rPr>
        <w:t xml:space="preserve">50,800.00 nga Buxheti i Kosovës dhe </w:t>
      </w:r>
      <w:r w:rsidRPr="003229B1">
        <w:rPr>
          <w:color w:val="000000"/>
          <w:sz w:val="24"/>
          <w:szCs w:val="24"/>
        </w:rPr>
        <w:t xml:space="preserve">€ </w:t>
      </w:r>
      <w:r w:rsidRPr="003229B1">
        <w:rPr>
          <w:sz w:val="24"/>
          <w:szCs w:val="24"/>
        </w:rPr>
        <w:t xml:space="preserve">160,000.00 kredi nga Banka Botërore. Për vitin 2022 parashihet </w:t>
      </w:r>
      <w:r w:rsidRPr="003229B1">
        <w:rPr>
          <w:color w:val="000000"/>
          <w:sz w:val="24"/>
          <w:szCs w:val="24"/>
        </w:rPr>
        <w:t xml:space="preserve">€ </w:t>
      </w:r>
      <w:r w:rsidRPr="003229B1">
        <w:rPr>
          <w:sz w:val="24"/>
          <w:szCs w:val="24"/>
        </w:rPr>
        <w:t xml:space="preserve">101,600.00 nga </w:t>
      </w:r>
      <w:r w:rsidRPr="003229B1">
        <w:rPr>
          <w:bCs/>
          <w:sz w:val="24"/>
          <w:szCs w:val="24"/>
        </w:rPr>
        <w:t>Buxheti i Kosovës</w:t>
      </w:r>
      <w:r w:rsidRPr="003229B1">
        <w:rPr>
          <w:sz w:val="24"/>
          <w:szCs w:val="24"/>
        </w:rPr>
        <w:t xml:space="preserve"> dhe </w:t>
      </w:r>
      <w:r w:rsidRPr="003229B1">
        <w:rPr>
          <w:color w:val="000000"/>
          <w:sz w:val="24"/>
          <w:szCs w:val="24"/>
        </w:rPr>
        <w:t xml:space="preserve">€ </w:t>
      </w:r>
      <w:r w:rsidRPr="003229B1">
        <w:rPr>
          <w:sz w:val="24"/>
          <w:szCs w:val="24"/>
        </w:rPr>
        <w:t xml:space="preserve">692,900.00 kredi nga Banka Botërore. Për vitin 2023 parashihen </w:t>
      </w:r>
      <w:r w:rsidRPr="003229B1">
        <w:rPr>
          <w:color w:val="000000"/>
          <w:sz w:val="24"/>
          <w:szCs w:val="24"/>
        </w:rPr>
        <w:t>€</w:t>
      </w:r>
      <w:r w:rsidRPr="003229B1">
        <w:rPr>
          <w:sz w:val="24"/>
          <w:szCs w:val="24"/>
        </w:rPr>
        <w:t xml:space="preserve"> 101,600.00 nga </w:t>
      </w:r>
      <w:r w:rsidRPr="003229B1">
        <w:rPr>
          <w:bCs/>
          <w:sz w:val="24"/>
          <w:szCs w:val="24"/>
        </w:rPr>
        <w:t>Buxheti i Kosovës</w:t>
      </w:r>
      <w:r w:rsidRPr="003229B1">
        <w:rPr>
          <w:sz w:val="24"/>
          <w:szCs w:val="24"/>
        </w:rPr>
        <w:t xml:space="preserve"> dhe </w:t>
      </w:r>
      <w:r w:rsidRPr="003229B1">
        <w:rPr>
          <w:color w:val="000000"/>
          <w:sz w:val="24"/>
          <w:szCs w:val="24"/>
        </w:rPr>
        <w:t>€</w:t>
      </w:r>
      <w:r w:rsidRPr="003229B1">
        <w:rPr>
          <w:sz w:val="24"/>
          <w:szCs w:val="24"/>
        </w:rPr>
        <w:t xml:space="preserve"> 100,000.00 kredi nga Banka Botërore. </w:t>
      </w:r>
    </w:p>
    <w:p w14:paraId="7A082776" w14:textId="3EA6B199" w:rsidR="00CE4035" w:rsidRDefault="00CE4035" w:rsidP="00CE4035">
      <w:pPr>
        <w:jc w:val="both"/>
      </w:pPr>
      <w:r w:rsidRPr="003229B1">
        <w:rPr>
          <w:b/>
          <w:bCs/>
        </w:rPr>
        <w:t xml:space="preserve">Ndikimet e pritshme mbi rezultatet sociale, të tilla si punësimi, reduktimi i varfërisë, barazia gjinore: </w:t>
      </w:r>
      <w:r w:rsidRPr="003229B1">
        <w:t xml:space="preserve">Masa e propozuar nuk ka ndikim të drejtpërdrejt në punësim, mirëpo e përmirëson efektivitetin administrativ sa i përket inspektimeve dhe zvogëlon barrierën e kontrollit që ushtrohet ndaj bizneseve. </w:t>
      </w:r>
    </w:p>
    <w:p w14:paraId="1BF800F1" w14:textId="77777777" w:rsidR="005116BD" w:rsidRPr="003229B1" w:rsidRDefault="005116BD" w:rsidP="00CE4035">
      <w:pPr>
        <w:jc w:val="both"/>
      </w:pPr>
    </w:p>
    <w:p w14:paraId="25DEDAAC" w14:textId="7D9D1231" w:rsidR="00CE4035" w:rsidRDefault="00CE4035" w:rsidP="00CE4035">
      <w:pPr>
        <w:jc w:val="both"/>
        <w:rPr>
          <w:bCs/>
        </w:rPr>
      </w:pPr>
      <w:r w:rsidRPr="003229B1">
        <w:rPr>
          <w:b/>
          <w:bCs/>
        </w:rPr>
        <w:t xml:space="preserve">Ndikimi i pritshëm në mjedis: </w:t>
      </w:r>
      <w:r w:rsidRPr="003229B1">
        <w:rPr>
          <w:bCs/>
        </w:rPr>
        <w:t>Masa nuk pritet të ketë ndikim në mjedis</w:t>
      </w:r>
    </w:p>
    <w:p w14:paraId="0DCFE3CE" w14:textId="77777777" w:rsidR="005116BD" w:rsidRPr="003229B1" w:rsidRDefault="005116BD" w:rsidP="00CE4035">
      <w:pPr>
        <w:jc w:val="both"/>
      </w:pPr>
    </w:p>
    <w:p w14:paraId="7177B540" w14:textId="77777777" w:rsidR="00CE4035" w:rsidRPr="003229B1" w:rsidRDefault="00CE4035" w:rsidP="00CE4035">
      <w:pPr>
        <w:jc w:val="both"/>
        <w:rPr>
          <w:b/>
        </w:rPr>
      </w:pPr>
      <w:r w:rsidRPr="003229B1">
        <w:rPr>
          <w:b/>
        </w:rPr>
        <w:t>Rreziqet potenciale:</w:t>
      </w:r>
    </w:p>
    <w:tbl>
      <w:tblPr>
        <w:tblW w:w="8640" w:type="dxa"/>
        <w:tblInd w:w="-5" w:type="dxa"/>
        <w:tblBorders>
          <w:top w:val="nil"/>
          <w:left w:val="nil"/>
          <w:bottom w:val="nil"/>
          <w:right w:val="nil"/>
        </w:tblBorders>
        <w:tblLayout w:type="fixed"/>
        <w:tblLook w:val="0000" w:firstRow="0" w:lastRow="0" w:firstColumn="0" w:lastColumn="0" w:noHBand="0" w:noVBand="0"/>
      </w:tblPr>
      <w:tblGrid>
        <w:gridCol w:w="2778"/>
        <w:gridCol w:w="1632"/>
        <w:gridCol w:w="4230"/>
      </w:tblGrid>
      <w:tr w:rsidR="00CE4035" w:rsidRPr="003229B1" w14:paraId="056CD213" w14:textId="77777777" w:rsidTr="005116BD">
        <w:trPr>
          <w:trHeight w:val="98"/>
        </w:trPr>
        <w:tc>
          <w:tcPr>
            <w:tcW w:w="2778" w:type="dxa"/>
            <w:tcBorders>
              <w:top w:val="single" w:sz="4" w:space="0" w:color="auto"/>
              <w:left w:val="single" w:sz="4" w:space="0" w:color="auto"/>
              <w:bottom w:val="single" w:sz="4" w:space="0" w:color="auto"/>
              <w:right w:val="single" w:sz="4" w:space="0" w:color="auto"/>
            </w:tcBorders>
          </w:tcPr>
          <w:p w14:paraId="18713E01" w14:textId="77777777" w:rsidR="00CE4035" w:rsidRPr="003229B1" w:rsidRDefault="00CE4035" w:rsidP="009B753C">
            <w:pPr>
              <w:autoSpaceDE w:val="0"/>
              <w:autoSpaceDN w:val="0"/>
              <w:adjustRightInd w:val="0"/>
              <w:jc w:val="center"/>
            </w:pPr>
            <w:r w:rsidRPr="003229B1">
              <w:rPr>
                <w:b/>
                <w:bCs/>
              </w:rPr>
              <w:t>Rreziku</w:t>
            </w:r>
          </w:p>
        </w:tc>
        <w:tc>
          <w:tcPr>
            <w:tcW w:w="1632" w:type="dxa"/>
            <w:tcBorders>
              <w:top w:val="single" w:sz="4" w:space="0" w:color="auto"/>
              <w:left w:val="single" w:sz="4" w:space="0" w:color="auto"/>
              <w:bottom w:val="single" w:sz="4" w:space="0" w:color="auto"/>
              <w:right w:val="single" w:sz="4" w:space="0" w:color="auto"/>
            </w:tcBorders>
          </w:tcPr>
          <w:p w14:paraId="4B64799D" w14:textId="77777777" w:rsidR="00CE4035" w:rsidRPr="003229B1" w:rsidRDefault="00CE4035" w:rsidP="009B753C">
            <w:pPr>
              <w:autoSpaceDE w:val="0"/>
              <w:autoSpaceDN w:val="0"/>
              <w:adjustRightInd w:val="0"/>
              <w:jc w:val="center"/>
            </w:pPr>
            <w:r w:rsidRPr="003229B1">
              <w:rPr>
                <w:b/>
                <w:bCs/>
              </w:rPr>
              <w:t>Probabiliteti</w:t>
            </w:r>
          </w:p>
        </w:tc>
        <w:tc>
          <w:tcPr>
            <w:tcW w:w="4230" w:type="dxa"/>
            <w:tcBorders>
              <w:top w:val="single" w:sz="4" w:space="0" w:color="auto"/>
              <w:left w:val="single" w:sz="4" w:space="0" w:color="auto"/>
              <w:bottom w:val="single" w:sz="4" w:space="0" w:color="auto"/>
              <w:right w:val="single" w:sz="4" w:space="0" w:color="auto"/>
            </w:tcBorders>
          </w:tcPr>
          <w:p w14:paraId="689A6049" w14:textId="77777777" w:rsidR="00CE4035" w:rsidRPr="003229B1" w:rsidRDefault="00CE4035" w:rsidP="009B753C">
            <w:pPr>
              <w:autoSpaceDE w:val="0"/>
              <w:autoSpaceDN w:val="0"/>
              <w:adjustRightInd w:val="0"/>
              <w:jc w:val="center"/>
            </w:pPr>
            <w:r w:rsidRPr="003229B1">
              <w:rPr>
                <w:b/>
                <w:bCs/>
              </w:rPr>
              <w:t>Veprimi lehtësues i planifikuar</w:t>
            </w:r>
          </w:p>
        </w:tc>
      </w:tr>
      <w:tr w:rsidR="00CE4035" w:rsidRPr="003229B1" w14:paraId="19144961" w14:textId="77777777" w:rsidTr="005116BD">
        <w:trPr>
          <w:trHeight w:val="854"/>
        </w:trPr>
        <w:tc>
          <w:tcPr>
            <w:tcW w:w="2778" w:type="dxa"/>
            <w:tcBorders>
              <w:left w:val="single" w:sz="4" w:space="0" w:color="auto"/>
              <w:bottom w:val="single" w:sz="4" w:space="0" w:color="auto"/>
              <w:right w:val="single" w:sz="4" w:space="0" w:color="auto"/>
            </w:tcBorders>
          </w:tcPr>
          <w:p w14:paraId="3AC3D88D" w14:textId="77777777" w:rsidR="00CE4035" w:rsidRPr="003229B1" w:rsidRDefault="00CE4035" w:rsidP="009B753C">
            <w:pPr>
              <w:autoSpaceDE w:val="0"/>
              <w:autoSpaceDN w:val="0"/>
              <w:adjustRightInd w:val="0"/>
              <w:rPr>
                <w:highlight w:val="yellow"/>
              </w:rPr>
            </w:pPr>
            <w:r w:rsidRPr="003229B1">
              <w:t xml:space="preserve">Mungesa e kapaciteteve për zbatim. </w:t>
            </w:r>
          </w:p>
        </w:tc>
        <w:tc>
          <w:tcPr>
            <w:tcW w:w="1632" w:type="dxa"/>
            <w:tcBorders>
              <w:left w:val="single" w:sz="4" w:space="0" w:color="auto"/>
              <w:bottom w:val="single" w:sz="4" w:space="0" w:color="auto"/>
              <w:right w:val="single" w:sz="4" w:space="0" w:color="auto"/>
            </w:tcBorders>
          </w:tcPr>
          <w:p w14:paraId="0657752A" w14:textId="77777777" w:rsidR="00CE4035" w:rsidRPr="003229B1" w:rsidRDefault="00CE4035" w:rsidP="009B753C">
            <w:pPr>
              <w:autoSpaceDE w:val="0"/>
              <w:autoSpaceDN w:val="0"/>
              <w:adjustRightInd w:val="0"/>
              <w:jc w:val="center"/>
            </w:pPr>
            <w:r w:rsidRPr="003229B1">
              <w:t>I lartë</w:t>
            </w:r>
          </w:p>
        </w:tc>
        <w:tc>
          <w:tcPr>
            <w:tcW w:w="4230" w:type="dxa"/>
            <w:tcBorders>
              <w:left w:val="single" w:sz="4" w:space="0" w:color="auto"/>
              <w:bottom w:val="single" w:sz="4" w:space="0" w:color="auto"/>
              <w:right w:val="single" w:sz="4" w:space="0" w:color="auto"/>
            </w:tcBorders>
          </w:tcPr>
          <w:p w14:paraId="64367ADD" w14:textId="77777777" w:rsidR="00CE4035" w:rsidRPr="003229B1" w:rsidRDefault="00CE4035" w:rsidP="009B753C">
            <w:pPr>
              <w:autoSpaceDE w:val="0"/>
              <w:autoSpaceDN w:val="0"/>
              <w:adjustRightInd w:val="0"/>
              <w:jc w:val="both"/>
            </w:pPr>
            <w:r w:rsidRPr="003229B1">
              <w:t>Organizimi i trajnimeve për ngritjen e kapaciteteve profesionale përmes asistencës teknike</w:t>
            </w:r>
          </w:p>
        </w:tc>
      </w:tr>
    </w:tbl>
    <w:p w14:paraId="3A4FC097" w14:textId="77777777" w:rsidR="00CE4035" w:rsidRDefault="00CE4035" w:rsidP="00CE4035">
      <w:pPr>
        <w:jc w:val="both"/>
      </w:pPr>
    </w:p>
    <w:p w14:paraId="209C3D18" w14:textId="77777777" w:rsidR="00CE4035" w:rsidRPr="003229B1" w:rsidRDefault="00CE4035" w:rsidP="00CE4035">
      <w:pPr>
        <w:shd w:val="clear" w:color="auto" w:fill="9CC2E5" w:themeFill="accent1" w:themeFillTint="99"/>
      </w:pPr>
      <w:r w:rsidRPr="003229B1">
        <w:rPr>
          <w:b/>
        </w:rPr>
        <w:t>Masa e reformës 9#: Themelimi dhe funksionalizimi i Gjykatës Komerciale</w:t>
      </w:r>
    </w:p>
    <w:p w14:paraId="24E08C33" w14:textId="00EF50E5" w:rsidR="00CE4035" w:rsidRDefault="00CE4035" w:rsidP="00CE4035">
      <w:pPr>
        <w:tabs>
          <w:tab w:val="left" w:pos="270"/>
        </w:tabs>
        <w:spacing w:line="238" w:lineRule="auto"/>
        <w:ind w:right="8"/>
        <w:jc w:val="both"/>
      </w:pPr>
      <w:r w:rsidRPr="003229B1">
        <w:rPr>
          <w:b/>
        </w:rPr>
        <w:t xml:space="preserve">Përshkrimi i masës: </w:t>
      </w:r>
      <w:r w:rsidRPr="003229B1">
        <w:t>Kjo masë fokusohet në rritjen e efektshmërisë se zgjidhjeve të</w:t>
      </w:r>
      <w:r w:rsidRPr="003229B1">
        <w:rPr>
          <w:b/>
        </w:rPr>
        <w:t xml:space="preserve"> </w:t>
      </w:r>
      <w:r w:rsidRPr="003229B1">
        <w:t>konflikteve tregtare duke e themeluar Gjykatën Komerciale, si e vetmja adresë për zgjidhjen e të gjitha konflikteve tregtare të bizneseve dhe investitorëve të huaj. Kjo është një gjykate komerciale me dy-shkallshmëri, që përfshinë të gjitha kompetencat e Departamentit Ekonomik si dhe çështjet tregtare nën Departamentin Administrativ. Kjo reformë është prezantuar në PRE 2020-2021, që ka pasuar Masën 10 nga PRE 2019-2021 (Rritja e Efikasitetit në Gjyqësor). Masa 9 do të vazhdojë së zbatuari edhe me planifikimet PRE 2021-2023. Kjo masë komunikon me Synimit 16 të SDG (Promovimi i shoqërive të drejta, paqësore dhe gjithëpërfshirëse) përmes promovimit të shoqërive paqësore dhe gjithëpërfshirëse për zhvillim të qëndrueshëm, sigurimit të qasjes në drejtësi për të gjithë, dhe ndërtimit të institucioneve efektive, të përgjegjshme në të gjitha nivelet.</w:t>
      </w:r>
    </w:p>
    <w:p w14:paraId="77FF121E" w14:textId="77777777" w:rsidR="005116BD" w:rsidRPr="003229B1" w:rsidRDefault="005116BD" w:rsidP="00CE4035">
      <w:pPr>
        <w:tabs>
          <w:tab w:val="left" w:pos="270"/>
        </w:tabs>
        <w:spacing w:line="238" w:lineRule="auto"/>
        <w:ind w:right="8"/>
        <w:jc w:val="both"/>
        <w:rPr>
          <w:b/>
        </w:rPr>
      </w:pPr>
    </w:p>
    <w:p w14:paraId="556F4922" w14:textId="77777777" w:rsidR="00CE4035" w:rsidRPr="003229B1" w:rsidRDefault="00CE4035" w:rsidP="0068706C">
      <w:pPr>
        <w:numPr>
          <w:ilvl w:val="1"/>
          <w:numId w:val="20"/>
        </w:numPr>
        <w:tabs>
          <w:tab w:val="left" w:pos="1350"/>
        </w:tabs>
        <w:spacing w:line="0" w:lineRule="atLeast"/>
        <w:ind w:left="360" w:hanging="360"/>
        <w:rPr>
          <w:b/>
        </w:rPr>
      </w:pPr>
      <w:r w:rsidRPr="003229B1">
        <w:rPr>
          <w:b/>
        </w:rPr>
        <w:t>Aktivitetet e planifikuara për 2021:</w:t>
      </w:r>
    </w:p>
    <w:p w14:paraId="29557791" w14:textId="77777777" w:rsidR="00CE4035" w:rsidRPr="003229B1" w:rsidRDefault="00CE4035" w:rsidP="00CE4035">
      <w:pPr>
        <w:spacing w:line="57" w:lineRule="exact"/>
        <w:rPr>
          <w:b/>
        </w:rPr>
      </w:pPr>
    </w:p>
    <w:p w14:paraId="4ED8C3D3" w14:textId="798E89B0" w:rsidR="00CE4035" w:rsidRDefault="00CE4035" w:rsidP="0068706C">
      <w:pPr>
        <w:pStyle w:val="ListParagraph"/>
        <w:widowControl w:val="0"/>
        <w:numPr>
          <w:ilvl w:val="0"/>
          <w:numId w:val="22"/>
        </w:numPr>
        <w:tabs>
          <w:tab w:val="left" w:pos="270"/>
        </w:tabs>
        <w:spacing w:after="0" w:line="0" w:lineRule="atLeast"/>
        <w:contextualSpacing w:val="0"/>
        <w:rPr>
          <w:rFonts w:ascii="Times New Roman" w:hAnsi="Times New Roman"/>
          <w:sz w:val="24"/>
          <w:szCs w:val="24"/>
        </w:rPr>
      </w:pPr>
      <w:r w:rsidRPr="003229B1">
        <w:rPr>
          <w:rFonts w:ascii="Times New Roman" w:hAnsi="Times New Roman"/>
          <w:sz w:val="24"/>
          <w:szCs w:val="24"/>
        </w:rPr>
        <w:t xml:space="preserve"> Hartimi dhe miratimi i Projektligjit për Gjykatën Komerciale (MD);</w:t>
      </w:r>
    </w:p>
    <w:p w14:paraId="6C451939" w14:textId="77777777" w:rsidR="005116BD" w:rsidRPr="003229B1" w:rsidRDefault="005116BD" w:rsidP="005116BD">
      <w:pPr>
        <w:pStyle w:val="ListParagraph"/>
        <w:widowControl w:val="0"/>
        <w:tabs>
          <w:tab w:val="left" w:pos="270"/>
        </w:tabs>
        <w:spacing w:after="0" w:line="0" w:lineRule="atLeast"/>
        <w:ind w:left="360"/>
        <w:contextualSpacing w:val="0"/>
        <w:rPr>
          <w:rFonts w:ascii="Times New Roman" w:hAnsi="Times New Roman"/>
          <w:sz w:val="24"/>
          <w:szCs w:val="24"/>
        </w:rPr>
      </w:pPr>
    </w:p>
    <w:p w14:paraId="6CDD60CC" w14:textId="77777777" w:rsidR="00CE4035" w:rsidRPr="003229B1" w:rsidRDefault="00CE4035" w:rsidP="00CE4035">
      <w:pPr>
        <w:spacing w:line="72" w:lineRule="exact"/>
      </w:pPr>
    </w:p>
    <w:p w14:paraId="03D76893" w14:textId="77777777" w:rsidR="00CE4035" w:rsidRPr="003229B1" w:rsidRDefault="00CE4035" w:rsidP="00CE4035">
      <w:pPr>
        <w:tabs>
          <w:tab w:val="left" w:pos="840"/>
        </w:tabs>
        <w:spacing w:line="0" w:lineRule="atLeast"/>
        <w:rPr>
          <w:b/>
        </w:rPr>
      </w:pPr>
      <w:r w:rsidRPr="003229B1">
        <w:rPr>
          <w:b/>
        </w:rPr>
        <w:t>b.   Aktivitetet e planifikuara për 2022:</w:t>
      </w:r>
    </w:p>
    <w:p w14:paraId="79D3899E" w14:textId="77777777" w:rsidR="00CE4035" w:rsidRPr="003229B1" w:rsidRDefault="00CE4035" w:rsidP="0068706C">
      <w:pPr>
        <w:numPr>
          <w:ilvl w:val="0"/>
          <w:numId w:val="21"/>
        </w:numPr>
        <w:spacing w:line="236" w:lineRule="auto"/>
        <w:ind w:left="360" w:right="20" w:hanging="360"/>
        <w:jc w:val="both"/>
      </w:pPr>
      <w:r w:rsidRPr="003229B1">
        <w:t xml:space="preserve">Hartimi dhe miratimi i </w:t>
      </w:r>
      <w:r w:rsidRPr="003229B1">
        <w:rPr>
          <w:bCs/>
        </w:rPr>
        <w:t>Rregullores për organizimin e brendshëm të Gjykatës Komerciale</w:t>
      </w:r>
      <w:r w:rsidRPr="003229B1">
        <w:t xml:space="preserve"> dhe Rregullores për rekrutimin, detyrat dhe përgjegjësitë e Njësisë Ligjore (KGJK); </w:t>
      </w:r>
    </w:p>
    <w:p w14:paraId="435377C5" w14:textId="77777777" w:rsidR="00CE4035" w:rsidRPr="003229B1" w:rsidRDefault="00CE4035" w:rsidP="0068706C">
      <w:pPr>
        <w:numPr>
          <w:ilvl w:val="0"/>
          <w:numId w:val="21"/>
        </w:numPr>
        <w:tabs>
          <w:tab w:val="left" w:pos="480"/>
        </w:tabs>
        <w:spacing w:line="234" w:lineRule="auto"/>
        <w:ind w:left="360" w:right="8" w:hanging="360"/>
        <w:jc w:val="both"/>
      </w:pPr>
      <w:r w:rsidRPr="003229B1">
        <w:t>Plotësimi dhe ndryshimi i Rregullores për organizimin dhe funksionimin e asamblesë së kryetarëve të gjykatave dhe gjyqtarëve mbikëqyrës (KGjK);</w:t>
      </w:r>
    </w:p>
    <w:p w14:paraId="7426A6B1" w14:textId="77777777" w:rsidR="00CE4035" w:rsidRDefault="00CE4035" w:rsidP="0068706C">
      <w:pPr>
        <w:numPr>
          <w:ilvl w:val="0"/>
          <w:numId w:val="21"/>
        </w:numPr>
        <w:tabs>
          <w:tab w:val="left" w:pos="480"/>
        </w:tabs>
        <w:spacing w:line="234" w:lineRule="auto"/>
        <w:ind w:left="360" w:right="468" w:hanging="360"/>
        <w:jc w:val="both"/>
      </w:pPr>
      <w:r w:rsidRPr="003229B1">
        <w:t>Trajnimi i gjyqtarëve aktual,  bashkëpunëtorëve profesional dhe stafit mbështetës të Gjykatës Komerciale në fushat specifike komerciale që do t’i trajtojë kjo gjykatë</w:t>
      </w:r>
      <w:r>
        <w:t xml:space="preserve"> </w:t>
      </w:r>
      <w:r w:rsidRPr="003229B1">
        <w:t>(KGJK, AD).</w:t>
      </w:r>
    </w:p>
    <w:p w14:paraId="09D5C43F" w14:textId="77777777" w:rsidR="00CE4035" w:rsidRPr="003229B1" w:rsidRDefault="00CE4035" w:rsidP="00CE4035">
      <w:pPr>
        <w:tabs>
          <w:tab w:val="left" w:pos="480"/>
        </w:tabs>
        <w:spacing w:line="234" w:lineRule="auto"/>
        <w:ind w:left="360" w:right="468"/>
        <w:jc w:val="both"/>
      </w:pPr>
    </w:p>
    <w:p w14:paraId="68D666BF" w14:textId="77777777" w:rsidR="00CE4035" w:rsidRPr="003229B1" w:rsidRDefault="00CE4035" w:rsidP="00CE4035">
      <w:pPr>
        <w:spacing w:line="0" w:lineRule="atLeast"/>
        <w:contextualSpacing/>
        <w:rPr>
          <w:b/>
        </w:rPr>
      </w:pPr>
      <w:bookmarkStart w:id="214" w:name="page85"/>
      <w:bookmarkEnd w:id="214"/>
      <w:r w:rsidRPr="003229B1">
        <w:rPr>
          <w:b/>
        </w:rPr>
        <w:t>c. Aktivitetet e planifikuara për 2023:</w:t>
      </w:r>
    </w:p>
    <w:p w14:paraId="0430A0A1" w14:textId="77777777" w:rsidR="00CE4035" w:rsidRPr="003229B1" w:rsidRDefault="00CE4035" w:rsidP="00CE4035">
      <w:pPr>
        <w:spacing w:line="58" w:lineRule="exact"/>
      </w:pPr>
    </w:p>
    <w:p w14:paraId="588F01E6" w14:textId="448BF1F0" w:rsidR="00CE4035" w:rsidRPr="005116BD" w:rsidRDefault="00CE4035" w:rsidP="0068706C">
      <w:pPr>
        <w:pStyle w:val="ListParagraph"/>
        <w:widowControl w:val="0"/>
        <w:numPr>
          <w:ilvl w:val="0"/>
          <w:numId w:val="23"/>
        </w:numPr>
        <w:tabs>
          <w:tab w:val="left" w:pos="480"/>
        </w:tabs>
        <w:spacing w:after="0" w:line="0" w:lineRule="atLeast"/>
        <w:ind w:left="360"/>
        <w:contextualSpacing w:val="0"/>
        <w:jc w:val="both"/>
        <w:rPr>
          <w:rFonts w:ascii="Times New Roman" w:hAnsi="Times New Roman"/>
          <w:sz w:val="24"/>
          <w:szCs w:val="24"/>
        </w:rPr>
      </w:pPr>
      <w:r w:rsidRPr="003229B1">
        <w:rPr>
          <w:rFonts w:ascii="Times New Roman" w:hAnsi="Times New Roman"/>
          <w:sz w:val="24"/>
          <w:szCs w:val="24"/>
        </w:rPr>
        <w:t xml:space="preserve">Trajnimi  i  gjyqtarëve te rijnë te rekrutuar,  bashkëpunëtorëve  profesional  dhe  stafit  mbështetës  të Gjykatës Komerciale në fushat specifike komerciale që do t’i trajtojë kjo gjykatë </w:t>
      </w:r>
      <w:r w:rsidRPr="003229B1">
        <w:rPr>
          <w:rFonts w:ascii="Times New Roman" w:eastAsia="Times New Roman" w:hAnsi="Times New Roman"/>
          <w:sz w:val="24"/>
          <w:szCs w:val="24"/>
        </w:rPr>
        <w:t>(KGJK);</w:t>
      </w:r>
    </w:p>
    <w:p w14:paraId="47CD521D" w14:textId="0E425205" w:rsidR="005116BD" w:rsidRDefault="005116BD" w:rsidP="005116BD">
      <w:pPr>
        <w:pStyle w:val="ListParagraph"/>
        <w:widowControl w:val="0"/>
        <w:tabs>
          <w:tab w:val="left" w:pos="480"/>
        </w:tabs>
        <w:spacing w:after="0" w:line="0" w:lineRule="atLeast"/>
        <w:ind w:left="360"/>
        <w:contextualSpacing w:val="0"/>
        <w:jc w:val="both"/>
        <w:rPr>
          <w:rFonts w:ascii="Times New Roman" w:hAnsi="Times New Roman"/>
          <w:sz w:val="24"/>
          <w:szCs w:val="24"/>
        </w:rPr>
      </w:pPr>
    </w:p>
    <w:p w14:paraId="21513248" w14:textId="2CE49C0A" w:rsidR="005116BD" w:rsidRDefault="005116BD" w:rsidP="005116BD">
      <w:pPr>
        <w:pStyle w:val="ListParagraph"/>
        <w:widowControl w:val="0"/>
        <w:tabs>
          <w:tab w:val="left" w:pos="480"/>
        </w:tabs>
        <w:spacing w:after="0" w:line="0" w:lineRule="atLeast"/>
        <w:ind w:left="360"/>
        <w:contextualSpacing w:val="0"/>
        <w:jc w:val="both"/>
        <w:rPr>
          <w:rFonts w:ascii="Times New Roman" w:hAnsi="Times New Roman"/>
          <w:sz w:val="24"/>
          <w:szCs w:val="24"/>
        </w:rPr>
      </w:pPr>
    </w:p>
    <w:p w14:paraId="5943076B" w14:textId="77777777" w:rsidR="005116BD" w:rsidRPr="003229B1" w:rsidRDefault="005116BD" w:rsidP="005116BD">
      <w:pPr>
        <w:pStyle w:val="ListParagraph"/>
        <w:widowControl w:val="0"/>
        <w:tabs>
          <w:tab w:val="left" w:pos="480"/>
        </w:tabs>
        <w:spacing w:after="0" w:line="0" w:lineRule="atLeast"/>
        <w:ind w:left="360"/>
        <w:contextualSpacing w:val="0"/>
        <w:jc w:val="both"/>
        <w:rPr>
          <w:rFonts w:ascii="Times New Roman" w:hAnsi="Times New Roman"/>
          <w:sz w:val="24"/>
          <w:szCs w:val="24"/>
        </w:rPr>
      </w:pPr>
    </w:p>
    <w:p w14:paraId="0148C45A" w14:textId="77777777" w:rsidR="00CE4035" w:rsidRPr="003229B1" w:rsidRDefault="00CE4035" w:rsidP="00CE4035">
      <w:pPr>
        <w:spacing w:line="72" w:lineRule="exact"/>
      </w:pPr>
    </w:p>
    <w:p w14:paraId="5FA16478" w14:textId="77777777" w:rsidR="00CE4035" w:rsidRPr="005116BD" w:rsidRDefault="00CE4035" w:rsidP="005116BD">
      <w:pPr>
        <w:tabs>
          <w:tab w:val="left" w:pos="460"/>
        </w:tabs>
        <w:spacing w:line="0" w:lineRule="atLeast"/>
        <w:rPr>
          <w:b/>
        </w:rPr>
      </w:pPr>
      <w:r w:rsidRPr="005116BD">
        <w:rPr>
          <w:b/>
        </w:rPr>
        <w:t>Treguesit e rezultateve:</w:t>
      </w:r>
    </w:p>
    <w:tbl>
      <w:tblPr>
        <w:tblStyle w:val="TableGrid"/>
        <w:tblW w:w="0" w:type="auto"/>
        <w:tblLook w:val="04A0" w:firstRow="1" w:lastRow="0" w:firstColumn="1" w:lastColumn="0" w:noHBand="0" w:noVBand="1"/>
      </w:tblPr>
      <w:tblGrid>
        <w:gridCol w:w="2016"/>
        <w:gridCol w:w="2045"/>
        <w:gridCol w:w="2223"/>
        <w:gridCol w:w="2330"/>
      </w:tblGrid>
      <w:tr w:rsidR="00CE4035" w:rsidRPr="003229B1" w14:paraId="4772FC63" w14:textId="77777777" w:rsidTr="009B753C">
        <w:tc>
          <w:tcPr>
            <w:tcW w:w="2155" w:type="dxa"/>
            <w:vAlign w:val="center"/>
          </w:tcPr>
          <w:p w14:paraId="4D983D24" w14:textId="77777777" w:rsidR="00CE4035" w:rsidRPr="003229B1" w:rsidRDefault="00CE4035" w:rsidP="009B753C">
            <w:pPr>
              <w:spacing w:line="0" w:lineRule="atLeast"/>
              <w:rPr>
                <w:b/>
              </w:rPr>
            </w:pPr>
            <w:r w:rsidRPr="003229B1">
              <w:rPr>
                <w:b/>
              </w:rPr>
              <w:t>Treguesi</w:t>
            </w:r>
          </w:p>
        </w:tc>
        <w:tc>
          <w:tcPr>
            <w:tcW w:w="2250" w:type="dxa"/>
            <w:vAlign w:val="center"/>
          </w:tcPr>
          <w:p w14:paraId="646E6272" w14:textId="77777777" w:rsidR="00CE4035" w:rsidRPr="003229B1" w:rsidRDefault="00CE4035" w:rsidP="009B753C">
            <w:pPr>
              <w:spacing w:after="160" w:line="259" w:lineRule="auto"/>
              <w:rPr>
                <w:b/>
              </w:rPr>
            </w:pPr>
            <w:r w:rsidRPr="003229B1">
              <w:rPr>
                <w:b/>
              </w:rPr>
              <w:t>Baza 2018</w:t>
            </w:r>
          </w:p>
        </w:tc>
        <w:tc>
          <w:tcPr>
            <w:tcW w:w="2430" w:type="dxa"/>
          </w:tcPr>
          <w:p w14:paraId="79C39D7B" w14:textId="77777777" w:rsidR="00CE4035" w:rsidRPr="003229B1" w:rsidRDefault="00CE4035" w:rsidP="009B753C">
            <w:pPr>
              <w:spacing w:line="0" w:lineRule="atLeast"/>
              <w:jc w:val="center"/>
              <w:rPr>
                <w:b/>
              </w:rPr>
            </w:pPr>
            <w:r w:rsidRPr="003229B1">
              <w:rPr>
                <w:b/>
              </w:rPr>
              <w:t>Treguesi i ndërmjetëm  2022</w:t>
            </w:r>
          </w:p>
        </w:tc>
        <w:tc>
          <w:tcPr>
            <w:tcW w:w="2515" w:type="dxa"/>
          </w:tcPr>
          <w:p w14:paraId="607D715E" w14:textId="77777777" w:rsidR="00CE4035" w:rsidRPr="003229B1" w:rsidRDefault="00CE4035" w:rsidP="009B753C">
            <w:pPr>
              <w:pStyle w:val="ListParagraph"/>
              <w:tabs>
                <w:tab w:val="left" w:pos="460"/>
              </w:tabs>
              <w:spacing w:line="0" w:lineRule="atLeast"/>
              <w:jc w:val="center"/>
              <w:rPr>
                <w:rFonts w:ascii="Times New Roman" w:hAnsi="Times New Roman"/>
                <w:b/>
                <w:sz w:val="24"/>
                <w:szCs w:val="24"/>
              </w:rPr>
            </w:pPr>
            <w:r w:rsidRPr="003229B1">
              <w:rPr>
                <w:rFonts w:ascii="Times New Roman" w:eastAsia="Times New Roman" w:hAnsi="Times New Roman"/>
                <w:b/>
                <w:sz w:val="24"/>
                <w:szCs w:val="24"/>
              </w:rPr>
              <w:t>Synimi 2023</w:t>
            </w:r>
          </w:p>
        </w:tc>
      </w:tr>
      <w:tr w:rsidR="00CE4035" w:rsidRPr="003229B1" w14:paraId="625DDFF9" w14:textId="77777777" w:rsidTr="005116BD">
        <w:trPr>
          <w:trHeight w:val="1673"/>
        </w:trPr>
        <w:tc>
          <w:tcPr>
            <w:tcW w:w="2155" w:type="dxa"/>
          </w:tcPr>
          <w:p w14:paraId="2149489E" w14:textId="77777777" w:rsidR="00CE4035" w:rsidRPr="003229B1" w:rsidRDefault="00CE4035" w:rsidP="009B753C">
            <w:pPr>
              <w:spacing w:line="263" w:lineRule="exact"/>
            </w:pPr>
            <w:r w:rsidRPr="003229B1">
              <w:t>1. Zgjidhja   e   lëndëve   të grumbulluara</w:t>
            </w:r>
          </w:p>
        </w:tc>
        <w:tc>
          <w:tcPr>
            <w:tcW w:w="2250" w:type="dxa"/>
          </w:tcPr>
          <w:p w14:paraId="1373A965" w14:textId="77777777" w:rsidR="00CE4035" w:rsidRPr="005116BD" w:rsidRDefault="00CE4035" w:rsidP="005116BD">
            <w:pPr>
              <w:tabs>
                <w:tab w:val="left" w:pos="460"/>
              </w:tabs>
              <w:spacing w:line="0" w:lineRule="atLeast"/>
            </w:pPr>
            <w:r w:rsidRPr="005116BD">
              <w:t>10% zvogëlimi i ngarkesës dhe 100% zgjedhje e lëndëve të reja / 110% efikasitet</w:t>
            </w:r>
          </w:p>
        </w:tc>
        <w:tc>
          <w:tcPr>
            <w:tcW w:w="2430" w:type="dxa"/>
          </w:tcPr>
          <w:p w14:paraId="573652EB" w14:textId="77777777" w:rsidR="00CE4035" w:rsidRPr="005116BD" w:rsidRDefault="00CE4035" w:rsidP="005116BD">
            <w:pPr>
              <w:tabs>
                <w:tab w:val="left" w:pos="460"/>
              </w:tabs>
              <w:spacing w:line="0" w:lineRule="atLeast"/>
            </w:pPr>
            <w:r w:rsidRPr="005116BD">
              <w:t>35% zvogëlimi i ngarkesës (kumulativ) dhe 100% zgjedhje e lëndëve të reja / 125% efikasitet</w:t>
            </w:r>
          </w:p>
        </w:tc>
        <w:tc>
          <w:tcPr>
            <w:tcW w:w="2515" w:type="dxa"/>
          </w:tcPr>
          <w:p w14:paraId="5A17E94C" w14:textId="77777777" w:rsidR="00CE4035" w:rsidRPr="005116BD" w:rsidRDefault="00CE4035" w:rsidP="005116BD">
            <w:pPr>
              <w:tabs>
                <w:tab w:val="left" w:pos="460"/>
              </w:tabs>
              <w:spacing w:line="0" w:lineRule="atLeast"/>
              <w:rPr>
                <w:b/>
              </w:rPr>
            </w:pPr>
            <w:r w:rsidRPr="005116BD">
              <w:t>60% zvogëlimi i ngarkesës (kumulativ) dhe 100% zgjedhje e lëndëve të reja / 125% efikasitet</w:t>
            </w:r>
          </w:p>
        </w:tc>
      </w:tr>
      <w:tr w:rsidR="00CE4035" w:rsidRPr="003229B1" w14:paraId="288E6D8F" w14:textId="77777777" w:rsidTr="009B753C">
        <w:tc>
          <w:tcPr>
            <w:tcW w:w="2155" w:type="dxa"/>
            <w:vAlign w:val="bottom"/>
          </w:tcPr>
          <w:p w14:paraId="46664BB8" w14:textId="77777777" w:rsidR="00CE4035" w:rsidRPr="003229B1" w:rsidRDefault="00CE4035" w:rsidP="009B753C">
            <w:r w:rsidRPr="003229B1">
              <w:t>2. Kohëzgjatja e zgjidhjes së kontestit</w:t>
            </w:r>
          </w:p>
        </w:tc>
        <w:tc>
          <w:tcPr>
            <w:tcW w:w="2250" w:type="dxa"/>
            <w:vAlign w:val="center"/>
          </w:tcPr>
          <w:p w14:paraId="5D7399C6" w14:textId="77777777" w:rsidR="00CE4035" w:rsidRPr="003229B1" w:rsidRDefault="00CE4035" w:rsidP="009B753C">
            <w:pPr>
              <w:pStyle w:val="ListParagraph"/>
              <w:tabs>
                <w:tab w:val="left" w:pos="460"/>
              </w:tabs>
              <w:jc w:val="center"/>
              <w:rPr>
                <w:rFonts w:ascii="Times New Roman" w:hAnsi="Times New Roman"/>
                <w:b/>
                <w:sz w:val="24"/>
                <w:szCs w:val="24"/>
              </w:rPr>
            </w:pPr>
            <w:r w:rsidRPr="003229B1">
              <w:rPr>
                <w:rFonts w:ascii="Times New Roman" w:eastAsia="Times New Roman" w:hAnsi="Times New Roman"/>
                <w:sz w:val="24"/>
                <w:szCs w:val="24"/>
              </w:rPr>
              <w:t>2 vite</w:t>
            </w:r>
          </w:p>
        </w:tc>
        <w:tc>
          <w:tcPr>
            <w:tcW w:w="2430" w:type="dxa"/>
            <w:vAlign w:val="center"/>
          </w:tcPr>
          <w:p w14:paraId="36DF2928" w14:textId="77777777" w:rsidR="00CE4035" w:rsidRPr="003229B1" w:rsidRDefault="00CE4035" w:rsidP="009B753C">
            <w:pPr>
              <w:pStyle w:val="ListParagraph"/>
              <w:tabs>
                <w:tab w:val="left" w:pos="460"/>
              </w:tabs>
              <w:jc w:val="center"/>
              <w:rPr>
                <w:rFonts w:ascii="Times New Roman" w:hAnsi="Times New Roman"/>
                <w:b/>
                <w:sz w:val="24"/>
                <w:szCs w:val="24"/>
              </w:rPr>
            </w:pPr>
            <w:r w:rsidRPr="003229B1">
              <w:rPr>
                <w:rFonts w:ascii="Times New Roman" w:eastAsia="Times New Roman" w:hAnsi="Times New Roman"/>
                <w:w w:val="99"/>
                <w:sz w:val="24"/>
                <w:szCs w:val="24"/>
              </w:rPr>
              <w:t>1.5 vite</w:t>
            </w:r>
          </w:p>
        </w:tc>
        <w:tc>
          <w:tcPr>
            <w:tcW w:w="2515" w:type="dxa"/>
            <w:vAlign w:val="center"/>
          </w:tcPr>
          <w:p w14:paraId="2A3AB069" w14:textId="77777777" w:rsidR="00CE4035" w:rsidRPr="003229B1" w:rsidRDefault="00CE4035" w:rsidP="009B753C">
            <w:pPr>
              <w:pStyle w:val="ListParagraph"/>
              <w:tabs>
                <w:tab w:val="left" w:pos="460"/>
              </w:tabs>
              <w:jc w:val="center"/>
              <w:rPr>
                <w:rFonts w:ascii="Times New Roman" w:hAnsi="Times New Roman"/>
                <w:b/>
                <w:sz w:val="24"/>
                <w:szCs w:val="24"/>
              </w:rPr>
            </w:pPr>
            <w:r w:rsidRPr="003229B1">
              <w:rPr>
                <w:rFonts w:ascii="Times New Roman" w:eastAsia="Times New Roman" w:hAnsi="Times New Roman"/>
                <w:sz w:val="24"/>
                <w:szCs w:val="24"/>
              </w:rPr>
              <w:t>1 vit</w:t>
            </w:r>
          </w:p>
        </w:tc>
      </w:tr>
    </w:tbl>
    <w:p w14:paraId="7B0DD060" w14:textId="77777777" w:rsidR="00CE4035" w:rsidRDefault="00CE4035" w:rsidP="00CE4035">
      <w:pPr>
        <w:tabs>
          <w:tab w:val="left" w:pos="374"/>
        </w:tabs>
        <w:ind w:right="8"/>
        <w:jc w:val="both"/>
        <w:rPr>
          <w:b/>
        </w:rPr>
      </w:pPr>
    </w:p>
    <w:p w14:paraId="5BFFF360" w14:textId="472B850C" w:rsidR="00CE4035" w:rsidRDefault="00CE4035" w:rsidP="00CE4035">
      <w:pPr>
        <w:tabs>
          <w:tab w:val="left" w:pos="374"/>
        </w:tabs>
        <w:ind w:right="8"/>
        <w:jc w:val="both"/>
      </w:pPr>
      <w:r w:rsidRPr="003229B1">
        <w:rPr>
          <w:b/>
        </w:rPr>
        <w:t xml:space="preserve">Ndikimi i pritur në konkurrueshmëri: </w:t>
      </w:r>
      <w:r w:rsidRPr="003229B1">
        <w:t>Krijimi i një adrese të vetme, efektive dhe të</w:t>
      </w:r>
      <w:r w:rsidRPr="003229B1">
        <w:rPr>
          <w:b/>
        </w:rPr>
        <w:t xml:space="preserve"> </w:t>
      </w:r>
      <w:r w:rsidRPr="003229B1">
        <w:t>specializuar në zgjidhjen e kontesteve afariste kontribuon në ngritjen e sigurisë juridike për dinamizim të veprimtarisë biznesore dhe si rezultat, edhe në rritjen ekonomike të vendit. Ngritja e sigurisë juridike përmes zgjidhjes efikase të kontesteve komerciale nga kjo Gjykatë shërben si stimulim dhe ulje e riskut për zgjerim të bizneseve ekzistuese dhe ndikon në rritjen e investimeve direkte nga kompanitë e huaja dhe diaspora.</w:t>
      </w:r>
    </w:p>
    <w:p w14:paraId="6B9BF65F" w14:textId="77777777" w:rsidR="005116BD" w:rsidRPr="003229B1" w:rsidRDefault="005116BD" w:rsidP="00CE4035">
      <w:pPr>
        <w:tabs>
          <w:tab w:val="left" w:pos="374"/>
        </w:tabs>
        <w:ind w:right="8"/>
        <w:jc w:val="both"/>
        <w:rPr>
          <w:b/>
        </w:rPr>
      </w:pPr>
    </w:p>
    <w:p w14:paraId="05289780" w14:textId="7EC20443" w:rsidR="00CE4035" w:rsidRDefault="00CE4035" w:rsidP="00CE4035">
      <w:pPr>
        <w:tabs>
          <w:tab w:val="left" w:pos="374"/>
        </w:tabs>
        <w:spacing w:line="238" w:lineRule="auto"/>
        <w:ind w:right="8"/>
        <w:jc w:val="both"/>
      </w:pPr>
      <w:r w:rsidRPr="003229B1">
        <w:rPr>
          <w:b/>
        </w:rPr>
        <w:t xml:space="preserve">Vlerësimi i kostos së aktiviteteve dhe burimet e financimit: </w:t>
      </w:r>
      <w:r w:rsidRPr="003229B1">
        <w:t>Kosto e përgjithshme për</w:t>
      </w:r>
      <w:r w:rsidRPr="003229B1">
        <w:rPr>
          <w:b/>
        </w:rPr>
        <w:t xml:space="preserve"> </w:t>
      </w:r>
      <w:r w:rsidRPr="003229B1">
        <w:t xml:space="preserve">zbatim të kësaj mase vlerësohet të jetë  1,704,270 €. Nga kjo vlerë, 25,440 € vlerësohet kostoja për vitin 2021 për asistencë teknike, e cila pritet të financohet nga grantet tjera (Projekti i USAID). Për vitin 2022, kostoja vlerësohet të jetë rreth 900,000 €, nga të cilat 758,000 € pritet të financohen nga Buxheti i Kosovës. Fondet nga buxheti i Kosovës dedikohen për paga dhe furnizime të tjera për zyre sipas punësimit të gjykatësve dhe punonjësve të rinj siç është paraparë me Ligjin për Gjykatën Komerciale. 141,025 € tjera shtesë planifikohen të merren nga grantet tjera të dedikuara për programe trajnuese për gjykatës, bashkëpunëtorë profesional dhe stafin mbështetës. Kostoja e vlerësuar për vitin 2023 është 779,805 € nga të cilat 701,600 € janë nga buxheti i brendshëm dhe 78,205 € nga grantet tjera.  </w:t>
      </w:r>
    </w:p>
    <w:p w14:paraId="742A6849" w14:textId="77777777" w:rsidR="005116BD" w:rsidRPr="003229B1" w:rsidRDefault="005116BD" w:rsidP="00CE4035">
      <w:pPr>
        <w:tabs>
          <w:tab w:val="left" w:pos="374"/>
        </w:tabs>
        <w:spacing w:line="238" w:lineRule="auto"/>
        <w:ind w:right="8"/>
        <w:jc w:val="both"/>
        <w:rPr>
          <w:b/>
        </w:rPr>
      </w:pPr>
    </w:p>
    <w:p w14:paraId="0148B304" w14:textId="1EE2A9AD" w:rsidR="00CE4035" w:rsidRDefault="00CE4035" w:rsidP="00CE4035">
      <w:pPr>
        <w:tabs>
          <w:tab w:val="left" w:pos="362"/>
        </w:tabs>
        <w:spacing w:line="238" w:lineRule="auto"/>
        <w:ind w:right="8"/>
        <w:jc w:val="both"/>
      </w:pPr>
      <w:bookmarkStart w:id="215" w:name="page86"/>
      <w:bookmarkEnd w:id="215"/>
      <w:r w:rsidRPr="003229B1">
        <w:rPr>
          <w:b/>
        </w:rPr>
        <w:t>Ndikimet e pritshme mbi rezultatet sociale, të tilla si punësimi, reduktimi i varfërisë, barazia gjinore</w:t>
      </w:r>
      <w:r w:rsidRPr="003229B1">
        <w:t>: Ndërmarrjet e vogla dhe të mesme (NVM) përbëjnë 99% të ndërmarrjeve</w:t>
      </w:r>
      <w:r w:rsidRPr="003229B1">
        <w:rPr>
          <w:b/>
        </w:rPr>
        <w:t xml:space="preserve"> </w:t>
      </w:r>
      <w:r w:rsidRPr="003229B1">
        <w:t>në Kosovë. Në rast të një mosmarrëveshje, proceset e ngadalta gjyqësore mund të vënë në rrezik vendet e punës dhe bizneset familjare. Procedurat e parashikueshme dhe efektive të vendosjes dhe zbatimit të kontratave përcaktojnë nëse një NVM mund të mbijetojë dhe të rritet. Me rritjen e sigurisë juridike, rritet edhe interesimi për investime nga jashtë. Investimet e reja dinamizojnë tregun e punës dhe stimulojnë ngritjen e shkallës së pjesëmarrjes së grave në tregun e punës.</w:t>
      </w:r>
    </w:p>
    <w:p w14:paraId="789408B1" w14:textId="77777777" w:rsidR="005116BD" w:rsidRPr="003229B1" w:rsidRDefault="005116BD" w:rsidP="00CE4035">
      <w:pPr>
        <w:tabs>
          <w:tab w:val="left" w:pos="362"/>
        </w:tabs>
        <w:spacing w:line="238" w:lineRule="auto"/>
        <w:ind w:right="8"/>
        <w:jc w:val="both"/>
        <w:rPr>
          <w:b/>
        </w:rPr>
      </w:pPr>
    </w:p>
    <w:p w14:paraId="5D0845B1" w14:textId="77777777" w:rsidR="00CE4035" w:rsidRPr="003229B1" w:rsidRDefault="00CE4035" w:rsidP="00CE4035">
      <w:pPr>
        <w:spacing w:line="5" w:lineRule="exact"/>
        <w:rPr>
          <w:b/>
        </w:rPr>
      </w:pPr>
    </w:p>
    <w:p w14:paraId="21667BB5" w14:textId="3D2B56BB" w:rsidR="00CE4035" w:rsidRDefault="00CE4035" w:rsidP="00CE4035">
      <w:pPr>
        <w:tabs>
          <w:tab w:val="left" w:pos="360"/>
        </w:tabs>
        <w:spacing w:line="0" w:lineRule="atLeast"/>
      </w:pPr>
      <w:r w:rsidRPr="003229B1">
        <w:rPr>
          <w:b/>
        </w:rPr>
        <w:t xml:space="preserve">Ndikimi i pritshëm në mjedis: </w:t>
      </w:r>
      <w:r w:rsidRPr="003229B1">
        <w:t>Nuk ka ndikim relevant ne mjedis.</w:t>
      </w:r>
    </w:p>
    <w:p w14:paraId="42AB1F59" w14:textId="77777777" w:rsidR="005116BD" w:rsidRPr="003229B1" w:rsidRDefault="005116BD" w:rsidP="00CE4035">
      <w:pPr>
        <w:tabs>
          <w:tab w:val="left" w:pos="360"/>
        </w:tabs>
        <w:spacing w:line="0" w:lineRule="atLeast"/>
        <w:rPr>
          <w:b/>
        </w:rPr>
      </w:pPr>
    </w:p>
    <w:p w14:paraId="73A49CFA" w14:textId="77777777" w:rsidR="00CE4035" w:rsidRPr="003229B1" w:rsidRDefault="00CE4035" w:rsidP="00CE4035">
      <w:pPr>
        <w:tabs>
          <w:tab w:val="left" w:pos="360"/>
        </w:tabs>
        <w:spacing w:line="0" w:lineRule="atLeast"/>
        <w:rPr>
          <w:b/>
        </w:rPr>
      </w:pPr>
      <w:r w:rsidRPr="003229B1">
        <w:rPr>
          <w:b/>
        </w:rPr>
        <w:t>Rreziqet potenciale:</w:t>
      </w:r>
    </w:p>
    <w:tbl>
      <w:tblPr>
        <w:tblStyle w:val="TableGrid"/>
        <w:tblW w:w="0" w:type="auto"/>
        <w:tblInd w:w="-5" w:type="dxa"/>
        <w:tblLook w:val="04A0" w:firstRow="1" w:lastRow="0" w:firstColumn="1" w:lastColumn="0" w:noHBand="0" w:noVBand="1"/>
      </w:tblPr>
      <w:tblGrid>
        <w:gridCol w:w="2635"/>
        <w:gridCol w:w="1510"/>
        <w:gridCol w:w="4474"/>
      </w:tblGrid>
      <w:tr w:rsidR="00CE4035" w:rsidRPr="003229B1" w14:paraId="537B1E7D" w14:textId="77777777" w:rsidTr="009B753C">
        <w:tc>
          <w:tcPr>
            <w:tcW w:w="2856" w:type="dxa"/>
          </w:tcPr>
          <w:p w14:paraId="0D2714F1" w14:textId="77777777" w:rsidR="00CE4035" w:rsidRPr="003229B1" w:rsidRDefault="00CE4035" w:rsidP="009B753C">
            <w:pPr>
              <w:tabs>
                <w:tab w:val="left" w:pos="360"/>
              </w:tabs>
              <w:spacing w:line="0" w:lineRule="atLeast"/>
              <w:rPr>
                <w:b/>
              </w:rPr>
            </w:pPr>
            <w:r w:rsidRPr="003229B1">
              <w:rPr>
                <w:b/>
              </w:rPr>
              <w:t>Rreziku</w:t>
            </w:r>
          </w:p>
        </w:tc>
        <w:tc>
          <w:tcPr>
            <w:tcW w:w="1510" w:type="dxa"/>
          </w:tcPr>
          <w:p w14:paraId="2F5B073E" w14:textId="77777777" w:rsidR="00CE4035" w:rsidRPr="003229B1" w:rsidRDefault="00CE4035" w:rsidP="009B753C">
            <w:pPr>
              <w:tabs>
                <w:tab w:val="left" w:pos="360"/>
              </w:tabs>
              <w:spacing w:line="0" w:lineRule="atLeast"/>
              <w:rPr>
                <w:b/>
              </w:rPr>
            </w:pPr>
            <w:r w:rsidRPr="003229B1">
              <w:rPr>
                <w:b/>
              </w:rPr>
              <w:t>Probabiliteti</w:t>
            </w:r>
          </w:p>
        </w:tc>
        <w:tc>
          <w:tcPr>
            <w:tcW w:w="4989" w:type="dxa"/>
            <w:vAlign w:val="bottom"/>
          </w:tcPr>
          <w:p w14:paraId="52319703" w14:textId="77777777" w:rsidR="00CE4035" w:rsidRPr="003229B1" w:rsidRDefault="00CE4035" w:rsidP="009B753C">
            <w:pPr>
              <w:spacing w:line="0" w:lineRule="atLeast"/>
              <w:ind w:left="100"/>
              <w:rPr>
                <w:b/>
              </w:rPr>
            </w:pPr>
            <w:r w:rsidRPr="003229B1">
              <w:rPr>
                <w:b/>
              </w:rPr>
              <w:t>Veprimi lehtësues i planifikuar</w:t>
            </w:r>
          </w:p>
        </w:tc>
      </w:tr>
      <w:tr w:rsidR="00CE4035" w:rsidRPr="003229B1" w14:paraId="5686A9A8" w14:textId="77777777" w:rsidTr="009B753C">
        <w:tc>
          <w:tcPr>
            <w:tcW w:w="2856" w:type="dxa"/>
            <w:vAlign w:val="center"/>
          </w:tcPr>
          <w:p w14:paraId="354D776E" w14:textId="77777777" w:rsidR="00CE4035" w:rsidRPr="003229B1" w:rsidRDefault="00CE4035" w:rsidP="009B753C">
            <w:pPr>
              <w:tabs>
                <w:tab w:val="left" w:pos="360"/>
              </w:tabs>
              <w:spacing w:line="0" w:lineRule="atLeast"/>
              <w:rPr>
                <w:b/>
              </w:rPr>
            </w:pPr>
            <w:r w:rsidRPr="003229B1">
              <w:t>Vonesat në miratim të projektligjit dhe rekrutimi i stafit</w:t>
            </w:r>
          </w:p>
        </w:tc>
        <w:tc>
          <w:tcPr>
            <w:tcW w:w="1510" w:type="dxa"/>
            <w:vAlign w:val="center"/>
          </w:tcPr>
          <w:p w14:paraId="77EB7E84" w14:textId="77777777" w:rsidR="00CE4035" w:rsidRPr="003229B1" w:rsidRDefault="00CE4035" w:rsidP="009B753C">
            <w:pPr>
              <w:tabs>
                <w:tab w:val="left" w:pos="360"/>
              </w:tabs>
              <w:spacing w:line="0" w:lineRule="atLeast"/>
              <w:jc w:val="center"/>
              <w:rPr>
                <w:b/>
              </w:rPr>
            </w:pPr>
            <w:r w:rsidRPr="003229B1">
              <w:t>I Mesëm</w:t>
            </w:r>
          </w:p>
        </w:tc>
        <w:tc>
          <w:tcPr>
            <w:tcW w:w="4989" w:type="dxa"/>
          </w:tcPr>
          <w:p w14:paraId="206179B4" w14:textId="77777777" w:rsidR="00CE4035" w:rsidRPr="003229B1" w:rsidRDefault="00CE4035" w:rsidP="009B753C">
            <w:pPr>
              <w:spacing w:line="239" w:lineRule="exact"/>
              <w:ind w:left="100"/>
              <w:jc w:val="both"/>
            </w:pPr>
            <w:r w:rsidRPr="003229B1">
              <w:t>Ndërmarrja e masave për luftimin e pandemisë COVID-19.</w:t>
            </w:r>
          </w:p>
        </w:tc>
      </w:tr>
    </w:tbl>
    <w:p w14:paraId="072785E0" w14:textId="77777777" w:rsidR="00CE4035" w:rsidRPr="003229B1" w:rsidRDefault="00CE4035" w:rsidP="00CE4035"/>
    <w:p w14:paraId="12478ED0" w14:textId="77777777" w:rsidR="00CE4035" w:rsidRPr="003229B1" w:rsidRDefault="00CE4035" w:rsidP="00CE4035">
      <w:pPr>
        <w:shd w:val="clear" w:color="auto" w:fill="9CC2E5" w:themeFill="accent1" w:themeFillTint="99"/>
        <w:spacing w:line="234" w:lineRule="auto"/>
        <w:rPr>
          <w:b/>
        </w:rPr>
      </w:pPr>
      <w:r w:rsidRPr="003229B1">
        <w:rPr>
          <w:b/>
        </w:rPr>
        <w:t>Masa e reformës 10: Ulja e ekonomisë joformale në sektorin e pronave të paluajtshme</w:t>
      </w:r>
    </w:p>
    <w:p w14:paraId="5E3E6A06" w14:textId="5096C434" w:rsidR="00CE4035" w:rsidRDefault="00CE4035" w:rsidP="00CE4035">
      <w:pPr>
        <w:tabs>
          <w:tab w:val="left" w:pos="486"/>
        </w:tabs>
        <w:spacing w:line="238" w:lineRule="auto"/>
        <w:ind w:right="8"/>
        <w:jc w:val="both"/>
      </w:pPr>
      <w:r w:rsidRPr="003229B1">
        <w:rPr>
          <w:b/>
        </w:rPr>
        <w:t xml:space="preserve">Përshkrimi i masës: </w:t>
      </w:r>
      <w:r w:rsidRPr="003229B1">
        <w:t>Kjo masë propozon shfrytëzimin e procedurave efikase</w:t>
      </w:r>
      <w:r w:rsidRPr="003229B1">
        <w:rPr>
          <w:b/>
        </w:rPr>
        <w:t xml:space="preserve"> </w:t>
      </w:r>
      <w:r w:rsidRPr="003229B1">
        <w:t>administrative të Agjencisë Kosovare për Krahasim dhe Verifikim të Pronës (AKKVP), si trup kuazi - gjyqësor, për t’i ofruar njohje formale dhe ligjore bartësve faktik të të drejtave joformale pronësore, kështu që ato të mund të regjistrohen në kadastër. Kjo reformë kontribuon në shkarkimin e gjykatave nga kërkesat për formalizim dhe i ofron qytetarëve një zgjidhje të shpejtë të kërkesave të tyre për formalizmin e të drejtave pronësore. Objektiv i përgjithshëm i kësaj mase është transformimi i kadastrit në një platformë të besueshme të të dhënave mbi pronat dhe bartësit e të drejtave pronësore në Kosovë. Kjo masë është rrjedhoje e reformave të filluara në PRE 2016 -2018 dhe bazohet në Strategjinë Kombëtare për të Drejtat Pronësore dhe Strategjinë Kombëtare për Zhvillim.</w:t>
      </w:r>
    </w:p>
    <w:p w14:paraId="42F1E312" w14:textId="77777777" w:rsidR="005116BD" w:rsidRPr="003229B1" w:rsidRDefault="005116BD" w:rsidP="00CE4035">
      <w:pPr>
        <w:tabs>
          <w:tab w:val="left" w:pos="486"/>
        </w:tabs>
        <w:spacing w:line="238" w:lineRule="auto"/>
        <w:ind w:right="8"/>
        <w:jc w:val="both"/>
        <w:rPr>
          <w:b/>
        </w:rPr>
      </w:pPr>
    </w:p>
    <w:p w14:paraId="1B764551" w14:textId="77777777" w:rsidR="00CE4035" w:rsidRPr="003229B1" w:rsidRDefault="00CE4035" w:rsidP="00CE4035">
      <w:pPr>
        <w:rPr>
          <w:b/>
        </w:rPr>
      </w:pPr>
      <w:r w:rsidRPr="003229B1">
        <w:rPr>
          <w:b/>
        </w:rPr>
        <w:t>a. Aktivitetet e planifikuara për 2021:</w:t>
      </w:r>
    </w:p>
    <w:p w14:paraId="234E05CD" w14:textId="77777777" w:rsidR="00CE4035" w:rsidRPr="003229B1" w:rsidRDefault="00CE4035" w:rsidP="0068706C">
      <w:pPr>
        <w:numPr>
          <w:ilvl w:val="1"/>
          <w:numId w:val="24"/>
        </w:numPr>
        <w:tabs>
          <w:tab w:val="left" w:pos="840"/>
        </w:tabs>
        <w:ind w:left="360" w:right="8" w:hanging="360"/>
        <w:jc w:val="both"/>
      </w:pPr>
      <w:r w:rsidRPr="003229B1">
        <w:t>Ndryshimi i Ligjit për Agjencinë Kosovare për Krahasim dhe Verifikim të Pronës; (ZKM)</w:t>
      </w:r>
    </w:p>
    <w:p w14:paraId="034146FE" w14:textId="77777777" w:rsidR="00CE4035" w:rsidRPr="003229B1" w:rsidRDefault="00CE4035" w:rsidP="0068706C">
      <w:pPr>
        <w:numPr>
          <w:ilvl w:val="1"/>
          <w:numId w:val="24"/>
        </w:numPr>
        <w:tabs>
          <w:tab w:val="left" w:pos="840"/>
        </w:tabs>
        <w:ind w:left="360" w:right="8" w:hanging="360"/>
        <w:jc w:val="both"/>
      </w:pPr>
      <w:r w:rsidRPr="003229B1">
        <w:t>Miratimi i projektligjeve për Kadastrën (MMPH), Tokën Ndërtimore (MD) dhe Pronën Publike (MD);</w:t>
      </w:r>
    </w:p>
    <w:p w14:paraId="7A4D369E" w14:textId="77777777" w:rsidR="00CE4035" w:rsidRPr="003229B1" w:rsidRDefault="00CE4035" w:rsidP="0068706C">
      <w:pPr>
        <w:numPr>
          <w:ilvl w:val="1"/>
          <w:numId w:val="24"/>
        </w:numPr>
        <w:tabs>
          <w:tab w:val="left" w:pos="840"/>
        </w:tabs>
        <w:ind w:left="360" w:right="8" w:hanging="360"/>
        <w:jc w:val="both"/>
      </w:pPr>
      <w:r w:rsidRPr="003229B1">
        <w:t>Hartimi i rregulloreve për detyrat dhe përgjegjësitë e Sekretariatit të AKKVP-së dhe Komisionit vendosës për adresimin e kërkesave për formalizim (AKKVP);</w:t>
      </w:r>
    </w:p>
    <w:p w14:paraId="7F353C04" w14:textId="77777777" w:rsidR="00CE4035" w:rsidRPr="003229B1" w:rsidRDefault="00CE4035" w:rsidP="0068706C">
      <w:pPr>
        <w:numPr>
          <w:ilvl w:val="1"/>
          <w:numId w:val="24"/>
        </w:numPr>
        <w:tabs>
          <w:tab w:val="left" w:pos="840"/>
        </w:tabs>
        <w:ind w:left="360" w:hanging="360"/>
        <w:jc w:val="both"/>
      </w:pPr>
      <w:r w:rsidRPr="003229B1">
        <w:t>Funksionalizimi i mandatit të ri të AKKVP-së (ZKM, AKKVP);</w:t>
      </w:r>
    </w:p>
    <w:p w14:paraId="384C5685" w14:textId="77777777" w:rsidR="00CE4035" w:rsidRPr="003229B1" w:rsidRDefault="00CE4035" w:rsidP="0068706C">
      <w:pPr>
        <w:numPr>
          <w:ilvl w:val="1"/>
          <w:numId w:val="24"/>
        </w:numPr>
        <w:tabs>
          <w:tab w:val="left" w:pos="840"/>
        </w:tabs>
        <w:ind w:left="360" w:right="8" w:hanging="360"/>
        <w:jc w:val="both"/>
      </w:pPr>
      <w:r w:rsidRPr="003229B1">
        <w:t>Trajnimi i komisionerëve të AKKVP-së dhe stafit mbështetës të Sekretariatit të AKKVP-së (AKKVP).</w:t>
      </w:r>
    </w:p>
    <w:p w14:paraId="63A009E6" w14:textId="77777777" w:rsidR="00CE4035" w:rsidRPr="003229B1" w:rsidRDefault="00CE4035" w:rsidP="00CE4035">
      <w:pPr>
        <w:jc w:val="both"/>
      </w:pPr>
    </w:p>
    <w:p w14:paraId="0DA8B7BD" w14:textId="77777777" w:rsidR="00CE4035" w:rsidRPr="003229B1" w:rsidRDefault="00CE4035" w:rsidP="0068706C">
      <w:pPr>
        <w:numPr>
          <w:ilvl w:val="0"/>
          <w:numId w:val="25"/>
        </w:numPr>
        <w:tabs>
          <w:tab w:val="left" w:pos="440"/>
        </w:tabs>
        <w:ind w:left="270" w:hanging="270"/>
        <w:jc w:val="both"/>
        <w:rPr>
          <w:b/>
        </w:rPr>
      </w:pPr>
      <w:r w:rsidRPr="003229B1">
        <w:rPr>
          <w:b/>
        </w:rPr>
        <w:t>Aktivitetet e planifikuara për 2022</w:t>
      </w:r>
    </w:p>
    <w:p w14:paraId="1C9D98D1" w14:textId="77777777" w:rsidR="00CE4035" w:rsidRPr="003229B1" w:rsidRDefault="00CE4035" w:rsidP="0068706C">
      <w:pPr>
        <w:numPr>
          <w:ilvl w:val="1"/>
          <w:numId w:val="25"/>
        </w:numPr>
        <w:tabs>
          <w:tab w:val="left" w:pos="840"/>
        </w:tabs>
        <w:ind w:left="360" w:right="8" w:hanging="360"/>
        <w:jc w:val="both"/>
      </w:pPr>
      <w:r w:rsidRPr="003229B1">
        <w:t>Trajnimi i komisionerëve të AKKVP-së dhe stafit mbështetës të Sekretariatit të AKKVP-së (AKKVP);</w:t>
      </w:r>
    </w:p>
    <w:p w14:paraId="64FC4485" w14:textId="77777777" w:rsidR="00CE4035" w:rsidRPr="003229B1" w:rsidRDefault="00CE4035" w:rsidP="0068706C">
      <w:pPr>
        <w:numPr>
          <w:ilvl w:val="1"/>
          <w:numId w:val="25"/>
        </w:numPr>
        <w:tabs>
          <w:tab w:val="left" w:pos="840"/>
        </w:tabs>
        <w:ind w:left="360" w:right="8" w:hanging="360"/>
        <w:jc w:val="both"/>
      </w:pPr>
      <w:r w:rsidRPr="003229B1">
        <w:t>Miratimi i udhëzimit administrativ që e rregullon dhe lehtëson qasjen në të dhëna kadastrale për qytetarët e Kosovës (MMPH).</w:t>
      </w:r>
    </w:p>
    <w:p w14:paraId="67A6DF56" w14:textId="77777777" w:rsidR="005116BD" w:rsidRDefault="005116BD" w:rsidP="005116BD">
      <w:pPr>
        <w:tabs>
          <w:tab w:val="left" w:pos="360"/>
        </w:tabs>
        <w:spacing w:line="0" w:lineRule="atLeast"/>
        <w:rPr>
          <w:b/>
        </w:rPr>
      </w:pPr>
    </w:p>
    <w:p w14:paraId="1830195C" w14:textId="463B2FD5" w:rsidR="00CE4035" w:rsidRPr="005116BD" w:rsidRDefault="00CE4035" w:rsidP="005116BD">
      <w:pPr>
        <w:tabs>
          <w:tab w:val="left" w:pos="360"/>
        </w:tabs>
        <w:spacing w:line="0" w:lineRule="atLeast"/>
        <w:rPr>
          <w:b/>
        </w:rPr>
      </w:pPr>
      <w:r w:rsidRPr="005116BD">
        <w:rPr>
          <w:b/>
        </w:rPr>
        <w:t>Treguesit e rezultateve:</w:t>
      </w:r>
    </w:p>
    <w:tbl>
      <w:tblPr>
        <w:tblStyle w:val="TableGrid"/>
        <w:tblW w:w="0" w:type="auto"/>
        <w:tblLook w:val="04A0" w:firstRow="1" w:lastRow="0" w:firstColumn="1" w:lastColumn="0" w:noHBand="0" w:noVBand="1"/>
      </w:tblPr>
      <w:tblGrid>
        <w:gridCol w:w="3553"/>
        <w:gridCol w:w="1433"/>
        <w:gridCol w:w="2136"/>
        <w:gridCol w:w="1492"/>
      </w:tblGrid>
      <w:tr w:rsidR="00CE4035" w:rsidRPr="003229B1" w14:paraId="06E52B8E" w14:textId="77777777" w:rsidTr="009B753C">
        <w:tc>
          <w:tcPr>
            <w:tcW w:w="4315" w:type="dxa"/>
          </w:tcPr>
          <w:p w14:paraId="0849A9E1" w14:textId="77777777" w:rsidR="00CE4035" w:rsidRPr="003229B1" w:rsidRDefault="00CE4035" w:rsidP="009B753C">
            <w:pPr>
              <w:pStyle w:val="ListParagraph"/>
              <w:tabs>
                <w:tab w:val="left" w:pos="360"/>
              </w:tabs>
              <w:spacing w:line="0" w:lineRule="atLeast"/>
              <w:rPr>
                <w:rFonts w:ascii="Times New Roman" w:hAnsi="Times New Roman"/>
                <w:b/>
                <w:sz w:val="24"/>
                <w:szCs w:val="24"/>
              </w:rPr>
            </w:pPr>
            <w:r w:rsidRPr="003229B1">
              <w:rPr>
                <w:rFonts w:ascii="Times New Roman" w:eastAsia="Times New Roman" w:hAnsi="Times New Roman"/>
                <w:b/>
                <w:sz w:val="24"/>
                <w:szCs w:val="24"/>
              </w:rPr>
              <w:t>Treguesi</w:t>
            </w:r>
          </w:p>
        </w:tc>
        <w:tc>
          <w:tcPr>
            <w:tcW w:w="1080" w:type="dxa"/>
          </w:tcPr>
          <w:p w14:paraId="0D06CCD8" w14:textId="77777777" w:rsidR="00CE4035" w:rsidRPr="003229B1" w:rsidRDefault="00CE4035" w:rsidP="009B753C">
            <w:pPr>
              <w:pStyle w:val="ListParagraph"/>
              <w:tabs>
                <w:tab w:val="left" w:pos="360"/>
              </w:tabs>
              <w:spacing w:line="0" w:lineRule="atLeast"/>
              <w:rPr>
                <w:rFonts w:ascii="Times New Roman" w:hAnsi="Times New Roman"/>
                <w:b/>
                <w:sz w:val="24"/>
                <w:szCs w:val="24"/>
              </w:rPr>
            </w:pPr>
            <w:r w:rsidRPr="003229B1">
              <w:rPr>
                <w:rFonts w:ascii="Times New Roman" w:eastAsia="Times New Roman" w:hAnsi="Times New Roman"/>
                <w:b/>
                <w:w w:val="98"/>
                <w:sz w:val="24"/>
                <w:szCs w:val="24"/>
              </w:rPr>
              <w:t xml:space="preserve">Baza </w:t>
            </w:r>
          </w:p>
        </w:tc>
        <w:tc>
          <w:tcPr>
            <w:tcW w:w="2430" w:type="dxa"/>
          </w:tcPr>
          <w:p w14:paraId="58ED4579" w14:textId="77777777" w:rsidR="00CE4035" w:rsidRPr="003229B1" w:rsidRDefault="00CE4035" w:rsidP="009B753C">
            <w:pPr>
              <w:spacing w:line="0" w:lineRule="atLeast"/>
              <w:jc w:val="center"/>
              <w:rPr>
                <w:b/>
              </w:rPr>
            </w:pPr>
            <w:r w:rsidRPr="003229B1">
              <w:rPr>
                <w:b/>
              </w:rPr>
              <w:t xml:space="preserve">Synimi i ndërmjetëm  </w:t>
            </w:r>
          </w:p>
        </w:tc>
        <w:tc>
          <w:tcPr>
            <w:tcW w:w="1525" w:type="dxa"/>
          </w:tcPr>
          <w:p w14:paraId="218F05FB" w14:textId="77777777" w:rsidR="00CE4035" w:rsidRPr="003229B1" w:rsidRDefault="00CE4035" w:rsidP="009B753C">
            <w:pPr>
              <w:spacing w:line="0" w:lineRule="atLeast"/>
              <w:rPr>
                <w:b/>
              </w:rPr>
            </w:pPr>
            <w:r w:rsidRPr="003229B1">
              <w:rPr>
                <w:b/>
              </w:rPr>
              <w:t>Synimi 2023</w:t>
            </w:r>
          </w:p>
        </w:tc>
      </w:tr>
      <w:tr w:rsidR="00CE4035" w:rsidRPr="003229B1" w14:paraId="39B4411F" w14:textId="77777777" w:rsidTr="009B753C">
        <w:tc>
          <w:tcPr>
            <w:tcW w:w="4315" w:type="dxa"/>
          </w:tcPr>
          <w:p w14:paraId="20C490FF" w14:textId="77777777" w:rsidR="00CE4035" w:rsidRPr="003229B1" w:rsidRDefault="00CE4035" w:rsidP="009B753C">
            <w:pPr>
              <w:spacing w:line="239" w:lineRule="exact"/>
            </w:pPr>
            <w:r w:rsidRPr="003229B1">
              <w:t>Kohëzgjatja   e  procesit   për   njohje   të transaksioneve joformale pronësore</w:t>
            </w:r>
          </w:p>
        </w:tc>
        <w:tc>
          <w:tcPr>
            <w:tcW w:w="1080" w:type="dxa"/>
          </w:tcPr>
          <w:p w14:paraId="2FFB5922" w14:textId="77777777" w:rsidR="00CE4035" w:rsidRPr="003229B1" w:rsidRDefault="00CE4035" w:rsidP="009B753C">
            <w:pPr>
              <w:pStyle w:val="ListParagraph"/>
              <w:tabs>
                <w:tab w:val="left" w:pos="360"/>
              </w:tabs>
              <w:spacing w:line="0" w:lineRule="atLeast"/>
              <w:jc w:val="center"/>
              <w:rPr>
                <w:rFonts w:ascii="Times New Roman" w:eastAsia="Times New Roman" w:hAnsi="Times New Roman"/>
                <w:b/>
                <w:sz w:val="24"/>
                <w:szCs w:val="24"/>
              </w:rPr>
            </w:pPr>
            <w:r w:rsidRPr="003229B1">
              <w:rPr>
                <w:rFonts w:ascii="Times New Roman" w:eastAsia="Times New Roman" w:hAnsi="Times New Roman"/>
                <w:b/>
                <w:sz w:val="24"/>
                <w:szCs w:val="24"/>
              </w:rPr>
              <w:t>2021</w:t>
            </w:r>
          </w:p>
          <w:p w14:paraId="589746AA" w14:textId="77777777" w:rsidR="00CE4035" w:rsidRPr="003229B1" w:rsidRDefault="00CE4035" w:rsidP="009B753C">
            <w:pPr>
              <w:pStyle w:val="ListParagraph"/>
              <w:tabs>
                <w:tab w:val="left" w:pos="360"/>
              </w:tabs>
              <w:spacing w:line="0" w:lineRule="atLeast"/>
              <w:jc w:val="center"/>
              <w:rPr>
                <w:rFonts w:ascii="Times New Roman" w:hAnsi="Times New Roman"/>
                <w:b/>
                <w:sz w:val="24"/>
                <w:szCs w:val="24"/>
              </w:rPr>
            </w:pPr>
            <w:r w:rsidRPr="003229B1">
              <w:rPr>
                <w:rFonts w:ascii="Times New Roman" w:eastAsia="Times New Roman" w:hAnsi="Times New Roman"/>
                <w:sz w:val="24"/>
                <w:szCs w:val="24"/>
              </w:rPr>
              <w:t>18 muaj</w:t>
            </w:r>
          </w:p>
        </w:tc>
        <w:tc>
          <w:tcPr>
            <w:tcW w:w="2430" w:type="dxa"/>
          </w:tcPr>
          <w:p w14:paraId="3E7ED561" w14:textId="77777777" w:rsidR="00CE4035" w:rsidRPr="003229B1" w:rsidRDefault="00CE4035" w:rsidP="009B753C">
            <w:pPr>
              <w:pStyle w:val="ListParagraph"/>
              <w:tabs>
                <w:tab w:val="left" w:pos="360"/>
              </w:tabs>
              <w:spacing w:line="0" w:lineRule="atLeast"/>
              <w:jc w:val="center"/>
              <w:rPr>
                <w:rFonts w:ascii="Times New Roman" w:eastAsia="Times New Roman" w:hAnsi="Times New Roman"/>
                <w:b/>
                <w:sz w:val="24"/>
                <w:szCs w:val="24"/>
              </w:rPr>
            </w:pPr>
            <w:r w:rsidRPr="003229B1">
              <w:rPr>
                <w:rFonts w:ascii="Times New Roman" w:eastAsia="Times New Roman" w:hAnsi="Times New Roman"/>
                <w:b/>
                <w:sz w:val="24"/>
                <w:szCs w:val="24"/>
              </w:rPr>
              <w:t>2021</w:t>
            </w:r>
          </w:p>
          <w:p w14:paraId="22CCBA1D" w14:textId="77777777" w:rsidR="00CE4035" w:rsidRPr="003229B1" w:rsidRDefault="00CE4035" w:rsidP="009B753C">
            <w:pPr>
              <w:pStyle w:val="ListParagraph"/>
              <w:tabs>
                <w:tab w:val="left" w:pos="360"/>
              </w:tabs>
              <w:spacing w:line="0" w:lineRule="atLeast"/>
              <w:jc w:val="center"/>
              <w:rPr>
                <w:rFonts w:ascii="Times New Roman" w:hAnsi="Times New Roman"/>
                <w:b/>
                <w:sz w:val="24"/>
                <w:szCs w:val="24"/>
              </w:rPr>
            </w:pPr>
            <w:r w:rsidRPr="003229B1">
              <w:rPr>
                <w:rFonts w:ascii="Times New Roman" w:eastAsia="Times New Roman" w:hAnsi="Times New Roman"/>
                <w:sz w:val="24"/>
                <w:szCs w:val="24"/>
              </w:rPr>
              <w:t>18 muaj</w:t>
            </w:r>
          </w:p>
        </w:tc>
        <w:tc>
          <w:tcPr>
            <w:tcW w:w="1525" w:type="dxa"/>
          </w:tcPr>
          <w:p w14:paraId="230CB624" w14:textId="77777777" w:rsidR="00CE4035" w:rsidRPr="003229B1" w:rsidRDefault="00CE4035" w:rsidP="009B753C">
            <w:pPr>
              <w:pStyle w:val="ListParagraph"/>
              <w:tabs>
                <w:tab w:val="left" w:pos="360"/>
              </w:tabs>
              <w:spacing w:line="0" w:lineRule="atLeast"/>
              <w:jc w:val="center"/>
              <w:rPr>
                <w:rFonts w:ascii="Times New Roman" w:hAnsi="Times New Roman"/>
                <w:b/>
                <w:sz w:val="24"/>
                <w:szCs w:val="24"/>
              </w:rPr>
            </w:pPr>
            <w:r w:rsidRPr="003229B1">
              <w:rPr>
                <w:rFonts w:ascii="Times New Roman" w:eastAsia="Times New Roman" w:hAnsi="Times New Roman"/>
                <w:sz w:val="24"/>
                <w:szCs w:val="24"/>
              </w:rPr>
              <w:t>14 muaj</w:t>
            </w:r>
          </w:p>
        </w:tc>
      </w:tr>
      <w:tr w:rsidR="00CE4035" w:rsidRPr="003229B1" w14:paraId="0F30B737" w14:textId="77777777" w:rsidTr="009B753C">
        <w:tc>
          <w:tcPr>
            <w:tcW w:w="4315" w:type="dxa"/>
          </w:tcPr>
          <w:p w14:paraId="53330506" w14:textId="77777777" w:rsidR="00CE4035" w:rsidRPr="003229B1" w:rsidRDefault="00CE4035" w:rsidP="009B753C">
            <w:pPr>
              <w:spacing w:line="239" w:lineRule="exact"/>
            </w:pPr>
            <w:r w:rsidRPr="003229B1">
              <w:t>Përditësimi i regjistrit kadastral me të dhëna të sakta të bartësve ligjor</w:t>
            </w:r>
          </w:p>
        </w:tc>
        <w:tc>
          <w:tcPr>
            <w:tcW w:w="1080" w:type="dxa"/>
          </w:tcPr>
          <w:p w14:paraId="67548AF3" w14:textId="77777777" w:rsidR="00CE4035" w:rsidRPr="003229B1" w:rsidRDefault="00CE4035" w:rsidP="009B753C">
            <w:pPr>
              <w:pStyle w:val="ListParagraph"/>
              <w:tabs>
                <w:tab w:val="left" w:pos="360"/>
              </w:tabs>
              <w:spacing w:line="0" w:lineRule="atLeast"/>
              <w:jc w:val="center"/>
              <w:rPr>
                <w:rFonts w:ascii="Times New Roman" w:eastAsia="Times New Roman" w:hAnsi="Times New Roman"/>
                <w:b/>
                <w:sz w:val="24"/>
                <w:szCs w:val="24"/>
              </w:rPr>
            </w:pPr>
            <w:r w:rsidRPr="003229B1">
              <w:rPr>
                <w:rFonts w:ascii="Times New Roman" w:eastAsia="Times New Roman" w:hAnsi="Times New Roman"/>
                <w:b/>
                <w:sz w:val="24"/>
                <w:szCs w:val="24"/>
              </w:rPr>
              <w:t>2018</w:t>
            </w:r>
          </w:p>
          <w:p w14:paraId="316368F7" w14:textId="77777777" w:rsidR="00CE4035" w:rsidRPr="003229B1" w:rsidRDefault="00CE4035" w:rsidP="009B753C">
            <w:pPr>
              <w:pStyle w:val="ListParagraph"/>
              <w:tabs>
                <w:tab w:val="left" w:pos="360"/>
              </w:tabs>
              <w:spacing w:line="0" w:lineRule="atLeast"/>
              <w:jc w:val="center"/>
              <w:rPr>
                <w:rFonts w:ascii="Times New Roman" w:hAnsi="Times New Roman"/>
                <w:b/>
                <w:sz w:val="24"/>
                <w:szCs w:val="24"/>
              </w:rPr>
            </w:pPr>
            <w:r w:rsidRPr="003229B1">
              <w:rPr>
                <w:rFonts w:ascii="Times New Roman" w:eastAsia="Times New Roman" w:hAnsi="Times New Roman"/>
                <w:sz w:val="24"/>
                <w:szCs w:val="24"/>
              </w:rPr>
              <w:t>50%</w:t>
            </w:r>
          </w:p>
        </w:tc>
        <w:tc>
          <w:tcPr>
            <w:tcW w:w="2430" w:type="dxa"/>
          </w:tcPr>
          <w:p w14:paraId="4DBE99A8" w14:textId="77777777" w:rsidR="00CE4035" w:rsidRPr="003229B1" w:rsidRDefault="00CE4035" w:rsidP="009B753C">
            <w:pPr>
              <w:pStyle w:val="ListParagraph"/>
              <w:tabs>
                <w:tab w:val="left" w:pos="360"/>
              </w:tabs>
              <w:spacing w:line="0" w:lineRule="atLeast"/>
              <w:jc w:val="center"/>
              <w:rPr>
                <w:rFonts w:ascii="Times New Roman" w:eastAsia="Times New Roman" w:hAnsi="Times New Roman"/>
                <w:b/>
                <w:w w:val="99"/>
                <w:sz w:val="24"/>
                <w:szCs w:val="24"/>
              </w:rPr>
            </w:pPr>
            <w:r w:rsidRPr="003229B1">
              <w:rPr>
                <w:rFonts w:ascii="Times New Roman" w:eastAsia="Times New Roman" w:hAnsi="Times New Roman"/>
                <w:b/>
                <w:w w:val="99"/>
                <w:sz w:val="24"/>
                <w:szCs w:val="24"/>
              </w:rPr>
              <w:t>2021</w:t>
            </w:r>
          </w:p>
          <w:p w14:paraId="24199847" w14:textId="77777777" w:rsidR="00CE4035" w:rsidRPr="003229B1" w:rsidRDefault="00CE4035" w:rsidP="009B753C">
            <w:pPr>
              <w:pStyle w:val="ListParagraph"/>
              <w:tabs>
                <w:tab w:val="left" w:pos="360"/>
              </w:tabs>
              <w:spacing w:line="0" w:lineRule="atLeast"/>
              <w:jc w:val="center"/>
              <w:rPr>
                <w:rFonts w:ascii="Times New Roman" w:hAnsi="Times New Roman"/>
                <w:b/>
                <w:sz w:val="24"/>
                <w:szCs w:val="24"/>
              </w:rPr>
            </w:pPr>
            <w:r w:rsidRPr="003229B1">
              <w:rPr>
                <w:rFonts w:ascii="Times New Roman" w:eastAsia="Times New Roman" w:hAnsi="Times New Roman"/>
                <w:w w:val="99"/>
                <w:sz w:val="24"/>
                <w:szCs w:val="24"/>
              </w:rPr>
              <w:t>60%</w:t>
            </w:r>
          </w:p>
        </w:tc>
        <w:tc>
          <w:tcPr>
            <w:tcW w:w="1525" w:type="dxa"/>
          </w:tcPr>
          <w:p w14:paraId="04F391E5" w14:textId="77777777" w:rsidR="00CE4035" w:rsidRPr="003229B1" w:rsidRDefault="00CE4035" w:rsidP="009B753C">
            <w:pPr>
              <w:pStyle w:val="ListParagraph"/>
              <w:tabs>
                <w:tab w:val="left" w:pos="360"/>
              </w:tabs>
              <w:spacing w:line="0" w:lineRule="atLeast"/>
              <w:jc w:val="center"/>
              <w:rPr>
                <w:rFonts w:ascii="Times New Roman" w:hAnsi="Times New Roman"/>
                <w:b/>
                <w:sz w:val="24"/>
                <w:szCs w:val="24"/>
              </w:rPr>
            </w:pPr>
            <w:r w:rsidRPr="003229B1">
              <w:rPr>
                <w:rFonts w:ascii="Times New Roman" w:eastAsia="Times New Roman" w:hAnsi="Times New Roman"/>
                <w:sz w:val="24"/>
                <w:szCs w:val="24"/>
              </w:rPr>
              <w:t>70%</w:t>
            </w:r>
          </w:p>
        </w:tc>
      </w:tr>
    </w:tbl>
    <w:p w14:paraId="5AF17539" w14:textId="77777777" w:rsidR="00CE4035" w:rsidRDefault="00CE4035" w:rsidP="00CE4035">
      <w:pPr>
        <w:tabs>
          <w:tab w:val="left" w:pos="360"/>
        </w:tabs>
        <w:spacing w:line="238" w:lineRule="auto"/>
        <w:ind w:right="8"/>
        <w:jc w:val="both"/>
        <w:rPr>
          <w:b/>
        </w:rPr>
      </w:pPr>
    </w:p>
    <w:p w14:paraId="7C2AE70B" w14:textId="521C8CAD" w:rsidR="00CE4035" w:rsidRDefault="00CE4035" w:rsidP="00CE4035">
      <w:pPr>
        <w:tabs>
          <w:tab w:val="left" w:pos="360"/>
        </w:tabs>
        <w:spacing w:line="238" w:lineRule="auto"/>
        <w:ind w:right="8"/>
        <w:jc w:val="both"/>
      </w:pPr>
      <w:r w:rsidRPr="003229B1">
        <w:rPr>
          <w:b/>
        </w:rPr>
        <w:t xml:space="preserve">Ndikimi i pritur në konkurrueshmëri: </w:t>
      </w:r>
      <w:r w:rsidRPr="003229B1">
        <w:t>Aktualisht, vlerësohet se janë mbi 350,000 prona</w:t>
      </w:r>
      <w:r w:rsidRPr="003229B1">
        <w:rPr>
          <w:b/>
        </w:rPr>
        <w:t xml:space="preserve"> </w:t>
      </w:r>
      <w:r w:rsidRPr="003229B1">
        <w:t>të paregjistruara ne Kosovë, në vlerë disa miliardësh. Krijimi i një sistemi efektiv të të drejtave të pronësisë krijon siguri ligjore për investitorët dhe rrjedhimisht i rritë mundësitë për investime, ndërsa kjo u krijon shtetasve më shumë mundësi për të përdorur pronën si kolateral dhe për këtë arsye përmirëson qasjen në financa. Gjithashtu, fuqizimi i të drejtave pronësore përmirëson indikatorët e Bankës Botërore për mjedisin e të bërit biznes, duke përfshirë regjistrimin dhe administrimin e pronës dhe zgjidhjen e kontesteve pronësore.</w:t>
      </w:r>
    </w:p>
    <w:p w14:paraId="2C4DBAD1" w14:textId="77777777" w:rsidR="005116BD" w:rsidRPr="003229B1" w:rsidRDefault="005116BD" w:rsidP="00CE4035">
      <w:pPr>
        <w:tabs>
          <w:tab w:val="left" w:pos="360"/>
        </w:tabs>
        <w:spacing w:line="238" w:lineRule="auto"/>
        <w:ind w:right="8"/>
        <w:jc w:val="both"/>
        <w:rPr>
          <w:b/>
        </w:rPr>
      </w:pPr>
    </w:p>
    <w:p w14:paraId="14EE7AF3" w14:textId="345F8CE0" w:rsidR="00CE4035" w:rsidRDefault="00CE4035" w:rsidP="00CE4035">
      <w:pPr>
        <w:tabs>
          <w:tab w:val="left" w:pos="374"/>
        </w:tabs>
        <w:spacing w:line="238" w:lineRule="auto"/>
        <w:ind w:right="8"/>
        <w:jc w:val="both"/>
      </w:pPr>
      <w:r w:rsidRPr="003229B1">
        <w:rPr>
          <w:b/>
        </w:rPr>
        <w:t xml:space="preserve">Vlerësimi i kostos së aktiviteteve dhe burimet e financimit: </w:t>
      </w:r>
      <w:r w:rsidRPr="003229B1">
        <w:t>Kostoja totale për të zbatuar këtë masë vlerësohet të jetë rreth 83,400 Euro. Nga kjo shumë 55,205 Euro do të jetë ndikimi për vitin 2020, i cili pritet të financohet nga grante të tjera (Projekti USAID). Për vitin 2021, kostoja vlerësohet të jetë rreth 28,205 Euro, që pritet të financohet nga grante të tjera (Projekti USAID).</w:t>
      </w:r>
    </w:p>
    <w:p w14:paraId="50AC4378" w14:textId="77777777" w:rsidR="005116BD" w:rsidRPr="003229B1" w:rsidRDefault="005116BD" w:rsidP="00CE4035">
      <w:pPr>
        <w:tabs>
          <w:tab w:val="left" w:pos="374"/>
        </w:tabs>
        <w:spacing w:line="238" w:lineRule="auto"/>
        <w:ind w:right="8"/>
        <w:jc w:val="both"/>
        <w:rPr>
          <w:b/>
        </w:rPr>
      </w:pPr>
    </w:p>
    <w:p w14:paraId="1BEF69C3" w14:textId="6487C277" w:rsidR="00CE4035" w:rsidRDefault="00CE4035" w:rsidP="00CE4035">
      <w:pPr>
        <w:tabs>
          <w:tab w:val="left" w:pos="362"/>
        </w:tabs>
        <w:spacing w:line="250" w:lineRule="auto"/>
        <w:ind w:right="8"/>
        <w:jc w:val="both"/>
      </w:pPr>
      <w:r w:rsidRPr="003229B1">
        <w:rPr>
          <w:b/>
        </w:rPr>
        <w:t xml:space="preserve">Ndikimet e pritshme mbi rezultatet sociale, të tilla si punësimi, reduktimi i varfërisë, barazia gjinore: </w:t>
      </w:r>
      <w:r w:rsidRPr="003229B1">
        <w:t>Fuqizimi i të drejtave pronësore kontribuon në uljen e pabarazisë gjinore.</w:t>
      </w:r>
      <w:r w:rsidRPr="003229B1">
        <w:rPr>
          <w:b/>
        </w:rPr>
        <w:t xml:space="preserve"> </w:t>
      </w:r>
      <w:r w:rsidRPr="003229B1">
        <w:t>Për gratë dhe vajzat, ekonomia joformale i gjerë në sektorin e pronave kur prona shkëmbehet jashtë sistemit formal përjashton ato nga shitblerjet mbi të cilat ato posedojnë të drejta legjitime. Me posedim të pronës, gratë pavarësohen ekonomikisht, duke shfrytëzuar pronën si kolateral për marrjen e kredive bankare për fillim të një biznesi të ri që krijon vende të reja pune, apo për marrjen e subvencioneve për shfrytëzim efektiv të tokave bujqësore.</w:t>
      </w:r>
    </w:p>
    <w:p w14:paraId="473C397B" w14:textId="77777777" w:rsidR="005116BD" w:rsidRPr="003229B1" w:rsidRDefault="005116BD" w:rsidP="00CE4035">
      <w:pPr>
        <w:tabs>
          <w:tab w:val="left" w:pos="362"/>
        </w:tabs>
        <w:spacing w:line="250" w:lineRule="auto"/>
        <w:ind w:right="8"/>
        <w:jc w:val="both"/>
        <w:rPr>
          <w:b/>
        </w:rPr>
      </w:pPr>
    </w:p>
    <w:p w14:paraId="4AB91B22" w14:textId="79A59A5A" w:rsidR="00CE4035" w:rsidRDefault="00CE4035" w:rsidP="00CE4035">
      <w:pPr>
        <w:tabs>
          <w:tab w:val="left" w:pos="360"/>
        </w:tabs>
        <w:spacing w:line="250" w:lineRule="auto"/>
        <w:ind w:right="8"/>
        <w:jc w:val="both"/>
      </w:pPr>
      <w:r w:rsidRPr="003229B1">
        <w:rPr>
          <w:b/>
        </w:rPr>
        <w:t xml:space="preserve">Ndikimi i pritshëm në mjedis: </w:t>
      </w:r>
      <w:r w:rsidRPr="003229B1">
        <w:t>Nuk ka ndikim relevant në mjedis.</w:t>
      </w:r>
    </w:p>
    <w:p w14:paraId="611F61B5" w14:textId="77777777" w:rsidR="005116BD" w:rsidRPr="003229B1" w:rsidRDefault="005116BD" w:rsidP="00CE4035">
      <w:pPr>
        <w:tabs>
          <w:tab w:val="left" w:pos="360"/>
        </w:tabs>
        <w:spacing w:line="250" w:lineRule="auto"/>
        <w:ind w:right="8"/>
        <w:jc w:val="both"/>
        <w:rPr>
          <w:b/>
        </w:rPr>
      </w:pPr>
    </w:p>
    <w:p w14:paraId="3A52B128" w14:textId="77777777" w:rsidR="00CE4035" w:rsidRPr="003229B1" w:rsidRDefault="00CE4035" w:rsidP="00CE4035">
      <w:pPr>
        <w:tabs>
          <w:tab w:val="left" w:pos="360"/>
        </w:tabs>
        <w:spacing w:line="250" w:lineRule="auto"/>
        <w:ind w:right="8"/>
        <w:jc w:val="both"/>
        <w:rPr>
          <w:b/>
        </w:rPr>
      </w:pPr>
      <w:r w:rsidRPr="003229B1">
        <w:rPr>
          <w:b/>
        </w:rPr>
        <w:t>Rreziqet potenciale:</w:t>
      </w:r>
    </w:p>
    <w:tbl>
      <w:tblPr>
        <w:tblStyle w:val="TableGrid"/>
        <w:tblW w:w="0" w:type="auto"/>
        <w:tblLook w:val="04A0" w:firstRow="1" w:lastRow="0" w:firstColumn="1" w:lastColumn="0" w:noHBand="0" w:noVBand="1"/>
      </w:tblPr>
      <w:tblGrid>
        <w:gridCol w:w="2907"/>
        <w:gridCol w:w="1643"/>
        <w:gridCol w:w="4064"/>
      </w:tblGrid>
      <w:tr w:rsidR="00CE4035" w:rsidRPr="003229B1" w14:paraId="55CAB5BC" w14:textId="77777777" w:rsidTr="009B753C">
        <w:tc>
          <w:tcPr>
            <w:tcW w:w="3116" w:type="dxa"/>
            <w:vAlign w:val="bottom"/>
          </w:tcPr>
          <w:p w14:paraId="11632227" w14:textId="77777777" w:rsidR="00CE4035" w:rsidRPr="003229B1" w:rsidRDefault="00CE4035" w:rsidP="009B753C">
            <w:pPr>
              <w:spacing w:line="0" w:lineRule="atLeast"/>
              <w:ind w:left="120"/>
              <w:jc w:val="both"/>
              <w:rPr>
                <w:b/>
              </w:rPr>
            </w:pPr>
            <w:r w:rsidRPr="003229B1">
              <w:rPr>
                <w:b/>
              </w:rPr>
              <w:t>Rreziku</w:t>
            </w:r>
          </w:p>
        </w:tc>
        <w:tc>
          <w:tcPr>
            <w:tcW w:w="1649" w:type="dxa"/>
            <w:vAlign w:val="bottom"/>
          </w:tcPr>
          <w:p w14:paraId="2321E4BF" w14:textId="77777777" w:rsidR="00CE4035" w:rsidRPr="003229B1" w:rsidRDefault="00CE4035" w:rsidP="009B753C">
            <w:pPr>
              <w:spacing w:line="0" w:lineRule="atLeast"/>
              <w:ind w:left="100"/>
              <w:jc w:val="both"/>
              <w:rPr>
                <w:b/>
              </w:rPr>
            </w:pPr>
            <w:r w:rsidRPr="003229B1">
              <w:rPr>
                <w:b/>
              </w:rPr>
              <w:t>Probabiliteti</w:t>
            </w:r>
          </w:p>
        </w:tc>
        <w:tc>
          <w:tcPr>
            <w:tcW w:w="4585" w:type="dxa"/>
            <w:vAlign w:val="bottom"/>
          </w:tcPr>
          <w:p w14:paraId="66513E2A" w14:textId="77777777" w:rsidR="00CE4035" w:rsidRPr="003229B1" w:rsidRDefault="00CE4035" w:rsidP="009B753C">
            <w:pPr>
              <w:spacing w:line="0" w:lineRule="atLeast"/>
              <w:jc w:val="both"/>
              <w:rPr>
                <w:b/>
              </w:rPr>
            </w:pPr>
            <w:r w:rsidRPr="003229B1">
              <w:rPr>
                <w:b/>
              </w:rPr>
              <w:t>Veprimi lehtësues i planifikuar</w:t>
            </w:r>
          </w:p>
        </w:tc>
      </w:tr>
      <w:tr w:rsidR="00CE4035" w:rsidRPr="003229B1" w14:paraId="2A788382" w14:textId="77777777" w:rsidTr="009B753C">
        <w:tc>
          <w:tcPr>
            <w:tcW w:w="3116" w:type="dxa"/>
          </w:tcPr>
          <w:p w14:paraId="5CAADD63" w14:textId="77777777" w:rsidR="00CE4035" w:rsidRPr="003229B1" w:rsidRDefault="00CE4035" w:rsidP="009B753C">
            <w:pPr>
              <w:spacing w:line="239" w:lineRule="exact"/>
            </w:pPr>
            <w:r w:rsidRPr="003229B1">
              <w:t>Bashkëpunimi dhe koordinimi ndërinstitucional</w:t>
            </w:r>
          </w:p>
        </w:tc>
        <w:tc>
          <w:tcPr>
            <w:tcW w:w="1649" w:type="dxa"/>
          </w:tcPr>
          <w:p w14:paraId="21FC14FB" w14:textId="77777777" w:rsidR="00CE4035" w:rsidRPr="003229B1" w:rsidRDefault="00CE4035" w:rsidP="009B753C">
            <w:pPr>
              <w:spacing w:line="239" w:lineRule="exact"/>
              <w:ind w:left="100"/>
              <w:jc w:val="center"/>
            </w:pPr>
            <w:r w:rsidRPr="003229B1">
              <w:t>I ulët</w:t>
            </w:r>
          </w:p>
        </w:tc>
        <w:tc>
          <w:tcPr>
            <w:tcW w:w="4585" w:type="dxa"/>
            <w:vAlign w:val="bottom"/>
          </w:tcPr>
          <w:p w14:paraId="5EBD97E1" w14:textId="77777777" w:rsidR="00CE4035" w:rsidRPr="003229B1" w:rsidRDefault="00CE4035" w:rsidP="009B753C">
            <w:pPr>
              <w:spacing w:line="239" w:lineRule="exact"/>
              <w:jc w:val="both"/>
            </w:pPr>
            <w:r w:rsidRPr="003229B1">
              <w:t xml:space="preserve">AKKVP  në  ndërmarrë  hapat  e  duhur  për </w:t>
            </w:r>
            <w:r w:rsidRPr="003229B1">
              <w:rPr>
                <w:w w:val="99"/>
              </w:rPr>
              <w:t>themelim të grupeve punuese dhe të rris rolin e saj</w:t>
            </w:r>
            <w:r w:rsidRPr="003229B1">
              <w:t xml:space="preserve"> koordinues në ketë proces.</w:t>
            </w:r>
          </w:p>
        </w:tc>
      </w:tr>
      <w:tr w:rsidR="00CE4035" w:rsidRPr="003229B1" w14:paraId="6918CE4F" w14:textId="77777777" w:rsidTr="009B753C">
        <w:tc>
          <w:tcPr>
            <w:tcW w:w="3116" w:type="dxa"/>
          </w:tcPr>
          <w:p w14:paraId="6C59D3DD" w14:textId="77777777" w:rsidR="00CE4035" w:rsidRPr="003229B1" w:rsidRDefault="00CE4035" w:rsidP="009B753C">
            <w:pPr>
              <w:spacing w:line="239" w:lineRule="exact"/>
              <w:rPr>
                <w:highlight w:val="yellow"/>
              </w:rPr>
            </w:pPr>
            <w:r w:rsidRPr="003229B1">
              <w:t xml:space="preserve">Përkeqësimi i situatës me pandeminë Covid – 19 </w:t>
            </w:r>
          </w:p>
        </w:tc>
        <w:tc>
          <w:tcPr>
            <w:tcW w:w="1649" w:type="dxa"/>
          </w:tcPr>
          <w:p w14:paraId="4D21A39F" w14:textId="77777777" w:rsidR="00CE4035" w:rsidRPr="003229B1" w:rsidRDefault="00CE4035" w:rsidP="009B753C">
            <w:pPr>
              <w:spacing w:line="239" w:lineRule="exact"/>
              <w:ind w:left="100"/>
              <w:jc w:val="center"/>
              <w:rPr>
                <w:highlight w:val="yellow"/>
              </w:rPr>
            </w:pPr>
            <w:r w:rsidRPr="003229B1">
              <w:t>I lartë</w:t>
            </w:r>
          </w:p>
        </w:tc>
        <w:tc>
          <w:tcPr>
            <w:tcW w:w="4585" w:type="dxa"/>
            <w:vAlign w:val="bottom"/>
          </w:tcPr>
          <w:p w14:paraId="1E8ED89D" w14:textId="77777777" w:rsidR="00CE4035" w:rsidRPr="003229B1" w:rsidRDefault="00CE4035" w:rsidP="009B753C">
            <w:pPr>
              <w:spacing w:line="239" w:lineRule="exact"/>
              <w:jc w:val="both"/>
              <w:rPr>
                <w:highlight w:val="yellow"/>
              </w:rPr>
            </w:pPr>
            <w:r w:rsidRPr="003229B1">
              <w:t>Ndërmarrja e masave për luftimin e pandemisë COVID-19</w:t>
            </w:r>
          </w:p>
        </w:tc>
      </w:tr>
    </w:tbl>
    <w:p w14:paraId="77AF8D47" w14:textId="77777777" w:rsidR="00CE4035" w:rsidRDefault="00CE4035" w:rsidP="00CE4035">
      <w:pPr>
        <w:rPr>
          <w:sz w:val="20"/>
          <w:szCs w:val="20"/>
        </w:rPr>
      </w:pPr>
    </w:p>
    <w:p w14:paraId="24CBE22B" w14:textId="77777777" w:rsidR="00CE4035" w:rsidRPr="005116BD" w:rsidRDefault="00CE4035" w:rsidP="00CE4035">
      <w:pPr>
        <w:shd w:val="clear" w:color="auto" w:fill="9CC2E5" w:themeFill="accent1" w:themeFillTint="99"/>
        <w:spacing w:line="234" w:lineRule="auto"/>
        <w:rPr>
          <w:b/>
        </w:rPr>
      </w:pPr>
      <w:r w:rsidRPr="005116BD">
        <w:rPr>
          <w:b/>
        </w:rPr>
        <w:t>Masa e reformës 11: Zvogëlimi i Ekonomisë joformale</w:t>
      </w:r>
    </w:p>
    <w:p w14:paraId="3CB04B63" w14:textId="77777777" w:rsidR="00CE4035" w:rsidRPr="00D745E0" w:rsidRDefault="00CE4035" w:rsidP="00CE4035">
      <w:pPr>
        <w:pStyle w:val="Default"/>
        <w:jc w:val="both"/>
        <w:rPr>
          <w:bCs/>
          <w:lang w:val="sq-AL"/>
        </w:rPr>
      </w:pPr>
      <w:r w:rsidRPr="005116BD">
        <w:rPr>
          <w:rFonts w:ascii="Times New Roman" w:hAnsi="Times New Roman" w:cs="Times New Roman"/>
          <w:b/>
          <w:bCs/>
          <w:lang w:val="sq-AL"/>
        </w:rPr>
        <w:t>Përshkrimi i masës:</w:t>
      </w:r>
      <w:r w:rsidRPr="005116BD">
        <w:rPr>
          <w:rFonts w:ascii="Times New Roman" w:hAnsi="Times New Roman" w:cs="Times New Roman"/>
          <w:bCs/>
          <w:lang w:val="sq-AL"/>
        </w:rPr>
        <w:t xml:space="preserve"> </w:t>
      </w:r>
      <w:r w:rsidRPr="005116BD">
        <w:rPr>
          <w:rFonts w:ascii="Times New Roman" w:hAnsi="Times New Roman" w:cs="Times New Roman"/>
          <w:lang w:val="sq-AL"/>
        </w:rPr>
        <w:t>Ekonomia joformale si fenomen, ka marrë shtrirje të gjerë në ekonominë e vendit. Studimet e fundit vlerësojnë që ekonomia jo-formale arrin deri  në 30% të BPV-së. Duke ju shmangur detyrimeve të ndryshme ndaj shtetit, subjekte të ndryshme fitojnë shuma të mëdha financiare në mënyrë të paligjshme. Prezenca e ekonomisë joformale në vend dëmton ekonominë e tregut, dhe konkurrencën e drejtë në mes të bizneseve. Në këtë drejtim ajo gjithashtu paraqet pengesë të madhe në matjen e treguesve makroekonomik siç janë: bruto produkti vendor (BPV), shkalla e rritjes ekonomike dhe papunësisë, etj. të cilat reflektohen në krijimin e politikave ekonomike. Qëllimi i masës është luftimi i ekonomisë jo-formale, përmes përmirësimi i sundimit të ligjit dhe qeverisjes ekonomike në Kosovë, me qëllim të rritjes së të ardhurave tatimore si dhe formalizmit të punësimit. Masa është në përputhje me draft Strategjinë e re Kundër Ekonomisë Joformale dhe Parandalimin e Pastrimit të Parave dhe Financimit të Terrorizmit 2019-2023. Ajo është gjithashtu në përputhje me Strategjinë aktuale të Zhvillimit të Kosovës dhe gjithashtu marrëveshjen e vendit në Marrëveshjen e Stabilizim Asocimit. Situata e krijuar në Kosovë nga pandemia COVID-19, e cila ka filluar në Mars 2020, ka ndikuar në mbylljen e shumicës së bizneseve per një periudhe dy-tre mujore, pasojat e pandemisë ndjehen edhe sot në ekonominë e vendit si: humbja e vazhdueshme e vendeve të punës, rënie të aktivitetit ekonomik dhe rrjedhimisht rritje të shkallës së varfërisë, që karakterizohet në masë të madhe me uljen e fuqisë blerësve, rrjedhimisht edhe uljen e qarkullimit dhe të hyrave buxhetore. Në këtë aspekt masat e ndërmarra nga Qeveria e vendit lidhur me përkrahjen e bizneseve në kuadër të pakos fiskale, kanë ndikuar edhe në formalizimin e një pjese të ekonomisë, pasi që vetëm nga aplikimi i masës nr.14 e cila i dedikohej punëtorëve të rinj që regjistrohen, është arritur që të regjistrohen mbi 14 mijë të punëtor.</w:t>
      </w:r>
      <w:r w:rsidRPr="005116BD">
        <w:rPr>
          <w:rFonts w:ascii="Times New Roman" w:hAnsi="Times New Roman" w:cs="Times New Roman"/>
        </w:rPr>
        <w:t xml:space="preserve"> </w:t>
      </w:r>
      <w:r w:rsidRPr="005116BD">
        <w:rPr>
          <w:rFonts w:ascii="Times New Roman" w:hAnsi="Times New Roman" w:cs="Times New Roman"/>
          <w:lang w:val="sq-AL"/>
        </w:rPr>
        <w:t>Kjo masë komunikon me fushën e Synimin 8 të SDG (Promovimi i rritjes ekonomike gjithëpërfshirëse dhe të qëndrueshme, punësimi dhe puna e denjë për të gjithë).</w:t>
      </w:r>
    </w:p>
    <w:p w14:paraId="5248DE8B" w14:textId="77777777" w:rsidR="00CE4035" w:rsidRPr="00F15BC2" w:rsidRDefault="00CE4035" w:rsidP="00CE4035">
      <w:pPr>
        <w:pStyle w:val="Default"/>
        <w:jc w:val="both"/>
        <w:rPr>
          <w:lang w:val="sq-AL"/>
        </w:rPr>
      </w:pPr>
    </w:p>
    <w:p w14:paraId="508E6292" w14:textId="77777777" w:rsidR="00CE4035" w:rsidRPr="005116BD" w:rsidRDefault="00CE4035" w:rsidP="00CE4035">
      <w:pPr>
        <w:jc w:val="both"/>
        <w:rPr>
          <w:b/>
          <w:bCs/>
        </w:rPr>
      </w:pPr>
      <w:r w:rsidRPr="005116BD">
        <w:rPr>
          <w:b/>
          <w:bCs/>
        </w:rPr>
        <w:t>Aktivitetet e planifikuara për 2021:</w:t>
      </w:r>
    </w:p>
    <w:p w14:paraId="01686059" w14:textId="77777777" w:rsidR="00CE4035" w:rsidRPr="005116BD" w:rsidRDefault="00CE4035" w:rsidP="0068706C">
      <w:pPr>
        <w:pStyle w:val="Default"/>
        <w:numPr>
          <w:ilvl w:val="0"/>
          <w:numId w:val="26"/>
        </w:numPr>
        <w:ind w:left="360"/>
        <w:jc w:val="both"/>
        <w:rPr>
          <w:rFonts w:ascii="Times New Roman" w:hAnsi="Times New Roman" w:cs="Times New Roman"/>
          <w:bCs/>
          <w:lang w:val="sq-AL"/>
        </w:rPr>
      </w:pPr>
      <w:r w:rsidRPr="005116BD">
        <w:rPr>
          <w:rFonts w:ascii="Times New Roman" w:hAnsi="Times New Roman" w:cs="Times New Roman"/>
          <w:bCs/>
          <w:lang w:val="sq-AL"/>
        </w:rPr>
        <w:t>Ndryshimi i kornizës së nevojshme ligjore, miratimi dhe nxjerrja e akteve nënligjore për uljen e transaksionit aktual prej 500 në 300 EUR për biznes (Ligji për Administratën Tatimore dhe Procedurat);</w:t>
      </w:r>
    </w:p>
    <w:p w14:paraId="1C44D9A0" w14:textId="77777777" w:rsidR="00CE4035" w:rsidRPr="005116BD" w:rsidRDefault="00CE4035" w:rsidP="0068706C">
      <w:pPr>
        <w:pStyle w:val="Default"/>
        <w:numPr>
          <w:ilvl w:val="0"/>
          <w:numId w:val="26"/>
        </w:numPr>
        <w:ind w:left="360"/>
        <w:jc w:val="both"/>
        <w:rPr>
          <w:rFonts w:ascii="Times New Roman" w:hAnsi="Times New Roman" w:cs="Times New Roman"/>
          <w:bCs/>
          <w:lang w:val="sq-AL"/>
        </w:rPr>
      </w:pPr>
      <w:r w:rsidRPr="005116BD">
        <w:rPr>
          <w:rFonts w:ascii="Times New Roman" w:hAnsi="Times New Roman" w:cs="Times New Roman"/>
          <w:bCs/>
          <w:lang w:val="sq-AL"/>
        </w:rPr>
        <w:t>Funksionalizimi i sistemit të ri të TI-së për menaxhimin e rrezikut të përmbushjes i cili do avancojë mundësitë ekzistuese në identifikimin, analizimin trajtimin dhe monitorimin e rreziqeve të përmbushjes;</w:t>
      </w:r>
    </w:p>
    <w:p w14:paraId="185D97CF" w14:textId="77777777" w:rsidR="00CE4035" w:rsidRPr="005116BD" w:rsidRDefault="00CE4035" w:rsidP="0068706C">
      <w:pPr>
        <w:pStyle w:val="Default"/>
        <w:numPr>
          <w:ilvl w:val="0"/>
          <w:numId w:val="26"/>
        </w:numPr>
        <w:ind w:left="360"/>
        <w:jc w:val="both"/>
        <w:rPr>
          <w:rFonts w:ascii="Times New Roman" w:hAnsi="Times New Roman" w:cs="Times New Roman"/>
          <w:bCs/>
          <w:color w:val="auto"/>
          <w:lang w:val="sq-AL"/>
        </w:rPr>
      </w:pPr>
      <w:r w:rsidRPr="005116BD">
        <w:rPr>
          <w:rFonts w:ascii="Times New Roman" w:hAnsi="Times New Roman" w:cs="Times New Roman"/>
          <w:bCs/>
          <w:color w:val="auto"/>
          <w:lang w:val="sq-AL"/>
        </w:rPr>
        <w:t xml:space="preserve">Zbatimi i qasjes së re të rrezikut nga ATK bazuar në hartimin dhe zbatimin e projekteve të  përmbushjes, për të synuar trajtimin e sektorëve me shkallë të lart të rrezikshmërisë, si: sektori i ndërtimit, akomodimit, punësimit joformal, tregtisë përkatësisht kontrollit të stoqeve; </w:t>
      </w:r>
    </w:p>
    <w:p w14:paraId="5995A685" w14:textId="77777777" w:rsidR="00CE4035" w:rsidRPr="005116BD" w:rsidRDefault="00CE4035" w:rsidP="0068706C">
      <w:pPr>
        <w:pStyle w:val="Default"/>
        <w:numPr>
          <w:ilvl w:val="0"/>
          <w:numId w:val="26"/>
        </w:numPr>
        <w:ind w:left="360"/>
        <w:jc w:val="both"/>
        <w:rPr>
          <w:rFonts w:ascii="Times New Roman" w:hAnsi="Times New Roman" w:cs="Times New Roman"/>
          <w:bCs/>
          <w:color w:val="FF0000"/>
          <w:lang w:val="sq-AL"/>
        </w:rPr>
      </w:pPr>
      <w:r w:rsidRPr="005116BD">
        <w:rPr>
          <w:rFonts w:ascii="Times New Roman" w:hAnsi="Times New Roman" w:cs="Times New Roman"/>
          <w:bCs/>
          <w:lang w:val="sq-AL"/>
        </w:rPr>
        <w:t>Intensifikimi dhe bashkërendimi i aktiviteteve në mes ATK dhe Ministrisë së Punës dhe Mirëqenies Sociale (MPMS) me qëllim identifikimin dhe regjistrimin e punëtorëve të pa regjistruar. Shkëmbimin e informatave mes ATK dhe IP rreth gjobave të shqiptuara për punëtorët e padeklaruar, trajnimin e një grupi të inspektorëve për adresimin e punës së padeklaruar, përgatitja dhe zbatimi i Manualit për inspektimet e përbashkëta në luftimin e punës së padeklaruar;</w:t>
      </w:r>
    </w:p>
    <w:p w14:paraId="5D2214FE" w14:textId="77777777" w:rsidR="00CE4035" w:rsidRPr="005116BD" w:rsidRDefault="00CE4035" w:rsidP="0068706C">
      <w:pPr>
        <w:pStyle w:val="Default"/>
        <w:numPr>
          <w:ilvl w:val="0"/>
          <w:numId w:val="26"/>
        </w:numPr>
        <w:ind w:left="360"/>
        <w:jc w:val="both"/>
        <w:rPr>
          <w:rFonts w:ascii="Times New Roman" w:hAnsi="Times New Roman" w:cs="Times New Roman"/>
          <w:bCs/>
          <w:lang w:val="sq-AL"/>
        </w:rPr>
      </w:pPr>
      <w:r w:rsidRPr="005116BD">
        <w:rPr>
          <w:rFonts w:ascii="Times New Roman" w:hAnsi="Times New Roman" w:cs="Times New Roman"/>
          <w:bCs/>
          <w:lang w:val="sq-AL"/>
        </w:rPr>
        <w:t xml:space="preserve">Rritja e numrit të inspektimeve dhe stafit të angazhuar në operacionet e përbashkëta mes ATK-së dhe DK-së, nën udhëheqjen e grupit të përbashkët të krijuar nga ana e të dyja Institucioneve me qëllim trajtimin e bizneseve të cilat karakterizohen me shkallë të lartë të rrezikshmërisë në shmangien e detyrimeve tatimore dhe atyre doganore;  </w:t>
      </w:r>
    </w:p>
    <w:p w14:paraId="7F8C402B" w14:textId="77777777" w:rsidR="00CE4035" w:rsidRPr="005116BD" w:rsidRDefault="00CE4035" w:rsidP="0068706C">
      <w:pPr>
        <w:pStyle w:val="Default"/>
        <w:numPr>
          <w:ilvl w:val="0"/>
          <w:numId w:val="26"/>
        </w:numPr>
        <w:ind w:left="360"/>
        <w:jc w:val="both"/>
        <w:rPr>
          <w:rFonts w:ascii="Times New Roman" w:hAnsi="Times New Roman" w:cs="Times New Roman"/>
          <w:bCs/>
          <w:lang w:val="sq-AL"/>
        </w:rPr>
      </w:pPr>
      <w:r w:rsidRPr="005116BD">
        <w:rPr>
          <w:rFonts w:ascii="Times New Roman" w:hAnsi="Times New Roman" w:cs="Times New Roman"/>
          <w:bCs/>
          <w:lang w:val="sq-AL"/>
        </w:rPr>
        <w:t xml:space="preserve">Zhvillimi i sistemit nga ATK për identifikimin e tatimpaguesve për të cilët mbahet Tatimi i mbajtur në burim në qira, interes, të drejta pronësore, persona jo-rezident dhe kategori të veçanta; </w:t>
      </w:r>
    </w:p>
    <w:p w14:paraId="4286A10A" w14:textId="77777777" w:rsidR="00CE4035" w:rsidRPr="005116BD" w:rsidRDefault="00CE4035" w:rsidP="0068706C">
      <w:pPr>
        <w:pStyle w:val="Default"/>
        <w:numPr>
          <w:ilvl w:val="0"/>
          <w:numId w:val="26"/>
        </w:numPr>
        <w:ind w:left="360"/>
        <w:jc w:val="both"/>
        <w:rPr>
          <w:rFonts w:ascii="Times New Roman" w:hAnsi="Times New Roman" w:cs="Times New Roman"/>
          <w:bCs/>
          <w:lang w:val="sq-AL"/>
        </w:rPr>
      </w:pPr>
      <w:r w:rsidRPr="005116BD">
        <w:rPr>
          <w:rFonts w:ascii="Times New Roman" w:hAnsi="Times New Roman" w:cs="Times New Roman"/>
          <w:bCs/>
          <w:lang w:val="sq-AL"/>
        </w:rPr>
        <w:t>Monitorimi dhe ndërmarrja eventuale e masave nga ATK, tek bizneset të cilat janë përkrahur nga ana e Qeverisë përmes pakove fiskale, me qëllim të sigurimit që të gjitha deklarimet e këtyre bizneseve janë në harmoni me zbatimin e kritereve të këtyre pakove fiskale, dhe zbatimit të drejtë të legjislacionit tatimor, në veçanti me fokus në listën e punëtorëve dhe kontratat e qirasë;</w:t>
      </w:r>
    </w:p>
    <w:p w14:paraId="41DCDA5E" w14:textId="77777777" w:rsidR="00CE4035" w:rsidRPr="005116BD" w:rsidRDefault="00CE4035" w:rsidP="0068706C">
      <w:pPr>
        <w:pStyle w:val="Default"/>
        <w:numPr>
          <w:ilvl w:val="0"/>
          <w:numId w:val="26"/>
        </w:numPr>
        <w:ind w:left="360"/>
        <w:jc w:val="both"/>
        <w:rPr>
          <w:rFonts w:ascii="Times New Roman" w:hAnsi="Times New Roman" w:cs="Times New Roman"/>
          <w:bCs/>
          <w:lang w:val="sq-AL"/>
        </w:rPr>
      </w:pPr>
      <w:r w:rsidRPr="005116BD">
        <w:rPr>
          <w:rFonts w:ascii="Times New Roman" w:hAnsi="Times New Roman" w:cs="Times New Roman"/>
          <w:bCs/>
          <w:lang w:val="sq-AL"/>
        </w:rPr>
        <w:t>Hartimi dhe miratimi i Ligjit të Ri të Punës nga Kuvendi (Futja e pagesës së detyrueshme elektronike për të gjitha pagat dhe mëditjet e punonjësve në të gjithë sektorët);</w:t>
      </w:r>
    </w:p>
    <w:p w14:paraId="50B22AE7" w14:textId="77777777" w:rsidR="00CE4035" w:rsidRPr="005116BD" w:rsidRDefault="00CE4035" w:rsidP="0068706C">
      <w:pPr>
        <w:pStyle w:val="Default"/>
        <w:numPr>
          <w:ilvl w:val="0"/>
          <w:numId w:val="26"/>
        </w:numPr>
        <w:ind w:left="360"/>
        <w:jc w:val="both"/>
        <w:rPr>
          <w:rFonts w:ascii="Times New Roman" w:hAnsi="Times New Roman" w:cs="Times New Roman"/>
          <w:bCs/>
          <w:lang w:val="sq-AL"/>
        </w:rPr>
      </w:pPr>
      <w:r w:rsidRPr="005116BD">
        <w:rPr>
          <w:rFonts w:ascii="Times New Roman" w:hAnsi="Times New Roman" w:cs="Times New Roman"/>
          <w:bCs/>
          <w:lang w:val="sq-AL"/>
        </w:rPr>
        <w:t>Ristrukturimi i inspektoratit të punës dhe punësimi i 20 inspektoreve shtesë, si dhe realizimi i aktiviteteve vlerësuese dhe monitoruese që kanë për qëllim rritjen e performancës dhe integritetin e inspektorëve;</w:t>
      </w:r>
    </w:p>
    <w:p w14:paraId="5E24C931" w14:textId="77777777" w:rsidR="00CE4035" w:rsidRPr="005116BD" w:rsidRDefault="00CE4035" w:rsidP="0068706C">
      <w:pPr>
        <w:pStyle w:val="Default"/>
        <w:numPr>
          <w:ilvl w:val="0"/>
          <w:numId w:val="26"/>
        </w:numPr>
        <w:ind w:left="360"/>
        <w:jc w:val="both"/>
        <w:rPr>
          <w:rFonts w:ascii="Times New Roman" w:hAnsi="Times New Roman" w:cs="Times New Roman"/>
          <w:bCs/>
          <w:lang w:val="sq-AL"/>
        </w:rPr>
      </w:pPr>
      <w:r w:rsidRPr="005116BD">
        <w:rPr>
          <w:rFonts w:ascii="Times New Roman" w:hAnsi="Times New Roman" w:cs="Times New Roman"/>
          <w:bCs/>
          <w:lang w:val="sq-AL"/>
        </w:rPr>
        <w:t>Përpilimi i të dhënave për ekonominë joformale dhe integrimi/publikimi i tyre në Bruto Produktin Vendor (BPV) nga ana e ASK-së;</w:t>
      </w:r>
    </w:p>
    <w:p w14:paraId="44473E82" w14:textId="77777777" w:rsidR="00CE4035" w:rsidRPr="005116BD" w:rsidRDefault="00CE4035" w:rsidP="0068706C">
      <w:pPr>
        <w:pStyle w:val="Default"/>
        <w:numPr>
          <w:ilvl w:val="0"/>
          <w:numId w:val="26"/>
        </w:numPr>
        <w:ind w:left="360"/>
        <w:jc w:val="both"/>
        <w:rPr>
          <w:rFonts w:ascii="Times New Roman" w:hAnsi="Times New Roman" w:cs="Times New Roman"/>
          <w:bCs/>
          <w:lang w:val="sq-AL"/>
        </w:rPr>
      </w:pPr>
      <w:r w:rsidRPr="005116BD">
        <w:rPr>
          <w:rFonts w:ascii="Times New Roman" w:hAnsi="Times New Roman" w:cs="Times New Roman"/>
          <w:bCs/>
          <w:lang w:val="sq-AL"/>
        </w:rPr>
        <w:t>Publikimi i  Analizës “Vlerësimi i praktikave më të mira, të realizueshme për Kosovën në zvogëlimin e punësimit joformal”.</w:t>
      </w:r>
    </w:p>
    <w:p w14:paraId="7C35D5AB" w14:textId="77777777" w:rsidR="00CE4035" w:rsidRPr="00F15BC2" w:rsidRDefault="00CE4035" w:rsidP="00CE4035">
      <w:pPr>
        <w:pStyle w:val="Default"/>
        <w:ind w:left="720"/>
        <w:rPr>
          <w:sz w:val="23"/>
          <w:szCs w:val="23"/>
          <w:lang w:val="sq-AL"/>
        </w:rPr>
      </w:pPr>
    </w:p>
    <w:p w14:paraId="3852F629" w14:textId="77777777" w:rsidR="00CE4035" w:rsidRPr="005116BD" w:rsidRDefault="00CE4035" w:rsidP="00CE4035">
      <w:pPr>
        <w:rPr>
          <w:b/>
          <w:bCs/>
        </w:rPr>
      </w:pPr>
      <w:r w:rsidRPr="005116BD">
        <w:rPr>
          <w:b/>
          <w:bCs/>
        </w:rPr>
        <w:t>Aktivitetet e planifikuara për 2022:</w:t>
      </w:r>
    </w:p>
    <w:p w14:paraId="61BA523E" w14:textId="77777777" w:rsidR="00CE4035" w:rsidRPr="005116BD" w:rsidRDefault="00CE4035" w:rsidP="0068706C">
      <w:pPr>
        <w:numPr>
          <w:ilvl w:val="0"/>
          <w:numId w:val="27"/>
        </w:numPr>
        <w:jc w:val="both"/>
        <w:rPr>
          <w:bCs/>
        </w:rPr>
      </w:pPr>
      <w:r w:rsidRPr="005116BD">
        <w:rPr>
          <w:bCs/>
        </w:rPr>
        <w:t xml:space="preserve">Zbatimi i qasjes së re të rrezikut nga ATK bazuar në hartimin dhe zbatimin e projekteve të  përmbushjes, për të synuar trajtimin e sektorëve me shkallë të lart të rrezikshmërisë, si: sektori i ndërtimit, akomodimit, punësimit joformal, tregtisë përkatësisht kontrollit të stoqeve; </w:t>
      </w:r>
    </w:p>
    <w:p w14:paraId="43F1FC13" w14:textId="77777777" w:rsidR="00CE4035" w:rsidRPr="005116BD" w:rsidRDefault="00CE4035" w:rsidP="0068706C">
      <w:pPr>
        <w:pStyle w:val="Default"/>
        <w:numPr>
          <w:ilvl w:val="0"/>
          <w:numId w:val="27"/>
        </w:numPr>
        <w:jc w:val="both"/>
        <w:rPr>
          <w:rFonts w:ascii="Times New Roman" w:hAnsi="Times New Roman" w:cs="Times New Roman"/>
          <w:lang w:val="sq-AL"/>
        </w:rPr>
      </w:pPr>
      <w:r w:rsidRPr="005116BD">
        <w:rPr>
          <w:rFonts w:ascii="Times New Roman" w:hAnsi="Times New Roman" w:cs="Times New Roman"/>
          <w:lang w:val="sq-AL"/>
        </w:rPr>
        <w:t xml:space="preserve">Përcaktimi i masave korrigjuese për projektet e përmbushjes përmes vlerësimit ex post të zbatimit të këtyre projekteve; </w:t>
      </w:r>
    </w:p>
    <w:p w14:paraId="35603FCB" w14:textId="77777777" w:rsidR="00CE4035" w:rsidRPr="005116BD" w:rsidRDefault="00CE4035" w:rsidP="0068706C">
      <w:pPr>
        <w:pStyle w:val="Default"/>
        <w:numPr>
          <w:ilvl w:val="0"/>
          <w:numId w:val="27"/>
        </w:numPr>
        <w:jc w:val="both"/>
        <w:rPr>
          <w:rFonts w:ascii="Times New Roman" w:hAnsi="Times New Roman" w:cs="Times New Roman"/>
          <w:bCs/>
          <w:lang w:val="sq-AL"/>
        </w:rPr>
      </w:pPr>
      <w:r w:rsidRPr="005116BD">
        <w:rPr>
          <w:rFonts w:ascii="Times New Roman" w:hAnsi="Times New Roman" w:cs="Times New Roman"/>
          <w:bCs/>
          <w:lang w:val="sq-AL"/>
        </w:rPr>
        <w:t xml:space="preserve">Rritja e numrit të inspektimeve dhe stafit të angazhuar në operacionet e përbashkëta mes ATK-së dhe DK-së, nën udhëheqjen e grupit të përbashkët të krijuar nga ana e të dyja Institucioneve me qëllim trajtimin </w:t>
      </w:r>
      <w:r>
        <w:rPr>
          <w:bCs/>
          <w:lang w:val="sq-AL"/>
        </w:rPr>
        <w:t xml:space="preserve">e bizneseve të cilat karakterizohen me </w:t>
      </w:r>
      <w:r w:rsidRPr="005116BD">
        <w:rPr>
          <w:rFonts w:ascii="Times New Roman" w:hAnsi="Times New Roman" w:cs="Times New Roman"/>
          <w:bCs/>
          <w:lang w:val="sq-AL"/>
        </w:rPr>
        <w:t xml:space="preserve">shkallë të lartë të rrezikshmërisë në shmangien e detyrimeve tatimore dhe atyre doganore;  </w:t>
      </w:r>
    </w:p>
    <w:p w14:paraId="487C0EE2" w14:textId="77777777" w:rsidR="00CE4035" w:rsidRPr="005116BD" w:rsidRDefault="00CE4035" w:rsidP="0068706C">
      <w:pPr>
        <w:pStyle w:val="Default"/>
        <w:numPr>
          <w:ilvl w:val="0"/>
          <w:numId w:val="27"/>
        </w:numPr>
        <w:jc w:val="both"/>
        <w:rPr>
          <w:rFonts w:ascii="Times New Roman" w:hAnsi="Times New Roman" w:cs="Times New Roman"/>
          <w:bCs/>
          <w:lang w:val="sq-AL"/>
        </w:rPr>
      </w:pPr>
      <w:r w:rsidRPr="005116BD">
        <w:rPr>
          <w:rFonts w:ascii="Times New Roman" w:hAnsi="Times New Roman" w:cs="Times New Roman"/>
          <w:bCs/>
          <w:lang w:val="sq-AL"/>
        </w:rPr>
        <w:t>Rishikimi i planit të veprimit të Strategjisë Kombëtare për luftimin e ekonomisë joformale 2019-2023.</w:t>
      </w:r>
    </w:p>
    <w:p w14:paraId="5A53E086" w14:textId="77777777" w:rsidR="00CE4035" w:rsidRPr="00F15BC2" w:rsidRDefault="00CE4035" w:rsidP="00CE4035">
      <w:pPr>
        <w:pStyle w:val="Default"/>
        <w:ind w:left="360"/>
        <w:jc w:val="both"/>
        <w:rPr>
          <w:sz w:val="23"/>
          <w:szCs w:val="23"/>
          <w:lang w:val="sq-AL"/>
        </w:rPr>
      </w:pPr>
    </w:p>
    <w:p w14:paraId="5ED94826" w14:textId="77777777" w:rsidR="00CE4035" w:rsidRPr="00AE1ABE" w:rsidRDefault="00CE4035" w:rsidP="00CE4035">
      <w:pPr>
        <w:rPr>
          <w:b/>
          <w:bCs/>
        </w:rPr>
      </w:pPr>
      <w:r w:rsidRPr="00AE1ABE">
        <w:rPr>
          <w:b/>
          <w:bCs/>
        </w:rPr>
        <w:t>Aktivitetet e planifikuara për 2023:</w:t>
      </w:r>
    </w:p>
    <w:p w14:paraId="50B1C0FB" w14:textId="77777777" w:rsidR="00CE4035" w:rsidRPr="00AE1ABE" w:rsidRDefault="00CE4035" w:rsidP="0068706C">
      <w:pPr>
        <w:pStyle w:val="ListParagraph"/>
        <w:numPr>
          <w:ilvl w:val="0"/>
          <w:numId w:val="28"/>
        </w:numPr>
        <w:spacing w:line="240" w:lineRule="auto"/>
        <w:ind w:left="360"/>
        <w:rPr>
          <w:rFonts w:ascii="Times New Roman" w:hAnsi="Times New Roman"/>
          <w:sz w:val="24"/>
          <w:szCs w:val="24"/>
        </w:rPr>
      </w:pPr>
      <w:r w:rsidRPr="00AE1ABE">
        <w:rPr>
          <w:rFonts w:ascii="Times New Roman" w:hAnsi="Times New Roman"/>
          <w:sz w:val="24"/>
          <w:szCs w:val="24"/>
        </w:rPr>
        <w:t xml:space="preserve">Themelimi dhe funksionalizimi i Njësisë për Rikthimin e Aseteve të Konfiskuara; </w:t>
      </w:r>
    </w:p>
    <w:p w14:paraId="4E453B98" w14:textId="77777777" w:rsidR="00CE4035" w:rsidRPr="00AE1ABE" w:rsidRDefault="00CE4035" w:rsidP="0068706C">
      <w:pPr>
        <w:pStyle w:val="ListParagraph"/>
        <w:numPr>
          <w:ilvl w:val="0"/>
          <w:numId w:val="28"/>
        </w:numPr>
        <w:spacing w:line="240" w:lineRule="auto"/>
        <w:ind w:left="360"/>
        <w:rPr>
          <w:rFonts w:ascii="Times New Roman" w:hAnsi="Times New Roman"/>
          <w:sz w:val="24"/>
          <w:szCs w:val="24"/>
        </w:rPr>
      </w:pPr>
      <w:r w:rsidRPr="00AE1ABE">
        <w:rPr>
          <w:rFonts w:ascii="Times New Roman" w:hAnsi="Times New Roman"/>
          <w:sz w:val="24"/>
          <w:szCs w:val="24"/>
        </w:rPr>
        <w:t>Krijimi i fondit të konfiskimit në Kosovë;</w:t>
      </w:r>
    </w:p>
    <w:p w14:paraId="510C0AF6" w14:textId="77777777" w:rsidR="00CE4035" w:rsidRPr="00AE1ABE" w:rsidRDefault="00CE4035" w:rsidP="0068706C">
      <w:pPr>
        <w:pStyle w:val="ListParagraph"/>
        <w:numPr>
          <w:ilvl w:val="0"/>
          <w:numId w:val="28"/>
        </w:numPr>
        <w:spacing w:line="240" w:lineRule="auto"/>
        <w:ind w:left="360"/>
        <w:rPr>
          <w:rFonts w:ascii="Times New Roman" w:hAnsi="Times New Roman"/>
          <w:sz w:val="24"/>
          <w:szCs w:val="24"/>
        </w:rPr>
      </w:pPr>
      <w:r w:rsidRPr="00AE1ABE">
        <w:rPr>
          <w:rFonts w:ascii="Times New Roman" w:hAnsi="Times New Roman"/>
          <w:sz w:val="24"/>
          <w:szCs w:val="24"/>
        </w:rPr>
        <w:t>Hartimi i Strategjisë së re Kombëtare për luftimin e ekonomisë joformale, bazuar në vlerësimet sektoriale të rrezikut dhe vlerësimet lidhur me hendekun tatimor në përgjithësi.</w:t>
      </w:r>
    </w:p>
    <w:p w14:paraId="560D69EA" w14:textId="77777777" w:rsidR="00CE4035" w:rsidRPr="00F15BC2" w:rsidRDefault="00CE4035" w:rsidP="00CE4035">
      <w:pPr>
        <w:pStyle w:val="ListParagraph"/>
        <w:ind w:left="360"/>
        <w:rPr>
          <w:b/>
          <w:bCs/>
          <w:szCs w:val="24"/>
        </w:rPr>
      </w:pPr>
    </w:p>
    <w:p w14:paraId="5BA51B16" w14:textId="77777777" w:rsidR="00CE4035" w:rsidRPr="00F15BC2" w:rsidRDefault="00CE4035" w:rsidP="00CE4035">
      <w:pPr>
        <w:rPr>
          <w:b/>
          <w:bCs/>
        </w:rPr>
      </w:pPr>
      <w:r w:rsidRPr="00F15BC2">
        <w:rPr>
          <w:b/>
        </w:rPr>
        <w:t>Treguesit e rezultateve</w:t>
      </w:r>
      <w:r w:rsidRPr="00F15BC2">
        <w:rPr>
          <w:b/>
          <w:bCs/>
        </w:rPr>
        <w:t xml:space="preserve">: </w:t>
      </w:r>
    </w:p>
    <w:tbl>
      <w:tblPr>
        <w:tblpPr w:leftFromText="180" w:rightFromText="180" w:vertAnchor="text" w:horzAnchor="margin" w:tblpY="138"/>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5"/>
        <w:gridCol w:w="1080"/>
        <w:gridCol w:w="1980"/>
        <w:gridCol w:w="1440"/>
      </w:tblGrid>
      <w:tr w:rsidR="00CE4035" w:rsidRPr="0068706C" w14:paraId="770DC3AB" w14:textId="77777777" w:rsidTr="0068706C">
        <w:trPr>
          <w:trHeight w:val="260"/>
        </w:trPr>
        <w:tc>
          <w:tcPr>
            <w:tcW w:w="4135" w:type="dxa"/>
            <w:shd w:val="clear" w:color="auto" w:fill="auto"/>
          </w:tcPr>
          <w:p w14:paraId="680CF61A" w14:textId="77777777" w:rsidR="00CE4035" w:rsidRPr="0068706C" w:rsidRDefault="00CE4035" w:rsidP="009B753C">
            <w:pPr>
              <w:pStyle w:val="Default"/>
              <w:jc w:val="center"/>
              <w:rPr>
                <w:rFonts w:ascii="Times New Roman" w:hAnsi="Times New Roman" w:cs="Times New Roman"/>
                <w:b/>
                <w:color w:val="auto"/>
                <w:sz w:val="18"/>
                <w:szCs w:val="18"/>
                <w:lang w:val="sq-AL"/>
              </w:rPr>
            </w:pPr>
            <w:r w:rsidRPr="0068706C">
              <w:rPr>
                <w:rFonts w:ascii="Times New Roman" w:hAnsi="Times New Roman" w:cs="Times New Roman"/>
                <w:b/>
                <w:color w:val="auto"/>
                <w:sz w:val="18"/>
                <w:szCs w:val="18"/>
                <w:lang w:val="sq-AL"/>
              </w:rPr>
              <w:t>Treguesi</w:t>
            </w:r>
          </w:p>
        </w:tc>
        <w:tc>
          <w:tcPr>
            <w:tcW w:w="1080" w:type="dxa"/>
            <w:shd w:val="clear" w:color="auto" w:fill="auto"/>
          </w:tcPr>
          <w:p w14:paraId="544A3EDA" w14:textId="77777777" w:rsidR="00CE4035" w:rsidRPr="0068706C" w:rsidRDefault="00CE4035" w:rsidP="009B753C">
            <w:pPr>
              <w:pStyle w:val="Default"/>
              <w:jc w:val="center"/>
              <w:rPr>
                <w:rFonts w:ascii="Times New Roman" w:hAnsi="Times New Roman" w:cs="Times New Roman"/>
                <w:b/>
                <w:color w:val="auto"/>
                <w:sz w:val="18"/>
                <w:szCs w:val="18"/>
                <w:lang w:val="sq-AL"/>
              </w:rPr>
            </w:pPr>
            <w:r w:rsidRPr="0068706C">
              <w:rPr>
                <w:rFonts w:ascii="Times New Roman" w:hAnsi="Times New Roman" w:cs="Times New Roman"/>
                <w:b/>
                <w:color w:val="auto"/>
                <w:sz w:val="18"/>
                <w:szCs w:val="18"/>
                <w:lang w:val="sq-AL"/>
              </w:rPr>
              <w:t>Baza 2019</w:t>
            </w:r>
          </w:p>
          <w:p w14:paraId="3F5A1141" w14:textId="77777777" w:rsidR="00CE4035" w:rsidRPr="0068706C" w:rsidRDefault="00CE4035" w:rsidP="009B753C">
            <w:pPr>
              <w:pStyle w:val="Default"/>
              <w:jc w:val="center"/>
              <w:rPr>
                <w:rFonts w:ascii="Times New Roman" w:hAnsi="Times New Roman" w:cs="Times New Roman"/>
                <w:b/>
                <w:color w:val="auto"/>
                <w:sz w:val="18"/>
                <w:szCs w:val="18"/>
                <w:lang w:val="sq-AL"/>
              </w:rPr>
            </w:pPr>
          </w:p>
        </w:tc>
        <w:tc>
          <w:tcPr>
            <w:tcW w:w="1980" w:type="dxa"/>
            <w:shd w:val="clear" w:color="auto" w:fill="auto"/>
          </w:tcPr>
          <w:p w14:paraId="7D54BF34" w14:textId="77777777" w:rsidR="00CE4035" w:rsidRPr="0068706C" w:rsidRDefault="00CE4035" w:rsidP="009B753C">
            <w:pPr>
              <w:pStyle w:val="Default"/>
              <w:jc w:val="center"/>
              <w:rPr>
                <w:rFonts w:ascii="Times New Roman" w:hAnsi="Times New Roman" w:cs="Times New Roman"/>
                <w:b/>
                <w:color w:val="auto"/>
                <w:sz w:val="18"/>
                <w:szCs w:val="18"/>
                <w:lang w:val="sq-AL"/>
              </w:rPr>
            </w:pPr>
            <w:r w:rsidRPr="0068706C">
              <w:rPr>
                <w:rFonts w:ascii="Times New Roman" w:hAnsi="Times New Roman" w:cs="Times New Roman"/>
                <w:b/>
                <w:color w:val="auto"/>
                <w:sz w:val="18"/>
                <w:szCs w:val="18"/>
                <w:lang w:val="sq-AL"/>
              </w:rPr>
              <w:t>Treguesi i ndërmjetëm   2021</w:t>
            </w:r>
          </w:p>
        </w:tc>
        <w:tc>
          <w:tcPr>
            <w:tcW w:w="1440" w:type="dxa"/>
            <w:shd w:val="clear" w:color="auto" w:fill="auto"/>
          </w:tcPr>
          <w:p w14:paraId="373830DE" w14:textId="77777777" w:rsidR="00CE4035" w:rsidRPr="0068706C" w:rsidRDefault="00CE4035" w:rsidP="009B753C">
            <w:pPr>
              <w:pStyle w:val="Default"/>
              <w:jc w:val="center"/>
              <w:rPr>
                <w:rFonts w:ascii="Times New Roman" w:hAnsi="Times New Roman" w:cs="Times New Roman"/>
                <w:b/>
                <w:color w:val="auto"/>
                <w:sz w:val="18"/>
                <w:szCs w:val="18"/>
                <w:lang w:val="sq-AL"/>
              </w:rPr>
            </w:pPr>
            <w:r w:rsidRPr="0068706C">
              <w:rPr>
                <w:rFonts w:ascii="Times New Roman" w:hAnsi="Times New Roman" w:cs="Times New Roman"/>
                <w:b/>
                <w:color w:val="auto"/>
                <w:sz w:val="18"/>
                <w:szCs w:val="18"/>
                <w:lang w:val="sq-AL"/>
              </w:rPr>
              <w:t>Synimi 2023</w:t>
            </w:r>
          </w:p>
          <w:p w14:paraId="01B77B9C" w14:textId="77777777" w:rsidR="00CE4035" w:rsidRPr="0068706C" w:rsidRDefault="00CE4035" w:rsidP="009B753C">
            <w:pPr>
              <w:pStyle w:val="Default"/>
              <w:jc w:val="center"/>
              <w:rPr>
                <w:rFonts w:ascii="Times New Roman" w:hAnsi="Times New Roman" w:cs="Times New Roman"/>
                <w:b/>
                <w:color w:val="auto"/>
                <w:sz w:val="18"/>
                <w:szCs w:val="18"/>
                <w:lang w:val="sq-AL"/>
              </w:rPr>
            </w:pPr>
          </w:p>
        </w:tc>
      </w:tr>
      <w:tr w:rsidR="00CE4035" w:rsidRPr="0068706C" w14:paraId="698D89C7" w14:textId="77777777" w:rsidTr="0068706C">
        <w:trPr>
          <w:trHeight w:val="646"/>
        </w:trPr>
        <w:tc>
          <w:tcPr>
            <w:tcW w:w="4135" w:type="dxa"/>
            <w:shd w:val="clear" w:color="auto" w:fill="auto"/>
          </w:tcPr>
          <w:p w14:paraId="66187992" w14:textId="77777777" w:rsidR="00CE4035" w:rsidRPr="0068706C" w:rsidRDefault="00CE4035" w:rsidP="009B753C">
            <w:pPr>
              <w:pStyle w:val="Default"/>
              <w:jc w:val="both"/>
              <w:rPr>
                <w:rFonts w:ascii="Times New Roman" w:hAnsi="Times New Roman" w:cs="Times New Roman"/>
                <w:iCs/>
                <w:color w:val="auto"/>
                <w:lang w:val="sq-AL"/>
              </w:rPr>
            </w:pPr>
            <w:r w:rsidRPr="0068706C">
              <w:rPr>
                <w:rFonts w:ascii="Times New Roman" w:hAnsi="Times New Roman" w:cs="Times New Roman"/>
                <w:iCs/>
                <w:lang w:val="sq-AL"/>
              </w:rPr>
              <w:t>1.</w:t>
            </w:r>
            <w:r w:rsidRPr="0068706C">
              <w:rPr>
                <w:rFonts w:ascii="Times New Roman" w:hAnsi="Times New Roman" w:cs="Times New Roman"/>
                <w:lang w:val="sq-AL"/>
              </w:rPr>
              <w:t xml:space="preserve"> </w:t>
            </w:r>
            <w:r w:rsidRPr="0068706C">
              <w:rPr>
                <w:rFonts w:ascii="Times New Roman" w:hAnsi="Times New Roman" w:cs="Times New Roman"/>
                <w:iCs/>
                <w:lang w:val="sq-AL"/>
              </w:rPr>
              <w:t>Rritja e të hyrave tatimore në krahasim me vitin paraprak</w:t>
            </w:r>
          </w:p>
        </w:tc>
        <w:tc>
          <w:tcPr>
            <w:tcW w:w="1080" w:type="dxa"/>
          </w:tcPr>
          <w:p w14:paraId="53FCCFF2" w14:textId="77777777" w:rsidR="00CE4035" w:rsidRPr="0068706C" w:rsidRDefault="00CE4035" w:rsidP="009B753C">
            <w:pPr>
              <w:pStyle w:val="Default"/>
              <w:jc w:val="center"/>
              <w:rPr>
                <w:rFonts w:ascii="Times New Roman" w:hAnsi="Times New Roman" w:cs="Times New Roman"/>
                <w:iCs/>
                <w:lang w:val="sq-AL"/>
              </w:rPr>
            </w:pPr>
            <w:r w:rsidRPr="0068706C">
              <w:rPr>
                <w:rFonts w:ascii="Times New Roman" w:hAnsi="Times New Roman" w:cs="Times New Roman"/>
                <w:iCs/>
                <w:lang w:val="sq-AL"/>
              </w:rPr>
              <w:t>10.4 %</w:t>
            </w:r>
          </w:p>
        </w:tc>
        <w:tc>
          <w:tcPr>
            <w:tcW w:w="1980" w:type="dxa"/>
          </w:tcPr>
          <w:p w14:paraId="24C26510" w14:textId="77777777" w:rsidR="00CE4035" w:rsidRPr="0068706C" w:rsidRDefault="00CE4035" w:rsidP="009B753C">
            <w:pPr>
              <w:pStyle w:val="Default"/>
              <w:jc w:val="center"/>
              <w:rPr>
                <w:rFonts w:ascii="Times New Roman" w:hAnsi="Times New Roman" w:cs="Times New Roman"/>
                <w:iCs/>
                <w:lang w:val="sq-AL"/>
              </w:rPr>
            </w:pPr>
            <w:r w:rsidRPr="0068706C">
              <w:rPr>
                <w:rFonts w:ascii="Times New Roman" w:hAnsi="Times New Roman" w:cs="Times New Roman"/>
                <w:iCs/>
                <w:lang w:val="sq-AL"/>
              </w:rPr>
              <w:t>3.5%</w:t>
            </w:r>
          </w:p>
        </w:tc>
        <w:tc>
          <w:tcPr>
            <w:tcW w:w="1440" w:type="dxa"/>
            <w:shd w:val="clear" w:color="auto" w:fill="auto"/>
          </w:tcPr>
          <w:p w14:paraId="50ABCABD" w14:textId="77777777" w:rsidR="00CE4035" w:rsidRPr="0068706C" w:rsidRDefault="00CE4035" w:rsidP="009B753C">
            <w:pPr>
              <w:pStyle w:val="Default"/>
              <w:jc w:val="center"/>
              <w:rPr>
                <w:rFonts w:ascii="Times New Roman" w:hAnsi="Times New Roman" w:cs="Times New Roman"/>
                <w:iCs/>
                <w:lang w:val="sq-AL"/>
              </w:rPr>
            </w:pPr>
            <w:r w:rsidRPr="0068706C">
              <w:rPr>
                <w:rFonts w:ascii="Times New Roman" w:hAnsi="Times New Roman" w:cs="Times New Roman"/>
                <w:iCs/>
                <w:lang w:val="sq-AL"/>
              </w:rPr>
              <w:t>7.5%</w:t>
            </w:r>
          </w:p>
        </w:tc>
      </w:tr>
      <w:tr w:rsidR="00CE4035" w:rsidRPr="0068706C" w14:paraId="70713E2D" w14:textId="77777777" w:rsidTr="0068706C">
        <w:trPr>
          <w:trHeight w:val="443"/>
        </w:trPr>
        <w:tc>
          <w:tcPr>
            <w:tcW w:w="4135" w:type="dxa"/>
          </w:tcPr>
          <w:p w14:paraId="75EB7E51" w14:textId="77777777" w:rsidR="00CE4035" w:rsidRPr="0068706C" w:rsidRDefault="00CE4035" w:rsidP="009B753C">
            <w:pPr>
              <w:pStyle w:val="Default"/>
              <w:jc w:val="both"/>
              <w:rPr>
                <w:rFonts w:ascii="Times New Roman" w:hAnsi="Times New Roman" w:cs="Times New Roman"/>
                <w:iCs/>
                <w:color w:val="auto"/>
                <w:lang w:val="sq-AL"/>
              </w:rPr>
            </w:pPr>
            <w:r w:rsidRPr="0068706C">
              <w:rPr>
                <w:rFonts w:ascii="Times New Roman" w:hAnsi="Times New Roman" w:cs="Times New Roman"/>
                <w:iCs/>
                <w:lang w:val="sq-AL"/>
              </w:rPr>
              <w:t xml:space="preserve">2. </w:t>
            </w:r>
            <w:r w:rsidRPr="0068706C">
              <w:rPr>
                <w:rFonts w:ascii="Times New Roman" w:hAnsi="Times New Roman" w:cs="Times New Roman"/>
                <w:lang w:val="sq-AL"/>
              </w:rPr>
              <w:t xml:space="preserve"> </w:t>
            </w:r>
            <w:r w:rsidRPr="0068706C">
              <w:rPr>
                <w:rFonts w:ascii="Times New Roman" w:hAnsi="Times New Roman" w:cs="Times New Roman"/>
                <w:iCs/>
                <w:lang w:val="sq-AL"/>
              </w:rPr>
              <w:t>Shkalla e punësuarve pa kontratë</w:t>
            </w:r>
            <w:r w:rsidRPr="0068706C">
              <w:rPr>
                <w:rStyle w:val="FootnoteReference"/>
                <w:rFonts w:ascii="Times New Roman" w:hAnsi="Times New Roman" w:cs="Times New Roman"/>
                <w:iCs/>
                <w:lang w:val="sq-AL"/>
              </w:rPr>
              <w:footnoteReference w:id="20"/>
            </w:r>
          </w:p>
        </w:tc>
        <w:tc>
          <w:tcPr>
            <w:tcW w:w="1080" w:type="dxa"/>
            <w:shd w:val="clear" w:color="auto" w:fill="auto"/>
          </w:tcPr>
          <w:p w14:paraId="6659E043" w14:textId="77777777" w:rsidR="00CE4035" w:rsidRPr="0068706C" w:rsidRDefault="00CE4035" w:rsidP="009B753C">
            <w:pPr>
              <w:pStyle w:val="Default"/>
              <w:jc w:val="center"/>
              <w:rPr>
                <w:rFonts w:ascii="Times New Roman" w:hAnsi="Times New Roman" w:cs="Times New Roman"/>
                <w:iCs/>
                <w:lang w:val="sq-AL"/>
              </w:rPr>
            </w:pPr>
            <w:r w:rsidRPr="0068706C">
              <w:rPr>
                <w:rFonts w:ascii="Times New Roman" w:hAnsi="Times New Roman" w:cs="Times New Roman"/>
                <w:iCs/>
                <w:lang w:val="sq-AL"/>
              </w:rPr>
              <w:t>16%</w:t>
            </w:r>
          </w:p>
        </w:tc>
        <w:tc>
          <w:tcPr>
            <w:tcW w:w="1980" w:type="dxa"/>
            <w:shd w:val="clear" w:color="auto" w:fill="auto"/>
          </w:tcPr>
          <w:p w14:paraId="20FD477A" w14:textId="77777777" w:rsidR="00CE4035" w:rsidRPr="0068706C" w:rsidRDefault="00CE4035" w:rsidP="009B753C">
            <w:pPr>
              <w:pStyle w:val="Default"/>
              <w:jc w:val="center"/>
              <w:rPr>
                <w:rFonts w:ascii="Times New Roman" w:hAnsi="Times New Roman" w:cs="Times New Roman"/>
                <w:iCs/>
                <w:lang w:val="sq-AL"/>
              </w:rPr>
            </w:pPr>
            <w:r w:rsidRPr="0068706C">
              <w:rPr>
                <w:rFonts w:ascii="Times New Roman" w:hAnsi="Times New Roman" w:cs="Times New Roman"/>
                <w:iCs/>
                <w:lang w:val="sq-AL"/>
              </w:rPr>
              <w:t>14%</w:t>
            </w:r>
          </w:p>
        </w:tc>
        <w:tc>
          <w:tcPr>
            <w:tcW w:w="1440" w:type="dxa"/>
            <w:shd w:val="clear" w:color="auto" w:fill="auto"/>
          </w:tcPr>
          <w:p w14:paraId="2FABE4B2" w14:textId="77777777" w:rsidR="00CE4035" w:rsidRPr="0068706C" w:rsidRDefault="00CE4035" w:rsidP="009B753C">
            <w:pPr>
              <w:pStyle w:val="Default"/>
              <w:jc w:val="center"/>
              <w:rPr>
                <w:rFonts w:ascii="Times New Roman" w:hAnsi="Times New Roman" w:cs="Times New Roman"/>
                <w:iCs/>
                <w:lang w:val="sq-AL"/>
              </w:rPr>
            </w:pPr>
            <w:r w:rsidRPr="0068706C">
              <w:rPr>
                <w:rFonts w:ascii="Times New Roman" w:hAnsi="Times New Roman" w:cs="Times New Roman"/>
                <w:iCs/>
                <w:lang w:val="sq-AL"/>
              </w:rPr>
              <w:t>12%</w:t>
            </w:r>
          </w:p>
        </w:tc>
      </w:tr>
      <w:tr w:rsidR="00CE4035" w:rsidRPr="0068706C" w14:paraId="1272AFCD" w14:textId="77777777" w:rsidTr="0068706C">
        <w:trPr>
          <w:trHeight w:val="350"/>
        </w:trPr>
        <w:tc>
          <w:tcPr>
            <w:tcW w:w="4135" w:type="dxa"/>
          </w:tcPr>
          <w:p w14:paraId="436B496C" w14:textId="77777777" w:rsidR="00CE4035" w:rsidRPr="0068706C" w:rsidRDefault="00CE4035" w:rsidP="009B753C">
            <w:pPr>
              <w:pStyle w:val="Default"/>
              <w:jc w:val="both"/>
              <w:rPr>
                <w:rFonts w:ascii="Times New Roman" w:hAnsi="Times New Roman" w:cs="Times New Roman"/>
                <w:iCs/>
                <w:lang w:val="sq-AL"/>
              </w:rPr>
            </w:pPr>
            <w:r w:rsidRPr="0068706C">
              <w:rPr>
                <w:rFonts w:ascii="Times New Roman" w:hAnsi="Times New Roman" w:cs="Times New Roman"/>
                <w:iCs/>
                <w:lang w:val="sq-AL"/>
              </w:rPr>
              <w:t xml:space="preserve">3. Shkalla e të punësuarve me kontratë </w:t>
            </w:r>
            <w:r w:rsidRPr="0068706C">
              <w:rPr>
                <w:rStyle w:val="FootnoteReference"/>
                <w:rFonts w:ascii="Times New Roman" w:hAnsi="Times New Roman" w:cs="Times New Roman"/>
                <w:iCs/>
                <w:lang w:val="sq-AL"/>
              </w:rPr>
              <w:footnoteReference w:id="21"/>
            </w:r>
          </w:p>
        </w:tc>
        <w:tc>
          <w:tcPr>
            <w:tcW w:w="1080" w:type="dxa"/>
            <w:shd w:val="clear" w:color="auto" w:fill="auto"/>
          </w:tcPr>
          <w:p w14:paraId="05EC7E7E" w14:textId="77777777" w:rsidR="00CE4035" w:rsidRPr="0068706C" w:rsidRDefault="00CE4035" w:rsidP="009B753C">
            <w:pPr>
              <w:pStyle w:val="Default"/>
              <w:jc w:val="center"/>
              <w:rPr>
                <w:rFonts w:ascii="Times New Roman" w:hAnsi="Times New Roman" w:cs="Times New Roman"/>
                <w:iCs/>
                <w:lang w:val="sq-AL"/>
              </w:rPr>
            </w:pPr>
            <w:r w:rsidRPr="0068706C">
              <w:rPr>
                <w:rFonts w:ascii="Times New Roman" w:hAnsi="Times New Roman" w:cs="Times New Roman"/>
                <w:iCs/>
                <w:lang w:val="sq-AL"/>
              </w:rPr>
              <w:t>84%</w:t>
            </w:r>
          </w:p>
        </w:tc>
        <w:tc>
          <w:tcPr>
            <w:tcW w:w="1980" w:type="dxa"/>
            <w:shd w:val="clear" w:color="auto" w:fill="auto"/>
          </w:tcPr>
          <w:p w14:paraId="5CBD5B79" w14:textId="77777777" w:rsidR="00CE4035" w:rsidRPr="0068706C" w:rsidRDefault="00CE4035" w:rsidP="009B753C">
            <w:pPr>
              <w:pStyle w:val="Default"/>
              <w:jc w:val="center"/>
              <w:rPr>
                <w:rFonts w:ascii="Times New Roman" w:hAnsi="Times New Roman" w:cs="Times New Roman"/>
                <w:iCs/>
                <w:lang w:val="sq-AL"/>
              </w:rPr>
            </w:pPr>
            <w:r w:rsidRPr="0068706C">
              <w:rPr>
                <w:rFonts w:ascii="Times New Roman" w:hAnsi="Times New Roman" w:cs="Times New Roman"/>
                <w:iCs/>
                <w:lang w:val="sq-AL"/>
              </w:rPr>
              <w:t>86%</w:t>
            </w:r>
          </w:p>
        </w:tc>
        <w:tc>
          <w:tcPr>
            <w:tcW w:w="1440" w:type="dxa"/>
            <w:shd w:val="clear" w:color="auto" w:fill="auto"/>
          </w:tcPr>
          <w:p w14:paraId="676B1788" w14:textId="77777777" w:rsidR="00CE4035" w:rsidRPr="0068706C" w:rsidRDefault="00CE4035" w:rsidP="009B753C">
            <w:pPr>
              <w:pStyle w:val="Default"/>
              <w:jc w:val="center"/>
              <w:rPr>
                <w:rFonts w:ascii="Times New Roman" w:hAnsi="Times New Roman" w:cs="Times New Roman"/>
                <w:iCs/>
                <w:lang w:val="sq-AL"/>
              </w:rPr>
            </w:pPr>
            <w:r w:rsidRPr="0068706C">
              <w:rPr>
                <w:rFonts w:ascii="Times New Roman" w:hAnsi="Times New Roman" w:cs="Times New Roman"/>
                <w:iCs/>
                <w:lang w:val="sq-AL"/>
              </w:rPr>
              <w:t>88%</w:t>
            </w:r>
          </w:p>
        </w:tc>
      </w:tr>
    </w:tbl>
    <w:p w14:paraId="54CEF475" w14:textId="6C32D581" w:rsidR="00CE4035" w:rsidRDefault="00CE4035" w:rsidP="00CE4035">
      <w:pPr>
        <w:rPr>
          <w:bCs/>
          <w:i/>
        </w:rPr>
      </w:pPr>
      <w:r w:rsidRPr="00B97356">
        <w:rPr>
          <w:bCs/>
          <w:i/>
        </w:rPr>
        <w:t xml:space="preserve">Treguesi 2 bie në fushën e Treguesit SDG 8.3.1. (Punësimi joformal) që është “përpjesëtimi i punësimit joformal sipas gjinisë në punësim, përveç punësimit në sektorin e bujqësisë”. </w:t>
      </w:r>
    </w:p>
    <w:p w14:paraId="7535A474" w14:textId="77777777" w:rsidR="0068706C" w:rsidRPr="00B97356" w:rsidRDefault="0068706C" w:rsidP="00CE4035">
      <w:pPr>
        <w:rPr>
          <w:bCs/>
          <w:i/>
        </w:rPr>
      </w:pPr>
    </w:p>
    <w:p w14:paraId="2285140F" w14:textId="77777777" w:rsidR="00CE4035" w:rsidRPr="0068706C" w:rsidRDefault="00CE4035" w:rsidP="00CE4035">
      <w:pPr>
        <w:pStyle w:val="Default"/>
        <w:jc w:val="both"/>
        <w:rPr>
          <w:rFonts w:ascii="Times New Roman" w:hAnsi="Times New Roman" w:cs="Times New Roman"/>
          <w:bCs/>
          <w:lang w:val="sq-AL"/>
        </w:rPr>
      </w:pPr>
      <w:r w:rsidRPr="0068706C">
        <w:rPr>
          <w:rFonts w:ascii="Times New Roman" w:hAnsi="Times New Roman" w:cs="Times New Roman"/>
          <w:b/>
          <w:bCs/>
          <w:lang w:val="sq-AL"/>
        </w:rPr>
        <w:t xml:space="preserve">Ndikimi i pritur në konkurrueshmëri: </w:t>
      </w:r>
      <w:r w:rsidRPr="0068706C">
        <w:rPr>
          <w:rFonts w:ascii="Times New Roman" w:hAnsi="Times New Roman" w:cs="Times New Roman"/>
          <w:bCs/>
          <w:lang w:val="sq-AL"/>
        </w:rPr>
        <w:t xml:space="preserve">Reduktimi i ekonomisë joformale do të përmirësojë mjedisin e të bërit biznes në përgjithësi, konkurrencën lojale dhe për rrjedhojë do të mundësojë rritjen e atyre sektorëve ku Kosova ka avantazhe më konkurrues. Konkurrenca nga sektori  joformal, është pengesa kryesore e tatimpagueseve të rregullt.  Kjo masë do të adresonte këtë çështje, përmes rritjes se transaksioneve të tatueshme, si rezultat i zbatimit të një mekanizmi më të efektshëm të kontrollit dhe një analize më të mirë të rrezikut si dhe zvogëlimin e punësimit joformal. </w:t>
      </w:r>
      <w:r w:rsidRPr="0068706C">
        <w:rPr>
          <w:rFonts w:ascii="Times New Roman" w:hAnsi="Times New Roman" w:cs="Times New Roman"/>
          <w:lang w:val="sq-AL"/>
        </w:rPr>
        <w:t xml:space="preserve">Situata e krijuar nga pandemia COVID-19 në Kosovë, ka ndikuar edhe tek një pjesë e tatimpaguesve që të fshehin qarkullimin e tyre duke gjetur arsyetim shtesë tek rënia ekonomike dhe rënia e fuqisë blerëse si rezultat i pandemisë, kjo situatë aspak e mirë mundë të ndikojë shumë negativisht në rritjen e vazhdueshme të një </w:t>
      </w:r>
      <w:r w:rsidRPr="0068706C">
        <w:rPr>
          <w:rFonts w:ascii="Times New Roman" w:hAnsi="Times New Roman" w:cs="Times New Roman"/>
          <w:bCs/>
          <w:lang w:val="sq-AL"/>
        </w:rPr>
        <w:t>konkurrence jo lojale</w:t>
      </w:r>
      <w:r w:rsidRPr="0068706C">
        <w:rPr>
          <w:rFonts w:ascii="Times New Roman" w:hAnsi="Times New Roman" w:cs="Times New Roman"/>
          <w:lang w:val="sq-AL"/>
        </w:rPr>
        <w:t xml:space="preserve">, andaj veprimet e propozuara në këtë masë do adresonin këto çështje përmes rritjes së vazhdueshme të bashkëpunimit ndërinstitucional në funksion të shkëmbimit të informatave duke u bazuar në vlerësimin e rrezikut.  </w:t>
      </w:r>
    </w:p>
    <w:p w14:paraId="665F37F9" w14:textId="77777777" w:rsidR="00CE4035" w:rsidRPr="00F15BC2" w:rsidRDefault="00CE4035" w:rsidP="00CE4035">
      <w:pPr>
        <w:pStyle w:val="Default"/>
        <w:jc w:val="both"/>
        <w:rPr>
          <w:bCs/>
          <w:lang w:val="sq-AL"/>
        </w:rPr>
      </w:pPr>
    </w:p>
    <w:p w14:paraId="6DF331F5" w14:textId="77777777" w:rsidR="00CE4035" w:rsidRPr="00F15BC2" w:rsidRDefault="00CE4035" w:rsidP="00CE4035">
      <w:pPr>
        <w:jc w:val="both"/>
        <w:rPr>
          <w:b/>
        </w:rPr>
      </w:pPr>
      <w:r w:rsidRPr="00F15BC2">
        <w:rPr>
          <w:b/>
          <w:bCs/>
        </w:rPr>
        <w:t xml:space="preserve">Vlerësimi i kostos së aktiviteteve dhe </w:t>
      </w:r>
      <w:r w:rsidRPr="00F15BC2">
        <w:rPr>
          <w:b/>
        </w:rPr>
        <w:t>burimet e financimit:</w:t>
      </w:r>
    </w:p>
    <w:p w14:paraId="25D0706D" w14:textId="77777777" w:rsidR="00CE4035" w:rsidRPr="00F15BC2" w:rsidRDefault="00CE4035" w:rsidP="00CE4035">
      <w:pPr>
        <w:jc w:val="both"/>
        <w:rPr>
          <w:bCs/>
        </w:rPr>
      </w:pPr>
      <w:r w:rsidRPr="00F15BC2">
        <w:rPr>
          <w:bCs/>
        </w:rPr>
        <w:t xml:space="preserve">Shuma e përgjithshme e buxhetit te planifikuar për këto aktivitete për tre vite është </w:t>
      </w:r>
      <w:r>
        <w:rPr>
          <w:bCs/>
        </w:rPr>
        <w:t>883</w:t>
      </w:r>
      <w:r w:rsidRPr="00F15BC2">
        <w:rPr>
          <w:bCs/>
        </w:rPr>
        <w:t>,400 euro. P</w:t>
      </w:r>
      <w:r>
        <w:rPr>
          <w:bCs/>
        </w:rPr>
        <w:t>ë</w:t>
      </w:r>
      <w:r w:rsidRPr="00F15BC2">
        <w:rPr>
          <w:bCs/>
        </w:rPr>
        <w:t>r vitin 202</w:t>
      </w:r>
      <w:r>
        <w:rPr>
          <w:bCs/>
        </w:rPr>
        <w:t>1</w:t>
      </w:r>
      <w:r w:rsidRPr="00F15BC2">
        <w:rPr>
          <w:bCs/>
        </w:rPr>
        <w:t xml:space="preserve"> kosto e masave vlerësohet te jete: </w:t>
      </w:r>
      <w:r>
        <w:rPr>
          <w:bCs/>
        </w:rPr>
        <w:t>653,300</w:t>
      </w:r>
      <w:r w:rsidRPr="00F15BC2">
        <w:rPr>
          <w:bCs/>
        </w:rPr>
        <w:t xml:space="preserve"> Euro, </w:t>
      </w:r>
      <w:r>
        <w:rPr>
          <w:bCs/>
        </w:rPr>
        <w:t xml:space="preserve">prej të cilave 365,300 </w:t>
      </w:r>
      <w:r w:rsidRPr="00F15BC2">
        <w:rPr>
          <w:bCs/>
        </w:rPr>
        <w:t>do të financohe</w:t>
      </w:r>
      <w:r>
        <w:rPr>
          <w:bCs/>
        </w:rPr>
        <w:t>n</w:t>
      </w:r>
      <w:r w:rsidRPr="00F15BC2">
        <w:rPr>
          <w:bCs/>
        </w:rPr>
        <w:t xml:space="preserve"> nga Buxheti i Kosovës</w:t>
      </w:r>
      <w:r>
        <w:rPr>
          <w:bCs/>
        </w:rPr>
        <w:t>, ndërsa 288,000 Euro nga Donatorët</w:t>
      </w:r>
      <w:r w:rsidRPr="00F15BC2">
        <w:rPr>
          <w:bCs/>
        </w:rPr>
        <w:t>. P</w:t>
      </w:r>
      <w:r>
        <w:rPr>
          <w:bCs/>
        </w:rPr>
        <w:t>ë</w:t>
      </w:r>
      <w:r w:rsidRPr="00F15BC2">
        <w:rPr>
          <w:bCs/>
        </w:rPr>
        <w:t>r vitin 202</w:t>
      </w:r>
      <w:r>
        <w:rPr>
          <w:bCs/>
        </w:rPr>
        <w:t>2</w:t>
      </w:r>
      <w:r w:rsidRPr="00F15BC2">
        <w:rPr>
          <w:bCs/>
        </w:rPr>
        <w:t xml:space="preserve"> kostoja vlerësohet te jete </w:t>
      </w:r>
      <w:r>
        <w:rPr>
          <w:bCs/>
        </w:rPr>
        <w:t>194,100</w:t>
      </w:r>
      <w:r w:rsidRPr="00F15BC2">
        <w:rPr>
          <w:bCs/>
        </w:rPr>
        <w:t xml:space="preserve"> Euro, kjo vlerë do të financohe</w:t>
      </w:r>
      <w:r>
        <w:rPr>
          <w:bCs/>
        </w:rPr>
        <w:t xml:space="preserve">t nga Buxheti i Kosovës. Ndërsa në vitin </w:t>
      </w:r>
      <w:r w:rsidRPr="00F15BC2">
        <w:rPr>
          <w:bCs/>
        </w:rPr>
        <w:t>202</w:t>
      </w:r>
      <w:r>
        <w:rPr>
          <w:bCs/>
        </w:rPr>
        <w:t xml:space="preserve">3 </w:t>
      </w:r>
      <w:r w:rsidRPr="00F15BC2">
        <w:rPr>
          <w:bCs/>
        </w:rPr>
        <w:t xml:space="preserve">kostoja vlerësohet te jete nga </w:t>
      </w:r>
      <w:r>
        <w:rPr>
          <w:bCs/>
        </w:rPr>
        <w:t>36,000</w:t>
      </w:r>
      <w:r w:rsidRPr="00F15BC2">
        <w:rPr>
          <w:bCs/>
        </w:rPr>
        <w:t xml:space="preserve"> Euro.</w:t>
      </w:r>
    </w:p>
    <w:p w14:paraId="4875D924" w14:textId="77777777" w:rsidR="00CE4035" w:rsidRPr="00F15BC2" w:rsidRDefault="00CE4035" w:rsidP="00CE4035">
      <w:pPr>
        <w:jc w:val="both"/>
        <w:rPr>
          <w:b/>
        </w:rPr>
      </w:pPr>
    </w:p>
    <w:p w14:paraId="6C182838" w14:textId="77777777" w:rsidR="00CE4035" w:rsidRPr="0068706C" w:rsidRDefault="00CE4035" w:rsidP="00CE4035">
      <w:pPr>
        <w:pStyle w:val="Default"/>
        <w:jc w:val="both"/>
        <w:rPr>
          <w:rFonts w:ascii="Times New Roman" w:hAnsi="Times New Roman" w:cs="Times New Roman"/>
          <w:b/>
          <w:bCs/>
          <w:lang w:val="sq-AL"/>
        </w:rPr>
      </w:pPr>
      <w:r w:rsidRPr="0068706C">
        <w:rPr>
          <w:rFonts w:ascii="Times New Roman" w:hAnsi="Times New Roman" w:cs="Times New Roman"/>
          <w:b/>
          <w:bCs/>
          <w:lang w:val="sq-AL"/>
        </w:rPr>
        <w:t xml:space="preserve">Ndikimet e pritshme mbi rezultatet sociale, të tilla si punësimi, reduktimi i varfërisë, barazia gjinore: </w:t>
      </w:r>
      <w:r w:rsidRPr="0068706C">
        <w:rPr>
          <w:rFonts w:ascii="Times New Roman" w:hAnsi="Times New Roman" w:cs="Times New Roman"/>
          <w:lang w:val="sq-AL"/>
        </w:rPr>
        <w:t>Reduktimi i ekonomisë joformale do ndikojë drejtpërdrejt në rritjen e punësimit formal. Ndikimi kryesor në punësim do të ishte përmirësimi i niveleve zyrtare të punësimit në sektorët me nivelin më të lartë të informalitetit, kjo do ndikonte edhe në rritjen e të drejtave të punëtorëve në punë dhe qasjen më të lehtë në financa,  po ashtu do te ndikoj në zhvillimin ekonomik, rritjen e buxhetit, e cila do mundë të përkthehej dhe me ngritjen e mirëqenies edhe për shtresat më të varfëra të popullsisë. Reduktimi i ekonomisë joformale do ndikojë ndjeshëm edhe në rritjen e të hyrave buxhetore përmes së cilave financohen shërbimet publike duke ngritur kështu mirëqenien e qytetarëve të vendit., ndikojnë në ofrimin jocilësor të shërbimeve. Si rezultat shkalla e punësimit joformal deri në vitin 2021 pritet të ulet deri në 14% nga 16 % sa vlerësohet të jetë në vitin 2019.</w:t>
      </w:r>
    </w:p>
    <w:p w14:paraId="75CBECFE" w14:textId="77777777" w:rsidR="00CE4035" w:rsidRPr="0068706C" w:rsidRDefault="00CE4035" w:rsidP="00CE4035">
      <w:pPr>
        <w:pStyle w:val="Default"/>
        <w:jc w:val="both"/>
        <w:rPr>
          <w:rFonts w:ascii="Times New Roman" w:hAnsi="Times New Roman" w:cs="Times New Roman"/>
          <w:b/>
          <w:bCs/>
          <w:lang w:val="sq-AL"/>
        </w:rPr>
      </w:pPr>
    </w:p>
    <w:p w14:paraId="2B4FC7D5" w14:textId="77777777" w:rsidR="00CE4035" w:rsidRPr="0068706C" w:rsidRDefault="00CE4035" w:rsidP="00CE4035">
      <w:pPr>
        <w:pStyle w:val="Default"/>
        <w:jc w:val="both"/>
        <w:rPr>
          <w:rFonts w:ascii="Times New Roman" w:hAnsi="Times New Roman" w:cs="Times New Roman"/>
          <w:b/>
          <w:bCs/>
          <w:lang w:val="sq-AL"/>
        </w:rPr>
      </w:pPr>
      <w:r w:rsidRPr="0068706C">
        <w:rPr>
          <w:rFonts w:ascii="Times New Roman" w:hAnsi="Times New Roman" w:cs="Times New Roman"/>
          <w:b/>
          <w:bCs/>
          <w:lang w:val="sq-AL"/>
        </w:rPr>
        <w:t xml:space="preserve">Ndikimi i pritshëm në mjedis: </w:t>
      </w:r>
      <w:r w:rsidRPr="0068706C">
        <w:rPr>
          <w:rFonts w:ascii="Times New Roman" w:hAnsi="Times New Roman" w:cs="Times New Roman"/>
          <w:bCs/>
          <w:iCs/>
          <w:sz w:val="23"/>
          <w:szCs w:val="23"/>
          <w:lang w:val="sq-AL"/>
        </w:rPr>
        <w:t xml:space="preserve"> Nuk ka ndikim relevant ne mjedis. </w:t>
      </w:r>
    </w:p>
    <w:p w14:paraId="2EB1FE16" w14:textId="77777777" w:rsidR="00CE4035" w:rsidRPr="0068706C" w:rsidRDefault="00CE4035" w:rsidP="00CE4035">
      <w:pPr>
        <w:pStyle w:val="BodyText"/>
        <w:rPr>
          <w:sz w:val="24"/>
          <w:szCs w:val="24"/>
        </w:rPr>
      </w:pPr>
    </w:p>
    <w:p w14:paraId="7D6D654F" w14:textId="77777777" w:rsidR="00CE4035" w:rsidRPr="0068706C" w:rsidRDefault="00CE4035" w:rsidP="00CE4035">
      <w:pPr>
        <w:rPr>
          <w:b/>
          <w:bCs/>
        </w:rPr>
      </w:pPr>
      <w:r w:rsidRPr="0068706C">
        <w:rPr>
          <w:b/>
          <w:bCs/>
        </w:rPr>
        <w:t>Rreziqet potenciale:</w:t>
      </w:r>
    </w:p>
    <w:tbl>
      <w:tblPr>
        <w:tblpPr w:leftFromText="180" w:rightFromText="180" w:vertAnchor="text" w:horzAnchor="margin" w:tblpY="45"/>
        <w:tblOverlap w:val="neve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1710"/>
        <w:gridCol w:w="4140"/>
      </w:tblGrid>
      <w:tr w:rsidR="00CE4035" w:rsidRPr="0068706C" w14:paraId="1F2AC88B" w14:textId="77777777" w:rsidTr="0068706C">
        <w:trPr>
          <w:trHeight w:val="618"/>
        </w:trPr>
        <w:tc>
          <w:tcPr>
            <w:tcW w:w="2785" w:type="dxa"/>
            <w:shd w:val="clear" w:color="auto" w:fill="auto"/>
          </w:tcPr>
          <w:p w14:paraId="68D4874D" w14:textId="77777777" w:rsidR="00CE4035" w:rsidRPr="0068706C" w:rsidRDefault="00CE4035" w:rsidP="009B753C">
            <w:pPr>
              <w:pStyle w:val="Default"/>
              <w:jc w:val="both"/>
              <w:rPr>
                <w:rFonts w:ascii="Times New Roman" w:hAnsi="Times New Roman" w:cs="Times New Roman"/>
                <w:lang w:val="sq-AL"/>
              </w:rPr>
            </w:pPr>
            <w:r w:rsidRPr="0068706C">
              <w:rPr>
                <w:rFonts w:ascii="Times New Roman" w:hAnsi="Times New Roman" w:cs="Times New Roman"/>
                <w:b/>
                <w:bCs/>
                <w:lang w:val="sq-AL"/>
              </w:rPr>
              <w:t xml:space="preserve">Rreziku </w:t>
            </w:r>
          </w:p>
          <w:p w14:paraId="3C577BB3" w14:textId="77777777" w:rsidR="00CE4035" w:rsidRPr="0068706C" w:rsidRDefault="00CE4035" w:rsidP="009B753C">
            <w:pPr>
              <w:pStyle w:val="Default"/>
              <w:jc w:val="both"/>
              <w:rPr>
                <w:rFonts w:ascii="Times New Roman" w:hAnsi="Times New Roman" w:cs="Times New Roman"/>
                <w:lang w:val="sq-AL"/>
              </w:rPr>
            </w:pPr>
          </w:p>
        </w:tc>
        <w:tc>
          <w:tcPr>
            <w:tcW w:w="1710" w:type="dxa"/>
            <w:shd w:val="clear" w:color="auto" w:fill="auto"/>
          </w:tcPr>
          <w:p w14:paraId="03315CFF" w14:textId="77777777" w:rsidR="00CE4035" w:rsidRPr="0068706C" w:rsidRDefault="00CE4035" w:rsidP="009B753C">
            <w:pPr>
              <w:pStyle w:val="Default"/>
              <w:ind w:right="-122"/>
              <w:rPr>
                <w:rFonts w:ascii="Times New Roman" w:hAnsi="Times New Roman" w:cs="Times New Roman"/>
                <w:lang w:val="sq-AL"/>
              </w:rPr>
            </w:pPr>
            <w:r w:rsidRPr="0068706C">
              <w:rPr>
                <w:rFonts w:ascii="Times New Roman" w:hAnsi="Times New Roman" w:cs="Times New Roman"/>
                <w:b/>
                <w:bCs/>
                <w:lang w:val="sq-AL"/>
              </w:rPr>
              <w:t xml:space="preserve">Probabiliteti (i ulët ose i lartë) </w:t>
            </w:r>
          </w:p>
        </w:tc>
        <w:tc>
          <w:tcPr>
            <w:tcW w:w="4140" w:type="dxa"/>
            <w:shd w:val="clear" w:color="auto" w:fill="auto"/>
          </w:tcPr>
          <w:p w14:paraId="17C94362" w14:textId="77777777" w:rsidR="00CE4035" w:rsidRPr="0068706C" w:rsidRDefault="00CE4035" w:rsidP="009B753C">
            <w:pPr>
              <w:pStyle w:val="Default"/>
              <w:rPr>
                <w:rFonts w:ascii="Times New Roman" w:hAnsi="Times New Roman" w:cs="Times New Roman"/>
                <w:lang w:val="sq-AL"/>
              </w:rPr>
            </w:pPr>
            <w:r w:rsidRPr="0068706C">
              <w:rPr>
                <w:rFonts w:ascii="Times New Roman" w:hAnsi="Times New Roman" w:cs="Times New Roman"/>
                <w:b/>
                <w:bCs/>
                <w:lang w:val="sq-AL"/>
              </w:rPr>
              <w:t xml:space="preserve">Veprimi lehtësues i planifikuar </w:t>
            </w:r>
          </w:p>
        </w:tc>
      </w:tr>
      <w:tr w:rsidR="00CE4035" w:rsidRPr="0068706C" w14:paraId="2E23A0BF" w14:textId="77777777" w:rsidTr="0068706C">
        <w:trPr>
          <w:trHeight w:val="606"/>
        </w:trPr>
        <w:tc>
          <w:tcPr>
            <w:tcW w:w="2785" w:type="dxa"/>
          </w:tcPr>
          <w:p w14:paraId="475C40FB" w14:textId="77777777" w:rsidR="00CE4035" w:rsidRPr="0068706C" w:rsidRDefault="00CE4035" w:rsidP="009B753C">
            <w:pPr>
              <w:pStyle w:val="Default"/>
              <w:jc w:val="both"/>
              <w:rPr>
                <w:rFonts w:ascii="Times New Roman" w:hAnsi="Times New Roman" w:cs="Times New Roman"/>
                <w:lang w:val="sq-AL"/>
              </w:rPr>
            </w:pPr>
            <w:r w:rsidRPr="0068706C">
              <w:rPr>
                <w:rFonts w:ascii="Times New Roman" w:hAnsi="Times New Roman" w:cs="Times New Roman"/>
                <w:lang w:val="sq-AL"/>
              </w:rPr>
              <w:t xml:space="preserve">1. Ngecja e bashkëpunimit ndërinstitucional </w:t>
            </w:r>
          </w:p>
          <w:p w14:paraId="3935B7C6" w14:textId="77777777" w:rsidR="00CE4035" w:rsidRPr="0068706C" w:rsidRDefault="00CE4035" w:rsidP="009B753C">
            <w:pPr>
              <w:pStyle w:val="Default"/>
              <w:jc w:val="both"/>
              <w:rPr>
                <w:rFonts w:ascii="Times New Roman" w:hAnsi="Times New Roman" w:cs="Times New Roman"/>
                <w:lang w:val="sq-AL"/>
              </w:rPr>
            </w:pPr>
          </w:p>
        </w:tc>
        <w:tc>
          <w:tcPr>
            <w:tcW w:w="1710" w:type="dxa"/>
            <w:shd w:val="clear" w:color="auto" w:fill="auto"/>
          </w:tcPr>
          <w:p w14:paraId="5CD7F18F" w14:textId="77777777" w:rsidR="00CE4035" w:rsidRPr="0068706C" w:rsidRDefault="00CE4035" w:rsidP="009B753C">
            <w:pPr>
              <w:pStyle w:val="Default"/>
              <w:jc w:val="both"/>
              <w:rPr>
                <w:rFonts w:ascii="Times New Roman" w:hAnsi="Times New Roman" w:cs="Times New Roman"/>
                <w:lang w:val="sq-AL"/>
              </w:rPr>
            </w:pPr>
            <w:r w:rsidRPr="0068706C">
              <w:rPr>
                <w:rFonts w:ascii="Times New Roman" w:hAnsi="Times New Roman" w:cs="Times New Roman"/>
                <w:lang w:val="sq-AL"/>
              </w:rPr>
              <w:t>I Lartë</w:t>
            </w:r>
          </w:p>
        </w:tc>
        <w:tc>
          <w:tcPr>
            <w:tcW w:w="4140" w:type="dxa"/>
          </w:tcPr>
          <w:p w14:paraId="635AD17D" w14:textId="77777777" w:rsidR="00CE4035" w:rsidRPr="0068706C" w:rsidRDefault="00CE4035" w:rsidP="009B753C">
            <w:pPr>
              <w:pStyle w:val="Default"/>
              <w:jc w:val="both"/>
              <w:rPr>
                <w:rFonts w:ascii="Times New Roman" w:hAnsi="Times New Roman" w:cs="Times New Roman"/>
                <w:lang w:val="sq-AL"/>
              </w:rPr>
            </w:pPr>
            <w:r w:rsidRPr="0068706C">
              <w:rPr>
                <w:rFonts w:ascii="Times New Roman" w:hAnsi="Times New Roman" w:cs="Times New Roman"/>
                <w:lang w:val="sq-AL"/>
              </w:rPr>
              <w:t>Intensifikimi apo rritja e shkëmbimit të të dhënave ndërmjet Institucioneve të ndryshme si atyre të nivelit qendror po ashtu edhe atyre lokale me qëllim luftimin e ekonomisë joformale.</w:t>
            </w:r>
          </w:p>
        </w:tc>
      </w:tr>
      <w:tr w:rsidR="00CE4035" w:rsidRPr="0068706C" w14:paraId="066FCC22" w14:textId="77777777" w:rsidTr="0068706C">
        <w:trPr>
          <w:trHeight w:val="606"/>
        </w:trPr>
        <w:tc>
          <w:tcPr>
            <w:tcW w:w="2785" w:type="dxa"/>
          </w:tcPr>
          <w:p w14:paraId="27DA8E4A" w14:textId="77777777" w:rsidR="00CE4035" w:rsidRPr="0068706C" w:rsidRDefault="00CE4035" w:rsidP="009B753C">
            <w:pPr>
              <w:pStyle w:val="Default"/>
              <w:jc w:val="both"/>
              <w:rPr>
                <w:rFonts w:ascii="Times New Roman" w:hAnsi="Times New Roman" w:cs="Times New Roman"/>
                <w:lang w:val="sq-AL"/>
              </w:rPr>
            </w:pPr>
            <w:r w:rsidRPr="0068706C">
              <w:rPr>
                <w:rFonts w:ascii="Times New Roman" w:hAnsi="Times New Roman" w:cs="Times New Roman"/>
                <w:lang w:val="sq-AL"/>
              </w:rPr>
              <w:t>2.Mungesa e konsistencës së Institucioneve Ligj zbatuese në bashkëveprimin ndër-institucional.</w:t>
            </w:r>
          </w:p>
        </w:tc>
        <w:tc>
          <w:tcPr>
            <w:tcW w:w="1710" w:type="dxa"/>
            <w:shd w:val="clear" w:color="auto" w:fill="auto"/>
          </w:tcPr>
          <w:p w14:paraId="06916AA1" w14:textId="77777777" w:rsidR="00CE4035" w:rsidRPr="0068706C" w:rsidRDefault="00CE4035" w:rsidP="009B753C">
            <w:pPr>
              <w:pStyle w:val="Default"/>
              <w:jc w:val="both"/>
              <w:rPr>
                <w:rFonts w:ascii="Times New Roman" w:hAnsi="Times New Roman" w:cs="Times New Roman"/>
                <w:lang w:val="sq-AL"/>
              </w:rPr>
            </w:pPr>
            <w:r w:rsidRPr="0068706C">
              <w:rPr>
                <w:rFonts w:ascii="Times New Roman" w:hAnsi="Times New Roman" w:cs="Times New Roman"/>
                <w:lang w:val="sq-AL"/>
              </w:rPr>
              <w:t>I Lartë</w:t>
            </w:r>
          </w:p>
        </w:tc>
        <w:tc>
          <w:tcPr>
            <w:tcW w:w="4140" w:type="dxa"/>
          </w:tcPr>
          <w:p w14:paraId="13B44961" w14:textId="77777777" w:rsidR="00CE4035" w:rsidRPr="0068706C" w:rsidRDefault="00CE4035" w:rsidP="009B753C">
            <w:pPr>
              <w:pStyle w:val="Default"/>
              <w:jc w:val="both"/>
              <w:rPr>
                <w:rFonts w:ascii="Times New Roman" w:hAnsi="Times New Roman" w:cs="Times New Roman"/>
                <w:lang w:val="sq-AL"/>
              </w:rPr>
            </w:pPr>
            <w:r w:rsidRPr="0068706C">
              <w:rPr>
                <w:rFonts w:ascii="Times New Roman" w:hAnsi="Times New Roman" w:cs="Times New Roman"/>
                <w:lang w:val="sq-AL"/>
              </w:rPr>
              <w:t>Rritja e numrit të memorandumeve të bashkëpunimit në mes Institucioneve duke mundësuar ndërlidhjen e sistemeve ku informacioni do shkëmbehej ne forme elektronike.</w:t>
            </w:r>
          </w:p>
        </w:tc>
      </w:tr>
    </w:tbl>
    <w:p w14:paraId="09F6E92E" w14:textId="77777777" w:rsidR="00CE4035" w:rsidRPr="00F15BC2" w:rsidRDefault="00CE4035" w:rsidP="00CE4035">
      <w:pPr>
        <w:pStyle w:val="BodyText"/>
        <w:rPr>
          <w:sz w:val="24"/>
          <w:szCs w:val="24"/>
        </w:rPr>
      </w:pPr>
    </w:p>
    <w:p w14:paraId="605C3F5C" w14:textId="77777777" w:rsidR="00CE4035" w:rsidRPr="00EA1DDF" w:rsidRDefault="00CE4035" w:rsidP="0068706C">
      <w:pPr>
        <w:pStyle w:val="ERPL3"/>
        <w:numPr>
          <w:ilvl w:val="0"/>
          <w:numId w:val="0"/>
        </w:numPr>
        <w:ind w:left="1080" w:hanging="720"/>
        <w:rPr>
          <w:rFonts w:ascii="Times New Roman" w:hAnsi="Times New Roman"/>
          <w:lang w:val="sq-AL"/>
        </w:rPr>
      </w:pPr>
      <w:r w:rsidRPr="00EA1DDF">
        <w:rPr>
          <w:rFonts w:ascii="Times New Roman" w:hAnsi="Times New Roman"/>
          <w:lang w:val="sq-AL"/>
        </w:rPr>
        <w:t>4.3.4.  Hulumtimi, zhvillimi dhe inovacioni dhe ekonomia digjitale</w:t>
      </w:r>
    </w:p>
    <w:p w14:paraId="4DF7885C" w14:textId="77777777" w:rsidR="00CE4035" w:rsidRPr="00EA1DDF" w:rsidRDefault="00CE4035" w:rsidP="0068706C">
      <w:pPr>
        <w:pStyle w:val="ListParagraph"/>
        <w:numPr>
          <w:ilvl w:val="0"/>
          <w:numId w:val="29"/>
        </w:numPr>
        <w:spacing w:after="60" w:line="240" w:lineRule="auto"/>
        <w:jc w:val="both"/>
        <w:rPr>
          <w:rFonts w:ascii="Times New Roman" w:hAnsi="Times New Roman"/>
          <w:b/>
          <w:sz w:val="24"/>
          <w:szCs w:val="24"/>
        </w:rPr>
      </w:pPr>
      <w:bookmarkStart w:id="216" w:name="_bookmark27"/>
      <w:bookmarkEnd w:id="216"/>
      <w:r w:rsidRPr="00EA1DDF">
        <w:rPr>
          <w:rFonts w:ascii="Times New Roman" w:hAnsi="Times New Roman"/>
          <w:b/>
          <w:sz w:val="24"/>
          <w:szCs w:val="24"/>
        </w:rPr>
        <w:t xml:space="preserve">Analiza e pengesave kryesore  </w:t>
      </w:r>
    </w:p>
    <w:p w14:paraId="2C370664" w14:textId="77777777" w:rsidR="00CE4035" w:rsidRPr="00EA1DDF" w:rsidRDefault="00CE4035" w:rsidP="00CE4035">
      <w:pPr>
        <w:jc w:val="both"/>
      </w:pPr>
      <w:r w:rsidRPr="00EA1DDF">
        <w:rPr>
          <w:b/>
          <w:bCs/>
        </w:rPr>
        <w:t xml:space="preserve">Gjendja aktuale: </w:t>
      </w:r>
      <w:r w:rsidRPr="00EA1DDF">
        <w:rPr>
          <w:bCs/>
        </w:rPr>
        <w:t>Sistemi i Hulumtimit, Zhvillimit dhe Inovacionit  (HZHI)  në Kosovë vazhdon të ketë nivel shumë të ulët të zhvillimit. Buxheti i alokuar është i pamjaftueshëm, pasi që sipas Ligjit për Kërkim dhe Aktivitetet Shkencore, Qeveria e Kosovës duhet të ndajë 0.7% ose 14 mil. në Euro në vit për shkencë dhe inovacion në MASH nga buxheti, por për shkak të mungesës së fondeve buxheti i alokuar për vitin  2020  është 1.2 mil. Euro. Një numër i madh indikatorësh për këtë fushë ende mungojnë. Kjo vjen si pasojë edhe e mungesës së madhe të koordinimit ndërministror ndërmjet institucioneve kryesore përkatëse. Gjithashtu, ka ende mungesë të instrumenteve financiare që të promovohet inovacioni brenda NMVM-ve. Duhet të promovohen dhe aplikohen edhe më shumë skemat e voucher-ëve të inovacionit, skemat dhe programet e garantimit të kredisë për të promovuar lidhjet ndërmjet biznesit dhe akademisë, trajnime për të rinjtë dhe gratë ndërmarrëse në këtë fushë. Mos realizimi i projekteve të planifikuara për vitin 2020 për inovacion ka ndodhur edhe për shkak të ridestinimit të buxhetit për rimëkëmbje ekonomike, me rastin e pandemisë Covid</w:t>
      </w:r>
      <w:r>
        <w:rPr>
          <w:bCs/>
        </w:rPr>
        <w:t>-</w:t>
      </w:r>
      <w:r w:rsidRPr="00EA1DDF">
        <w:rPr>
          <w:bCs/>
        </w:rPr>
        <w:t xml:space="preserve">19. Për përkrahje të projekteve inovative për bizneset Start-Up janë financuar 230 projekte në vlerë 1,795,579.6 EUR, për projektet inovative të OJQ-ve janë përkrahur 55 OJQ, në vlerë 2,069,433.04 EUR, ndërsa për përkrahjen e NMVM nga “Fondi për Inovacion”, në bashkëpunim me GIZ janë përkrahur gjithsej 20 projekte në vlerë 799,970 Euro. Në fazën e implementimit është edhe projekti për furnizim me pajisjet e IT-se per 11 shkolla të mesme në vlerë 145,000 EUR.  Këto aktivitete dhe projekte janë në pajtueshmëri me Strategjinë Kombëtare për Inovacion dhe Ndërmarrësi. Sa i përket inkubatorëve, Kosova ka disa qendra të inkubimit dhe engjëj të biznesit siç janë: Innovation Center of Kosovo (ICK), </w:t>
      </w:r>
      <w:r w:rsidRPr="00EA1DDF">
        <w:rPr>
          <w:color w:val="212121"/>
        </w:rPr>
        <w:t>Shoqata për Teknologji të Informacionit dhe të Komunikimit të Kosovës (STIKK)</w:t>
      </w:r>
      <w:r w:rsidRPr="00EA1DDF">
        <w:rPr>
          <w:bCs/>
        </w:rPr>
        <w:t>, Gjirafa Lab, KOSBAN, Jakova Innovation Centre.</w:t>
      </w:r>
      <w:r w:rsidRPr="00EA1DDF">
        <w:t xml:space="preserve"> Ndërsa për patenta, deri më tani kemi 2373 kërkesa, nga të cilat janë regjistruar 1117 patenta. Mbi 98% e tyre janë patenta me një pronar ndërkombëtar. Në programin Horizon 2020, Kosova merr pjesë si “vend partner ndërkombëtar i bashkëpunimit”, ndërsa deri më tani Kosova ka marrë pjesë në 20 projekte (103 aplikime, prej të cilave 95 projekt propozime që në parim kanë plotësuar kriteret, 20 prej të cilave janë financuar). </w:t>
      </w:r>
    </w:p>
    <w:p w14:paraId="55FD036B" w14:textId="77777777" w:rsidR="00CE4035" w:rsidRPr="00EA1DDF" w:rsidRDefault="00CE4035" w:rsidP="00CE4035">
      <w:pPr>
        <w:jc w:val="both"/>
        <w:rPr>
          <w:bCs/>
        </w:rPr>
      </w:pPr>
      <w:r w:rsidRPr="00EA1DDF">
        <w:rPr>
          <w:b/>
          <w:i/>
        </w:rPr>
        <w:t>Ekonomia Dixhitale:</w:t>
      </w:r>
      <w:r w:rsidRPr="00EA1DDF">
        <w:rPr>
          <w:b/>
        </w:rPr>
        <w:t xml:space="preserve"> </w:t>
      </w:r>
      <w:r w:rsidRPr="00EA1DDF">
        <w:rPr>
          <w:bCs/>
        </w:rPr>
        <w:t>Rrjetet fikse të telekomunikimeve janë të përhapura gjerësisht në zonat urbane dhe ato rurale. Penetrimi i telefonisë mobile mbulon rreth 114% të popullsisë dhe vlerësohet se përdorues të internetit përmes rrjetit 3G dhe 4G janë 72% të banorëve krahasuar me 126% në BE. Penetrimi i internetit me qasje fikse vlerësohet të jetë 120% të familjeve krahasuar me 87% në BE.  Gjatë pandemisë COVID-19 edhe në Kosovë është shtuar ndjeshëm kërkesa për kapacitete shtesë të Internetit. Prandaj QeK për të adresuar kërkesat në rritje për shërbime të Internetit brezgjerë, përmes Projektit KODE është duke ndërmarrë veprime për krijimin e parakushteve për shtrirje të infrastrukturës brezgjerë telekomunikuese  duke ndërlidhur pirgjet e rrjetave mobile me kabllo optike  për të mundësuar zhvillimin e teknologjive dhe shërbimeve të bazuara në rrjetat e gjeneratës 5G dhe 6G. Investimet në infrastrukturën e telekomunikimit kanë shënuar rënie nga viti 2015 (më ishte 52 mil. €, 2016, 2017 e 2018 rreth 30 mil.€ në vit dhe 2019 vetëm rreth 20 mil.€ apo afër 0.3 % e BPV të Kosovës). Përdorimi i përgjithshëm i TIK-ut në industri është akoma i kufizuar dhe shumë kompani kanë mungesë të vetëdijesimit lidhur me përfitimet konkurruese. Pavarësisht se shumica e familjeve në Kosovë kanë qasje në internet si me lidhje fikse ashtu edhe me celular, 38.7 % e popullsisë së vendit ende nuk ka qasje në asnjë lloj pajisje kompjuterike elektronike. Vlerësohet se në sektorin e TIK-ut janë të punësuar rreth 2000 punëtorë, apo më pak se 1% nga numri total i të punësuarve krahasuar me 3,7% në nivel të BE. 571 biznese kanë të regjistruara TIK-un si aktivitet parësor, por vetëm rreth 120 prej tyre konsiderohen biznese me shërbime të bazuara në produkte të TIK, ndërsa të tjerat janë biznese shitëse e servisuese të harduerit.</w:t>
      </w:r>
    </w:p>
    <w:p w14:paraId="6678F896" w14:textId="77777777" w:rsidR="00CE4035" w:rsidRPr="00EA1DDF" w:rsidRDefault="00CE4035" w:rsidP="00CE4035">
      <w:pPr>
        <w:spacing w:after="60"/>
        <w:jc w:val="both"/>
        <w:rPr>
          <w:bCs/>
        </w:rPr>
      </w:pPr>
      <w:r w:rsidRPr="00EA1DDF">
        <w:rPr>
          <w:b/>
          <w:i/>
        </w:rPr>
        <w:t>Pengesat strukturore:</w:t>
      </w:r>
      <w:r w:rsidRPr="00EA1DDF">
        <w:rPr>
          <w:b/>
        </w:rPr>
        <w:t xml:space="preserve"> </w:t>
      </w:r>
      <w:r w:rsidRPr="00EA1DDF">
        <w:rPr>
          <w:bCs/>
        </w:rPr>
        <w:t>Aktivitetet e fragmentuara nga institucione publike të ndryshme dhe mungesa e koordinimit të tyre, infrastruktura e pamjaftueshme e butë (ekspertë/konsulentë të HZHI) dhe infrastrukturës fizike (laboratorë, pajisje); dështimi për të marrë pjesë në programet Horizon 2020.   Një pengese tjetër është  mungesa e bashkëpunimit midis sektorit privat, sektorit publik dhe institucioneve të arsimit të lartë. Pengesë tjetër gjatë këtij viti ka qenë transferimi i Departamentit të Inovacionit në disa dikaster të ndryshëm, nga ish MIN, tek MASH dhe pastaj tek MEA ku gjendet aktualisht; mungesa e kornizës ligjore të përshtatshme dhe adekuate për inovacionin, me ç’rast fusha e inovacionit trajtohet si e ndarë në inovacionin shkencor dhe inovacionin në ndërmarrësi, derisa në shumicën e vendeve të BE-së për fushën e inovacionit është një kornizë ligjore që ka për qëllim përkrahjen e sektorit privat dhe stafit akademik, për punime shkencore,  ide dhe projekte inovative me fokus përkrahjen në hulumtim dhe zhvillim të produkteve, shërbimeve, proceseve të reja apo të përmirësuara dukshëm, që kanë ndikim në zhvillimin social dhe ekonomik të vendit. Sa i përket ekonomisë digjitale pengesë është edhe mungesa e një ekosistemi të përgjithshëm për të krijuar mundësi për idetë më inovative jo vetëm në sektorin e TIK-ut, por në të gjitha fushat që lidhen me TIK dhe me teknologjitë dixhitale të aplikuara në të gjitha pjesët e jetës. Është dëshmuar edhe gjatë pandemisë se mungesa e shtrirjes së infrastrukturës së internetit  brezgjerë ndikon negativisht në produktivitetin dhe konkurrencën e kompanive dhe zvogëlon mundësitë për vetëpunësim, mësim në distancë, mësim dixhital dhe marketing dixhital. Mos ekzistenca e një sistemi për identifikimin dhe autentifikimin elektronik nuk favorizon zhvillimin e shërbimeve online dhe të tregtisë elektronike.</w:t>
      </w:r>
    </w:p>
    <w:p w14:paraId="49E56EBB" w14:textId="77777777" w:rsidR="00CE4035" w:rsidRPr="00EA1DDF" w:rsidRDefault="00CE4035" w:rsidP="00CE4035">
      <w:pPr>
        <w:spacing w:after="60"/>
        <w:jc w:val="both"/>
        <w:rPr>
          <w:bCs/>
        </w:rPr>
      </w:pPr>
    </w:p>
    <w:p w14:paraId="01D5C66B" w14:textId="77777777" w:rsidR="00CE4035" w:rsidRPr="00EA1DDF" w:rsidRDefault="00CE4035" w:rsidP="00CE4035">
      <w:pPr>
        <w:shd w:val="clear" w:color="auto" w:fill="9CC2E5"/>
        <w:spacing w:after="60"/>
        <w:jc w:val="both"/>
        <w:rPr>
          <w:bCs/>
        </w:rPr>
      </w:pPr>
      <w:r w:rsidRPr="00EA1DDF">
        <w:rPr>
          <w:b/>
          <w:bCs/>
        </w:rPr>
        <w:t>Masa e reformës #12: Përmirësimi i mjedisit për hulumtim, inovacion dhe ndërmarrësi</w:t>
      </w:r>
    </w:p>
    <w:p w14:paraId="0129991E" w14:textId="5395507B" w:rsidR="00CE4035" w:rsidRDefault="00CE4035" w:rsidP="00CE4035">
      <w:pPr>
        <w:jc w:val="both"/>
      </w:pPr>
      <w:r w:rsidRPr="00EA1DDF">
        <w:rPr>
          <w:b/>
          <w:iCs/>
        </w:rPr>
        <w:t xml:space="preserve">Përshkrimi i masës: </w:t>
      </w:r>
      <w:r w:rsidRPr="00EA1DDF">
        <w:rPr>
          <w:bCs/>
        </w:rPr>
        <w:t xml:space="preserve">Masa është vazhdimësi nga cikli i PRE të vitit të kaluar dhe synon të përmirësoje mjedisin për hulumtim, inovacion dhe ndërmarrësi nëpërmjet kompletimit të kornizës legjislative si dhe rritjes së financimit për HZHI.  Si rezultat i masave të ndërmarra për përmirësim të performancës së Kosovës në programin Horizon 2020, është  rrit shkalla  e suksesit në  këtë program (tani është  21%, ku janë 20 projekte të përfituara në vlerën totale prej 2.48 mil. EUR). Jemi duke bërë përpjekje që statusin e vendit të bashkëpunimit ndërkombëtar në këtë program ta avancojmë në statusin e vendit të asociuar. ëë. Kjo masë përputhet me OZHQ 9 (Industria, Inovacioni dhe Infrastruktura), përmes treguesve në lidhje me investimet në kërkime, prodhim dhe punësim. Masa përputhet me SZHQ 9 (Industria, Inovacioni dhe Infrastruktura), përmes treguesve në lidhje me investimet në kërkime, prodhim dhe punësim. Gjithashtu, për të lehtësuar situatën me pandeminë Covid 19 janë  investuar 145,000 EUR për pajisje të 11 shkollave për kabinetet e IT-së. Pritet të bëhet  funksionalizimi </w:t>
      </w:r>
      <w:r w:rsidRPr="00EA1DDF">
        <w:t xml:space="preserve">i Këshillit Kombëtar të Shkencës,  që është obligim nga Ligji i Shkencës, i cili do të ndihmoj të ketë qasje gjithëpërfshirëse institucionale dhe koordinim më të mirë </w:t>
      </w:r>
      <w:r w:rsidRPr="00EA1DDF">
        <w:rPr>
          <w:bCs/>
        </w:rPr>
        <w:t>të politikave për hulumtim dhe inovacion</w:t>
      </w:r>
      <w:r w:rsidRPr="00EA1DDF">
        <w:t xml:space="preserve">. Ekziston nevoja për krijim e Fondit Kombëtar të Shkencës si dhe zhvillimin e mekanizmave të implementimit. Është  në hartim e sipër koncept dokumenti për sistemet e hulumtimit dhe inovacionit. Me mbështetjen e Projektit HERAS+, do të ndërtojmë  Sistemin i Informacionit Aktual për Hulumtime  (CRIS) për Kosovën në mënyrë që në vazhdimësi të hartojmë dhe regjistrojmë materialin bazë dhe infrastrukturën jomateriale të Hulumtimit dhe Inovacionit në IAL publike në Kosovë (përfshirë stafin  akademik të  fakultetit). Ai do të dizajnohet  në përputhje me tiparet kryesore siç përcaktohet nga modeli i Formatit të Përbashkët Evropian të Informacionit të Hulumtimeve (Common European Research Information Format - CERIF). Gjithashtu, do të bëhet rishikimi i UA për zbatimin e skemave për përkrahje të Inovacionit dhe finalizimi i Rregullores për Qendrat e Inovacionit. </w:t>
      </w:r>
    </w:p>
    <w:p w14:paraId="223D5A06" w14:textId="77777777" w:rsidR="0068706C" w:rsidRPr="00EA1DDF" w:rsidRDefault="0068706C" w:rsidP="00CE4035">
      <w:pPr>
        <w:jc w:val="both"/>
      </w:pPr>
    </w:p>
    <w:p w14:paraId="33E3C7C1" w14:textId="77777777" w:rsidR="00CE4035" w:rsidRPr="00EA1DDF" w:rsidRDefault="00CE4035" w:rsidP="0068706C">
      <w:pPr>
        <w:pStyle w:val="BodyText"/>
        <w:widowControl w:val="0"/>
        <w:numPr>
          <w:ilvl w:val="2"/>
          <w:numId w:val="30"/>
        </w:numPr>
        <w:tabs>
          <w:tab w:val="clear" w:pos="850"/>
          <w:tab w:val="clear" w:pos="1191"/>
          <w:tab w:val="clear" w:pos="1531"/>
        </w:tabs>
        <w:spacing w:after="0"/>
        <w:ind w:left="360"/>
        <w:rPr>
          <w:sz w:val="24"/>
          <w:szCs w:val="24"/>
        </w:rPr>
      </w:pPr>
      <w:r w:rsidRPr="00EA1DDF">
        <w:rPr>
          <w:b/>
          <w:bCs/>
          <w:sz w:val="24"/>
          <w:szCs w:val="24"/>
        </w:rPr>
        <w:t>Aktivitetet e planifikuara për 2021:</w:t>
      </w:r>
    </w:p>
    <w:p w14:paraId="4472F5E6" w14:textId="77777777" w:rsidR="00CE4035" w:rsidRPr="00EA1DDF" w:rsidRDefault="00CE4035" w:rsidP="0068706C">
      <w:pPr>
        <w:pStyle w:val="BodyText"/>
        <w:widowControl w:val="0"/>
        <w:numPr>
          <w:ilvl w:val="0"/>
          <w:numId w:val="32"/>
        </w:numPr>
        <w:tabs>
          <w:tab w:val="clear" w:pos="850"/>
          <w:tab w:val="clear" w:pos="1191"/>
          <w:tab w:val="clear" w:pos="1531"/>
        </w:tabs>
        <w:spacing w:after="0"/>
        <w:rPr>
          <w:sz w:val="24"/>
          <w:szCs w:val="24"/>
        </w:rPr>
      </w:pPr>
      <w:r w:rsidRPr="00EA1DDF">
        <w:rPr>
          <w:sz w:val="24"/>
          <w:szCs w:val="24"/>
        </w:rPr>
        <w:t>Funksionalizimi i Këshillit Kombëtar të Shkencës dhe rishikimi  i Programit Kombëtar të Shkencës (MASH);</w:t>
      </w:r>
    </w:p>
    <w:p w14:paraId="0950477F" w14:textId="77777777" w:rsidR="00CE4035" w:rsidRPr="00EA1DDF" w:rsidRDefault="00CE4035" w:rsidP="0068706C">
      <w:pPr>
        <w:pStyle w:val="BodyText"/>
        <w:widowControl w:val="0"/>
        <w:numPr>
          <w:ilvl w:val="0"/>
          <w:numId w:val="32"/>
        </w:numPr>
        <w:tabs>
          <w:tab w:val="clear" w:pos="850"/>
          <w:tab w:val="clear" w:pos="1191"/>
          <w:tab w:val="clear" w:pos="1531"/>
        </w:tabs>
        <w:spacing w:after="0"/>
        <w:rPr>
          <w:sz w:val="24"/>
          <w:szCs w:val="24"/>
        </w:rPr>
      </w:pPr>
      <w:r w:rsidRPr="00EA1DDF">
        <w:rPr>
          <w:sz w:val="24"/>
          <w:szCs w:val="24"/>
        </w:rPr>
        <w:t>Hartimi dhe miratimi i Ligjit për Inovacion dhe Ndërmarrësi (MEA);</w:t>
      </w:r>
    </w:p>
    <w:p w14:paraId="67D38124" w14:textId="77777777" w:rsidR="00CE4035" w:rsidRPr="00EA1DDF" w:rsidRDefault="00CE4035" w:rsidP="0068706C">
      <w:pPr>
        <w:pStyle w:val="BodyText"/>
        <w:widowControl w:val="0"/>
        <w:numPr>
          <w:ilvl w:val="0"/>
          <w:numId w:val="32"/>
        </w:numPr>
        <w:tabs>
          <w:tab w:val="clear" w:pos="850"/>
          <w:tab w:val="clear" w:pos="1191"/>
          <w:tab w:val="clear" w:pos="1531"/>
        </w:tabs>
        <w:spacing w:after="0"/>
        <w:rPr>
          <w:sz w:val="24"/>
          <w:szCs w:val="24"/>
        </w:rPr>
      </w:pPr>
      <w:r w:rsidRPr="00EA1DDF">
        <w:rPr>
          <w:sz w:val="24"/>
          <w:szCs w:val="24"/>
        </w:rPr>
        <w:t>Ndërtimi i Sistemit të Informacionit Aktual për Hulumtime  (CRIS) (MASH);</w:t>
      </w:r>
    </w:p>
    <w:p w14:paraId="380E3026" w14:textId="77777777" w:rsidR="00CE4035" w:rsidRPr="00EA1DDF" w:rsidRDefault="00CE4035" w:rsidP="0068706C">
      <w:pPr>
        <w:numPr>
          <w:ilvl w:val="0"/>
          <w:numId w:val="32"/>
        </w:numPr>
        <w:rPr>
          <w:color w:val="212121"/>
        </w:rPr>
      </w:pPr>
      <w:r w:rsidRPr="00EA1DDF">
        <w:rPr>
          <w:color w:val="212121"/>
        </w:rPr>
        <w:t xml:space="preserve">Hartimi  dhe miratimi i 4 UA për fushën e Inovacionit Shkencor dhe Transfer të Dijes (për Ndërmarrjet me statusin e parkut shkencor-teknologjik;  Regjistrin e institucioneve inovative shkencore;  Transferin e teknologjisë dhe dijes, dhe  format e transferit të teknologjisë; Inovacioni shkencor dhe bartësit e inovacionit shkencor) (MASH); </w:t>
      </w:r>
    </w:p>
    <w:p w14:paraId="1359F521" w14:textId="77777777" w:rsidR="00CE4035" w:rsidRPr="00EA1DDF" w:rsidRDefault="00CE4035" w:rsidP="0068706C">
      <w:pPr>
        <w:numPr>
          <w:ilvl w:val="0"/>
          <w:numId w:val="32"/>
        </w:numPr>
        <w:jc w:val="both"/>
      </w:pPr>
      <w:r w:rsidRPr="00EA1DDF">
        <w:t>Inicimi i procedurave per kalimin nga vend partner ne vend te asociuar; në programin Kornizë të BE-së Horizon 2020 (MASH);</w:t>
      </w:r>
    </w:p>
    <w:p w14:paraId="7D1DA5DC" w14:textId="77777777" w:rsidR="00CE4035" w:rsidRPr="00EA1DDF" w:rsidRDefault="00CE4035" w:rsidP="0068706C">
      <w:pPr>
        <w:pStyle w:val="BodyText"/>
        <w:widowControl w:val="0"/>
        <w:numPr>
          <w:ilvl w:val="0"/>
          <w:numId w:val="32"/>
        </w:numPr>
        <w:tabs>
          <w:tab w:val="clear" w:pos="850"/>
          <w:tab w:val="clear" w:pos="1191"/>
          <w:tab w:val="clear" w:pos="1531"/>
        </w:tabs>
        <w:spacing w:after="0"/>
        <w:rPr>
          <w:sz w:val="24"/>
          <w:szCs w:val="24"/>
        </w:rPr>
      </w:pPr>
      <w:r w:rsidRPr="00EA1DDF">
        <w:rPr>
          <w:sz w:val="24"/>
          <w:szCs w:val="24"/>
        </w:rPr>
        <w:t xml:space="preserve">Hartimi dhe miratimi i Udhëzuesit lidhur me qytetet e mençura (Smart Cities) (MEA); </w:t>
      </w:r>
    </w:p>
    <w:p w14:paraId="7570F5EF" w14:textId="77777777" w:rsidR="00CE4035" w:rsidRPr="00EA1DDF" w:rsidRDefault="00CE4035" w:rsidP="0068706C">
      <w:pPr>
        <w:pStyle w:val="BodyText"/>
        <w:widowControl w:val="0"/>
        <w:numPr>
          <w:ilvl w:val="0"/>
          <w:numId w:val="32"/>
        </w:numPr>
        <w:tabs>
          <w:tab w:val="clear" w:pos="850"/>
          <w:tab w:val="clear" w:pos="1191"/>
          <w:tab w:val="clear" w:pos="1531"/>
        </w:tabs>
        <w:spacing w:after="0"/>
        <w:rPr>
          <w:sz w:val="24"/>
          <w:szCs w:val="24"/>
        </w:rPr>
      </w:pPr>
      <w:r w:rsidRPr="00EA1DDF">
        <w:rPr>
          <w:sz w:val="24"/>
          <w:szCs w:val="24"/>
        </w:rPr>
        <w:t>Mbështetja direkte financiare për projektet inovative (start up, studentëve në përkrahje të ndjekjes së mësimit dual;) (MEA).</w:t>
      </w:r>
    </w:p>
    <w:p w14:paraId="0997CC56" w14:textId="47BE384A" w:rsidR="00CE4035" w:rsidRDefault="00CE4035" w:rsidP="0068706C">
      <w:pPr>
        <w:pStyle w:val="BodyText"/>
        <w:widowControl w:val="0"/>
        <w:numPr>
          <w:ilvl w:val="0"/>
          <w:numId w:val="32"/>
        </w:numPr>
        <w:tabs>
          <w:tab w:val="clear" w:pos="850"/>
          <w:tab w:val="clear" w:pos="1191"/>
          <w:tab w:val="clear" w:pos="1531"/>
        </w:tabs>
        <w:spacing w:after="0"/>
        <w:rPr>
          <w:sz w:val="24"/>
          <w:szCs w:val="24"/>
        </w:rPr>
      </w:pPr>
      <w:r w:rsidRPr="00EA1DDF">
        <w:rPr>
          <w:sz w:val="24"/>
          <w:szCs w:val="24"/>
        </w:rPr>
        <w:t xml:space="preserve">Investimet në qendrat e inovacionit në kuadër të Universiteteve Publike apo shkollave të mesme (MEA). </w:t>
      </w:r>
    </w:p>
    <w:p w14:paraId="678249D8" w14:textId="77777777" w:rsidR="0068706C" w:rsidRPr="00EA1DDF" w:rsidRDefault="0068706C" w:rsidP="0068706C">
      <w:pPr>
        <w:pStyle w:val="BodyText"/>
        <w:widowControl w:val="0"/>
        <w:tabs>
          <w:tab w:val="clear" w:pos="850"/>
          <w:tab w:val="clear" w:pos="1191"/>
          <w:tab w:val="clear" w:pos="1531"/>
        </w:tabs>
        <w:spacing w:after="0"/>
        <w:ind w:left="360" w:firstLine="0"/>
        <w:rPr>
          <w:sz w:val="24"/>
          <w:szCs w:val="24"/>
        </w:rPr>
      </w:pPr>
    </w:p>
    <w:p w14:paraId="0D6C0F8E" w14:textId="77777777" w:rsidR="00CE4035" w:rsidRPr="0068706C" w:rsidRDefault="00CE4035" w:rsidP="0068706C">
      <w:pPr>
        <w:pStyle w:val="BodyText"/>
        <w:widowControl w:val="0"/>
        <w:numPr>
          <w:ilvl w:val="2"/>
          <w:numId w:val="31"/>
        </w:numPr>
        <w:tabs>
          <w:tab w:val="clear" w:pos="850"/>
          <w:tab w:val="clear" w:pos="1191"/>
          <w:tab w:val="clear" w:pos="1531"/>
        </w:tabs>
        <w:spacing w:after="0"/>
        <w:ind w:left="360"/>
        <w:rPr>
          <w:sz w:val="24"/>
          <w:szCs w:val="24"/>
        </w:rPr>
      </w:pPr>
      <w:r w:rsidRPr="0068706C">
        <w:rPr>
          <w:b/>
          <w:bCs/>
          <w:sz w:val="24"/>
          <w:szCs w:val="24"/>
        </w:rPr>
        <w:t>Aktivitetet e planifikuara për 2022:</w:t>
      </w:r>
    </w:p>
    <w:p w14:paraId="059D6839" w14:textId="77777777" w:rsidR="00CE4035" w:rsidRPr="0068706C" w:rsidRDefault="00CE4035" w:rsidP="0068706C">
      <w:pPr>
        <w:pStyle w:val="Default"/>
        <w:numPr>
          <w:ilvl w:val="0"/>
          <w:numId w:val="33"/>
        </w:numPr>
        <w:jc w:val="both"/>
        <w:rPr>
          <w:rFonts w:ascii="Times New Roman" w:hAnsi="Times New Roman" w:cs="Times New Roman"/>
          <w:lang w:val="sq-AL"/>
        </w:rPr>
      </w:pPr>
      <w:r w:rsidRPr="0068706C">
        <w:rPr>
          <w:rFonts w:ascii="Times New Roman" w:hAnsi="Times New Roman" w:cs="Times New Roman"/>
          <w:lang w:val="sq-AL"/>
        </w:rPr>
        <w:t>Krijimi i skemave mbështetëse për hulumtuesit për aplikim në programin HorizonEU (MASH);</w:t>
      </w:r>
    </w:p>
    <w:p w14:paraId="02B3F793" w14:textId="77777777" w:rsidR="00CE4035" w:rsidRPr="0068706C" w:rsidRDefault="00CE4035" w:rsidP="0068706C">
      <w:pPr>
        <w:pStyle w:val="Default"/>
        <w:numPr>
          <w:ilvl w:val="0"/>
          <w:numId w:val="33"/>
        </w:numPr>
        <w:jc w:val="both"/>
        <w:rPr>
          <w:rFonts w:ascii="Times New Roman" w:hAnsi="Times New Roman" w:cs="Times New Roman"/>
          <w:lang w:val="sq-AL"/>
        </w:rPr>
      </w:pPr>
      <w:r w:rsidRPr="0068706C">
        <w:rPr>
          <w:rFonts w:ascii="Times New Roman" w:hAnsi="Times New Roman" w:cs="Times New Roman"/>
          <w:lang w:val="sq-AL"/>
        </w:rPr>
        <w:t xml:space="preserve">Hartimi dhe miratimi i koncept dokumentit për hartëzimin e sistemeve të hulumtimit, shkencës dhe inovacionit (MASH); </w:t>
      </w:r>
    </w:p>
    <w:p w14:paraId="4D2D83F7" w14:textId="77777777" w:rsidR="00CE4035" w:rsidRPr="0068706C" w:rsidRDefault="00CE4035" w:rsidP="0068706C">
      <w:pPr>
        <w:pStyle w:val="BodyText"/>
        <w:widowControl w:val="0"/>
        <w:numPr>
          <w:ilvl w:val="0"/>
          <w:numId w:val="33"/>
        </w:numPr>
        <w:tabs>
          <w:tab w:val="clear" w:pos="850"/>
          <w:tab w:val="clear" w:pos="1191"/>
          <w:tab w:val="clear" w:pos="1531"/>
        </w:tabs>
        <w:spacing w:after="0"/>
        <w:rPr>
          <w:sz w:val="24"/>
          <w:szCs w:val="24"/>
        </w:rPr>
      </w:pPr>
      <w:r w:rsidRPr="0068706C">
        <w:rPr>
          <w:sz w:val="24"/>
          <w:szCs w:val="24"/>
        </w:rPr>
        <w:t>Ndërtimi i Sistemit të Informacionit Aktual për Hulumtime  (CRIS) (MASH);</w:t>
      </w:r>
    </w:p>
    <w:p w14:paraId="662C7219" w14:textId="77777777" w:rsidR="00CE4035" w:rsidRPr="0068706C" w:rsidRDefault="00CE4035" w:rsidP="0068706C">
      <w:pPr>
        <w:pStyle w:val="Default"/>
        <w:numPr>
          <w:ilvl w:val="0"/>
          <w:numId w:val="33"/>
        </w:numPr>
        <w:jc w:val="both"/>
        <w:rPr>
          <w:rFonts w:ascii="Times New Roman" w:hAnsi="Times New Roman" w:cs="Times New Roman"/>
          <w:lang w:val="sq-AL"/>
        </w:rPr>
      </w:pPr>
      <w:r w:rsidRPr="0068706C">
        <w:rPr>
          <w:rFonts w:ascii="Times New Roman" w:hAnsi="Times New Roman" w:cs="Times New Roman"/>
          <w:lang w:val="sq-AL"/>
        </w:rPr>
        <w:t>Mbështetja direkte financiare për projektet inovative (Qendrat e Inovacionit, start up, studentëve në përkrahje të ndjekjes së mësimit dual; (MEA);</w:t>
      </w:r>
    </w:p>
    <w:p w14:paraId="522211FB" w14:textId="77777777" w:rsidR="00CE4035" w:rsidRPr="0068706C" w:rsidRDefault="00CE4035" w:rsidP="0068706C">
      <w:pPr>
        <w:pStyle w:val="Default"/>
        <w:numPr>
          <w:ilvl w:val="0"/>
          <w:numId w:val="33"/>
        </w:numPr>
        <w:jc w:val="both"/>
        <w:rPr>
          <w:rFonts w:ascii="Times New Roman" w:hAnsi="Times New Roman" w:cs="Times New Roman"/>
          <w:lang w:val="sq-AL"/>
        </w:rPr>
      </w:pPr>
      <w:r w:rsidRPr="0068706C">
        <w:rPr>
          <w:rFonts w:ascii="Times New Roman" w:hAnsi="Times New Roman" w:cs="Times New Roman"/>
          <w:lang w:val="sq-AL"/>
        </w:rPr>
        <w:t>Përgatitja e 3 pilot projekteve për komponentët e caktuar për Smart Cities (MEA).</w:t>
      </w:r>
    </w:p>
    <w:p w14:paraId="0018AF6A" w14:textId="77777777" w:rsidR="00CE4035" w:rsidRPr="0068706C" w:rsidRDefault="00CE4035" w:rsidP="00CE4035">
      <w:pPr>
        <w:pStyle w:val="Default"/>
        <w:ind w:left="360"/>
        <w:jc w:val="both"/>
        <w:rPr>
          <w:rFonts w:ascii="Times New Roman" w:hAnsi="Times New Roman" w:cs="Times New Roman"/>
          <w:lang w:val="sq-AL"/>
        </w:rPr>
      </w:pPr>
      <w:r w:rsidRPr="0068706C">
        <w:rPr>
          <w:rFonts w:ascii="Times New Roman" w:hAnsi="Times New Roman" w:cs="Times New Roman"/>
          <w:lang w:val="sq-AL"/>
        </w:rPr>
        <w:t xml:space="preserve"> </w:t>
      </w:r>
    </w:p>
    <w:p w14:paraId="4E0E3832" w14:textId="77777777" w:rsidR="00CE4035" w:rsidRPr="0068706C" w:rsidRDefault="00CE4035" w:rsidP="0068706C">
      <w:pPr>
        <w:pStyle w:val="Default"/>
        <w:numPr>
          <w:ilvl w:val="2"/>
          <w:numId w:val="31"/>
        </w:numPr>
        <w:ind w:left="360"/>
        <w:jc w:val="both"/>
        <w:rPr>
          <w:rFonts w:ascii="Times New Roman" w:hAnsi="Times New Roman" w:cs="Times New Roman"/>
          <w:b/>
          <w:lang w:val="sq-AL"/>
        </w:rPr>
      </w:pPr>
      <w:r w:rsidRPr="0068706C">
        <w:rPr>
          <w:rFonts w:ascii="Times New Roman" w:hAnsi="Times New Roman" w:cs="Times New Roman"/>
          <w:b/>
          <w:bCs/>
          <w:lang w:val="sq-AL"/>
        </w:rPr>
        <w:t>Aktivitetet e planifikuara për 2023:</w:t>
      </w:r>
    </w:p>
    <w:p w14:paraId="128EA2F8" w14:textId="77777777" w:rsidR="00CE4035" w:rsidRPr="0068706C" w:rsidRDefault="00CE4035" w:rsidP="0068706C">
      <w:pPr>
        <w:pStyle w:val="BodyText"/>
        <w:widowControl w:val="0"/>
        <w:numPr>
          <w:ilvl w:val="0"/>
          <w:numId w:val="34"/>
        </w:numPr>
        <w:tabs>
          <w:tab w:val="clear" w:pos="850"/>
          <w:tab w:val="clear" w:pos="1191"/>
          <w:tab w:val="clear" w:pos="1531"/>
        </w:tabs>
        <w:spacing w:after="0"/>
        <w:rPr>
          <w:sz w:val="24"/>
          <w:szCs w:val="24"/>
        </w:rPr>
      </w:pPr>
      <w:r w:rsidRPr="0068706C">
        <w:rPr>
          <w:sz w:val="24"/>
          <w:szCs w:val="24"/>
        </w:rPr>
        <w:t>Hartimi i legjislacionit për krijimin  e Fondit Kombëtar të Shkencës, Inovacionit dhe Ekselencës (MASH);</w:t>
      </w:r>
    </w:p>
    <w:p w14:paraId="050ECC2E" w14:textId="77777777" w:rsidR="00CE4035" w:rsidRPr="0068706C" w:rsidRDefault="00CE4035" w:rsidP="0068706C">
      <w:pPr>
        <w:pStyle w:val="BodyText"/>
        <w:widowControl w:val="0"/>
        <w:numPr>
          <w:ilvl w:val="0"/>
          <w:numId w:val="34"/>
        </w:numPr>
        <w:tabs>
          <w:tab w:val="clear" w:pos="850"/>
          <w:tab w:val="clear" w:pos="1191"/>
          <w:tab w:val="clear" w:pos="1531"/>
        </w:tabs>
        <w:spacing w:after="0"/>
        <w:rPr>
          <w:sz w:val="24"/>
          <w:szCs w:val="24"/>
        </w:rPr>
      </w:pPr>
      <w:r w:rsidRPr="0068706C">
        <w:rPr>
          <w:sz w:val="24"/>
          <w:szCs w:val="24"/>
        </w:rPr>
        <w:t>Kompletimi i Sistemit të Informacionit Aktual për Hulumtime  (CRIS) (MASH);</w:t>
      </w:r>
    </w:p>
    <w:p w14:paraId="23BBAA26" w14:textId="77777777" w:rsidR="00CE4035" w:rsidRPr="0068706C" w:rsidRDefault="00CE4035" w:rsidP="0068706C">
      <w:pPr>
        <w:pStyle w:val="BodyText"/>
        <w:widowControl w:val="0"/>
        <w:numPr>
          <w:ilvl w:val="0"/>
          <w:numId w:val="34"/>
        </w:numPr>
        <w:tabs>
          <w:tab w:val="clear" w:pos="850"/>
          <w:tab w:val="clear" w:pos="1191"/>
          <w:tab w:val="clear" w:pos="1531"/>
        </w:tabs>
        <w:spacing w:after="0"/>
        <w:rPr>
          <w:sz w:val="24"/>
          <w:szCs w:val="24"/>
        </w:rPr>
      </w:pPr>
      <w:r w:rsidRPr="0068706C">
        <w:rPr>
          <w:sz w:val="24"/>
          <w:szCs w:val="24"/>
        </w:rPr>
        <w:t>Mbështetja direkte financiare për projektet inovative (Qendrat e Inovacionit, start up, studentëve në përkrahje të ndjekjes së mësimit dual; projekteve inovative për stafin akademik dhe personat fizik) (MEA);</w:t>
      </w:r>
    </w:p>
    <w:p w14:paraId="717B3870" w14:textId="77777777" w:rsidR="00CE4035" w:rsidRPr="0068706C" w:rsidRDefault="00CE4035" w:rsidP="0068706C">
      <w:pPr>
        <w:pStyle w:val="Default"/>
        <w:numPr>
          <w:ilvl w:val="0"/>
          <w:numId w:val="34"/>
        </w:numPr>
        <w:jc w:val="both"/>
        <w:rPr>
          <w:rFonts w:ascii="Times New Roman" w:hAnsi="Times New Roman" w:cs="Times New Roman"/>
          <w:b/>
          <w:lang w:val="sq-AL"/>
        </w:rPr>
      </w:pPr>
      <w:r w:rsidRPr="0068706C">
        <w:rPr>
          <w:rFonts w:ascii="Times New Roman" w:hAnsi="Times New Roman" w:cs="Times New Roman"/>
          <w:lang w:val="sq-AL"/>
        </w:rPr>
        <w:t xml:space="preserve">Përgatitja e 3 pilot projekteve për komponentët e caktuar për Smart Cities (MEA). </w:t>
      </w:r>
    </w:p>
    <w:p w14:paraId="1F310937" w14:textId="77777777" w:rsidR="00CE4035" w:rsidRPr="0068706C" w:rsidRDefault="00CE4035" w:rsidP="00CE4035">
      <w:pPr>
        <w:pStyle w:val="Default"/>
        <w:ind w:left="360"/>
        <w:jc w:val="both"/>
        <w:rPr>
          <w:rFonts w:ascii="Times New Roman" w:hAnsi="Times New Roman" w:cs="Times New Roman"/>
          <w:b/>
          <w:lang w:val="sq-AL"/>
        </w:rPr>
      </w:pPr>
      <w:r w:rsidRPr="0068706C">
        <w:rPr>
          <w:rFonts w:ascii="Times New Roman" w:hAnsi="Times New Roman" w:cs="Times New Roman"/>
          <w:lang w:val="sq-AL"/>
        </w:rPr>
        <w:t xml:space="preserve"> </w:t>
      </w:r>
    </w:p>
    <w:p w14:paraId="373B4571" w14:textId="77777777" w:rsidR="00CE4035" w:rsidRPr="00EA1DDF" w:rsidRDefault="00CE4035" w:rsidP="00CE4035">
      <w:pPr>
        <w:jc w:val="both"/>
        <w:rPr>
          <w:b/>
          <w:bCs/>
        </w:rPr>
      </w:pPr>
      <w:r w:rsidRPr="00EA1DDF">
        <w:rPr>
          <w:b/>
          <w:bCs/>
        </w:rPr>
        <w:t>Treguesit e rezultateve:</w:t>
      </w:r>
    </w:p>
    <w:tbl>
      <w:tblPr>
        <w:tblpPr w:leftFromText="180" w:rightFromText="180" w:bottomFromText="155" w:vertAnchor="text"/>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63"/>
        <w:gridCol w:w="1168"/>
        <w:gridCol w:w="2084"/>
        <w:gridCol w:w="1710"/>
      </w:tblGrid>
      <w:tr w:rsidR="00CE4035" w:rsidRPr="00EA1DDF" w14:paraId="31DEDA5F" w14:textId="77777777" w:rsidTr="0068706C">
        <w:trPr>
          <w:trHeight w:val="352"/>
        </w:trPr>
        <w:tc>
          <w:tcPr>
            <w:tcW w:w="3763" w:type="dxa"/>
            <w:tcMar>
              <w:top w:w="0" w:type="dxa"/>
              <w:left w:w="108" w:type="dxa"/>
              <w:bottom w:w="0" w:type="dxa"/>
              <w:right w:w="108" w:type="dxa"/>
            </w:tcMar>
          </w:tcPr>
          <w:p w14:paraId="77E3DE4F" w14:textId="77777777" w:rsidR="00CE4035" w:rsidRPr="00EA1DDF" w:rsidRDefault="00CE4035" w:rsidP="009B753C">
            <w:pPr>
              <w:autoSpaceDE w:val="0"/>
              <w:autoSpaceDN w:val="0"/>
              <w:jc w:val="both"/>
              <w:rPr>
                <w:rFonts w:eastAsia="Calibri"/>
                <w:b/>
                <w:i/>
                <w:iCs/>
              </w:rPr>
            </w:pPr>
            <w:r w:rsidRPr="00EA1DDF">
              <w:rPr>
                <w:b/>
                <w:iCs/>
              </w:rPr>
              <w:t>Treguesit</w:t>
            </w:r>
            <w:r w:rsidRPr="00EA1DDF">
              <w:rPr>
                <w:b/>
                <w:i/>
                <w:iCs/>
              </w:rPr>
              <w:t xml:space="preserve">: </w:t>
            </w:r>
          </w:p>
        </w:tc>
        <w:tc>
          <w:tcPr>
            <w:tcW w:w="1168" w:type="dxa"/>
            <w:tcMar>
              <w:top w:w="0" w:type="dxa"/>
              <w:left w:w="108" w:type="dxa"/>
              <w:bottom w:w="0" w:type="dxa"/>
              <w:right w:w="108" w:type="dxa"/>
            </w:tcMar>
          </w:tcPr>
          <w:p w14:paraId="7BD469DE" w14:textId="77777777" w:rsidR="00CE4035" w:rsidRPr="00EA1DDF" w:rsidRDefault="00CE4035" w:rsidP="009B753C">
            <w:pPr>
              <w:autoSpaceDE w:val="0"/>
              <w:autoSpaceDN w:val="0"/>
              <w:ind w:right="-104"/>
              <w:jc w:val="both"/>
              <w:rPr>
                <w:b/>
              </w:rPr>
            </w:pPr>
            <w:r>
              <w:rPr>
                <w:b/>
              </w:rPr>
              <w:t>Viti bazë </w:t>
            </w:r>
          </w:p>
        </w:tc>
        <w:tc>
          <w:tcPr>
            <w:tcW w:w="2084" w:type="dxa"/>
            <w:tcMar>
              <w:top w:w="0" w:type="dxa"/>
              <w:left w:w="108" w:type="dxa"/>
              <w:bottom w:w="0" w:type="dxa"/>
              <w:right w:w="108" w:type="dxa"/>
            </w:tcMar>
          </w:tcPr>
          <w:p w14:paraId="1EEE5C84" w14:textId="77777777" w:rsidR="00CE4035" w:rsidRPr="00EA1DDF" w:rsidRDefault="00CE4035" w:rsidP="009B753C">
            <w:pPr>
              <w:autoSpaceDE w:val="0"/>
              <w:autoSpaceDN w:val="0"/>
              <w:jc w:val="both"/>
              <w:rPr>
                <w:rFonts w:eastAsia="Calibri"/>
                <w:b/>
              </w:rPr>
            </w:pPr>
            <w:r w:rsidRPr="00EA1DDF">
              <w:rPr>
                <w:b/>
              </w:rPr>
              <w:t xml:space="preserve">Objektivi i ndërmjetëm </w:t>
            </w:r>
          </w:p>
        </w:tc>
        <w:tc>
          <w:tcPr>
            <w:tcW w:w="1710" w:type="dxa"/>
            <w:tcMar>
              <w:top w:w="0" w:type="dxa"/>
              <w:left w:w="108" w:type="dxa"/>
              <w:bottom w:w="0" w:type="dxa"/>
              <w:right w:w="108" w:type="dxa"/>
            </w:tcMar>
          </w:tcPr>
          <w:p w14:paraId="395FF8F6" w14:textId="77777777" w:rsidR="00CE4035" w:rsidRPr="00EA1DDF" w:rsidRDefault="00CE4035" w:rsidP="009B753C">
            <w:pPr>
              <w:autoSpaceDE w:val="0"/>
              <w:autoSpaceDN w:val="0"/>
              <w:jc w:val="both"/>
              <w:rPr>
                <w:rFonts w:eastAsia="Calibri"/>
                <w:b/>
                <w:iCs/>
              </w:rPr>
            </w:pPr>
            <w:r w:rsidRPr="00EA1DDF">
              <w:rPr>
                <w:rFonts w:eastAsia="Calibri"/>
                <w:b/>
                <w:iCs/>
              </w:rPr>
              <w:t>Objektivi final</w:t>
            </w:r>
          </w:p>
        </w:tc>
      </w:tr>
      <w:tr w:rsidR="00CE4035" w:rsidRPr="00EA1DDF" w14:paraId="6C7E8CA1" w14:textId="77777777" w:rsidTr="0068706C">
        <w:trPr>
          <w:trHeight w:val="775"/>
        </w:trPr>
        <w:tc>
          <w:tcPr>
            <w:tcW w:w="3763" w:type="dxa"/>
            <w:tcMar>
              <w:top w:w="0" w:type="dxa"/>
              <w:left w:w="108" w:type="dxa"/>
              <w:bottom w:w="0" w:type="dxa"/>
              <w:right w:w="108" w:type="dxa"/>
            </w:tcMar>
            <w:hideMark/>
          </w:tcPr>
          <w:p w14:paraId="4D6C42A8" w14:textId="77777777" w:rsidR="00CE4035" w:rsidRPr="00EA1DDF" w:rsidRDefault="00CE4035" w:rsidP="009B753C">
            <w:pPr>
              <w:autoSpaceDE w:val="0"/>
              <w:autoSpaceDN w:val="0"/>
              <w:jc w:val="both"/>
              <w:rPr>
                <w:rFonts w:eastAsia="Calibri"/>
              </w:rPr>
            </w:pPr>
            <w:r w:rsidRPr="00EA1DDF">
              <w:t xml:space="preserve">Funksionalizimi i Këshillit Kombëtar të Shkencës </w:t>
            </w:r>
          </w:p>
        </w:tc>
        <w:tc>
          <w:tcPr>
            <w:tcW w:w="1168" w:type="dxa"/>
            <w:tcMar>
              <w:top w:w="0" w:type="dxa"/>
              <w:left w:w="108" w:type="dxa"/>
              <w:bottom w:w="0" w:type="dxa"/>
              <w:right w:w="108" w:type="dxa"/>
            </w:tcMar>
            <w:hideMark/>
          </w:tcPr>
          <w:p w14:paraId="4D460032" w14:textId="77777777" w:rsidR="00CE4035" w:rsidRPr="00EA1DDF" w:rsidRDefault="00CE4035" w:rsidP="009B753C">
            <w:pPr>
              <w:autoSpaceDE w:val="0"/>
              <w:autoSpaceDN w:val="0"/>
              <w:jc w:val="both"/>
            </w:pPr>
            <w:r w:rsidRPr="00EA1DDF">
              <w:t>2020</w:t>
            </w:r>
          </w:p>
          <w:p w14:paraId="11825DDA" w14:textId="77777777" w:rsidR="00CE4035" w:rsidRPr="00EA1DDF" w:rsidRDefault="00CE4035" w:rsidP="009B753C">
            <w:pPr>
              <w:autoSpaceDE w:val="0"/>
              <w:autoSpaceDN w:val="0"/>
              <w:jc w:val="both"/>
              <w:rPr>
                <w:rFonts w:eastAsia="Calibri"/>
              </w:rPr>
            </w:pPr>
            <w:r>
              <w:t xml:space="preserve">  </w:t>
            </w:r>
            <w:r w:rsidRPr="00EA1DDF">
              <w:t>/</w:t>
            </w:r>
          </w:p>
        </w:tc>
        <w:tc>
          <w:tcPr>
            <w:tcW w:w="2084" w:type="dxa"/>
            <w:tcMar>
              <w:top w:w="0" w:type="dxa"/>
              <w:left w:w="108" w:type="dxa"/>
              <w:bottom w:w="0" w:type="dxa"/>
              <w:right w:w="108" w:type="dxa"/>
            </w:tcMar>
            <w:hideMark/>
          </w:tcPr>
          <w:p w14:paraId="515725F2" w14:textId="77777777" w:rsidR="00CE4035" w:rsidRPr="00EA1DDF" w:rsidRDefault="00CE4035" w:rsidP="009B753C">
            <w:pPr>
              <w:autoSpaceDE w:val="0"/>
              <w:autoSpaceDN w:val="0"/>
              <w:jc w:val="both"/>
              <w:rPr>
                <w:rFonts w:eastAsia="Calibri"/>
              </w:rPr>
            </w:pPr>
            <w:r w:rsidRPr="00EA1DDF">
              <w:rPr>
                <w:rFonts w:eastAsia="Calibri"/>
              </w:rPr>
              <w:t>2021</w:t>
            </w:r>
          </w:p>
          <w:p w14:paraId="1757A622" w14:textId="77777777" w:rsidR="00CE4035" w:rsidRPr="00EA1DDF" w:rsidRDefault="00CE4035" w:rsidP="009B753C">
            <w:pPr>
              <w:autoSpaceDE w:val="0"/>
              <w:autoSpaceDN w:val="0"/>
              <w:jc w:val="both"/>
              <w:rPr>
                <w:rFonts w:eastAsia="Calibri"/>
              </w:rPr>
            </w:pPr>
            <w:r w:rsidRPr="00EA1DDF">
              <w:rPr>
                <w:rFonts w:eastAsia="Calibri"/>
              </w:rPr>
              <w:t>PO</w:t>
            </w:r>
          </w:p>
        </w:tc>
        <w:tc>
          <w:tcPr>
            <w:tcW w:w="1710" w:type="dxa"/>
            <w:tcMar>
              <w:top w:w="0" w:type="dxa"/>
              <w:left w:w="108" w:type="dxa"/>
              <w:bottom w:w="0" w:type="dxa"/>
              <w:right w:w="108" w:type="dxa"/>
            </w:tcMar>
            <w:hideMark/>
          </w:tcPr>
          <w:p w14:paraId="188D2B70" w14:textId="77777777" w:rsidR="00CE4035" w:rsidRPr="00EA1DDF" w:rsidRDefault="00CE4035" w:rsidP="009B753C">
            <w:pPr>
              <w:autoSpaceDE w:val="0"/>
              <w:autoSpaceDN w:val="0"/>
              <w:jc w:val="both"/>
              <w:rPr>
                <w:rFonts w:eastAsia="Calibri"/>
              </w:rPr>
            </w:pPr>
            <w:r w:rsidRPr="00EA1DDF">
              <w:rPr>
                <w:rFonts w:eastAsia="Calibri"/>
              </w:rPr>
              <w:t>2022</w:t>
            </w:r>
          </w:p>
          <w:p w14:paraId="7AC82D4B" w14:textId="77777777" w:rsidR="00CE4035" w:rsidRPr="00EA1DDF" w:rsidRDefault="00CE4035" w:rsidP="009B753C">
            <w:pPr>
              <w:autoSpaceDE w:val="0"/>
              <w:autoSpaceDN w:val="0"/>
              <w:jc w:val="both"/>
              <w:rPr>
                <w:rFonts w:eastAsia="Calibri"/>
              </w:rPr>
            </w:pPr>
            <w:r w:rsidRPr="00EA1DDF">
              <w:rPr>
                <w:rFonts w:eastAsia="Calibri"/>
              </w:rPr>
              <w:t>/</w:t>
            </w:r>
          </w:p>
        </w:tc>
      </w:tr>
      <w:tr w:rsidR="00CE4035" w:rsidRPr="00EA1DDF" w14:paraId="371E938A" w14:textId="77777777" w:rsidTr="0068706C">
        <w:tc>
          <w:tcPr>
            <w:tcW w:w="3763" w:type="dxa"/>
            <w:tcMar>
              <w:top w:w="0" w:type="dxa"/>
              <w:left w:w="108" w:type="dxa"/>
              <w:bottom w:w="0" w:type="dxa"/>
              <w:right w:w="108" w:type="dxa"/>
            </w:tcMar>
            <w:hideMark/>
          </w:tcPr>
          <w:p w14:paraId="4DE5FC64" w14:textId="77777777" w:rsidR="00CE4035" w:rsidRPr="00EA1DDF" w:rsidRDefault="00CE4035" w:rsidP="009B753C">
            <w:pPr>
              <w:pStyle w:val="BodyText"/>
              <w:spacing w:after="60"/>
              <w:rPr>
                <w:sz w:val="24"/>
                <w:szCs w:val="24"/>
              </w:rPr>
            </w:pPr>
            <w:r w:rsidRPr="00EA1DDF">
              <w:rPr>
                <w:sz w:val="24"/>
                <w:szCs w:val="24"/>
              </w:rPr>
              <w:t xml:space="preserve">Mbështetja direkte financiare për projektet inovative </w:t>
            </w:r>
          </w:p>
        </w:tc>
        <w:tc>
          <w:tcPr>
            <w:tcW w:w="1168" w:type="dxa"/>
            <w:tcMar>
              <w:top w:w="0" w:type="dxa"/>
              <w:left w:w="108" w:type="dxa"/>
              <w:bottom w:w="0" w:type="dxa"/>
              <w:right w:w="108" w:type="dxa"/>
            </w:tcMar>
          </w:tcPr>
          <w:p w14:paraId="0B106492" w14:textId="77777777" w:rsidR="00CE4035" w:rsidRPr="00EA1DDF" w:rsidRDefault="00CE4035" w:rsidP="009B753C">
            <w:pPr>
              <w:autoSpaceDE w:val="0"/>
              <w:autoSpaceDN w:val="0"/>
              <w:jc w:val="both"/>
              <w:rPr>
                <w:rFonts w:eastAsia="Calibri"/>
              </w:rPr>
            </w:pPr>
            <w:r w:rsidRPr="00EA1DDF">
              <w:rPr>
                <w:rFonts w:eastAsia="Calibri"/>
              </w:rPr>
              <w:t>2020</w:t>
            </w:r>
          </w:p>
          <w:p w14:paraId="0EEED928" w14:textId="77777777" w:rsidR="00CE4035" w:rsidRPr="00EA1DDF" w:rsidRDefault="00CE4035" w:rsidP="009B753C">
            <w:pPr>
              <w:autoSpaceDE w:val="0"/>
              <w:autoSpaceDN w:val="0"/>
              <w:jc w:val="both"/>
              <w:rPr>
                <w:rFonts w:eastAsia="Calibri"/>
              </w:rPr>
            </w:pPr>
            <w:r w:rsidRPr="00EA1DDF">
              <w:rPr>
                <w:rFonts w:eastAsia="Calibri"/>
              </w:rPr>
              <w:t>20%</w:t>
            </w:r>
          </w:p>
        </w:tc>
        <w:tc>
          <w:tcPr>
            <w:tcW w:w="2084" w:type="dxa"/>
            <w:tcMar>
              <w:top w:w="0" w:type="dxa"/>
              <w:left w:w="108" w:type="dxa"/>
              <w:bottom w:w="0" w:type="dxa"/>
              <w:right w:w="108" w:type="dxa"/>
            </w:tcMar>
          </w:tcPr>
          <w:p w14:paraId="7C0D9C22" w14:textId="77777777" w:rsidR="00CE4035" w:rsidRPr="00EA1DDF" w:rsidRDefault="00CE4035" w:rsidP="009B753C">
            <w:pPr>
              <w:autoSpaceDE w:val="0"/>
              <w:autoSpaceDN w:val="0"/>
              <w:jc w:val="both"/>
              <w:rPr>
                <w:rFonts w:eastAsia="Calibri"/>
              </w:rPr>
            </w:pPr>
            <w:r w:rsidRPr="00EA1DDF">
              <w:rPr>
                <w:rFonts w:eastAsia="Calibri"/>
              </w:rPr>
              <w:t>2021</w:t>
            </w:r>
          </w:p>
          <w:p w14:paraId="312BC4EE" w14:textId="77777777" w:rsidR="00CE4035" w:rsidRPr="00EA1DDF" w:rsidRDefault="00CE4035" w:rsidP="009B753C">
            <w:pPr>
              <w:autoSpaceDE w:val="0"/>
              <w:autoSpaceDN w:val="0"/>
              <w:jc w:val="both"/>
              <w:rPr>
                <w:rFonts w:eastAsia="Calibri"/>
              </w:rPr>
            </w:pPr>
            <w:r w:rsidRPr="00EA1DDF">
              <w:rPr>
                <w:rFonts w:eastAsia="Calibri"/>
              </w:rPr>
              <w:t>0%</w:t>
            </w:r>
          </w:p>
        </w:tc>
        <w:tc>
          <w:tcPr>
            <w:tcW w:w="1710" w:type="dxa"/>
            <w:tcMar>
              <w:top w:w="0" w:type="dxa"/>
              <w:left w:w="108" w:type="dxa"/>
              <w:bottom w:w="0" w:type="dxa"/>
              <w:right w:w="108" w:type="dxa"/>
            </w:tcMar>
            <w:hideMark/>
          </w:tcPr>
          <w:p w14:paraId="772EAC9C" w14:textId="77777777" w:rsidR="00CE4035" w:rsidRPr="00EA1DDF" w:rsidRDefault="00CE4035" w:rsidP="009B753C">
            <w:pPr>
              <w:autoSpaceDE w:val="0"/>
              <w:autoSpaceDN w:val="0"/>
              <w:jc w:val="both"/>
              <w:rPr>
                <w:rFonts w:eastAsia="Calibri"/>
              </w:rPr>
            </w:pPr>
            <w:r w:rsidRPr="00EA1DDF">
              <w:rPr>
                <w:rFonts w:eastAsia="Calibri"/>
              </w:rPr>
              <w:t>2022</w:t>
            </w:r>
          </w:p>
          <w:p w14:paraId="54A0C7D2" w14:textId="77777777" w:rsidR="00CE4035" w:rsidRPr="00EA1DDF" w:rsidRDefault="00CE4035" w:rsidP="009B753C">
            <w:pPr>
              <w:autoSpaceDE w:val="0"/>
              <w:autoSpaceDN w:val="0"/>
              <w:jc w:val="both"/>
              <w:rPr>
                <w:rFonts w:eastAsia="Calibri"/>
              </w:rPr>
            </w:pPr>
            <w:r w:rsidRPr="00EA1DDF">
              <w:rPr>
                <w:rFonts w:eastAsia="Calibri"/>
              </w:rPr>
              <w:t>0%</w:t>
            </w:r>
          </w:p>
        </w:tc>
      </w:tr>
    </w:tbl>
    <w:p w14:paraId="2B0EDD37" w14:textId="26DC2699" w:rsidR="00CE4035" w:rsidRDefault="00CE4035" w:rsidP="00CE4035">
      <w:pPr>
        <w:pStyle w:val="Default"/>
        <w:jc w:val="both"/>
        <w:rPr>
          <w:rFonts w:ascii="Times New Roman" w:hAnsi="Times New Roman" w:cs="Times New Roman"/>
          <w:i/>
          <w:lang w:val="sq-AL"/>
        </w:rPr>
      </w:pPr>
      <w:r w:rsidRPr="0068706C">
        <w:rPr>
          <w:rFonts w:ascii="Times New Roman" w:hAnsi="Times New Roman" w:cs="Times New Roman"/>
          <w:bCs/>
          <w:i/>
          <w:lang w:val="sq-AL"/>
        </w:rPr>
        <w:t xml:space="preserve">Arritja e këtyre  treguesve është në pajtim me treguesin </w:t>
      </w:r>
      <w:r w:rsidRPr="0068706C">
        <w:rPr>
          <w:rFonts w:ascii="Times New Roman" w:hAnsi="Times New Roman" w:cs="Times New Roman"/>
          <w:i/>
          <w:lang w:val="sq-AL"/>
        </w:rPr>
        <w:t xml:space="preserve">9.5.1 Shpenzimet për hulumtim dhe zhvillim si proporcion i PBB-së në kuadër të </w:t>
      </w:r>
      <w:r w:rsidRPr="0068706C">
        <w:rPr>
          <w:rFonts w:ascii="Times New Roman" w:hAnsi="Times New Roman" w:cs="Times New Roman"/>
          <w:bCs/>
          <w:i/>
          <w:lang w:val="sq-AL"/>
        </w:rPr>
        <w:t xml:space="preserve">OZHQ 9 (SDG 9) </w:t>
      </w:r>
      <w:r w:rsidRPr="0068706C">
        <w:rPr>
          <w:rFonts w:ascii="Times New Roman" w:hAnsi="Times New Roman" w:cs="Times New Roman"/>
          <w:i/>
          <w:lang w:val="sq-AL"/>
        </w:rPr>
        <w:t>(Industria, Inovacioni dhe Infrastruktura); dhe treguesin 17.8.1 tek OZHQ 17 (Partneritetet për Qëllime).</w:t>
      </w:r>
    </w:p>
    <w:p w14:paraId="66C19053" w14:textId="77777777" w:rsidR="0068706C" w:rsidRPr="0068706C" w:rsidRDefault="0068706C" w:rsidP="00CE4035">
      <w:pPr>
        <w:pStyle w:val="Default"/>
        <w:jc w:val="both"/>
        <w:rPr>
          <w:rFonts w:ascii="Times New Roman" w:hAnsi="Times New Roman" w:cs="Times New Roman"/>
          <w:i/>
          <w:lang w:val="sq-AL"/>
        </w:rPr>
      </w:pPr>
    </w:p>
    <w:p w14:paraId="744956C7" w14:textId="77777777" w:rsidR="00CE4035" w:rsidRPr="0068706C" w:rsidRDefault="00CE4035" w:rsidP="00CE4035">
      <w:pPr>
        <w:pStyle w:val="Default"/>
        <w:jc w:val="both"/>
        <w:rPr>
          <w:rFonts w:ascii="Times New Roman" w:hAnsi="Times New Roman" w:cs="Times New Roman"/>
          <w:lang w:val="sq-AL"/>
        </w:rPr>
      </w:pPr>
      <w:r w:rsidRPr="0068706C">
        <w:rPr>
          <w:rFonts w:ascii="Times New Roman" w:hAnsi="Times New Roman" w:cs="Times New Roman"/>
          <w:b/>
          <w:bCs/>
          <w:lang w:val="sq-AL"/>
        </w:rPr>
        <w:t xml:space="preserve">Ndikimi i pritur në konkurrueshmëri: </w:t>
      </w:r>
      <w:r w:rsidRPr="0068706C">
        <w:rPr>
          <w:rFonts w:ascii="Times New Roman" w:hAnsi="Times New Roman" w:cs="Times New Roman"/>
          <w:lang w:val="sq-AL"/>
        </w:rPr>
        <w:t xml:space="preserve">Përkrahja më e madhe e bizneseve, shkencës dhe OJQ-ve në fushën e hulumtimit, zhvillimit dhe inovacion do të ketë rritje në konkurrueshmëri. Investimet financiare direkte nga qeveria në fushën e inovacionit kanë rezultuar të jenë faktorë kyç në rritjen ekonomike dhe konkurrueshmërinë. </w:t>
      </w:r>
    </w:p>
    <w:p w14:paraId="3C92FB4B" w14:textId="77777777" w:rsidR="00CE4035" w:rsidRPr="00EA1DDF" w:rsidRDefault="00CE4035" w:rsidP="00CE4035">
      <w:pPr>
        <w:pStyle w:val="Default"/>
        <w:jc w:val="both"/>
        <w:rPr>
          <w:lang w:val="sq-AL"/>
        </w:rPr>
      </w:pPr>
    </w:p>
    <w:p w14:paraId="6DBF2E68" w14:textId="77777777" w:rsidR="00CE4035" w:rsidRPr="00EA1DDF" w:rsidRDefault="00CE4035" w:rsidP="00CE4035">
      <w:pPr>
        <w:jc w:val="both"/>
      </w:pPr>
      <w:r w:rsidRPr="00EA1DDF">
        <w:rPr>
          <w:b/>
          <w:bCs/>
        </w:rPr>
        <w:t>Vlerësimi i kostos së aktiviteteve dhe burimet e financimit:</w:t>
      </w:r>
      <w:r w:rsidRPr="00EA1DDF">
        <w:t xml:space="preserve"> Vlera totale  për zbatimin e kësaj mase për tri vite parashihet të jetë  rreth 5,900,000 EURO, të gjitha t financuara përmes Buxhetit të Kosovës. Për vitin 2021 nga Buxheti i Kosovës parashihet që kostoja për zbatimin e aktiviteteve të kësaj mase të jetë 1,406,000 EUR, nga të cilat 1,000,000 EURO do të jenë  nga kategoria “Subvencione dhe Transfere” si mbështetje direkte financiare per projektet inovative, ndërsa në vitin 2022, kostoja parashihet të jetë 2,329,000EUR, nga të cilat 2,100,000 EURO do shfrytëzohen për mbështetje direkte financiare per projektet inovative ( Planifikim Post-Covid). Ndërsa në vitin 2023 kostoja për zbatimin e kësaj mase do të jetë 2,129,000 me shpërndarje të ngjashme si në vitin 2022.</w:t>
      </w:r>
    </w:p>
    <w:p w14:paraId="5A643488" w14:textId="77777777" w:rsidR="00CE4035" w:rsidRPr="0068706C" w:rsidRDefault="00CE4035" w:rsidP="00CE4035">
      <w:pPr>
        <w:pStyle w:val="Default"/>
        <w:jc w:val="both"/>
        <w:rPr>
          <w:rFonts w:ascii="Times New Roman" w:hAnsi="Times New Roman" w:cs="Times New Roman"/>
          <w:lang w:val="sq-AL"/>
        </w:rPr>
      </w:pPr>
      <w:r w:rsidRPr="0068706C">
        <w:rPr>
          <w:rFonts w:ascii="Times New Roman" w:hAnsi="Times New Roman" w:cs="Times New Roman"/>
          <w:b/>
          <w:bCs/>
          <w:iCs/>
          <w:lang w:val="sq-AL"/>
        </w:rPr>
        <w:t>Ndikimet e pritshme mbi rezultatet sociale, të tilla si punësimi, reduktimi i varfërisë, barazia gjinore:</w:t>
      </w:r>
      <w:r w:rsidRPr="0068706C">
        <w:rPr>
          <w:rFonts w:ascii="Times New Roman" w:hAnsi="Times New Roman" w:cs="Times New Roman"/>
          <w:b/>
          <w:bCs/>
          <w:i/>
          <w:iCs/>
          <w:lang w:val="sq-AL"/>
        </w:rPr>
        <w:t xml:space="preserve"> </w:t>
      </w:r>
      <w:r w:rsidRPr="0068706C">
        <w:rPr>
          <w:rFonts w:ascii="Times New Roman" w:hAnsi="Times New Roman" w:cs="Times New Roman"/>
          <w:lang w:val="sq-AL"/>
        </w:rPr>
        <w:t>Kjo masë do të ndikojë në rritjen e punësimit dhe vetëpunësimit, hapjen e bizneseve të reja me prioritet përkrahjen e projekteve dhe bizneset e grave, rritjen e konkurrueshmërisë, eksportin dhe ngritjen e performancës së bizneseve vendore. Intensifikimi i bashkëpunimit ndërmjet shkencës, sektorit privat, sektorit publik dhe shoqërisë civile do të rezultojë me përmirësimin  e ekosistemit në inovacion.</w:t>
      </w:r>
    </w:p>
    <w:p w14:paraId="51401CD9" w14:textId="77777777" w:rsidR="00CE4035" w:rsidRPr="0068706C" w:rsidRDefault="00CE4035" w:rsidP="00CE4035">
      <w:pPr>
        <w:pStyle w:val="Default"/>
        <w:jc w:val="both"/>
        <w:rPr>
          <w:rFonts w:ascii="Times New Roman" w:hAnsi="Times New Roman" w:cs="Times New Roman"/>
          <w:lang w:val="sq-AL"/>
        </w:rPr>
      </w:pPr>
    </w:p>
    <w:p w14:paraId="239F89B3" w14:textId="77777777" w:rsidR="00CE4035" w:rsidRPr="0068706C" w:rsidRDefault="00CE4035" w:rsidP="00CE4035">
      <w:pPr>
        <w:pStyle w:val="Default"/>
        <w:tabs>
          <w:tab w:val="left" w:pos="1440"/>
        </w:tabs>
        <w:jc w:val="both"/>
        <w:rPr>
          <w:rFonts w:ascii="Times New Roman" w:hAnsi="Times New Roman" w:cs="Times New Roman"/>
          <w:bCs/>
          <w:lang w:val="sq-AL"/>
        </w:rPr>
      </w:pPr>
      <w:r w:rsidRPr="0068706C">
        <w:rPr>
          <w:rFonts w:ascii="Times New Roman" w:hAnsi="Times New Roman" w:cs="Times New Roman"/>
          <w:b/>
          <w:bCs/>
          <w:iCs/>
          <w:lang w:val="sq-AL"/>
        </w:rPr>
        <w:t>Ndikimi i pritshëm në mjedis:</w:t>
      </w:r>
      <w:r w:rsidRPr="0068706C">
        <w:rPr>
          <w:rFonts w:ascii="Times New Roman" w:hAnsi="Times New Roman" w:cs="Times New Roman"/>
          <w:b/>
          <w:bCs/>
          <w:i/>
          <w:iCs/>
          <w:lang w:val="sq-AL"/>
        </w:rPr>
        <w:t xml:space="preserve"> </w:t>
      </w:r>
      <w:r w:rsidRPr="0068706C">
        <w:rPr>
          <w:rFonts w:ascii="Times New Roman" w:hAnsi="Times New Roman" w:cs="Times New Roman"/>
          <w:bCs/>
          <w:lang w:val="sq-AL"/>
        </w:rPr>
        <w:t xml:space="preserve">Projektet dhe idetë inovative do të mundësojnë mbrojtjen e mjedisit, efiçiencën e energjisë. </w:t>
      </w:r>
    </w:p>
    <w:p w14:paraId="3A725BD7" w14:textId="77777777" w:rsidR="00CE4035" w:rsidRPr="0068706C" w:rsidRDefault="00CE4035" w:rsidP="00CE4035">
      <w:pPr>
        <w:pStyle w:val="Default"/>
        <w:tabs>
          <w:tab w:val="left" w:pos="1440"/>
        </w:tabs>
        <w:jc w:val="both"/>
        <w:rPr>
          <w:rFonts w:ascii="Times New Roman" w:hAnsi="Times New Roman" w:cs="Times New Roman"/>
          <w:bCs/>
          <w:lang w:val="sq-AL"/>
        </w:rPr>
      </w:pPr>
    </w:p>
    <w:p w14:paraId="503A0957" w14:textId="77777777" w:rsidR="00CE4035" w:rsidRPr="0068706C" w:rsidRDefault="00CE4035" w:rsidP="00CE4035">
      <w:pPr>
        <w:pStyle w:val="Default"/>
        <w:spacing w:after="60"/>
        <w:jc w:val="both"/>
        <w:rPr>
          <w:rFonts w:ascii="Times New Roman" w:hAnsi="Times New Roman" w:cs="Times New Roman"/>
          <w:b/>
          <w:bCs/>
          <w:lang w:val="sq-AL"/>
        </w:rPr>
      </w:pPr>
      <w:r w:rsidRPr="0068706C">
        <w:rPr>
          <w:rFonts w:ascii="Times New Roman" w:hAnsi="Times New Roman" w:cs="Times New Roman"/>
          <w:b/>
          <w:bCs/>
          <w:lang w:val="sq-AL"/>
        </w:rPr>
        <w:t>Rreziqet potenciale:</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1710"/>
        <w:gridCol w:w="4320"/>
      </w:tblGrid>
      <w:tr w:rsidR="00CE4035" w:rsidRPr="0068706C" w14:paraId="22619109" w14:textId="77777777" w:rsidTr="0068706C">
        <w:tc>
          <w:tcPr>
            <w:tcW w:w="2605" w:type="dxa"/>
            <w:shd w:val="clear" w:color="auto" w:fill="auto"/>
          </w:tcPr>
          <w:p w14:paraId="5D853E52" w14:textId="77777777" w:rsidR="00CE4035" w:rsidRPr="0068706C" w:rsidRDefault="00CE4035" w:rsidP="009B753C">
            <w:pPr>
              <w:pStyle w:val="Default"/>
              <w:jc w:val="both"/>
              <w:rPr>
                <w:rFonts w:ascii="Times New Roman" w:hAnsi="Times New Roman" w:cs="Times New Roman"/>
                <w:lang w:val="sq-AL"/>
              </w:rPr>
            </w:pPr>
            <w:r w:rsidRPr="0068706C">
              <w:rPr>
                <w:rFonts w:ascii="Times New Roman" w:hAnsi="Times New Roman" w:cs="Times New Roman"/>
                <w:b/>
                <w:bCs/>
                <w:lang w:val="sq-AL"/>
              </w:rPr>
              <w:t xml:space="preserve">Rreziku </w:t>
            </w:r>
          </w:p>
        </w:tc>
        <w:tc>
          <w:tcPr>
            <w:tcW w:w="1710" w:type="dxa"/>
            <w:shd w:val="clear" w:color="auto" w:fill="auto"/>
          </w:tcPr>
          <w:p w14:paraId="5BB4C952" w14:textId="77777777" w:rsidR="00CE4035" w:rsidRPr="0068706C" w:rsidRDefault="00CE4035" w:rsidP="009B753C">
            <w:pPr>
              <w:pStyle w:val="Default"/>
              <w:ind w:right="-122"/>
              <w:rPr>
                <w:rFonts w:ascii="Times New Roman" w:hAnsi="Times New Roman" w:cs="Times New Roman"/>
                <w:lang w:val="sq-AL"/>
              </w:rPr>
            </w:pPr>
            <w:r w:rsidRPr="0068706C">
              <w:rPr>
                <w:rFonts w:ascii="Times New Roman" w:hAnsi="Times New Roman" w:cs="Times New Roman"/>
                <w:b/>
                <w:bCs/>
                <w:lang w:val="sq-AL"/>
              </w:rPr>
              <w:t xml:space="preserve">Probabiliteti </w:t>
            </w:r>
          </w:p>
        </w:tc>
        <w:tc>
          <w:tcPr>
            <w:tcW w:w="4320" w:type="dxa"/>
            <w:shd w:val="clear" w:color="auto" w:fill="auto"/>
          </w:tcPr>
          <w:p w14:paraId="419C4075" w14:textId="77777777" w:rsidR="00CE4035" w:rsidRPr="0068706C" w:rsidRDefault="00CE4035" w:rsidP="009B753C">
            <w:pPr>
              <w:pStyle w:val="Default"/>
              <w:jc w:val="both"/>
              <w:rPr>
                <w:rFonts w:ascii="Times New Roman" w:hAnsi="Times New Roman" w:cs="Times New Roman"/>
                <w:lang w:val="sq-AL"/>
              </w:rPr>
            </w:pPr>
            <w:r w:rsidRPr="0068706C">
              <w:rPr>
                <w:rFonts w:ascii="Times New Roman" w:hAnsi="Times New Roman" w:cs="Times New Roman"/>
                <w:b/>
                <w:bCs/>
                <w:lang w:val="sq-AL"/>
              </w:rPr>
              <w:t xml:space="preserve">Veprimi lehtësues i planifikuar </w:t>
            </w:r>
          </w:p>
        </w:tc>
      </w:tr>
      <w:tr w:rsidR="00CE4035" w:rsidRPr="0068706C" w14:paraId="3638EA4E" w14:textId="77777777" w:rsidTr="0068706C">
        <w:tc>
          <w:tcPr>
            <w:tcW w:w="2605" w:type="dxa"/>
            <w:shd w:val="clear" w:color="auto" w:fill="auto"/>
          </w:tcPr>
          <w:p w14:paraId="1405D985" w14:textId="77777777" w:rsidR="00CE4035" w:rsidRPr="0068706C" w:rsidRDefault="00CE4035" w:rsidP="009B753C">
            <w:pPr>
              <w:autoSpaceDE w:val="0"/>
              <w:autoSpaceDN w:val="0"/>
              <w:jc w:val="both"/>
              <w:rPr>
                <w:rFonts w:eastAsia="Calibri"/>
              </w:rPr>
            </w:pPr>
            <w:r w:rsidRPr="0068706C">
              <w:t xml:space="preserve">Mos funksionalizimi i Këshillit Kombëtar të Shkencës </w:t>
            </w:r>
          </w:p>
        </w:tc>
        <w:tc>
          <w:tcPr>
            <w:tcW w:w="1710" w:type="dxa"/>
            <w:shd w:val="clear" w:color="auto" w:fill="auto"/>
          </w:tcPr>
          <w:p w14:paraId="3F766F3A" w14:textId="77777777" w:rsidR="00CE4035" w:rsidRPr="0068706C" w:rsidRDefault="00CE4035" w:rsidP="009B753C">
            <w:pPr>
              <w:autoSpaceDE w:val="0"/>
              <w:autoSpaceDN w:val="0"/>
              <w:jc w:val="center"/>
              <w:rPr>
                <w:rFonts w:eastAsia="Calibri"/>
              </w:rPr>
            </w:pPr>
            <w:r w:rsidRPr="0068706C">
              <w:rPr>
                <w:rFonts w:eastAsia="Calibri"/>
              </w:rPr>
              <w:t>I ulët</w:t>
            </w:r>
          </w:p>
        </w:tc>
        <w:tc>
          <w:tcPr>
            <w:tcW w:w="4320" w:type="dxa"/>
            <w:shd w:val="clear" w:color="auto" w:fill="auto"/>
          </w:tcPr>
          <w:p w14:paraId="3D95C87B" w14:textId="77777777" w:rsidR="00CE4035" w:rsidRPr="0068706C" w:rsidRDefault="00CE4035" w:rsidP="009B753C">
            <w:pPr>
              <w:autoSpaceDE w:val="0"/>
              <w:autoSpaceDN w:val="0"/>
              <w:jc w:val="both"/>
            </w:pPr>
            <w:r w:rsidRPr="0068706C">
              <w:t xml:space="preserve">Propozimi për aprovim në kuvend i anëtarëve të Këshillit Kombëtar të Shkencës dhe Aprovimi i buxhetit të planifikuar. </w:t>
            </w:r>
          </w:p>
        </w:tc>
      </w:tr>
      <w:tr w:rsidR="00CE4035" w:rsidRPr="0068706C" w14:paraId="0B30C279" w14:textId="77777777" w:rsidTr="0068706C">
        <w:tc>
          <w:tcPr>
            <w:tcW w:w="2605" w:type="dxa"/>
            <w:shd w:val="clear" w:color="auto" w:fill="auto"/>
          </w:tcPr>
          <w:p w14:paraId="40818116" w14:textId="77777777" w:rsidR="00CE4035" w:rsidRPr="0068706C" w:rsidRDefault="00CE4035" w:rsidP="009B753C">
            <w:pPr>
              <w:pStyle w:val="Default"/>
              <w:jc w:val="both"/>
              <w:rPr>
                <w:rFonts w:ascii="Times New Roman" w:hAnsi="Times New Roman" w:cs="Times New Roman"/>
                <w:lang w:val="sq-AL"/>
              </w:rPr>
            </w:pPr>
            <w:r w:rsidRPr="0068706C">
              <w:rPr>
                <w:rFonts w:ascii="Times New Roman" w:hAnsi="Times New Roman" w:cs="Times New Roman"/>
                <w:lang w:val="sq-AL"/>
              </w:rPr>
              <w:t>Përkeqësimi i situatës me pandeminë Covid 19</w:t>
            </w:r>
          </w:p>
        </w:tc>
        <w:tc>
          <w:tcPr>
            <w:tcW w:w="1710" w:type="dxa"/>
            <w:shd w:val="clear" w:color="auto" w:fill="auto"/>
          </w:tcPr>
          <w:p w14:paraId="4341FF29" w14:textId="77777777" w:rsidR="00CE4035" w:rsidRPr="0068706C" w:rsidRDefault="00CE4035" w:rsidP="009B753C">
            <w:pPr>
              <w:pStyle w:val="Default"/>
              <w:jc w:val="center"/>
              <w:rPr>
                <w:rFonts w:ascii="Times New Roman" w:hAnsi="Times New Roman" w:cs="Times New Roman"/>
                <w:bCs/>
                <w:lang w:val="sq-AL"/>
              </w:rPr>
            </w:pPr>
            <w:r w:rsidRPr="0068706C">
              <w:rPr>
                <w:rFonts w:ascii="Times New Roman" w:hAnsi="Times New Roman" w:cs="Times New Roman"/>
                <w:bCs/>
                <w:lang w:val="sq-AL"/>
              </w:rPr>
              <w:t>I mesëm</w:t>
            </w:r>
          </w:p>
        </w:tc>
        <w:tc>
          <w:tcPr>
            <w:tcW w:w="4320" w:type="dxa"/>
            <w:shd w:val="clear" w:color="auto" w:fill="auto"/>
          </w:tcPr>
          <w:p w14:paraId="55E69D63" w14:textId="77777777" w:rsidR="00CE4035" w:rsidRPr="0068706C" w:rsidRDefault="00CE4035" w:rsidP="009B753C">
            <w:pPr>
              <w:pStyle w:val="Default"/>
              <w:jc w:val="both"/>
              <w:rPr>
                <w:rFonts w:ascii="Times New Roman" w:hAnsi="Times New Roman" w:cs="Times New Roman"/>
                <w:lang w:val="sq-AL"/>
              </w:rPr>
            </w:pPr>
            <w:r w:rsidRPr="0068706C">
              <w:rPr>
                <w:rFonts w:ascii="Times New Roman" w:hAnsi="Times New Roman" w:cs="Times New Roman"/>
                <w:lang w:val="sq-AL"/>
              </w:rPr>
              <w:t>Përkrahja nga fondet tjera</w:t>
            </w:r>
          </w:p>
        </w:tc>
      </w:tr>
    </w:tbl>
    <w:p w14:paraId="68A157D3" w14:textId="77777777" w:rsidR="00CE4035" w:rsidRPr="0068706C" w:rsidRDefault="00CE4035" w:rsidP="00CE4035"/>
    <w:p w14:paraId="10B31884" w14:textId="77777777" w:rsidR="00CE4035" w:rsidRPr="0068706C" w:rsidRDefault="00CE4035" w:rsidP="00CE4035">
      <w:pPr>
        <w:pStyle w:val="Default"/>
        <w:shd w:val="clear" w:color="auto" w:fill="9CC2E5"/>
        <w:spacing w:after="60"/>
        <w:jc w:val="both"/>
        <w:rPr>
          <w:rFonts w:ascii="Times New Roman" w:hAnsi="Times New Roman" w:cs="Times New Roman"/>
          <w:b/>
          <w:bCs/>
          <w:lang w:val="sq-AL"/>
        </w:rPr>
      </w:pPr>
      <w:r w:rsidRPr="0068706C">
        <w:rPr>
          <w:rFonts w:ascii="Times New Roman" w:hAnsi="Times New Roman" w:cs="Times New Roman"/>
          <w:b/>
          <w:bCs/>
          <w:lang w:val="sq-AL"/>
        </w:rPr>
        <w:t>Masa e reformës #13: Shtrirja e infrastrukturës përkatëse të rrjeteve dhe shërbimeve të TIK-ut për zhvillim socio-ekonomik</w:t>
      </w:r>
    </w:p>
    <w:p w14:paraId="41C031C8" w14:textId="156ECE9E" w:rsidR="00CE4035" w:rsidRDefault="00CE4035" w:rsidP="00CE4035">
      <w:pPr>
        <w:jc w:val="both"/>
      </w:pPr>
      <w:r w:rsidRPr="0068706C">
        <w:rPr>
          <w:b/>
          <w:iCs/>
        </w:rPr>
        <w:t>Përshkrimi i masës</w:t>
      </w:r>
      <w:r w:rsidRPr="0068706C">
        <w:rPr>
          <w:iCs/>
        </w:rPr>
        <w:t xml:space="preserve">: </w:t>
      </w:r>
      <w:r w:rsidRPr="0068706C">
        <w:t xml:space="preserve">Masa është vazhdimësi nga PRE 2020-2022 dhe ka për qëllim zgjerimin e qasjes dhe përdorimit të TIK-ut përmes shtrirjes së infrastrukturës brezgjerë në viset e pambuluara, përkrahjes për shtrirjen e infrastrukturës mobile 5G, krijimit të kushteve për hulumtim dhe zhvillim në TIK, forcimit të kapitalit njerëzor dhe mbështetjes së bizneseve dixhitale, si dhe dixhitalizimit të bizneseve tjera. Nëpërmjet Programit  për Ekonominë Dixhitale të Kosovës- KODE është planifikuar krijimi i 400 vendeve të reja të punës në bizneset e softuerit të TI-së dhe janë planifikuar trajnime në TIK për 2000 persona, të cilët potencialisht mund të konsiderohen vende të reja të punës (të punësuar apo vetëpunësuar). Zhvillimi i burimeve  njerëzore për ekonominë dixhitale dhe mbështetje për biznese dixhitale, do të bëhet nëpërmjet  projektit IPA 2017 që ka për qëllim rritjen e konkurrueshmërisë së sektorit të TIK në Kosovë. Është miratuar Projektligji për identifikimin elektronik dhe shërbimet e besueshme për transaksionet elektronike (që transpozon eIDAS Regulation). Nëpërmjet projektit të  IPA 2019 për dixhitalizimin e bizneseve përmes TIK, synohet të rritet  efikasiteti  dhe produktiviteti i sektorit privat përmes përdorimit të TIK, krijimit të ekosistemit të duhur dhe më të sigurt për e-biznesin dhe e-tregtinë duke bërë të mundur përmirësimin e shërbimeve elektronike për qytetarët dhe biznesin. Kjo masë është në përputhje me OZHQ 9 (Industria, Inovacioni dhe Infrastruktura) si dhe me OZHQ 17 (Partneritetet për Qëllime), duke synuar arritjen e treguesve për qasje brezëgjerë dhe shkathtësive të TIK-ut tek të rinjtë. </w:t>
      </w:r>
      <w:r w:rsidRPr="0068706C">
        <w:rPr>
          <w:rFonts w:eastAsia="Calibri"/>
        </w:rPr>
        <w:t>. Përvec kësaj, k</w:t>
      </w:r>
      <w:r w:rsidRPr="0068706C">
        <w:t xml:space="preserve">jo masë plotëson SZHQ 9 (Industria, Inovacioni dhe Infrastruktura) si dhe SZHQ 17 (Partneritetet për Qëllimet), duke synuar treguesit e qasjes brezgjerë dhe aftësive të TIK-ut tek të rinjtë. Për më tepër kjo masë është në përputhje me SKZH, Agjendën Dixhitale të Kosovës 2013-2020, Strategjinë e Kosovës për TI, PKZMSA dhe KASH. Kemi filluar  krijimin e Qendrës së Ekselencës Dixhitale (QED) në Parkun për Inovacion dhe Trajnim në Prizren, e cila do të shërbejë për zhvillimin e inovacionit në TIK me  fokus fillimisht në studime, hulumtime dhe zhvillime të fushës së TIK (QED është pajisur me katër Printer 3D industrial dhe një Skaner 3D).  </w:t>
      </w:r>
    </w:p>
    <w:p w14:paraId="56F93B98" w14:textId="06FEB722" w:rsidR="0068706C" w:rsidRDefault="0068706C" w:rsidP="00CE4035">
      <w:pPr>
        <w:jc w:val="both"/>
      </w:pPr>
    </w:p>
    <w:p w14:paraId="74C45A88" w14:textId="77777777" w:rsidR="0068706C" w:rsidRPr="0068706C" w:rsidRDefault="0068706C" w:rsidP="00CE4035">
      <w:pPr>
        <w:jc w:val="both"/>
      </w:pPr>
    </w:p>
    <w:p w14:paraId="0542977B" w14:textId="77777777" w:rsidR="00CE4035" w:rsidRPr="0068706C" w:rsidRDefault="00CE4035" w:rsidP="0068706C">
      <w:pPr>
        <w:pStyle w:val="BodyText"/>
        <w:widowControl w:val="0"/>
        <w:numPr>
          <w:ilvl w:val="0"/>
          <w:numId w:val="38"/>
        </w:numPr>
        <w:tabs>
          <w:tab w:val="clear" w:pos="850"/>
          <w:tab w:val="clear" w:pos="1191"/>
          <w:tab w:val="clear" w:pos="1531"/>
        </w:tabs>
        <w:spacing w:after="0"/>
        <w:rPr>
          <w:sz w:val="24"/>
          <w:szCs w:val="24"/>
        </w:rPr>
      </w:pPr>
      <w:r w:rsidRPr="0068706C">
        <w:rPr>
          <w:b/>
          <w:bCs/>
          <w:sz w:val="24"/>
          <w:szCs w:val="24"/>
        </w:rPr>
        <w:t>Aktivitetet e planifikuara për 2021:</w:t>
      </w:r>
    </w:p>
    <w:p w14:paraId="66BA0AA5" w14:textId="77777777" w:rsidR="00CE4035" w:rsidRPr="0068706C" w:rsidRDefault="00CE4035" w:rsidP="0068706C">
      <w:pPr>
        <w:pStyle w:val="BodyText"/>
        <w:widowControl w:val="0"/>
        <w:numPr>
          <w:ilvl w:val="0"/>
          <w:numId w:val="35"/>
        </w:numPr>
        <w:tabs>
          <w:tab w:val="clear" w:pos="850"/>
          <w:tab w:val="clear" w:pos="1191"/>
          <w:tab w:val="clear" w:pos="1531"/>
        </w:tabs>
        <w:spacing w:after="0"/>
        <w:rPr>
          <w:sz w:val="24"/>
          <w:szCs w:val="24"/>
        </w:rPr>
      </w:pPr>
      <w:r w:rsidRPr="0068706C">
        <w:rPr>
          <w:sz w:val="24"/>
          <w:szCs w:val="24"/>
        </w:rPr>
        <w:t>Hartimi dhe miratimi i Strategjisë për axhendën e ardhshme dixhitale të Kosovës (MEA);</w:t>
      </w:r>
    </w:p>
    <w:p w14:paraId="0A37484B" w14:textId="77777777" w:rsidR="00CE4035" w:rsidRPr="0068706C" w:rsidRDefault="00CE4035" w:rsidP="0068706C">
      <w:pPr>
        <w:pStyle w:val="BodyText"/>
        <w:widowControl w:val="0"/>
        <w:numPr>
          <w:ilvl w:val="0"/>
          <w:numId w:val="35"/>
        </w:numPr>
        <w:tabs>
          <w:tab w:val="clear" w:pos="850"/>
          <w:tab w:val="clear" w:pos="1191"/>
          <w:tab w:val="clear" w:pos="1531"/>
        </w:tabs>
        <w:spacing w:after="0"/>
        <w:rPr>
          <w:sz w:val="24"/>
          <w:szCs w:val="24"/>
        </w:rPr>
      </w:pPr>
      <w:r w:rsidRPr="0068706C">
        <w:rPr>
          <w:sz w:val="24"/>
          <w:szCs w:val="24"/>
        </w:rPr>
        <w:t xml:space="preserve">Përkrahja për shtrirjen  e infrastrukturës mobile 5G (MEA); </w:t>
      </w:r>
    </w:p>
    <w:p w14:paraId="05DD0B63" w14:textId="77777777" w:rsidR="00CE4035" w:rsidRPr="0068706C" w:rsidRDefault="00CE4035" w:rsidP="0068706C">
      <w:pPr>
        <w:pStyle w:val="BodyText"/>
        <w:widowControl w:val="0"/>
        <w:numPr>
          <w:ilvl w:val="0"/>
          <w:numId w:val="35"/>
        </w:numPr>
        <w:tabs>
          <w:tab w:val="clear" w:pos="850"/>
          <w:tab w:val="clear" w:pos="1191"/>
          <w:tab w:val="clear" w:pos="1531"/>
        </w:tabs>
        <w:spacing w:after="0"/>
        <w:rPr>
          <w:sz w:val="24"/>
          <w:szCs w:val="24"/>
        </w:rPr>
      </w:pPr>
      <w:r w:rsidRPr="0068706C">
        <w:rPr>
          <w:sz w:val="24"/>
          <w:szCs w:val="24"/>
        </w:rPr>
        <w:t xml:space="preserve">Krijimi i Stacionit Fiks për monitorim të frekuencave dhe i rrjetit kombëtar për hulumtim dhe edukim (NREN) (MEA);  </w:t>
      </w:r>
    </w:p>
    <w:p w14:paraId="0C0A99E7" w14:textId="77777777" w:rsidR="00CE4035" w:rsidRPr="0068706C" w:rsidRDefault="00CE4035" w:rsidP="0068706C">
      <w:pPr>
        <w:pStyle w:val="BodyText"/>
        <w:widowControl w:val="0"/>
        <w:numPr>
          <w:ilvl w:val="0"/>
          <w:numId w:val="35"/>
        </w:numPr>
        <w:tabs>
          <w:tab w:val="clear" w:pos="850"/>
          <w:tab w:val="clear" w:pos="1191"/>
          <w:tab w:val="clear" w:pos="1531"/>
        </w:tabs>
        <w:spacing w:after="0"/>
        <w:rPr>
          <w:sz w:val="24"/>
          <w:szCs w:val="24"/>
        </w:rPr>
      </w:pPr>
      <w:r w:rsidRPr="0068706C">
        <w:rPr>
          <w:sz w:val="24"/>
          <w:szCs w:val="24"/>
        </w:rPr>
        <w:t xml:space="preserve">Zhvillimi i trajnimeve për 500 të rinj dhe lidhja e tyre me mundësitë e punëve online – të rinjtë online dhe programi i rritjes (Youth Online and Upëard Program – YOU) (MEA); </w:t>
      </w:r>
    </w:p>
    <w:p w14:paraId="0DBEEA98" w14:textId="77777777" w:rsidR="00CE4035" w:rsidRPr="0068706C" w:rsidRDefault="00CE4035" w:rsidP="0068706C">
      <w:pPr>
        <w:pStyle w:val="BodyText"/>
        <w:widowControl w:val="0"/>
        <w:numPr>
          <w:ilvl w:val="0"/>
          <w:numId w:val="35"/>
        </w:numPr>
        <w:tabs>
          <w:tab w:val="clear" w:pos="850"/>
          <w:tab w:val="clear" w:pos="1191"/>
          <w:tab w:val="clear" w:pos="1531"/>
        </w:tabs>
        <w:spacing w:after="0"/>
        <w:rPr>
          <w:sz w:val="24"/>
          <w:szCs w:val="24"/>
        </w:rPr>
      </w:pPr>
      <w:r w:rsidRPr="0068706C">
        <w:rPr>
          <w:sz w:val="24"/>
          <w:szCs w:val="24"/>
        </w:rPr>
        <w:t>Fillimi i dixhitalizimit të  bizneseve tradicionale (ne sektorin e turizmit, bujqësisë dhe përpunimit te drurit dhe metalit) përmes përdorimit të TIK (MEA);</w:t>
      </w:r>
    </w:p>
    <w:p w14:paraId="703A7B1E" w14:textId="77777777" w:rsidR="00CE4035" w:rsidRPr="0068706C" w:rsidRDefault="00CE4035" w:rsidP="0068706C">
      <w:pPr>
        <w:pStyle w:val="BodyText"/>
        <w:widowControl w:val="0"/>
        <w:numPr>
          <w:ilvl w:val="0"/>
          <w:numId w:val="35"/>
        </w:numPr>
        <w:tabs>
          <w:tab w:val="clear" w:pos="850"/>
          <w:tab w:val="clear" w:pos="1191"/>
          <w:tab w:val="clear" w:pos="1531"/>
        </w:tabs>
        <w:spacing w:after="0"/>
        <w:rPr>
          <w:sz w:val="24"/>
          <w:szCs w:val="24"/>
        </w:rPr>
      </w:pPr>
      <w:r w:rsidRPr="0068706C">
        <w:rPr>
          <w:sz w:val="24"/>
          <w:szCs w:val="24"/>
        </w:rPr>
        <w:t>Zhvillimi në vazhdimësi i Qendrës së ekselencës dixhitale (furnizimin e pajisjeve dhe funksionimin e QED, pilotimi i 5G) (MEA);</w:t>
      </w:r>
    </w:p>
    <w:p w14:paraId="0E922D0E" w14:textId="77777777" w:rsidR="00CE4035" w:rsidRPr="0068706C" w:rsidRDefault="00CE4035" w:rsidP="0068706C">
      <w:pPr>
        <w:pStyle w:val="BodyText"/>
        <w:widowControl w:val="0"/>
        <w:numPr>
          <w:ilvl w:val="0"/>
          <w:numId w:val="35"/>
        </w:numPr>
        <w:tabs>
          <w:tab w:val="clear" w:pos="850"/>
          <w:tab w:val="clear" w:pos="1191"/>
          <w:tab w:val="clear" w:pos="1531"/>
        </w:tabs>
        <w:spacing w:after="0"/>
        <w:rPr>
          <w:sz w:val="24"/>
          <w:szCs w:val="24"/>
        </w:rPr>
      </w:pPr>
      <w:r w:rsidRPr="0068706C">
        <w:rPr>
          <w:sz w:val="24"/>
          <w:szCs w:val="24"/>
        </w:rPr>
        <w:t xml:space="preserve">Krijimi i sistemit të monitorimit për TIK  bazuar në sistemin DESI (Digital Economy and Society Index) (MEA). </w:t>
      </w:r>
    </w:p>
    <w:p w14:paraId="18D72F01" w14:textId="77777777" w:rsidR="00CE4035" w:rsidRPr="0068706C" w:rsidRDefault="00CE4035" w:rsidP="00CE4035">
      <w:pPr>
        <w:pStyle w:val="BodyText"/>
        <w:ind w:left="360"/>
        <w:rPr>
          <w:sz w:val="24"/>
          <w:szCs w:val="24"/>
        </w:rPr>
      </w:pPr>
    </w:p>
    <w:p w14:paraId="123306B1" w14:textId="77777777" w:rsidR="00CE4035" w:rsidRPr="0068706C" w:rsidRDefault="00CE4035" w:rsidP="0068706C">
      <w:pPr>
        <w:pStyle w:val="Default"/>
        <w:numPr>
          <w:ilvl w:val="2"/>
          <w:numId w:val="30"/>
        </w:numPr>
        <w:ind w:left="360"/>
        <w:jc w:val="both"/>
        <w:rPr>
          <w:rFonts w:ascii="Times New Roman" w:hAnsi="Times New Roman" w:cs="Times New Roman"/>
          <w:b/>
          <w:lang w:val="sq-AL"/>
        </w:rPr>
      </w:pPr>
      <w:r w:rsidRPr="0068706C">
        <w:rPr>
          <w:rFonts w:ascii="Times New Roman" w:hAnsi="Times New Roman" w:cs="Times New Roman"/>
          <w:b/>
          <w:bCs/>
          <w:lang w:val="sq-AL"/>
        </w:rPr>
        <w:t>Aktivitetet e planifikuara për 2022:</w:t>
      </w:r>
    </w:p>
    <w:p w14:paraId="4A947929" w14:textId="77777777" w:rsidR="00CE4035" w:rsidRPr="0068706C" w:rsidRDefault="00CE4035" w:rsidP="0068706C">
      <w:pPr>
        <w:pStyle w:val="BodyText"/>
        <w:widowControl w:val="0"/>
        <w:numPr>
          <w:ilvl w:val="0"/>
          <w:numId w:val="36"/>
        </w:numPr>
        <w:tabs>
          <w:tab w:val="clear" w:pos="850"/>
          <w:tab w:val="clear" w:pos="1191"/>
          <w:tab w:val="clear" w:pos="1531"/>
        </w:tabs>
        <w:spacing w:after="0"/>
        <w:rPr>
          <w:sz w:val="24"/>
          <w:szCs w:val="24"/>
        </w:rPr>
      </w:pPr>
      <w:r w:rsidRPr="0068706C">
        <w:rPr>
          <w:sz w:val="24"/>
          <w:szCs w:val="24"/>
        </w:rPr>
        <w:t>Përkrahja për shtrirjen e infrastrukturës mobile 5G (MEA);</w:t>
      </w:r>
    </w:p>
    <w:p w14:paraId="3CF8F0F6" w14:textId="77777777" w:rsidR="00CE4035" w:rsidRPr="0068706C" w:rsidRDefault="00CE4035" w:rsidP="0068706C">
      <w:pPr>
        <w:pStyle w:val="BodyText"/>
        <w:widowControl w:val="0"/>
        <w:numPr>
          <w:ilvl w:val="0"/>
          <w:numId w:val="36"/>
        </w:numPr>
        <w:tabs>
          <w:tab w:val="clear" w:pos="850"/>
          <w:tab w:val="clear" w:pos="1191"/>
          <w:tab w:val="clear" w:pos="1531"/>
        </w:tabs>
        <w:spacing w:after="0"/>
        <w:rPr>
          <w:sz w:val="24"/>
          <w:szCs w:val="24"/>
        </w:rPr>
      </w:pPr>
      <w:r w:rsidRPr="0068706C">
        <w:rPr>
          <w:sz w:val="24"/>
          <w:szCs w:val="24"/>
        </w:rPr>
        <w:t>Zhvillimi i trajnimeve për 1000 të rinj dhe lidhja e tyre me mundësitë e punëve online – të rinjtë online dhe programi i rritjes (Youth Online and Upëard Program – YOU) (MEA);</w:t>
      </w:r>
    </w:p>
    <w:p w14:paraId="3540E9C1" w14:textId="77777777" w:rsidR="00CE4035" w:rsidRPr="0068706C" w:rsidRDefault="00CE4035" w:rsidP="0068706C">
      <w:pPr>
        <w:pStyle w:val="BodyText"/>
        <w:widowControl w:val="0"/>
        <w:numPr>
          <w:ilvl w:val="0"/>
          <w:numId w:val="36"/>
        </w:numPr>
        <w:tabs>
          <w:tab w:val="clear" w:pos="850"/>
          <w:tab w:val="clear" w:pos="1191"/>
          <w:tab w:val="clear" w:pos="1531"/>
        </w:tabs>
        <w:spacing w:after="0"/>
        <w:rPr>
          <w:sz w:val="24"/>
          <w:szCs w:val="24"/>
        </w:rPr>
      </w:pPr>
      <w:r w:rsidRPr="0068706C">
        <w:rPr>
          <w:sz w:val="24"/>
          <w:szCs w:val="24"/>
        </w:rPr>
        <w:t>Aplikimi i konceptit ‘Fshatrat e  mençura’ në zonat e largëta (MEA);</w:t>
      </w:r>
    </w:p>
    <w:p w14:paraId="16546988" w14:textId="77777777" w:rsidR="00CE4035" w:rsidRPr="0068706C" w:rsidRDefault="00CE4035" w:rsidP="0068706C">
      <w:pPr>
        <w:pStyle w:val="BodyText"/>
        <w:widowControl w:val="0"/>
        <w:numPr>
          <w:ilvl w:val="0"/>
          <w:numId w:val="36"/>
        </w:numPr>
        <w:tabs>
          <w:tab w:val="clear" w:pos="850"/>
          <w:tab w:val="clear" w:pos="1191"/>
          <w:tab w:val="clear" w:pos="1531"/>
        </w:tabs>
        <w:spacing w:after="0"/>
        <w:rPr>
          <w:sz w:val="24"/>
          <w:szCs w:val="24"/>
        </w:rPr>
      </w:pPr>
      <w:r w:rsidRPr="0068706C">
        <w:rPr>
          <w:sz w:val="24"/>
          <w:szCs w:val="24"/>
        </w:rPr>
        <w:t xml:space="preserve">Funksionalimi i plotë  i Qendrës së ekselencës dixhitale (MEA); </w:t>
      </w:r>
    </w:p>
    <w:p w14:paraId="3F6146C5" w14:textId="77777777" w:rsidR="00CE4035" w:rsidRPr="0068706C" w:rsidRDefault="00CE4035" w:rsidP="0068706C">
      <w:pPr>
        <w:pStyle w:val="BodyText"/>
        <w:widowControl w:val="0"/>
        <w:numPr>
          <w:ilvl w:val="0"/>
          <w:numId w:val="36"/>
        </w:numPr>
        <w:tabs>
          <w:tab w:val="clear" w:pos="850"/>
          <w:tab w:val="clear" w:pos="1191"/>
          <w:tab w:val="clear" w:pos="1531"/>
        </w:tabs>
        <w:spacing w:after="0"/>
        <w:rPr>
          <w:sz w:val="24"/>
          <w:szCs w:val="24"/>
        </w:rPr>
      </w:pPr>
      <w:r w:rsidRPr="0068706C">
        <w:rPr>
          <w:sz w:val="24"/>
          <w:szCs w:val="24"/>
        </w:rPr>
        <w:t>Zhvillimi i korridorit dixhital Prishtinë – Tiranë mbështetur në teknologjinë 5G (MEA);</w:t>
      </w:r>
    </w:p>
    <w:p w14:paraId="11E4CE88" w14:textId="77777777" w:rsidR="00CE4035" w:rsidRPr="0068706C" w:rsidRDefault="00CE4035" w:rsidP="0068706C">
      <w:pPr>
        <w:pStyle w:val="BodyText"/>
        <w:widowControl w:val="0"/>
        <w:numPr>
          <w:ilvl w:val="0"/>
          <w:numId w:val="36"/>
        </w:numPr>
        <w:tabs>
          <w:tab w:val="clear" w:pos="850"/>
          <w:tab w:val="clear" w:pos="1191"/>
          <w:tab w:val="clear" w:pos="1531"/>
        </w:tabs>
        <w:spacing w:after="0"/>
        <w:rPr>
          <w:sz w:val="24"/>
          <w:szCs w:val="24"/>
        </w:rPr>
      </w:pPr>
      <w:r w:rsidRPr="0068706C">
        <w:rPr>
          <w:sz w:val="24"/>
          <w:szCs w:val="24"/>
        </w:rPr>
        <w:t>Themelimi i Laboratorit për 5G, IoT, Cybersecurity dhe Smart Village në ITP Prizren (MEA);</w:t>
      </w:r>
    </w:p>
    <w:p w14:paraId="11D3FE84" w14:textId="77777777" w:rsidR="00CE4035" w:rsidRPr="0068706C" w:rsidRDefault="00CE4035" w:rsidP="0068706C">
      <w:pPr>
        <w:pStyle w:val="BodyText"/>
        <w:widowControl w:val="0"/>
        <w:numPr>
          <w:ilvl w:val="0"/>
          <w:numId w:val="36"/>
        </w:numPr>
        <w:tabs>
          <w:tab w:val="clear" w:pos="850"/>
          <w:tab w:val="clear" w:pos="1191"/>
          <w:tab w:val="clear" w:pos="1531"/>
        </w:tabs>
        <w:spacing w:after="0"/>
        <w:rPr>
          <w:sz w:val="24"/>
          <w:szCs w:val="24"/>
        </w:rPr>
      </w:pPr>
      <w:r w:rsidRPr="0068706C">
        <w:rPr>
          <w:sz w:val="24"/>
          <w:szCs w:val="24"/>
        </w:rPr>
        <w:t xml:space="preserve">Krijimi i qendrës për edukim - STEM në fushën e TIK-ut në QED (MEA). </w:t>
      </w:r>
    </w:p>
    <w:p w14:paraId="0CD7CFE5" w14:textId="77777777" w:rsidR="00CE4035" w:rsidRPr="0068706C" w:rsidRDefault="00CE4035" w:rsidP="00CE4035">
      <w:pPr>
        <w:pStyle w:val="BodyText"/>
        <w:ind w:left="360"/>
        <w:rPr>
          <w:sz w:val="24"/>
          <w:szCs w:val="24"/>
        </w:rPr>
      </w:pPr>
    </w:p>
    <w:p w14:paraId="4E4F31AC" w14:textId="77777777" w:rsidR="00CE4035" w:rsidRPr="0068706C" w:rsidRDefault="00CE4035" w:rsidP="0068706C">
      <w:pPr>
        <w:pStyle w:val="Default"/>
        <w:numPr>
          <w:ilvl w:val="2"/>
          <w:numId w:val="30"/>
        </w:numPr>
        <w:spacing w:after="60"/>
        <w:ind w:left="360"/>
        <w:jc w:val="both"/>
        <w:rPr>
          <w:rFonts w:ascii="Times New Roman" w:hAnsi="Times New Roman" w:cs="Times New Roman"/>
          <w:b/>
          <w:lang w:val="sq-AL"/>
        </w:rPr>
      </w:pPr>
      <w:r w:rsidRPr="0068706C">
        <w:rPr>
          <w:rFonts w:ascii="Times New Roman" w:hAnsi="Times New Roman" w:cs="Times New Roman"/>
          <w:b/>
          <w:bCs/>
          <w:lang w:val="sq-AL"/>
        </w:rPr>
        <w:t>Aktivitetet e planifikuara për 2023:</w:t>
      </w:r>
    </w:p>
    <w:p w14:paraId="4F317723" w14:textId="77777777" w:rsidR="00CE4035" w:rsidRPr="0068706C" w:rsidRDefault="00CE4035" w:rsidP="0068706C">
      <w:pPr>
        <w:pStyle w:val="BodyText"/>
        <w:widowControl w:val="0"/>
        <w:numPr>
          <w:ilvl w:val="0"/>
          <w:numId w:val="37"/>
        </w:numPr>
        <w:tabs>
          <w:tab w:val="clear" w:pos="850"/>
          <w:tab w:val="clear" w:pos="1191"/>
          <w:tab w:val="clear" w:pos="1531"/>
        </w:tabs>
        <w:spacing w:after="0"/>
        <w:rPr>
          <w:sz w:val="24"/>
          <w:szCs w:val="24"/>
        </w:rPr>
      </w:pPr>
      <w:r w:rsidRPr="0068706C">
        <w:rPr>
          <w:sz w:val="24"/>
          <w:szCs w:val="24"/>
        </w:rPr>
        <w:t>Zhvillimi i trajnimeve për 500 të rinj dhe lidhja e tyre me mundësitë e punëve online – të rinjtë online dhe programi i rritjes (Youth Online and Upëard Program – YOU) (MEA);</w:t>
      </w:r>
    </w:p>
    <w:p w14:paraId="37B469E2" w14:textId="77777777" w:rsidR="00CE4035" w:rsidRPr="0068706C" w:rsidRDefault="00CE4035" w:rsidP="0068706C">
      <w:pPr>
        <w:pStyle w:val="BodyText"/>
        <w:widowControl w:val="0"/>
        <w:numPr>
          <w:ilvl w:val="0"/>
          <w:numId w:val="37"/>
        </w:numPr>
        <w:tabs>
          <w:tab w:val="clear" w:pos="850"/>
          <w:tab w:val="clear" w:pos="1191"/>
          <w:tab w:val="clear" w:pos="1531"/>
        </w:tabs>
        <w:spacing w:after="0"/>
        <w:rPr>
          <w:sz w:val="24"/>
          <w:szCs w:val="24"/>
        </w:rPr>
      </w:pPr>
      <w:r w:rsidRPr="0068706C">
        <w:rPr>
          <w:sz w:val="24"/>
          <w:szCs w:val="24"/>
        </w:rPr>
        <w:t>Aplikimi i konceptit ‘Fshatrat e mençura’ në zonat e largëta (MEA);</w:t>
      </w:r>
    </w:p>
    <w:p w14:paraId="1F4ED9B9" w14:textId="77777777" w:rsidR="00CE4035" w:rsidRPr="0068706C" w:rsidRDefault="00CE4035" w:rsidP="0068706C">
      <w:pPr>
        <w:pStyle w:val="BodyText"/>
        <w:widowControl w:val="0"/>
        <w:numPr>
          <w:ilvl w:val="0"/>
          <w:numId w:val="37"/>
        </w:numPr>
        <w:tabs>
          <w:tab w:val="clear" w:pos="850"/>
          <w:tab w:val="clear" w:pos="1191"/>
          <w:tab w:val="clear" w:pos="1531"/>
        </w:tabs>
        <w:spacing w:after="0"/>
        <w:rPr>
          <w:sz w:val="24"/>
          <w:szCs w:val="24"/>
        </w:rPr>
      </w:pPr>
      <w:r w:rsidRPr="0068706C">
        <w:rPr>
          <w:sz w:val="24"/>
          <w:szCs w:val="24"/>
        </w:rPr>
        <w:t>Zhvillimi i korridorit dixhital Prishtinë-Tiranë mbështetur në teknologjinë 5G (MEA);</w:t>
      </w:r>
    </w:p>
    <w:p w14:paraId="2F0340C9" w14:textId="77777777" w:rsidR="00CE4035" w:rsidRPr="0068706C" w:rsidRDefault="00CE4035" w:rsidP="0068706C">
      <w:pPr>
        <w:pStyle w:val="BodyText"/>
        <w:widowControl w:val="0"/>
        <w:numPr>
          <w:ilvl w:val="0"/>
          <w:numId w:val="37"/>
        </w:numPr>
        <w:tabs>
          <w:tab w:val="clear" w:pos="850"/>
          <w:tab w:val="clear" w:pos="1191"/>
          <w:tab w:val="clear" w:pos="1531"/>
        </w:tabs>
        <w:spacing w:after="0"/>
        <w:rPr>
          <w:sz w:val="24"/>
          <w:szCs w:val="24"/>
        </w:rPr>
      </w:pPr>
      <w:r w:rsidRPr="0068706C">
        <w:rPr>
          <w:sz w:val="24"/>
          <w:szCs w:val="24"/>
        </w:rPr>
        <w:t>Themelimi i Laboratorit për 5G, IoT, Cybersecurity dhe Smart Village,  në ITP Prizren (MEA);</w:t>
      </w:r>
    </w:p>
    <w:p w14:paraId="2AD929CD" w14:textId="77777777" w:rsidR="00CE4035" w:rsidRPr="0068706C" w:rsidRDefault="00CE4035" w:rsidP="0068706C">
      <w:pPr>
        <w:pStyle w:val="BodyText"/>
        <w:widowControl w:val="0"/>
        <w:numPr>
          <w:ilvl w:val="0"/>
          <w:numId w:val="37"/>
        </w:numPr>
        <w:tabs>
          <w:tab w:val="clear" w:pos="850"/>
          <w:tab w:val="clear" w:pos="1191"/>
          <w:tab w:val="clear" w:pos="1531"/>
        </w:tabs>
        <w:spacing w:after="0"/>
        <w:rPr>
          <w:sz w:val="24"/>
          <w:szCs w:val="24"/>
        </w:rPr>
      </w:pPr>
      <w:r w:rsidRPr="0068706C">
        <w:rPr>
          <w:sz w:val="24"/>
          <w:szCs w:val="24"/>
        </w:rPr>
        <w:t>Fillimi i klasave për fëmijë nga shkollat ​​fillore në Prizren në edukimin STEM (MEA).</w:t>
      </w:r>
    </w:p>
    <w:p w14:paraId="68255B96" w14:textId="77777777" w:rsidR="00CE4035" w:rsidRPr="0068706C" w:rsidRDefault="00CE4035" w:rsidP="00CE4035">
      <w:pPr>
        <w:pStyle w:val="BodyText"/>
        <w:ind w:left="360"/>
        <w:rPr>
          <w:sz w:val="24"/>
          <w:szCs w:val="24"/>
        </w:rPr>
      </w:pPr>
    </w:p>
    <w:p w14:paraId="7C377995" w14:textId="77777777" w:rsidR="00CE4035" w:rsidRPr="0068706C" w:rsidRDefault="00CE4035" w:rsidP="00CE4035">
      <w:pPr>
        <w:pStyle w:val="Default"/>
        <w:jc w:val="both"/>
        <w:rPr>
          <w:rFonts w:ascii="Times New Roman" w:hAnsi="Times New Roman" w:cs="Times New Roman"/>
          <w:b/>
          <w:lang w:val="sq-AL"/>
        </w:rPr>
      </w:pPr>
      <w:r w:rsidRPr="0068706C">
        <w:rPr>
          <w:rFonts w:ascii="Times New Roman" w:hAnsi="Times New Roman" w:cs="Times New Roman"/>
          <w:b/>
          <w:lang w:val="sq-AL"/>
        </w:rPr>
        <w:t xml:space="preserve">Treguesit e rezultateve: </w:t>
      </w:r>
    </w:p>
    <w:tbl>
      <w:tblPr>
        <w:tblpPr w:leftFromText="180" w:rightFromText="180" w:vertAnchor="text" w:horzAnchor="margin" w:tblpY="175"/>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5"/>
        <w:gridCol w:w="1170"/>
        <w:gridCol w:w="1530"/>
        <w:gridCol w:w="900"/>
      </w:tblGrid>
      <w:tr w:rsidR="00CE4035" w:rsidRPr="0068706C" w14:paraId="12948FE0" w14:textId="77777777" w:rsidTr="0068706C">
        <w:trPr>
          <w:trHeight w:val="352"/>
        </w:trPr>
        <w:tc>
          <w:tcPr>
            <w:tcW w:w="5305" w:type="dxa"/>
            <w:shd w:val="clear" w:color="auto" w:fill="auto"/>
          </w:tcPr>
          <w:p w14:paraId="77403F23" w14:textId="77777777" w:rsidR="00CE4035" w:rsidRPr="0068706C" w:rsidRDefault="00CE4035" w:rsidP="009B753C">
            <w:pPr>
              <w:pStyle w:val="Default"/>
              <w:jc w:val="both"/>
              <w:rPr>
                <w:rFonts w:ascii="Times New Roman" w:hAnsi="Times New Roman" w:cs="Times New Roman"/>
                <w:b/>
                <w:color w:val="auto"/>
                <w:lang w:val="sq-AL"/>
              </w:rPr>
            </w:pPr>
            <w:r w:rsidRPr="0068706C">
              <w:rPr>
                <w:rFonts w:ascii="Times New Roman" w:hAnsi="Times New Roman" w:cs="Times New Roman"/>
                <w:b/>
                <w:color w:val="auto"/>
                <w:lang w:val="sq-AL"/>
              </w:rPr>
              <w:t xml:space="preserve">Treguesi </w:t>
            </w:r>
          </w:p>
        </w:tc>
        <w:tc>
          <w:tcPr>
            <w:tcW w:w="1170" w:type="dxa"/>
            <w:shd w:val="clear" w:color="auto" w:fill="auto"/>
          </w:tcPr>
          <w:p w14:paraId="76C32536" w14:textId="77777777" w:rsidR="00CE4035" w:rsidRPr="0068706C" w:rsidRDefault="00CE4035" w:rsidP="009B753C">
            <w:pPr>
              <w:pStyle w:val="Default"/>
              <w:jc w:val="both"/>
              <w:rPr>
                <w:rFonts w:ascii="Times New Roman" w:hAnsi="Times New Roman" w:cs="Times New Roman"/>
                <w:b/>
                <w:color w:val="auto"/>
                <w:lang w:val="sq-AL"/>
              </w:rPr>
            </w:pPr>
            <w:r w:rsidRPr="0068706C">
              <w:rPr>
                <w:rFonts w:ascii="Times New Roman" w:hAnsi="Times New Roman" w:cs="Times New Roman"/>
                <w:b/>
                <w:color w:val="auto"/>
                <w:lang w:val="sq-AL"/>
              </w:rPr>
              <w:t xml:space="preserve">Viti bazë   </w:t>
            </w:r>
          </w:p>
        </w:tc>
        <w:tc>
          <w:tcPr>
            <w:tcW w:w="1530" w:type="dxa"/>
            <w:shd w:val="clear" w:color="auto" w:fill="auto"/>
          </w:tcPr>
          <w:p w14:paraId="3777806E" w14:textId="77777777" w:rsidR="00CE4035" w:rsidRPr="0068706C" w:rsidRDefault="00CE4035" w:rsidP="009B753C">
            <w:pPr>
              <w:pStyle w:val="Default"/>
              <w:jc w:val="both"/>
              <w:rPr>
                <w:rFonts w:ascii="Times New Roman" w:hAnsi="Times New Roman" w:cs="Times New Roman"/>
                <w:b/>
                <w:color w:val="auto"/>
                <w:lang w:val="sq-AL"/>
              </w:rPr>
            </w:pPr>
            <w:r w:rsidRPr="0068706C">
              <w:rPr>
                <w:rFonts w:ascii="Times New Roman" w:hAnsi="Times New Roman" w:cs="Times New Roman"/>
                <w:b/>
                <w:color w:val="auto"/>
                <w:lang w:val="sq-AL"/>
              </w:rPr>
              <w:t xml:space="preserve">Synimi i ndërmjetëm </w:t>
            </w:r>
          </w:p>
        </w:tc>
        <w:tc>
          <w:tcPr>
            <w:tcW w:w="900" w:type="dxa"/>
            <w:shd w:val="clear" w:color="auto" w:fill="auto"/>
          </w:tcPr>
          <w:p w14:paraId="7E86C084" w14:textId="77777777" w:rsidR="00CE4035" w:rsidRPr="0068706C" w:rsidRDefault="00CE4035" w:rsidP="009B753C">
            <w:pPr>
              <w:pStyle w:val="Default"/>
              <w:jc w:val="both"/>
              <w:rPr>
                <w:rFonts w:ascii="Times New Roman" w:hAnsi="Times New Roman" w:cs="Times New Roman"/>
                <w:b/>
                <w:color w:val="auto"/>
                <w:lang w:val="sq-AL"/>
              </w:rPr>
            </w:pPr>
            <w:r w:rsidRPr="0068706C">
              <w:rPr>
                <w:rFonts w:ascii="Times New Roman" w:hAnsi="Times New Roman" w:cs="Times New Roman"/>
                <w:b/>
                <w:color w:val="auto"/>
                <w:lang w:val="sq-AL"/>
              </w:rPr>
              <w:t xml:space="preserve">Synimi  </w:t>
            </w:r>
          </w:p>
        </w:tc>
      </w:tr>
      <w:tr w:rsidR="00CE4035" w:rsidRPr="0068706C" w14:paraId="01BDF49B" w14:textId="77777777" w:rsidTr="0068706C">
        <w:tc>
          <w:tcPr>
            <w:tcW w:w="5305" w:type="dxa"/>
            <w:shd w:val="clear" w:color="auto" w:fill="auto"/>
          </w:tcPr>
          <w:p w14:paraId="68604B08" w14:textId="77777777" w:rsidR="00CE4035" w:rsidRPr="0068706C" w:rsidRDefault="00CE4035" w:rsidP="009B753C">
            <w:pPr>
              <w:pStyle w:val="Default"/>
              <w:jc w:val="both"/>
              <w:rPr>
                <w:rFonts w:ascii="Times New Roman" w:hAnsi="Times New Roman" w:cs="Times New Roman"/>
                <w:color w:val="auto"/>
                <w:lang w:val="sq-AL"/>
              </w:rPr>
            </w:pPr>
            <w:r w:rsidRPr="0068706C">
              <w:rPr>
                <w:rFonts w:ascii="Times New Roman" w:hAnsi="Times New Roman" w:cs="Times New Roman"/>
                <w:color w:val="auto"/>
                <w:lang w:val="sq-AL"/>
              </w:rPr>
              <w:t xml:space="preserve"> Përqindja e popullsisë që përdorin shërbimet mobile 3G dhe 4G</w:t>
            </w:r>
          </w:p>
        </w:tc>
        <w:tc>
          <w:tcPr>
            <w:tcW w:w="1170" w:type="dxa"/>
            <w:shd w:val="clear" w:color="auto" w:fill="auto"/>
          </w:tcPr>
          <w:p w14:paraId="512B56C2" w14:textId="77777777" w:rsidR="00CE4035" w:rsidRPr="0068706C" w:rsidRDefault="00CE4035" w:rsidP="009B753C">
            <w:pPr>
              <w:pStyle w:val="Default"/>
              <w:jc w:val="both"/>
              <w:rPr>
                <w:rFonts w:ascii="Times New Roman" w:hAnsi="Times New Roman" w:cs="Times New Roman"/>
                <w:b/>
                <w:iCs/>
                <w:color w:val="auto"/>
                <w:lang w:val="sq-AL"/>
              </w:rPr>
            </w:pPr>
            <w:r w:rsidRPr="0068706C">
              <w:rPr>
                <w:rFonts w:ascii="Times New Roman" w:hAnsi="Times New Roman" w:cs="Times New Roman"/>
                <w:b/>
                <w:iCs/>
                <w:color w:val="auto"/>
                <w:lang w:val="sq-AL"/>
              </w:rPr>
              <w:t>2019</w:t>
            </w:r>
          </w:p>
          <w:p w14:paraId="06AC3D0D" w14:textId="77777777" w:rsidR="00CE4035" w:rsidRPr="0068706C" w:rsidRDefault="00CE4035" w:rsidP="009B753C">
            <w:pPr>
              <w:pStyle w:val="Default"/>
              <w:jc w:val="both"/>
              <w:rPr>
                <w:rFonts w:ascii="Times New Roman" w:hAnsi="Times New Roman" w:cs="Times New Roman"/>
                <w:iCs/>
                <w:color w:val="auto"/>
                <w:lang w:val="sq-AL"/>
              </w:rPr>
            </w:pPr>
            <w:r w:rsidRPr="0068706C">
              <w:rPr>
                <w:rFonts w:ascii="Times New Roman" w:hAnsi="Times New Roman" w:cs="Times New Roman"/>
                <w:iCs/>
                <w:color w:val="auto"/>
                <w:lang w:val="sq-AL"/>
              </w:rPr>
              <w:t>72.53 %</w:t>
            </w:r>
          </w:p>
        </w:tc>
        <w:tc>
          <w:tcPr>
            <w:tcW w:w="1530" w:type="dxa"/>
            <w:shd w:val="clear" w:color="auto" w:fill="auto"/>
          </w:tcPr>
          <w:p w14:paraId="18AED6C5" w14:textId="77777777" w:rsidR="00CE4035" w:rsidRPr="0068706C" w:rsidRDefault="00CE4035" w:rsidP="009B753C">
            <w:pPr>
              <w:pStyle w:val="Default"/>
              <w:jc w:val="both"/>
              <w:rPr>
                <w:rFonts w:ascii="Times New Roman" w:hAnsi="Times New Roman" w:cs="Times New Roman"/>
                <w:b/>
                <w:iCs/>
                <w:color w:val="auto"/>
                <w:lang w:val="sq-AL"/>
              </w:rPr>
            </w:pPr>
            <w:r w:rsidRPr="0068706C">
              <w:rPr>
                <w:rFonts w:ascii="Times New Roman" w:hAnsi="Times New Roman" w:cs="Times New Roman"/>
                <w:b/>
                <w:color w:val="auto"/>
                <w:lang w:val="sq-AL"/>
              </w:rPr>
              <w:t>2021</w:t>
            </w:r>
          </w:p>
          <w:p w14:paraId="0671FC24" w14:textId="77777777" w:rsidR="00CE4035" w:rsidRPr="0068706C" w:rsidRDefault="00CE4035" w:rsidP="009B753C">
            <w:pPr>
              <w:pStyle w:val="Default"/>
              <w:jc w:val="both"/>
              <w:rPr>
                <w:rFonts w:ascii="Times New Roman" w:hAnsi="Times New Roman" w:cs="Times New Roman"/>
                <w:iCs/>
                <w:color w:val="auto"/>
                <w:lang w:val="sq-AL"/>
              </w:rPr>
            </w:pPr>
            <w:r w:rsidRPr="0068706C">
              <w:rPr>
                <w:rFonts w:ascii="Times New Roman" w:hAnsi="Times New Roman" w:cs="Times New Roman"/>
                <w:iCs/>
                <w:color w:val="auto"/>
                <w:lang w:val="sq-AL"/>
              </w:rPr>
              <w:t>76 %</w:t>
            </w:r>
          </w:p>
        </w:tc>
        <w:tc>
          <w:tcPr>
            <w:tcW w:w="900" w:type="dxa"/>
            <w:shd w:val="clear" w:color="auto" w:fill="auto"/>
          </w:tcPr>
          <w:p w14:paraId="5DE2A9DF" w14:textId="77777777" w:rsidR="00CE4035" w:rsidRPr="0068706C" w:rsidRDefault="00CE4035" w:rsidP="009B753C">
            <w:pPr>
              <w:pStyle w:val="Default"/>
              <w:jc w:val="both"/>
              <w:rPr>
                <w:rFonts w:ascii="Times New Roman" w:hAnsi="Times New Roman" w:cs="Times New Roman"/>
                <w:b/>
                <w:iCs/>
                <w:color w:val="auto"/>
                <w:lang w:val="sq-AL"/>
              </w:rPr>
            </w:pPr>
            <w:r w:rsidRPr="0068706C">
              <w:rPr>
                <w:rFonts w:ascii="Times New Roman" w:hAnsi="Times New Roman" w:cs="Times New Roman"/>
                <w:b/>
                <w:color w:val="auto"/>
                <w:lang w:val="sq-AL"/>
              </w:rPr>
              <w:t>2023</w:t>
            </w:r>
          </w:p>
          <w:p w14:paraId="5B9BC413" w14:textId="77777777" w:rsidR="00CE4035" w:rsidRPr="0068706C" w:rsidRDefault="00CE4035" w:rsidP="009B753C">
            <w:pPr>
              <w:pStyle w:val="Default"/>
              <w:jc w:val="both"/>
              <w:rPr>
                <w:rFonts w:ascii="Times New Roman" w:hAnsi="Times New Roman" w:cs="Times New Roman"/>
                <w:iCs/>
                <w:color w:val="auto"/>
                <w:lang w:val="sq-AL"/>
              </w:rPr>
            </w:pPr>
            <w:r w:rsidRPr="0068706C">
              <w:rPr>
                <w:rFonts w:ascii="Times New Roman" w:hAnsi="Times New Roman" w:cs="Times New Roman"/>
                <w:iCs/>
                <w:color w:val="auto"/>
                <w:lang w:val="sq-AL"/>
              </w:rPr>
              <w:t>80 %</w:t>
            </w:r>
          </w:p>
        </w:tc>
      </w:tr>
      <w:tr w:rsidR="00CE4035" w:rsidRPr="0068706C" w14:paraId="3802A488" w14:textId="77777777" w:rsidTr="0068706C">
        <w:trPr>
          <w:trHeight w:val="575"/>
        </w:trPr>
        <w:tc>
          <w:tcPr>
            <w:tcW w:w="5305" w:type="dxa"/>
            <w:shd w:val="clear" w:color="auto" w:fill="auto"/>
          </w:tcPr>
          <w:p w14:paraId="6F5DA0C4" w14:textId="77777777" w:rsidR="00CE4035" w:rsidRPr="0068706C" w:rsidRDefault="00CE4035" w:rsidP="009B753C">
            <w:pPr>
              <w:pStyle w:val="Default"/>
              <w:jc w:val="both"/>
              <w:rPr>
                <w:rFonts w:ascii="Times New Roman" w:hAnsi="Times New Roman" w:cs="Times New Roman"/>
                <w:iCs/>
                <w:color w:val="auto"/>
                <w:lang w:val="sq-AL"/>
              </w:rPr>
            </w:pPr>
            <w:r w:rsidRPr="0068706C">
              <w:rPr>
                <w:rFonts w:ascii="Times New Roman" w:hAnsi="Times New Roman" w:cs="Times New Roman"/>
                <w:color w:val="auto"/>
                <w:lang w:val="sq-AL"/>
              </w:rPr>
              <w:t>Numri i të trajnuarve në fushën e TIK, për ekonominë dixhitale</w:t>
            </w:r>
          </w:p>
        </w:tc>
        <w:tc>
          <w:tcPr>
            <w:tcW w:w="1170" w:type="dxa"/>
            <w:shd w:val="clear" w:color="auto" w:fill="auto"/>
          </w:tcPr>
          <w:p w14:paraId="75ED83D3" w14:textId="77777777" w:rsidR="00CE4035" w:rsidRPr="0068706C" w:rsidRDefault="00CE4035" w:rsidP="009B753C">
            <w:pPr>
              <w:pStyle w:val="Default"/>
              <w:jc w:val="both"/>
              <w:rPr>
                <w:rFonts w:ascii="Times New Roman" w:hAnsi="Times New Roman" w:cs="Times New Roman"/>
                <w:b/>
                <w:iCs/>
                <w:color w:val="auto"/>
                <w:lang w:val="sq-AL"/>
              </w:rPr>
            </w:pPr>
            <w:r w:rsidRPr="0068706C">
              <w:rPr>
                <w:rFonts w:ascii="Times New Roman" w:hAnsi="Times New Roman" w:cs="Times New Roman"/>
                <w:b/>
                <w:iCs/>
                <w:color w:val="auto"/>
                <w:lang w:val="sq-AL"/>
              </w:rPr>
              <w:t>2020</w:t>
            </w:r>
          </w:p>
          <w:p w14:paraId="33E739E7" w14:textId="77777777" w:rsidR="00CE4035" w:rsidRPr="0068706C" w:rsidRDefault="00CE4035" w:rsidP="009B753C">
            <w:pPr>
              <w:pStyle w:val="Default"/>
              <w:jc w:val="both"/>
              <w:rPr>
                <w:rFonts w:ascii="Times New Roman" w:hAnsi="Times New Roman" w:cs="Times New Roman"/>
                <w:iCs/>
                <w:color w:val="auto"/>
                <w:lang w:val="sq-AL"/>
              </w:rPr>
            </w:pPr>
            <w:r w:rsidRPr="0068706C">
              <w:rPr>
                <w:rFonts w:ascii="Times New Roman" w:hAnsi="Times New Roman" w:cs="Times New Roman"/>
                <w:iCs/>
                <w:color w:val="auto"/>
                <w:lang w:val="sq-AL"/>
              </w:rPr>
              <w:t>0</w:t>
            </w:r>
          </w:p>
        </w:tc>
        <w:tc>
          <w:tcPr>
            <w:tcW w:w="1530" w:type="dxa"/>
            <w:shd w:val="clear" w:color="auto" w:fill="auto"/>
          </w:tcPr>
          <w:p w14:paraId="48A51D52" w14:textId="77777777" w:rsidR="00CE4035" w:rsidRPr="0068706C" w:rsidRDefault="00CE4035" w:rsidP="009B753C">
            <w:pPr>
              <w:pStyle w:val="Default"/>
              <w:jc w:val="both"/>
              <w:rPr>
                <w:rFonts w:ascii="Times New Roman" w:hAnsi="Times New Roman" w:cs="Times New Roman"/>
                <w:b/>
                <w:iCs/>
                <w:color w:val="auto"/>
                <w:lang w:val="sq-AL"/>
              </w:rPr>
            </w:pPr>
            <w:r w:rsidRPr="0068706C">
              <w:rPr>
                <w:rFonts w:ascii="Times New Roman" w:hAnsi="Times New Roman" w:cs="Times New Roman"/>
                <w:b/>
                <w:color w:val="auto"/>
                <w:lang w:val="sq-AL"/>
              </w:rPr>
              <w:t>2021</w:t>
            </w:r>
          </w:p>
          <w:p w14:paraId="0162BACB" w14:textId="77777777" w:rsidR="00CE4035" w:rsidRPr="0068706C" w:rsidRDefault="00CE4035" w:rsidP="009B753C">
            <w:pPr>
              <w:pStyle w:val="Default"/>
              <w:jc w:val="both"/>
              <w:rPr>
                <w:rFonts w:ascii="Times New Roman" w:hAnsi="Times New Roman" w:cs="Times New Roman"/>
                <w:iCs/>
                <w:color w:val="auto"/>
                <w:lang w:val="sq-AL"/>
              </w:rPr>
            </w:pPr>
            <w:r w:rsidRPr="0068706C">
              <w:rPr>
                <w:rFonts w:ascii="Times New Roman" w:hAnsi="Times New Roman" w:cs="Times New Roman"/>
                <w:iCs/>
                <w:color w:val="auto"/>
                <w:lang w:val="sq-AL"/>
              </w:rPr>
              <w:t>2040</w:t>
            </w:r>
          </w:p>
        </w:tc>
        <w:tc>
          <w:tcPr>
            <w:tcW w:w="900" w:type="dxa"/>
            <w:shd w:val="clear" w:color="auto" w:fill="auto"/>
          </w:tcPr>
          <w:p w14:paraId="43A4B5B8" w14:textId="77777777" w:rsidR="00CE4035" w:rsidRPr="0068706C" w:rsidRDefault="00CE4035" w:rsidP="009B753C">
            <w:pPr>
              <w:pStyle w:val="Default"/>
              <w:jc w:val="both"/>
              <w:rPr>
                <w:rFonts w:ascii="Times New Roman" w:hAnsi="Times New Roman" w:cs="Times New Roman"/>
                <w:b/>
                <w:iCs/>
                <w:color w:val="auto"/>
                <w:lang w:val="sq-AL"/>
              </w:rPr>
            </w:pPr>
            <w:r w:rsidRPr="0068706C">
              <w:rPr>
                <w:rFonts w:ascii="Times New Roman" w:hAnsi="Times New Roman" w:cs="Times New Roman"/>
                <w:b/>
                <w:color w:val="auto"/>
                <w:lang w:val="sq-AL"/>
              </w:rPr>
              <w:t>2023</w:t>
            </w:r>
          </w:p>
          <w:p w14:paraId="20DC219F" w14:textId="77777777" w:rsidR="00CE4035" w:rsidRPr="0068706C" w:rsidRDefault="00CE4035" w:rsidP="009B753C">
            <w:pPr>
              <w:pStyle w:val="Default"/>
              <w:jc w:val="both"/>
              <w:rPr>
                <w:rFonts w:ascii="Times New Roman" w:hAnsi="Times New Roman" w:cs="Times New Roman"/>
                <w:iCs/>
                <w:color w:val="auto"/>
                <w:lang w:val="sq-AL"/>
              </w:rPr>
            </w:pPr>
            <w:r w:rsidRPr="0068706C">
              <w:rPr>
                <w:rFonts w:ascii="Times New Roman" w:hAnsi="Times New Roman" w:cs="Times New Roman"/>
                <w:iCs/>
                <w:color w:val="auto"/>
                <w:lang w:val="sq-AL"/>
              </w:rPr>
              <w:t>3060</w:t>
            </w:r>
          </w:p>
        </w:tc>
      </w:tr>
      <w:tr w:rsidR="00CE4035" w:rsidRPr="0068706C" w14:paraId="32629539" w14:textId="77777777" w:rsidTr="0068706C">
        <w:trPr>
          <w:trHeight w:val="1178"/>
        </w:trPr>
        <w:tc>
          <w:tcPr>
            <w:tcW w:w="5305" w:type="dxa"/>
            <w:shd w:val="clear" w:color="auto" w:fill="auto"/>
          </w:tcPr>
          <w:p w14:paraId="586ED217" w14:textId="77777777" w:rsidR="00CE4035" w:rsidRPr="0068706C" w:rsidRDefault="00CE4035" w:rsidP="009B753C">
            <w:pPr>
              <w:pStyle w:val="Default"/>
              <w:spacing w:after="60"/>
              <w:jc w:val="both"/>
              <w:rPr>
                <w:rFonts w:ascii="Times New Roman" w:hAnsi="Times New Roman" w:cs="Times New Roman"/>
                <w:color w:val="auto"/>
                <w:lang w:val="sq-AL"/>
              </w:rPr>
            </w:pPr>
            <w:r w:rsidRPr="0068706C">
              <w:rPr>
                <w:rFonts w:ascii="Times New Roman" w:hAnsi="Times New Roman" w:cs="Times New Roman"/>
                <w:color w:val="auto"/>
                <w:lang w:val="sq-AL"/>
              </w:rPr>
              <w:t>Përdoruesit sipas gjinisë që kanë pasur qasje në internet në shtëpi apo banesa:</w:t>
            </w:r>
          </w:p>
          <w:p w14:paraId="2E7EB0A5" w14:textId="77777777" w:rsidR="00CE4035" w:rsidRPr="0068706C" w:rsidRDefault="00CE4035" w:rsidP="0068706C">
            <w:pPr>
              <w:pStyle w:val="Default"/>
              <w:numPr>
                <w:ilvl w:val="3"/>
                <w:numId w:val="31"/>
              </w:numPr>
              <w:spacing w:after="60"/>
              <w:ind w:left="720"/>
              <w:jc w:val="both"/>
              <w:rPr>
                <w:rFonts w:ascii="Times New Roman" w:hAnsi="Times New Roman" w:cs="Times New Roman"/>
                <w:color w:val="auto"/>
                <w:lang w:val="sq-AL"/>
              </w:rPr>
            </w:pPr>
            <w:r w:rsidRPr="0068706C">
              <w:rPr>
                <w:rFonts w:ascii="Times New Roman" w:hAnsi="Times New Roman" w:cs="Times New Roman"/>
                <w:color w:val="auto"/>
                <w:lang w:val="sq-AL"/>
              </w:rPr>
              <w:t>Meshkuj</w:t>
            </w:r>
          </w:p>
          <w:p w14:paraId="4D4B802F" w14:textId="77777777" w:rsidR="00CE4035" w:rsidRPr="0068706C" w:rsidRDefault="00CE4035" w:rsidP="0068706C">
            <w:pPr>
              <w:pStyle w:val="Default"/>
              <w:numPr>
                <w:ilvl w:val="3"/>
                <w:numId w:val="31"/>
              </w:numPr>
              <w:spacing w:after="60"/>
              <w:ind w:left="720"/>
              <w:jc w:val="both"/>
              <w:rPr>
                <w:rFonts w:ascii="Times New Roman" w:hAnsi="Times New Roman" w:cs="Times New Roman"/>
                <w:color w:val="auto"/>
                <w:lang w:val="sq-AL"/>
              </w:rPr>
            </w:pPr>
            <w:r w:rsidRPr="0068706C">
              <w:rPr>
                <w:rFonts w:ascii="Times New Roman" w:hAnsi="Times New Roman" w:cs="Times New Roman"/>
                <w:color w:val="auto"/>
                <w:lang w:val="sq-AL"/>
              </w:rPr>
              <w:t>Femra</w:t>
            </w:r>
          </w:p>
        </w:tc>
        <w:tc>
          <w:tcPr>
            <w:tcW w:w="1170" w:type="dxa"/>
            <w:shd w:val="clear" w:color="auto" w:fill="auto"/>
          </w:tcPr>
          <w:p w14:paraId="64816789" w14:textId="77777777" w:rsidR="00CE4035" w:rsidRPr="0068706C" w:rsidRDefault="00CE4035" w:rsidP="009B753C">
            <w:pPr>
              <w:pStyle w:val="Default"/>
              <w:spacing w:after="60"/>
              <w:jc w:val="both"/>
              <w:rPr>
                <w:rFonts w:ascii="Times New Roman" w:hAnsi="Times New Roman" w:cs="Times New Roman"/>
                <w:b/>
                <w:iCs/>
                <w:color w:val="auto"/>
                <w:lang w:val="sq-AL"/>
              </w:rPr>
            </w:pPr>
            <w:r w:rsidRPr="0068706C">
              <w:rPr>
                <w:rFonts w:ascii="Times New Roman" w:hAnsi="Times New Roman" w:cs="Times New Roman"/>
                <w:b/>
                <w:iCs/>
                <w:color w:val="auto"/>
                <w:lang w:val="sq-AL"/>
              </w:rPr>
              <w:t>2019</w:t>
            </w:r>
          </w:p>
          <w:p w14:paraId="536DD227" w14:textId="77777777" w:rsidR="00CE4035" w:rsidRPr="0068706C" w:rsidRDefault="00CE4035" w:rsidP="009B753C">
            <w:pPr>
              <w:pStyle w:val="Default"/>
              <w:spacing w:after="60"/>
              <w:jc w:val="both"/>
              <w:rPr>
                <w:rFonts w:ascii="Times New Roman" w:hAnsi="Times New Roman" w:cs="Times New Roman"/>
                <w:iCs/>
                <w:color w:val="auto"/>
                <w:lang w:val="sq-AL"/>
              </w:rPr>
            </w:pPr>
          </w:p>
          <w:p w14:paraId="372404C6" w14:textId="77777777" w:rsidR="00CE4035" w:rsidRPr="0068706C" w:rsidRDefault="00CE4035" w:rsidP="009B753C">
            <w:pPr>
              <w:pStyle w:val="Default"/>
              <w:spacing w:after="60"/>
              <w:jc w:val="both"/>
              <w:rPr>
                <w:rFonts w:ascii="Times New Roman" w:hAnsi="Times New Roman" w:cs="Times New Roman"/>
                <w:iCs/>
                <w:color w:val="auto"/>
                <w:lang w:val="sq-AL"/>
              </w:rPr>
            </w:pPr>
            <w:r w:rsidRPr="0068706C">
              <w:rPr>
                <w:rFonts w:ascii="Times New Roman" w:hAnsi="Times New Roman" w:cs="Times New Roman"/>
                <w:iCs/>
                <w:color w:val="auto"/>
                <w:lang w:val="sq-AL"/>
              </w:rPr>
              <w:t>55.8%</w:t>
            </w:r>
          </w:p>
          <w:p w14:paraId="7BD7FB44" w14:textId="77777777" w:rsidR="00CE4035" w:rsidRPr="0068706C" w:rsidRDefault="00CE4035" w:rsidP="009B753C">
            <w:pPr>
              <w:pStyle w:val="Default"/>
              <w:spacing w:after="60"/>
              <w:jc w:val="both"/>
              <w:rPr>
                <w:rFonts w:ascii="Times New Roman" w:hAnsi="Times New Roman" w:cs="Times New Roman"/>
                <w:iCs/>
                <w:color w:val="auto"/>
                <w:lang w:val="sq-AL"/>
              </w:rPr>
            </w:pPr>
            <w:r w:rsidRPr="0068706C">
              <w:rPr>
                <w:rFonts w:ascii="Times New Roman" w:hAnsi="Times New Roman" w:cs="Times New Roman"/>
                <w:iCs/>
                <w:color w:val="auto"/>
                <w:lang w:val="sq-AL"/>
              </w:rPr>
              <w:t>38.7%</w:t>
            </w:r>
          </w:p>
        </w:tc>
        <w:tc>
          <w:tcPr>
            <w:tcW w:w="1530" w:type="dxa"/>
            <w:shd w:val="clear" w:color="auto" w:fill="auto"/>
          </w:tcPr>
          <w:p w14:paraId="27CF49A7" w14:textId="77777777" w:rsidR="00CE4035" w:rsidRPr="0068706C" w:rsidRDefault="00CE4035" w:rsidP="009B753C">
            <w:pPr>
              <w:pStyle w:val="Default"/>
              <w:spacing w:after="60"/>
              <w:jc w:val="both"/>
              <w:rPr>
                <w:rFonts w:ascii="Times New Roman" w:hAnsi="Times New Roman" w:cs="Times New Roman"/>
                <w:b/>
                <w:iCs/>
                <w:color w:val="auto"/>
                <w:lang w:val="sq-AL"/>
              </w:rPr>
            </w:pPr>
            <w:r w:rsidRPr="0068706C">
              <w:rPr>
                <w:rFonts w:ascii="Times New Roman" w:hAnsi="Times New Roman" w:cs="Times New Roman"/>
                <w:b/>
                <w:iCs/>
                <w:color w:val="auto"/>
                <w:lang w:val="sq-AL"/>
              </w:rPr>
              <w:t>2021</w:t>
            </w:r>
          </w:p>
          <w:p w14:paraId="56495F83" w14:textId="77777777" w:rsidR="00CE4035" w:rsidRPr="0068706C" w:rsidRDefault="00CE4035" w:rsidP="009B753C">
            <w:pPr>
              <w:pStyle w:val="Default"/>
              <w:spacing w:after="60"/>
              <w:jc w:val="both"/>
              <w:rPr>
                <w:rFonts w:ascii="Times New Roman" w:hAnsi="Times New Roman" w:cs="Times New Roman"/>
                <w:iCs/>
                <w:color w:val="auto"/>
                <w:lang w:val="sq-AL"/>
              </w:rPr>
            </w:pPr>
          </w:p>
          <w:p w14:paraId="57E2083E" w14:textId="77777777" w:rsidR="00CE4035" w:rsidRPr="0068706C" w:rsidRDefault="00CE4035" w:rsidP="009B753C">
            <w:pPr>
              <w:pStyle w:val="Default"/>
              <w:spacing w:after="60"/>
              <w:jc w:val="both"/>
              <w:rPr>
                <w:rFonts w:ascii="Times New Roman" w:hAnsi="Times New Roman" w:cs="Times New Roman"/>
                <w:iCs/>
                <w:color w:val="auto"/>
                <w:lang w:val="sq-AL"/>
              </w:rPr>
            </w:pPr>
            <w:r w:rsidRPr="0068706C">
              <w:rPr>
                <w:rFonts w:ascii="Times New Roman" w:hAnsi="Times New Roman" w:cs="Times New Roman"/>
                <w:iCs/>
                <w:color w:val="auto"/>
                <w:lang w:val="sq-AL"/>
              </w:rPr>
              <w:t>56.5%</w:t>
            </w:r>
          </w:p>
          <w:p w14:paraId="156322B2" w14:textId="77777777" w:rsidR="00CE4035" w:rsidRPr="0068706C" w:rsidRDefault="00CE4035" w:rsidP="009B753C">
            <w:pPr>
              <w:pStyle w:val="Default"/>
              <w:spacing w:after="60"/>
              <w:jc w:val="both"/>
              <w:rPr>
                <w:rFonts w:ascii="Times New Roman" w:hAnsi="Times New Roman" w:cs="Times New Roman"/>
                <w:iCs/>
                <w:color w:val="auto"/>
                <w:lang w:val="sq-AL"/>
              </w:rPr>
            </w:pPr>
            <w:r w:rsidRPr="0068706C">
              <w:rPr>
                <w:rFonts w:ascii="Times New Roman" w:hAnsi="Times New Roman" w:cs="Times New Roman"/>
                <w:iCs/>
                <w:color w:val="auto"/>
                <w:lang w:val="sq-AL"/>
              </w:rPr>
              <w:t>40%</w:t>
            </w:r>
          </w:p>
        </w:tc>
        <w:tc>
          <w:tcPr>
            <w:tcW w:w="900" w:type="dxa"/>
            <w:shd w:val="clear" w:color="auto" w:fill="auto"/>
          </w:tcPr>
          <w:p w14:paraId="1736B6EC" w14:textId="77777777" w:rsidR="00CE4035" w:rsidRPr="0068706C" w:rsidRDefault="00CE4035" w:rsidP="009B753C">
            <w:pPr>
              <w:pStyle w:val="Default"/>
              <w:spacing w:after="60"/>
              <w:jc w:val="both"/>
              <w:rPr>
                <w:rFonts w:ascii="Times New Roman" w:hAnsi="Times New Roman" w:cs="Times New Roman"/>
                <w:b/>
                <w:iCs/>
                <w:color w:val="auto"/>
                <w:lang w:val="sq-AL"/>
              </w:rPr>
            </w:pPr>
            <w:r w:rsidRPr="0068706C">
              <w:rPr>
                <w:rFonts w:ascii="Times New Roman" w:hAnsi="Times New Roman" w:cs="Times New Roman"/>
                <w:b/>
                <w:iCs/>
                <w:color w:val="auto"/>
                <w:lang w:val="sq-AL"/>
              </w:rPr>
              <w:t>2022</w:t>
            </w:r>
          </w:p>
          <w:p w14:paraId="29142E50" w14:textId="77777777" w:rsidR="00CE4035" w:rsidRPr="0068706C" w:rsidRDefault="00CE4035" w:rsidP="009B753C">
            <w:pPr>
              <w:pStyle w:val="Default"/>
              <w:spacing w:after="60"/>
              <w:jc w:val="both"/>
              <w:rPr>
                <w:rFonts w:ascii="Times New Roman" w:hAnsi="Times New Roman" w:cs="Times New Roman"/>
                <w:iCs/>
                <w:color w:val="auto"/>
                <w:lang w:val="sq-AL"/>
              </w:rPr>
            </w:pPr>
          </w:p>
          <w:p w14:paraId="06417DD8" w14:textId="77777777" w:rsidR="00CE4035" w:rsidRPr="0068706C" w:rsidRDefault="00CE4035" w:rsidP="009B753C">
            <w:pPr>
              <w:pStyle w:val="Default"/>
              <w:spacing w:after="60"/>
              <w:jc w:val="both"/>
              <w:rPr>
                <w:rFonts w:ascii="Times New Roman" w:hAnsi="Times New Roman" w:cs="Times New Roman"/>
                <w:iCs/>
                <w:color w:val="auto"/>
                <w:lang w:val="sq-AL"/>
              </w:rPr>
            </w:pPr>
            <w:r w:rsidRPr="0068706C">
              <w:rPr>
                <w:rFonts w:ascii="Times New Roman" w:hAnsi="Times New Roman" w:cs="Times New Roman"/>
                <w:iCs/>
                <w:color w:val="auto"/>
                <w:lang w:val="sq-AL"/>
              </w:rPr>
              <w:t>57%</w:t>
            </w:r>
          </w:p>
          <w:p w14:paraId="19858596" w14:textId="77777777" w:rsidR="00CE4035" w:rsidRPr="0068706C" w:rsidRDefault="00CE4035" w:rsidP="009B753C">
            <w:pPr>
              <w:pStyle w:val="Default"/>
              <w:spacing w:after="60"/>
              <w:jc w:val="both"/>
              <w:rPr>
                <w:rFonts w:ascii="Times New Roman" w:hAnsi="Times New Roman" w:cs="Times New Roman"/>
                <w:iCs/>
                <w:color w:val="auto"/>
                <w:lang w:val="sq-AL"/>
              </w:rPr>
            </w:pPr>
            <w:r w:rsidRPr="0068706C">
              <w:rPr>
                <w:rFonts w:ascii="Times New Roman" w:hAnsi="Times New Roman" w:cs="Times New Roman"/>
                <w:iCs/>
                <w:color w:val="auto"/>
                <w:lang w:val="sq-AL"/>
              </w:rPr>
              <w:t>41%</w:t>
            </w:r>
          </w:p>
        </w:tc>
      </w:tr>
    </w:tbl>
    <w:p w14:paraId="0B037B5C" w14:textId="77777777" w:rsidR="00CE4035" w:rsidRPr="0068706C" w:rsidRDefault="00CE4035" w:rsidP="00CE4035">
      <w:pPr>
        <w:pStyle w:val="Default"/>
        <w:spacing w:after="60"/>
        <w:jc w:val="both"/>
        <w:rPr>
          <w:rFonts w:ascii="Times New Roman" w:hAnsi="Times New Roman" w:cs="Times New Roman"/>
          <w:i/>
          <w:lang w:val="sq-AL"/>
        </w:rPr>
      </w:pPr>
      <w:r w:rsidRPr="0068706C">
        <w:rPr>
          <w:rFonts w:ascii="Times New Roman" w:hAnsi="Times New Roman" w:cs="Times New Roman"/>
          <w:bCs/>
          <w:i/>
          <w:lang w:val="sq-AL"/>
        </w:rPr>
        <w:t xml:space="preserve">Arritja e këtyre  treguesve është në pajtim me treguesin </w:t>
      </w:r>
      <w:r w:rsidRPr="0068706C">
        <w:rPr>
          <w:rFonts w:ascii="Times New Roman" w:hAnsi="Times New Roman" w:cs="Times New Roman"/>
          <w:i/>
          <w:lang w:val="sq-AL"/>
        </w:rPr>
        <w:t xml:space="preserve">17.8.1 te OZHQ 17 (Partneritetet për Qëllime). </w:t>
      </w:r>
    </w:p>
    <w:p w14:paraId="1FA02F1F" w14:textId="77777777" w:rsidR="00CE4035" w:rsidRPr="0068706C" w:rsidRDefault="00CE4035" w:rsidP="00CE4035">
      <w:pPr>
        <w:pStyle w:val="Default"/>
        <w:spacing w:after="60"/>
        <w:jc w:val="both"/>
        <w:rPr>
          <w:rFonts w:ascii="Times New Roman" w:hAnsi="Times New Roman" w:cs="Times New Roman"/>
          <w:b/>
          <w:bCs/>
          <w:i/>
          <w:lang w:val="sq-AL"/>
        </w:rPr>
      </w:pPr>
    </w:p>
    <w:p w14:paraId="5F3C82AA" w14:textId="77777777" w:rsidR="00CE4035" w:rsidRPr="0068706C" w:rsidRDefault="00CE4035" w:rsidP="00CE4035">
      <w:pPr>
        <w:pStyle w:val="Default"/>
        <w:jc w:val="both"/>
        <w:rPr>
          <w:rFonts w:ascii="Times New Roman" w:hAnsi="Times New Roman" w:cs="Times New Roman"/>
          <w:lang w:val="sq-AL"/>
        </w:rPr>
      </w:pPr>
      <w:r w:rsidRPr="0068706C">
        <w:rPr>
          <w:rFonts w:ascii="Times New Roman" w:hAnsi="Times New Roman" w:cs="Times New Roman"/>
          <w:b/>
          <w:bCs/>
          <w:lang w:val="sq-AL"/>
        </w:rPr>
        <w:t xml:space="preserve">Ndikimi i pritur në konkurrueshmëri: </w:t>
      </w:r>
      <w:r w:rsidRPr="0068706C">
        <w:rPr>
          <w:rFonts w:ascii="Times New Roman" w:hAnsi="Times New Roman" w:cs="Times New Roman"/>
          <w:lang w:val="sq-AL"/>
        </w:rPr>
        <w:t>Sipas  BB rritja e penetrimit të infrastrukturës fikse brezëgjerë prej 10% do të përcillet me një rritje prej 1.21% të GDP-së në ekonomitë e zhvilluara dhe 1.38% të GDP-së në ekonomitë në zhvillim. Zbatimi i kësaj mase do të  lehtësojë  qasjen në  tregje ndërkombëtare, zhvillim të modeleve të reja të biznesit, duke mundësuar të punohet pavarësisht lokacionit dhe me orar fleksibil;  përshpejtim të procedurave dhe proceseve  dhe  rritje të  konkurrueshmërisë, përmirësimin e tregut të punës dhe mjedisin e biznesit, si dhe . rritjen e sektorit të TIK-ut, dhe shtimin e të hyrave në ekonomi.</w:t>
      </w:r>
    </w:p>
    <w:p w14:paraId="2F6D9BC2" w14:textId="77777777" w:rsidR="00CE4035" w:rsidRPr="0068706C" w:rsidRDefault="00CE4035" w:rsidP="00CE4035">
      <w:pPr>
        <w:pStyle w:val="Default"/>
        <w:jc w:val="both"/>
        <w:rPr>
          <w:rFonts w:ascii="Times New Roman" w:hAnsi="Times New Roman" w:cs="Times New Roman"/>
          <w:b/>
          <w:bCs/>
          <w:lang w:val="sq-AL"/>
        </w:rPr>
      </w:pPr>
    </w:p>
    <w:p w14:paraId="1AFD3FD0" w14:textId="77777777" w:rsidR="00CE4035" w:rsidRPr="0068706C" w:rsidRDefault="00CE4035" w:rsidP="00CE4035">
      <w:pPr>
        <w:pStyle w:val="Default"/>
        <w:jc w:val="both"/>
        <w:rPr>
          <w:rFonts w:ascii="Times New Roman" w:hAnsi="Times New Roman" w:cs="Times New Roman"/>
          <w:lang w:val="sq-AL"/>
        </w:rPr>
      </w:pPr>
      <w:r w:rsidRPr="0068706C">
        <w:rPr>
          <w:rFonts w:ascii="Times New Roman" w:hAnsi="Times New Roman" w:cs="Times New Roman"/>
          <w:b/>
          <w:bCs/>
          <w:lang w:val="sq-AL"/>
        </w:rPr>
        <w:t xml:space="preserve">Vlerësimi i kostos së aktiviteteve dhe burimet e financimit: </w:t>
      </w:r>
      <w:r w:rsidRPr="0068706C">
        <w:rPr>
          <w:rFonts w:ascii="Times New Roman" w:hAnsi="Times New Roman" w:cs="Times New Roman"/>
          <w:lang w:val="sq-AL"/>
        </w:rPr>
        <w:t>Kostoja totale për zbatimin e kësaj mase pritet të jetë rreth 29,6 mil. € për 2021-2023. Nga kjo shumë totale,  kostoja e vlerësuar për vitin 2021 është 9,783,365 EUR, nga të cilat 1, 500,000 janë fonde nga Buxheti i Kosovës, 2,150,000 janë fonde nga IPA dhe 6,133,365 kredi nga Banka Botërore (Projekti KODE). Kostoja e vlerësuar për vitin 2022 është 11,058,565 EUR nga të cilat 3,700,000 do të financohen nga Buxheti i Kosovës, 2,050,000 nga Fondet IPA dhe 5,308,565 Kredi nga Banka Botërore (Projekti KODE). Ndërsa, kostoja e vlerësuar për vitin 2023 është 8,767,087 nga të cilat 3,700,000 EUR do të financohen nga Buxheti Qendror 2,050,000 EUR nga Fondet IPA dhe 3,017,087 EUR kredi nga Banka Botërore (Projekti KODE). Ndërsa, kostoja totale sipas kategorive të buxhetit është: 13,641,930.00€ për shpenzime kapitale; 8,063,716.00€ subvencion; dhe 7,903,371.00€ për mallra dhe shërbime.</w:t>
      </w:r>
    </w:p>
    <w:p w14:paraId="0085DC58" w14:textId="77777777" w:rsidR="00CE4035" w:rsidRPr="0068706C" w:rsidRDefault="00CE4035" w:rsidP="00CE4035">
      <w:pPr>
        <w:pStyle w:val="Default"/>
        <w:jc w:val="both"/>
        <w:rPr>
          <w:rFonts w:ascii="Times New Roman" w:hAnsi="Times New Roman" w:cs="Times New Roman"/>
          <w:lang w:val="sq-AL"/>
        </w:rPr>
      </w:pPr>
    </w:p>
    <w:p w14:paraId="2A62BDEA" w14:textId="77777777" w:rsidR="00CE4035" w:rsidRPr="0068706C" w:rsidRDefault="00CE4035" w:rsidP="00CE4035">
      <w:pPr>
        <w:pStyle w:val="Default"/>
        <w:jc w:val="both"/>
        <w:rPr>
          <w:rFonts w:ascii="Times New Roman" w:hAnsi="Times New Roman" w:cs="Times New Roman"/>
          <w:lang w:val="sq-AL"/>
        </w:rPr>
      </w:pPr>
      <w:r w:rsidRPr="0068706C">
        <w:rPr>
          <w:rFonts w:ascii="Times New Roman" w:hAnsi="Times New Roman" w:cs="Times New Roman"/>
          <w:b/>
          <w:bCs/>
          <w:iCs/>
          <w:lang w:val="sq-AL"/>
        </w:rPr>
        <w:t>Ndikimet e pritshme mbi rezultatet sociale, të tilla si punësimi, reduktimi i varfërisë, barazia gjinore:</w:t>
      </w:r>
      <w:r w:rsidRPr="0068706C">
        <w:rPr>
          <w:rFonts w:ascii="Times New Roman" w:hAnsi="Times New Roman" w:cs="Times New Roman"/>
          <w:b/>
          <w:bCs/>
          <w:i/>
          <w:iCs/>
          <w:lang w:val="sq-AL"/>
        </w:rPr>
        <w:t xml:space="preserve"> </w:t>
      </w:r>
      <w:r w:rsidRPr="0068706C">
        <w:rPr>
          <w:rFonts w:ascii="Times New Roman" w:hAnsi="Times New Roman" w:cs="Times New Roman"/>
          <w:lang w:val="sq-AL"/>
        </w:rPr>
        <w:t xml:space="preserve">Kjo masë do të ketë ndikim pozitiv në punësim duke zgjeruar mundësitë për punë dixhitale, me fokus të veçantë tek të rinjtë, gratë dhe personat me aftësi të kufizuara. Sipas disa anketimeve infrastruktura brezëgjerë (broadband-i) është vlerësuar si një motivues kryesor i punës fleksibile, në më shumë se ¾ e bizneseve të anketuara duke e cekur zgjerimin e infrastrukturës brezëgjerë si faktor që ndikon në këtë. </w:t>
      </w:r>
    </w:p>
    <w:p w14:paraId="291C785A" w14:textId="77777777" w:rsidR="00CE4035" w:rsidRPr="0068706C" w:rsidRDefault="00CE4035" w:rsidP="00CE4035">
      <w:pPr>
        <w:pStyle w:val="Default"/>
        <w:spacing w:after="60"/>
        <w:jc w:val="both"/>
        <w:rPr>
          <w:rFonts w:ascii="Times New Roman" w:hAnsi="Times New Roman" w:cs="Times New Roman"/>
          <w:lang w:val="sq-AL"/>
        </w:rPr>
      </w:pPr>
      <w:r w:rsidRPr="0068706C">
        <w:rPr>
          <w:rFonts w:ascii="Times New Roman" w:hAnsi="Times New Roman" w:cs="Times New Roman"/>
          <w:b/>
          <w:bCs/>
          <w:iCs/>
          <w:lang w:val="sq-AL"/>
        </w:rPr>
        <w:t>Ndikimi i pritshëm në mjedis:</w:t>
      </w:r>
      <w:r w:rsidRPr="0068706C">
        <w:rPr>
          <w:rFonts w:ascii="Times New Roman" w:hAnsi="Times New Roman" w:cs="Times New Roman"/>
          <w:b/>
          <w:bCs/>
          <w:i/>
          <w:iCs/>
          <w:lang w:val="sq-AL"/>
        </w:rPr>
        <w:t xml:space="preserve"> </w:t>
      </w:r>
      <w:r w:rsidRPr="0068706C">
        <w:rPr>
          <w:rFonts w:ascii="Times New Roman" w:hAnsi="Times New Roman" w:cs="Times New Roman"/>
          <w:lang w:val="sq-AL"/>
        </w:rPr>
        <w:t>Masa është neutrale ndaj mjedisit.</w:t>
      </w:r>
    </w:p>
    <w:p w14:paraId="4441D878" w14:textId="77777777" w:rsidR="00CE4035" w:rsidRPr="0068706C" w:rsidRDefault="00CE4035" w:rsidP="00CE4035">
      <w:pPr>
        <w:pStyle w:val="Default"/>
        <w:spacing w:after="60"/>
        <w:jc w:val="both"/>
        <w:rPr>
          <w:rFonts w:ascii="Times New Roman" w:hAnsi="Times New Roman" w:cs="Times New Roman"/>
          <w:lang w:val="sq-AL"/>
        </w:rPr>
      </w:pPr>
    </w:p>
    <w:p w14:paraId="2D1A4588" w14:textId="77777777" w:rsidR="00CE4035" w:rsidRPr="0068706C" w:rsidRDefault="00CE4035" w:rsidP="00CE4035">
      <w:pPr>
        <w:pStyle w:val="Default"/>
        <w:spacing w:after="60"/>
        <w:jc w:val="both"/>
        <w:rPr>
          <w:rFonts w:ascii="Times New Roman" w:hAnsi="Times New Roman" w:cs="Times New Roman"/>
          <w:b/>
          <w:bCs/>
          <w:lang w:val="sq-AL"/>
        </w:rPr>
      </w:pPr>
      <w:r w:rsidRPr="0068706C">
        <w:rPr>
          <w:rFonts w:ascii="Times New Roman" w:hAnsi="Times New Roman" w:cs="Times New Roman"/>
          <w:b/>
          <w:bCs/>
          <w:lang w:val="sq-AL"/>
        </w:rPr>
        <w:t>Rreziqet potenciale:</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1710"/>
        <w:gridCol w:w="3330"/>
      </w:tblGrid>
      <w:tr w:rsidR="00CE4035" w:rsidRPr="0068706C" w14:paraId="586645CA" w14:textId="77777777" w:rsidTr="0068706C">
        <w:tc>
          <w:tcPr>
            <w:tcW w:w="3595" w:type="dxa"/>
            <w:shd w:val="clear" w:color="auto" w:fill="auto"/>
          </w:tcPr>
          <w:p w14:paraId="63EA2A9A" w14:textId="77777777" w:rsidR="00CE4035" w:rsidRPr="0068706C" w:rsidRDefault="00CE4035" w:rsidP="009B753C">
            <w:pPr>
              <w:pStyle w:val="Default"/>
              <w:spacing w:after="60"/>
              <w:jc w:val="both"/>
              <w:rPr>
                <w:rFonts w:ascii="Times New Roman" w:hAnsi="Times New Roman" w:cs="Times New Roman"/>
                <w:lang w:val="sq-AL"/>
              </w:rPr>
            </w:pPr>
            <w:r w:rsidRPr="0068706C">
              <w:rPr>
                <w:rFonts w:ascii="Times New Roman" w:hAnsi="Times New Roman" w:cs="Times New Roman"/>
                <w:b/>
                <w:bCs/>
                <w:lang w:val="sq-AL"/>
              </w:rPr>
              <w:t xml:space="preserve">Rreziku </w:t>
            </w:r>
          </w:p>
        </w:tc>
        <w:tc>
          <w:tcPr>
            <w:tcW w:w="1710" w:type="dxa"/>
            <w:shd w:val="clear" w:color="auto" w:fill="auto"/>
          </w:tcPr>
          <w:p w14:paraId="297138A1" w14:textId="77777777" w:rsidR="00CE4035" w:rsidRPr="0068706C" w:rsidRDefault="00CE4035" w:rsidP="009B753C">
            <w:pPr>
              <w:pStyle w:val="Default"/>
              <w:spacing w:after="60"/>
              <w:ind w:right="-122"/>
              <w:rPr>
                <w:rFonts w:ascii="Times New Roman" w:hAnsi="Times New Roman" w:cs="Times New Roman"/>
                <w:lang w:val="sq-AL"/>
              </w:rPr>
            </w:pPr>
            <w:r w:rsidRPr="0068706C">
              <w:rPr>
                <w:rFonts w:ascii="Times New Roman" w:hAnsi="Times New Roman" w:cs="Times New Roman"/>
                <w:b/>
                <w:bCs/>
                <w:lang w:val="sq-AL"/>
              </w:rPr>
              <w:t xml:space="preserve">Probabiliteti </w:t>
            </w:r>
          </w:p>
        </w:tc>
        <w:tc>
          <w:tcPr>
            <w:tcW w:w="3330" w:type="dxa"/>
            <w:shd w:val="clear" w:color="auto" w:fill="auto"/>
          </w:tcPr>
          <w:p w14:paraId="7796346E" w14:textId="77777777" w:rsidR="00CE4035" w:rsidRPr="0068706C" w:rsidRDefault="00CE4035" w:rsidP="009B753C">
            <w:pPr>
              <w:pStyle w:val="Default"/>
              <w:spacing w:after="60"/>
              <w:jc w:val="both"/>
              <w:rPr>
                <w:rFonts w:ascii="Times New Roman" w:hAnsi="Times New Roman" w:cs="Times New Roman"/>
                <w:lang w:val="sq-AL"/>
              </w:rPr>
            </w:pPr>
            <w:r w:rsidRPr="0068706C">
              <w:rPr>
                <w:rFonts w:ascii="Times New Roman" w:hAnsi="Times New Roman" w:cs="Times New Roman"/>
                <w:b/>
                <w:bCs/>
                <w:lang w:val="sq-AL"/>
              </w:rPr>
              <w:t xml:space="preserve">Veprimi lehtësues i planifikuar </w:t>
            </w:r>
          </w:p>
        </w:tc>
      </w:tr>
      <w:tr w:rsidR="00CE4035" w:rsidRPr="0068706C" w14:paraId="6CFDE54D" w14:textId="77777777" w:rsidTr="0068706C">
        <w:tc>
          <w:tcPr>
            <w:tcW w:w="3595" w:type="dxa"/>
            <w:shd w:val="clear" w:color="auto" w:fill="auto"/>
          </w:tcPr>
          <w:p w14:paraId="66902A86" w14:textId="77777777" w:rsidR="00CE4035" w:rsidRPr="0068706C" w:rsidRDefault="00CE4035" w:rsidP="009B753C">
            <w:pPr>
              <w:pStyle w:val="Default"/>
              <w:spacing w:after="60"/>
              <w:jc w:val="both"/>
              <w:rPr>
                <w:rFonts w:ascii="Times New Roman" w:hAnsi="Times New Roman" w:cs="Times New Roman"/>
                <w:lang w:val="sq-AL"/>
              </w:rPr>
            </w:pPr>
            <w:r w:rsidRPr="0068706C">
              <w:rPr>
                <w:rFonts w:ascii="Times New Roman" w:hAnsi="Times New Roman" w:cs="Times New Roman"/>
                <w:lang w:val="sq-AL"/>
              </w:rPr>
              <w:t>Vonesat eventuale në realizimin e projekteve me BB dhe IPA, si pasojë e pandemisë</w:t>
            </w:r>
          </w:p>
        </w:tc>
        <w:tc>
          <w:tcPr>
            <w:tcW w:w="1710" w:type="dxa"/>
            <w:shd w:val="clear" w:color="auto" w:fill="auto"/>
          </w:tcPr>
          <w:p w14:paraId="43BC5635" w14:textId="77777777" w:rsidR="00CE4035" w:rsidRPr="0068706C" w:rsidRDefault="00CE4035" w:rsidP="009B753C">
            <w:pPr>
              <w:pStyle w:val="Default"/>
              <w:spacing w:after="60"/>
              <w:jc w:val="both"/>
              <w:rPr>
                <w:rFonts w:ascii="Times New Roman" w:hAnsi="Times New Roman" w:cs="Times New Roman"/>
                <w:lang w:val="sq-AL"/>
              </w:rPr>
            </w:pPr>
            <w:r w:rsidRPr="0068706C">
              <w:rPr>
                <w:rFonts w:ascii="Times New Roman" w:hAnsi="Times New Roman" w:cs="Times New Roman"/>
                <w:lang w:val="sq-AL"/>
              </w:rPr>
              <w:t>I ulët</w:t>
            </w:r>
          </w:p>
        </w:tc>
        <w:tc>
          <w:tcPr>
            <w:tcW w:w="3330" w:type="dxa"/>
            <w:vMerge w:val="restart"/>
            <w:shd w:val="clear" w:color="auto" w:fill="auto"/>
          </w:tcPr>
          <w:p w14:paraId="2B440EF0" w14:textId="77777777" w:rsidR="00CE4035" w:rsidRPr="0068706C" w:rsidRDefault="00CE4035" w:rsidP="009B753C">
            <w:pPr>
              <w:pStyle w:val="Default"/>
              <w:spacing w:after="60"/>
              <w:jc w:val="both"/>
              <w:rPr>
                <w:rFonts w:ascii="Times New Roman" w:hAnsi="Times New Roman" w:cs="Times New Roman"/>
                <w:lang w:val="sq-AL"/>
              </w:rPr>
            </w:pPr>
            <w:r w:rsidRPr="0068706C">
              <w:rPr>
                <w:rFonts w:ascii="Times New Roman" w:hAnsi="Times New Roman" w:cs="Times New Roman"/>
                <w:lang w:val="sq-AL"/>
              </w:rPr>
              <w:t>Shqyrtimi i hollësishëm, në fazën e hershme të zbatimit të aktivitetit, të fuqisë punëtore potenciale të TIK dhe bizneseve ekzistuese të TIK në lidhje me kriteret për pranim në aktivitet, duke përdorur mjetet më efikase të TIK-ut për testimin dhe vlerësimin e kandidatëve potencialë</w:t>
            </w:r>
          </w:p>
        </w:tc>
      </w:tr>
      <w:tr w:rsidR="00CE4035" w:rsidRPr="0068706C" w14:paraId="25C4CCF8" w14:textId="77777777" w:rsidTr="0068706C">
        <w:tc>
          <w:tcPr>
            <w:tcW w:w="3595" w:type="dxa"/>
            <w:shd w:val="clear" w:color="auto" w:fill="auto"/>
          </w:tcPr>
          <w:p w14:paraId="6352AC30" w14:textId="77777777" w:rsidR="00CE4035" w:rsidRPr="0068706C" w:rsidRDefault="00CE4035" w:rsidP="009B753C">
            <w:pPr>
              <w:pStyle w:val="Default"/>
              <w:spacing w:after="60"/>
              <w:jc w:val="both"/>
              <w:rPr>
                <w:rFonts w:ascii="Times New Roman" w:hAnsi="Times New Roman" w:cs="Times New Roman"/>
                <w:lang w:val="sq-AL"/>
              </w:rPr>
            </w:pPr>
            <w:r w:rsidRPr="0068706C">
              <w:rPr>
                <w:rFonts w:ascii="Times New Roman" w:hAnsi="Times New Roman" w:cs="Times New Roman"/>
                <w:lang w:val="sq-AL"/>
              </w:rPr>
              <w:t>Kapacitetet e kufizuara absorbuese në mesin e fuqisë punëtore potenciale të TIK dhe bizneseve të TIK</w:t>
            </w:r>
          </w:p>
        </w:tc>
        <w:tc>
          <w:tcPr>
            <w:tcW w:w="1710" w:type="dxa"/>
            <w:shd w:val="clear" w:color="auto" w:fill="auto"/>
          </w:tcPr>
          <w:p w14:paraId="75A498F5" w14:textId="77777777" w:rsidR="00CE4035" w:rsidRPr="0068706C" w:rsidRDefault="00CE4035" w:rsidP="009B753C">
            <w:pPr>
              <w:pStyle w:val="Default"/>
              <w:spacing w:after="60"/>
              <w:jc w:val="both"/>
              <w:rPr>
                <w:rFonts w:ascii="Times New Roman" w:hAnsi="Times New Roman" w:cs="Times New Roman"/>
                <w:lang w:val="sq-AL"/>
              </w:rPr>
            </w:pPr>
            <w:r w:rsidRPr="0068706C">
              <w:rPr>
                <w:rFonts w:ascii="Times New Roman" w:hAnsi="Times New Roman" w:cs="Times New Roman"/>
                <w:lang w:val="sq-AL"/>
              </w:rPr>
              <w:t>I ulët</w:t>
            </w:r>
          </w:p>
        </w:tc>
        <w:tc>
          <w:tcPr>
            <w:tcW w:w="3330" w:type="dxa"/>
            <w:vMerge/>
            <w:shd w:val="clear" w:color="auto" w:fill="auto"/>
          </w:tcPr>
          <w:p w14:paraId="468CE1F2" w14:textId="77777777" w:rsidR="00CE4035" w:rsidRPr="0068706C" w:rsidRDefault="00CE4035" w:rsidP="009B753C">
            <w:pPr>
              <w:pStyle w:val="Default"/>
              <w:spacing w:after="60"/>
              <w:jc w:val="both"/>
              <w:rPr>
                <w:rFonts w:ascii="Times New Roman" w:hAnsi="Times New Roman" w:cs="Times New Roman"/>
                <w:lang w:val="sq-AL"/>
              </w:rPr>
            </w:pPr>
          </w:p>
        </w:tc>
      </w:tr>
    </w:tbl>
    <w:p w14:paraId="09F80796" w14:textId="77777777" w:rsidR="00CE4035" w:rsidRPr="0068706C" w:rsidRDefault="00CE4035" w:rsidP="00CE4035"/>
    <w:p w14:paraId="0B47AF88" w14:textId="77777777" w:rsidR="00CE4035" w:rsidRPr="0068706C" w:rsidRDefault="00CE4035" w:rsidP="00CE4035">
      <w:pPr>
        <w:pStyle w:val="NoSpacing"/>
        <w:rPr>
          <w:rFonts w:ascii="Times New Roman" w:hAnsi="Times New Roman"/>
          <w:b/>
          <w:sz w:val="24"/>
          <w:szCs w:val="24"/>
        </w:rPr>
      </w:pPr>
      <w:r w:rsidRPr="0068706C">
        <w:rPr>
          <w:rFonts w:ascii="Times New Roman" w:hAnsi="Times New Roman"/>
          <w:b/>
          <w:sz w:val="24"/>
          <w:szCs w:val="24"/>
        </w:rPr>
        <w:t>4.3.5 Reformat për integrim ekonomik</w:t>
      </w:r>
    </w:p>
    <w:p w14:paraId="5825A40F" w14:textId="77777777" w:rsidR="00CE4035" w:rsidRPr="0068706C" w:rsidRDefault="00CE4035" w:rsidP="00CE4035">
      <w:pPr>
        <w:pStyle w:val="NoSpacing"/>
        <w:rPr>
          <w:rFonts w:ascii="Times New Roman" w:hAnsi="Times New Roman"/>
          <w:b/>
          <w:sz w:val="24"/>
          <w:szCs w:val="24"/>
        </w:rPr>
      </w:pPr>
    </w:p>
    <w:p w14:paraId="3713C15F" w14:textId="77777777" w:rsidR="00CE4035" w:rsidRPr="0068706C" w:rsidRDefault="00CE4035" w:rsidP="00CE4035">
      <w:pPr>
        <w:pStyle w:val="NoSpacing"/>
        <w:rPr>
          <w:rFonts w:ascii="Times New Roman" w:hAnsi="Times New Roman"/>
          <w:b/>
          <w:sz w:val="24"/>
          <w:szCs w:val="24"/>
        </w:rPr>
      </w:pPr>
      <w:r w:rsidRPr="0068706C">
        <w:rPr>
          <w:rFonts w:ascii="Times New Roman" w:hAnsi="Times New Roman"/>
          <w:b/>
          <w:sz w:val="24"/>
          <w:szCs w:val="24"/>
        </w:rPr>
        <w:t>a.  Analiza e pengesave kryesore</w:t>
      </w:r>
    </w:p>
    <w:p w14:paraId="0BEE1EE6" w14:textId="77777777" w:rsidR="00CE4035" w:rsidRPr="0068706C" w:rsidRDefault="00CE4035" w:rsidP="00CE4035">
      <w:pPr>
        <w:jc w:val="both"/>
      </w:pPr>
      <w:r w:rsidRPr="0068706C">
        <w:rPr>
          <w:b/>
        </w:rPr>
        <w:t>Gjendja aktuale:</w:t>
      </w:r>
      <w:r w:rsidRPr="0068706C">
        <w:t xml:space="preserve"> Kosova ka ndërmarrë hapa thelbësorë në liberalizimin e ekonomisë së saj dhe tregtisë së jashtme, dhe është arritur progres i rëndësishëm në përafrimin e politikave tregtare me rregullat dhe rregulloret e sistemit multilateral të tregtisë. Përkundër të gjitha përpjekjeve të ndërmarra për të arritur një ekonomi funksionale të tregut dhe aftësinë për të përballuar konkurrencën dhe forcat e tregut, Kosova ende nuk ka arritur të sigurojë qëndrueshmërinë e llogarive të saj të jashtme, pasi që një nga faktet më të dukshme dhe alarmante në ekonominë e Kosovës është deficiti i madh dhe vazhdimisht në rritje i tregtisë, duke vë në pikëpyetje nëse burimet e financimit të jashtëm të llogarisë rrjedhëse, të cilat kanë lejuar stabilitetin relativ të ekonomisë së Kosovës, mund të jenë të qëndrueshme në të ardhmen. Deficiti i përgjithshëm tregtar, në mallra dhe shërbime, ishte në 31% të PBB-së gjatë vitit 2019. Deficiti i përgjithshëm tregtar pasqyron ecurinë e zbehtë të tregtisë së mallrave, i cili në vitin 2019 regjistroi një deficit prej 44.5% të PBB-së, me eksportet që përfaqësojnë vetëm 5.4% të PBB-së, ndërsa importet arritën në 50% të PBB-së. Kosova është dukshëm e dobët në raport me ato që mund të priten në bazë të nxitësve kryesorë të potencialit tregtar. Në kontrast me situatën në tregtinë e mallrave, në rastin e tregtisë me shërbime është arritur një tepricë ekuivalente me 13.3% të PBB-së, e shpjeguar kryesisht nga llogaria e udhëtimit që reflekton vizitat në vend nga diaspora e Kosovës. Deficiti gjithnjë në rritje i mallrave është një nga sfidat kryesore me të cilat përballet ekonomia e Kosovës. Ndikimi i krizës Covid 19 në tregtinë e Kosovës, në veçanti në llogarinë e shërbimeve, sigurisht që do të përkeqësojë situatën e pozicionit të jashtëm të Kosovës, ku deficiti tregtar i mallrave dhe shërbimeve në tremujorin e parë të 2020 është rreth 4.6% më i lartë krahasuar me periudhën e njëjtë të vitit të kaluar. Kosova ka mundësi të kufizuara për të diversifikuar shportën e saj të eksportit dhe për të plotësuar kërkesën, dhe me cilësi adekuate për të qenë në përputhje me standardet teknike dhe rregulloret dhe kërkesat sanitare, duke plotësuar shijet e konsumatorit. </w:t>
      </w:r>
    </w:p>
    <w:p w14:paraId="492418AC" w14:textId="77777777" w:rsidR="00CE4035" w:rsidRPr="0068706C" w:rsidRDefault="00CE4035" w:rsidP="00CE4035">
      <w:pPr>
        <w:jc w:val="both"/>
        <w:rPr>
          <w:spacing w:val="3"/>
        </w:rPr>
      </w:pPr>
      <w:r w:rsidRPr="0068706C">
        <w:rPr>
          <w:shd w:val="clear" w:color="auto" w:fill="FFFFFF"/>
        </w:rPr>
        <w:t>Sipas raportit analitik Janar-Qershor 2020 të përgatitur nga MTI/DT, kriza e shkaktuar nga COVID-19, ka prekur importin dhe eksportin e mallrave. Kryesisht</w:t>
      </w:r>
      <w:r w:rsidRPr="0068706C">
        <w:rPr>
          <w:spacing w:val="3"/>
        </w:rPr>
        <w:t xml:space="preserve"> sektorët të cilët kanë shënuar rënie në import janë mineralet (nafta dhe vajrat e saj), mjetet e transportit, produktet nga metali, tekstili, veshmbathjet etj.</w:t>
      </w:r>
      <w:r w:rsidRPr="0068706C">
        <w:rPr>
          <w:spacing w:val="-1"/>
        </w:rPr>
        <w:t xml:space="preserve"> Ndërsa, rritja</w:t>
      </w:r>
      <w:r w:rsidRPr="0068706C">
        <w:rPr>
          <w:spacing w:val="20"/>
        </w:rPr>
        <w:t xml:space="preserve"> </w:t>
      </w:r>
      <w:r w:rsidRPr="0068706C">
        <w:rPr>
          <w:spacing w:val="-1"/>
        </w:rPr>
        <w:t>më</w:t>
      </w:r>
      <w:r w:rsidRPr="0068706C">
        <w:rPr>
          <w:spacing w:val="20"/>
        </w:rPr>
        <w:t xml:space="preserve"> </w:t>
      </w:r>
      <w:r w:rsidRPr="0068706C">
        <w:t>e</w:t>
      </w:r>
      <w:r w:rsidRPr="0068706C">
        <w:rPr>
          <w:spacing w:val="20"/>
        </w:rPr>
        <w:t xml:space="preserve"> </w:t>
      </w:r>
      <w:r w:rsidRPr="0068706C">
        <w:rPr>
          <w:spacing w:val="-1"/>
        </w:rPr>
        <w:t>lartë</w:t>
      </w:r>
      <w:r w:rsidRPr="0068706C">
        <w:rPr>
          <w:spacing w:val="19"/>
        </w:rPr>
        <w:t xml:space="preserve"> </w:t>
      </w:r>
      <w:r w:rsidRPr="0068706C">
        <w:t>u</w:t>
      </w:r>
      <w:r w:rsidRPr="0068706C">
        <w:rPr>
          <w:spacing w:val="21"/>
        </w:rPr>
        <w:t xml:space="preserve"> </w:t>
      </w:r>
      <w:r w:rsidRPr="0068706C">
        <w:t>shënua</w:t>
      </w:r>
      <w:r w:rsidRPr="0068706C">
        <w:rPr>
          <w:spacing w:val="45"/>
        </w:rPr>
        <w:t xml:space="preserve"> </w:t>
      </w:r>
      <w:r w:rsidRPr="0068706C">
        <w:t>tek</w:t>
      </w:r>
      <w:r w:rsidRPr="0068706C">
        <w:rPr>
          <w:spacing w:val="1"/>
        </w:rPr>
        <w:t xml:space="preserve"> </w:t>
      </w:r>
      <w:r w:rsidRPr="0068706C">
        <w:t>importi</w:t>
      </w:r>
      <w:r w:rsidRPr="0068706C">
        <w:rPr>
          <w:spacing w:val="3"/>
        </w:rPr>
        <w:t xml:space="preserve"> </w:t>
      </w:r>
      <w:r w:rsidRPr="0068706C">
        <w:t>i</w:t>
      </w:r>
      <w:r w:rsidRPr="0068706C">
        <w:rPr>
          <w:spacing w:val="2"/>
        </w:rPr>
        <w:t xml:space="preserve"> </w:t>
      </w:r>
      <w:r w:rsidRPr="0068706C">
        <w:t>produkteve</w:t>
      </w:r>
      <w:r w:rsidRPr="0068706C">
        <w:rPr>
          <w:spacing w:val="3"/>
        </w:rPr>
        <w:t xml:space="preserve"> të industrisë kimike (medikamentet), industrisë ushqimore, pijeve, yndyrorët, bimore etj. </w:t>
      </w:r>
      <w:r w:rsidRPr="0068706C">
        <w:rPr>
          <w:spacing w:val="-2"/>
        </w:rPr>
        <w:t xml:space="preserve">Megjithatë, vlen të ceket se gjatë gjashtëmujorit të parë 2020 kemi një rritje të konsiderueshme të eksporteve për mallrat që i përkasin sektorit të industrisë kimike më konkretisht produktet si: preparatet larëse, sapunët, preparatet lubrifikuese, etj. Vlera e eksportit të tyre ka kaluar nga 1.4 milion euro sa ka qenë në gjashtëmujorin e parë 2019 në 6.2 milion euro në këtë vit. Por në anën tjetër kemi rënie drastike për afër 50% të produkteve të mineraleve (është eksportuar energjia elektrike vetëm 1.8 milion euro rënie për 7.7 milion euro). </w:t>
      </w:r>
      <w:r w:rsidRPr="0068706C">
        <w:t>Në nivelin rajonal, Kosova është pjesëmarrëse në reformat e lehtësimit të tregtisë përmes mekanizmave të CEFTAs si dhe planit MAP/REA. Plani i Veprimit i MAP/REA është reflektuar përmes aktiviteteve në masën 14. Agjenda e lehtësimit të tregtisë së vendeve të CEFTA-s është e lidhur me Marrëveshjen e lehtësimit të tregtisë të OBT-së dhe reflekton në planin MAP/REA. Të një rëndësie të veçantë janë fushat e standardeve teknike dhe masat sanitare dhe fitosanitare, infrastruktura dhe procedurat e vlerësimit të konformitetit, vlerësimi i riskut i bazuar në inspektime dhe sistemi i informacionit në fushën e SPS. Në rrjedhën e aktiviteteve për lehtësimin e tregtisë, Kosova ka vazhduar harmonizimin e legjislacionit në fushën e lëvizjes së mallrave me atë të BE-së që t’i mundësoj qasje më të lehtë produkteve kosovare në tregun e saj. Ky harmonizim është edhe një kërkesë thelbësore e Marrëveshjes së Stabilizim Asociimit. Lidhur me këtë duke pasur parasysh që fusha e produkteve të ndërtimit është shumë e rëndësishme për Kosovën pasi që sektori i ndërtimit përbën afërsisht 7.8% të PBB-së së Kosovës.</w:t>
      </w:r>
    </w:p>
    <w:p w14:paraId="08D36464" w14:textId="4BEFAA73" w:rsidR="00CE4035" w:rsidRDefault="00CE4035" w:rsidP="00CE4035">
      <w:pPr>
        <w:jc w:val="both"/>
      </w:pPr>
      <w:r w:rsidRPr="0068706C">
        <w:rPr>
          <w:b/>
        </w:rPr>
        <w:t>Pengesat strukturore:</w:t>
      </w:r>
      <w:r w:rsidRPr="0068706C">
        <w:t xml:space="preserve"> Përveç zvogëlimit të shpenzimeve administrative, niveli i zhvillimit të infrastrukturës së cilësisë (standardizimi, akreditimi dhe certifikimi i produktit) është një pengesë tjetër për eksportet dhe zëvendësimin e importit. Reduktimi i pengesave teknike në tregti është një element tjetër po aq i rëndësishëm i lehtësimit të tregtisë. Kosova ka identifikuar barrierat logjistike dhe kufitare si një nga pengesat më të mëdha për qarkullim më të madh të mallrave midis partnerëve rajonal, si dhe për një integrim më të thellë me vendet tjera të botës. Barrierat dhe kostot e larta të tregtisë ndër-kufitare zvogëlojnë nivelin e eksporteve të Kosovës dhe rrisin koston e importeve, që ndikon tek shumica e prodhuesve të Kosovës që përdorin materiale të importuara, ashtu edhe tek konsumatorët që përdorin mallra të importuara. </w:t>
      </w:r>
    </w:p>
    <w:p w14:paraId="446AD884" w14:textId="77777777" w:rsidR="0068706C" w:rsidRPr="0068706C" w:rsidRDefault="0068706C" w:rsidP="00CE4035">
      <w:pPr>
        <w:jc w:val="both"/>
      </w:pPr>
    </w:p>
    <w:p w14:paraId="30BF0501" w14:textId="77777777" w:rsidR="00CE4035" w:rsidRPr="0068706C" w:rsidRDefault="00CE4035" w:rsidP="0068706C">
      <w:pPr>
        <w:pStyle w:val="ListParagraph"/>
        <w:numPr>
          <w:ilvl w:val="2"/>
          <w:numId w:val="39"/>
        </w:numPr>
        <w:spacing w:after="60" w:line="240" w:lineRule="auto"/>
        <w:ind w:left="450" w:hanging="450"/>
        <w:jc w:val="both"/>
        <w:rPr>
          <w:rFonts w:ascii="Times New Roman" w:hAnsi="Times New Roman"/>
          <w:b/>
          <w:sz w:val="24"/>
          <w:szCs w:val="24"/>
        </w:rPr>
      </w:pPr>
      <w:r w:rsidRPr="0068706C">
        <w:rPr>
          <w:rFonts w:ascii="Times New Roman" w:hAnsi="Times New Roman"/>
          <w:b/>
          <w:sz w:val="24"/>
          <w:szCs w:val="24"/>
        </w:rPr>
        <w:t>Prioritetet e reformave strukturore</w:t>
      </w:r>
    </w:p>
    <w:p w14:paraId="2B2FC571" w14:textId="77777777" w:rsidR="00CE4035" w:rsidRPr="0068706C" w:rsidRDefault="00CE4035" w:rsidP="00CE4035">
      <w:pPr>
        <w:shd w:val="clear" w:color="auto" w:fill="9CC2E5" w:themeFill="accent1" w:themeFillTint="99"/>
        <w:jc w:val="both"/>
        <w:rPr>
          <w:b/>
        </w:rPr>
      </w:pPr>
      <w:r w:rsidRPr="0068706C">
        <w:rPr>
          <w:b/>
          <w:bCs/>
        </w:rPr>
        <w:t xml:space="preserve">Masa e reformës # 14: </w:t>
      </w:r>
      <w:r w:rsidRPr="0068706C">
        <w:rPr>
          <w:b/>
        </w:rPr>
        <w:t>Lehtësimi i tregtisë përmes uljes së kostos së transaksioneve tregtare</w:t>
      </w:r>
    </w:p>
    <w:p w14:paraId="62B63DDD" w14:textId="77777777" w:rsidR="00CE4035" w:rsidRPr="0068706C" w:rsidRDefault="00CE4035" w:rsidP="00CE4035">
      <w:pPr>
        <w:jc w:val="both"/>
        <w:rPr>
          <w:bCs/>
        </w:rPr>
      </w:pPr>
      <w:r w:rsidRPr="0068706C">
        <w:rPr>
          <w:b/>
          <w:bCs/>
        </w:rPr>
        <w:t>Përshkrimi i masës:</w:t>
      </w:r>
      <w:r w:rsidRPr="0068706C">
        <w:rPr>
          <w:bCs/>
        </w:rPr>
        <w:t xml:space="preserve"> Kjo masë pritet të reduktojë koston e transaksioneve ndërkufitare dhe kohën, për të përmirësuar kushtet e hyrjes në treg për eksportet e Kosovës në tregjet e zgjedhura (targetuara). Gjithashtu, kjo masë pritet të sigurojë një mjedis miqësor juridik për aktivitetet tregtare në Kosovë. Kosova tashmë ka marrë obligime në nivel rajonal dhe global, përmes Protokollit Shtesë 5 të CEFTA-së, MSA-së, MTL me Turqinë dhe Organizatës Botërore të Doganës (OBD). Lehtësimi i tregtisë përkatësisht adresimi dhe reduktimi i barrierave trajtohet edhe përmes Strategjisë Kombëtare për Zhvillim, Programit të Qeverisë dhe Programit Kombëtar për Zbatimin e MSA-së. Kjo masë përsëritet nga PRE e vitit të kaluar, për shkak se disa nga aktivitetet kërkojnë periudhë më të gjate se 1 vit për t’u realizuar. Gjithashtu, disa nga aktivitetet nuk kanë arritur të realizohen për shkak të situatës politike dhe situatës me pandeminë COVID-19. Kjo masë ka ndërlidhje me Marrëveshjen e Gjelbër Evropiane pika 2: Transformimi i ekonomisë së BE-së për një të ardhme të qëndrueshme; nën-pika 2.1.3. Mobilizimi i industrisë për një ekonomi të pastër dhe cirkulare (Teknologjitë dixhitale janë një mundësi e rëndësishme për arritjen e qëllimeve të qëndrueshmërisë së marrëveshjes së Gjelbër në sektorë të ndryshëm). Gjithashtu ekziston një ndërlidhje me SZHQ, Qëllimi 17: Forcimi i mjeteve të zbatimit dhe rivitalizimi i partneritetit global për zhvillim të qëndrueshëm (TREGTI).</w:t>
      </w:r>
    </w:p>
    <w:p w14:paraId="047041DF" w14:textId="77777777" w:rsidR="00CE4035" w:rsidRPr="0068706C" w:rsidRDefault="00CE4035" w:rsidP="00CE4035">
      <w:pPr>
        <w:jc w:val="both"/>
        <w:rPr>
          <w:bCs/>
        </w:rPr>
      </w:pPr>
      <w:r w:rsidRPr="0068706C">
        <w:rPr>
          <w:bCs/>
        </w:rPr>
        <w:t>Për më tepër, ekziston një lidhje me dokumentin mbi Tregun e Përbashkët Rajonal i cili rrjedh nga pika 1 e Samitit të Sofjes: Zona e Tregtisë Rajonale - Masat e ndërlidhura tregtare; nën-pikat: 1.1 Ruajtja e Korridoreve/Korsive të Gjelbra dhe harmonizimi i kontrolleve në PKK/PPK (5. Vendosja e lidhjes së plotë ndërmjet SEED+ dhe sistemit elektronik të menaxhimit të radhës (eQMS) nëse vihet në funksion, për të maksimizuar përfitimet e të dy sistemeve për operatorët ekonomikë), 1.2. Eliminimi i pengesave jotarifore (PJT) (1. Miratimi i një mekanizmi efikas dhe efektiv për zgjidhjen e mosmarrëveshjeve), dhe 1.5.Ulja e kostove tregtare dhe rritja e transparencës.</w:t>
      </w:r>
    </w:p>
    <w:p w14:paraId="619BC1C8" w14:textId="77777777" w:rsidR="00CE4035" w:rsidRPr="0068706C" w:rsidRDefault="00CE4035" w:rsidP="00CE4035">
      <w:pPr>
        <w:jc w:val="both"/>
        <w:rPr>
          <w:bCs/>
        </w:rPr>
      </w:pPr>
    </w:p>
    <w:p w14:paraId="2F65F138" w14:textId="77777777" w:rsidR="00CE4035" w:rsidRPr="0068706C" w:rsidRDefault="00CE4035" w:rsidP="00CE4035">
      <w:pPr>
        <w:jc w:val="both"/>
        <w:rPr>
          <w:b/>
          <w:bCs/>
        </w:rPr>
      </w:pPr>
      <w:r w:rsidRPr="0068706C">
        <w:rPr>
          <w:b/>
          <w:bCs/>
        </w:rPr>
        <w:t>a. Aktivitetet e planifikuara për 2021:</w:t>
      </w:r>
    </w:p>
    <w:p w14:paraId="74E3C9D5" w14:textId="77777777" w:rsidR="00CE4035" w:rsidRPr="0068706C" w:rsidRDefault="00CE4035" w:rsidP="0068706C">
      <w:pPr>
        <w:pStyle w:val="Default"/>
        <w:numPr>
          <w:ilvl w:val="0"/>
          <w:numId w:val="40"/>
        </w:numPr>
        <w:ind w:left="360"/>
        <w:jc w:val="both"/>
        <w:rPr>
          <w:rFonts w:ascii="Times New Roman" w:hAnsi="Times New Roman" w:cs="Times New Roman"/>
          <w:bCs/>
          <w:color w:val="auto"/>
          <w:lang w:val="sq-AL"/>
        </w:rPr>
      </w:pPr>
      <w:r w:rsidRPr="0068706C">
        <w:rPr>
          <w:rFonts w:ascii="Times New Roman" w:hAnsi="Times New Roman" w:cs="Times New Roman"/>
          <w:bCs/>
          <w:color w:val="auto"/>
          <w:lang w:val="sq-AL"/>
        </w:rPr>
        <w:t>Finalizimi i dokumentit të ri për Politika Tregtare (MTI);</w:t>
      </w:r>
    </w:p>
    <w:p w14:paraId="61C2DE12" w14:textId="77777777" w:rsidR="00CE4035" w:rsidRPr="0068706C" w:rsidRDefault="00CE4035" w:rsidP="0068706C">
      <w:pPr>
        <w:pStyle w:val="Default"/>
        <w:numPr>
          <w:ilvl w:val="0"/>
          <w:numId w:val="40"/>
        </w:numPr>
        <w:ind w:left="360"/>
        <w:jc w:val="both"/>
        <w:rPr>
          <w:rFonts w:ascii="Times New Roman" w:hAnsi="Times New Roman" w:cs="Times New Roman"/>
          <w:bCs/>
          <w:color w:val="auto"/>
          <w:lang w:val="sq-AL"/>
        </w:rPr>
      </w:pPr>
      <w:r w:rsidRPr="0068706C">
        <w:rPr>
          <w:rFonts w:ascii="Times New Roman" w:hAnsi="Times New Roman" w:cs="Times New Roman"/>
          <w:bCs/>
          <w:color w:val="auto"/>
          <w:lang w:val="sq-AL"/>
        </w:rPr>
        <w:t>Plotësim/ndryshimi i Kodit Doganor dhe i Akcizave (KDA) dhe UA për zbatim të KDA, (MF- Dogana) ;</w:t>
      </w:r>
    </w:p>
    <w:p w14:paraId="0BCE55BF" w14:textId="77777777" w:rsidR="00CE4035" w:rsidRPr="0068706C" w:rsidRDefault="00CE4035" w:rsidP="0068706C">
      <w:pPr>
        <w:pStyle w:val="Default"/>
        <w:numPr>
          <w:ilvl w:val="0"/>
          <w:numId w:val="40"/>
        </w:numPr>
        <w:ind w:left="360"/>
        <w:jc w:val="both"/>
        <w:rPr>
          <w:rFonts w:ascii="Times New Roman" w:hAnsi="Times New Roman" w:cs="Times New Roman"/>
          <w:bCs/>
          <w:color w:val="auto"/>
          <w:lang w:val="sq-AL"/>
        </w:rPr>
      </w:pPr>
      <w:r w:rsidRPr="0068706C">
        <w:rPr>
          <w:rFonts w:ascii="Times New Roman" w:hAnsi="Times New Roman" w:cs="Times New Roman"/>
          <w:bCs/>
          <w:color w:val="auto"/>
          <w:lang w:val="sq-AL"/>
        </w:rPr>
        <w:t xml:space="preserve">Miratimi i Ligjit të ri për Tregti të Brendshme dhe Ligjit për Tregti të Jashtme (MTI); </w:t>
      </w:r>
    </w:p>
    <w:p w14:paraId="05BC47DF" w14:textId="77777777" w:rsidR="00CE4035" w:rsidRPr="0068706C" w:rsidRDefault="00CE4035" w:rsidP="0068706C">
      <w:pPr>
        <w:pStyle w:val="Default"/>
        <w:numPr>
          <w:ilvl w:val="0"/>
          <w:numId w:val="40"/>
        </w:numPr>
        <w:ind w:left="360"/>
        <w:jc w:val="both"/>
        <w:rPr>
          <w:rFonts w:ascii="Times New Roman" w:hAnsi="Times New Roman" w:cs="Times New Roman"/>
          <w:bCs/>
          <w:color w:val="auto"/>
          <w:lang w:val="sq-AL"/>
        </w:rPr>
      </w:pPr>
      <w:r w:rsidRPr="0068706C">
        <w:rPr>
          <w:rFonts w:ascii="Times New Roman" w:hAnsi="Times New Roman" w:cs="Times New Roman"/>
          <w:color w:val="auto"/>
          <w:lang w:val="sq-AL"/>
        </w:rPr>
        <w:t>Fillimi i procesit të negocimit për marrëveshje me vendet e EFTA-së (MTI)</w:t>
      </w:r>
    </w:p>
    <w:p w14:paraId="231DF46E" w14:textId="77777777" w:rsidR="00CE4035" w:rsidRPr="0068706C" w:rsidRDefault="00CE4035" w:rsidP="0068706C">
      <w:pPr>
        <w:pStyle w:val="Default"/>
        <w:numPr>
          <w:ilvl w:val="0"/>
          <w:numId w:val="40"/>
        </w:numPr>
        <w:ind w:left="360"/>
        <w:jc w:val="both"/>
        <w:rPr>
          <w:rFonts w:ascii="Times New Roman" w:hAnsi="Times New Roman" w:cs="Times New Roman"/>
          <w:bCs/>
          <w:color w:val="auto"/>
          <w:lang w:val="sq-AL"/>
        </w:rPr>
      </w:pPr>
      <w:r w:rsidRPr="0068706C">
        <w:rPr>
          <w:rFonts w:ascii="Times New Roman" w:hAnsi="Times New Roman" w:cs="Times New Roman"/>
          <w:bCs/>
          <w:color w:val="auto"/>
          <w:lang w:val="sq-AL"/>
        </w:rPr>
        <w:t xml:space="preserve">Miratimi i Rregullores për themelimin e Qendrës Informative për Lehtësira Tregtare nga Qeveria (MTI-Dogana); </w:t>
      </w:r>
    </w:p>
    <w:p w14:paraId="4F36DF33" w14:textId="77777777" w:rsidR="00CE4035" w:rsidRPr="0068706C" w:rsidRDefault="00CE4035" w:rsidP="0068706C">
      <w:pPr>
        <w:pStyle w:val="Default"/>
        <w:numPr>
          <w:ilvl w:val="0"/>
          <w:numId w:val="40"/>
        </w:numPr>
        <w:ind w:left="360"/>
        <w:jc w:val="both"/>
        <w:rPr>
          <w:rFonts w:ascii="Times New Roman" w:hAnsi="Times New Roman" w:cs="Times New Roman"/>
          <w:bCs/>
          <w:color w:val="auto"/>
          <w:lang w:val="sq-AL"/>
        </w:rPr>
      </w:pPr>
      <w:r w:rsidRPr="0068706C">
        <w:rPr>
          <w:rFonts w:ascii="Times New Roman" w:hAnsi="Times New Roman" w:cs="Times New Roman"/>
          <w:color w:val="auto"/>
          <w:lang w:val="sq-AL"/>
        </w:rPr>
        <w:t>Studimi i fizibilitetit për platformën e projektit NCTS (New Computerized Transit System) (Dogana-MF);</w:t>
      </w:r>
    </w:p>
    <w:p w14:paraId="071D8D0F" w14:textId="77777777" w:rsidR="00CE4035" w:rsidRPr="0068706C" w:rsidRDefault="00CE4035" w:rsidP="0068706C">
      <w:pPr>
        <w:pStyle w:val="Default"/>
        <w:numPr>
          <w:ilvl w:val="0"/>
          <w:numId w:val="40"/>
        </w:numPr>
        <w:ind w:left="360"/>
        <w:jc w:val="both"/>
        <w:rPr>
          <w:rFonts w:ascii="Times New Roman" w:hAnsi="Times New Roman" w:cs="Times New Roman"/>
          <w:bCs/>
          <w:color w:val="auto"/>
          <w:lang w:val="sq-AL"/>
        </w:rPr>
      </w:pPr>
      <w:r w:rsidRPr="0068706C">
        <w:rPr>
          <w:rFonts w:ascii="Times New Roman" w:hAnsi="Times New Roman" w:cs="Times New Roman"/>
          <w:color w:val="auto"/>
          <w:lang w:val="sq-AL"/>
        </w:rPr>
        <w:t>Ratifikimi i Protokollit Shtesë 5 të CEFTAs për Lehtësimin e Tregtisë; nuk ka kosto.</w:t>
      </w:r>
    </w:p>
    <w:p w14:paraId="13B930A6" w14:textId="77777777" w:rsidR="00CE4035" w:rsidRPr="0068706C" w:rsidRDefault="00CE4035" w:rsidP="0068706C">
      <w:pPr>
        <w:pStyle w:val="Default"/>
        <w:numPr>
          <w:ilvl w:val="0"/>
          <w:numId w:val="40"/>
        </w:numPr>
        <w:ind w:left="360"/>
        <w:jc w:val="both"/>
        <w:rPr>
          <w:rFonts w:ascii="Times New Roman" w:hAnsi="Times New Roman" w:cs="Times New Roman"/>
          <w:bCs/>
          <w:color w:val="auto"/>
          <w:lang w:val="sq-AL"/>
        </w:rPr>
      </w:pPr>
      <w:r w:rsidRPr="0068706C">
        <w:rPr>
          <w:rFonts w:ascii="Times New Roman" w:hAnsi="Times New Roman" w:cs="Times New Roman"/>
          <w:color w:val="auto"/>
          <w:lang w:val="sq-AL"/>
        </w:rPr>
        <w:t>Finalizimi i negociatave me vendet e CEFTAs për Protokollin Shtesë 7 për Zgjidhjen e Mosmarrëveshjeve Tregtare;</w:t>
      </w:r>
    </w:p>
    <w:p w14:paraId="428C0C9F" w14:textId="77777777" w:rsidR="00CE4035" w:rsidRPr="0068706C" w:rsidRDefault="00CE4035" w:rsidP="00CE4035">
      <w:pPr>
        <w:pStyle w:val="Default"/>
        <w:jc w:val="both"/>
        <w:rPr>
          <w:rFonts w:ascii="Times New Roman" w:hAnsi="Times New Roman" w:cs="Times New Roman"/>
          <w:color w:val="auto"/>
          <w:lang w:val="sq-AL"/>
        </w:rPr>
      </w:pPr>
    </w:p>
    <w:p w14:paraId="11CD1212" w14:textId="77777777" w:rsidR="00CE4035" w:rsidRPr="0068706C" w:rsidRDefault="00CE4035" w:rsidP="00CE4035">
      <w:pPr>
        <w:jc w:val="both"/>
        <w:rPr>
          <w:b/>
          <w:bCs/>
        </w:rPr>
      </w:pPr>
      <w:r w:rsidRPr="0068706C">
        <w:rPr>
          <w:b/>
          <w:bCs/>
        </w:rPr>
        <w:t>b. Aktivitetet e planifikuara për 2022:</w:t>
      </w:r>
    </w:p>
    <w:p w14:paraId="033AFC02" w14:textId="77777777" w:rsidR="00CE4035" w:rsidRPr="0068706C" w:rsidRDefault="00CE4035" w:rsidP="0068706C">
      <w:pPr>
        <w:pStyle w:val="ListParagraph"/>
        <w:numPr>
          <w:ilvl w:val="0"/>
          <w:numId w:val="41"/>
        </w:numPr>
        <w:spacing w:after="0" w:line="240" w:lineRule="auto"/>
        <w:contextualSpacing w:val="0"/>
        <w:jc w:val="both"/>
        <w:rPr>
          <w:rFonts w:ascii="Times New Roman" w:hAnsi="Times New Roman"/>
          <w:sz w:val="24"/>
          <w:szCs w:val="24"/>
        </w:rPr>
      </w:pPr>
      <w:r w:rsidRPr="0068706C">
        <w:rPr>
          <w:rFonts w:ascii="Times New Roman" w:hAnsi="Times New Roman"/>
          <w:sz w:val="24"/>
          <w:szCs w:val="24"/>
        </w:rPr>
        <w:t>Hartimi i legjislacionit sekondar për Ligjin për Tregti të Brendshme dhe Ligjin për Tregti të Jashtme (MTI);</w:t>
      </w:r>
    </w:p>
    <w:p w14:paraId="08E28670" w14:textId="77777777" w:rsidR="00CE4035" w:rsidRPr="0068706C" w:rsidRDefault="00CE4035" w:rsidP="0068706C">
      <w:pPr>
        <w:pStyle w:val="ListParagraph"/>
        <w:numPr>
          <w:ilvl w:val="0"/>
          <w:numId w:val="41"/>
        </w:numPr>
        <w:spacing w:after="0" w:line="240" w:lineRule="auto"/>
        <w:contextualSpacing w:val="0"/>
        <w:jc w:val="both"/>
        <w:rPr>
          <w:rFonts w:ascii="Times New Roman" w:hAnsi="Times New Roman"/>
          <w:bCs/>
          <w:sz w:val="24"/>
          <w:szCs w:val="24"/>
        </w:rPr>
      </w:pPr>
      <w:r w:rsidRPr="0068706C">
        <w:rPr>
          <w:rFonts w:ascii="Times New Roman" w:hAnsi="Times New Roman"/>
          <w:sz w:val="24"/>
          <w:szCs w:val="24"/>
        </w:rPr>
        <w:t>Krijimi i platformës të shkëmbimit të informatave në nivel rajonal SEED+ (Dogana);</w:t>
      </w:r>
    </w:p>
    <w:p w14:paraId="754C2285" w14:textId="77777777" w:rsidR="00CE4035" w:rsidRPr="0068706C" w:rsidRDefault="00CE4035" w:rsidP="0068706C">
      <w:pPr>
        <w:pStyle w:val="Default"/>
        <w:numPr>
          <w:ilvl w:val="0"/>
          <w:numId w:val="41"/>
        </w:numPr>
        <w:jc w:val="both"/>
        <w:rPr>
          <w:rFonts w:ascii="Times New Roman" w:hAnsi="Times New Roman" w:cs="Times New Roman"/>
          <w:bCs/>
          <w:color w:val="auto"/>
          <w:lang w:val="sq-AL"/>
        </w:rPr>
      </w:pPr>
      <w:r w:rsidRPr="0068706C">
        <w:rPr>
          <w:rFonts w:ascii="Times New Roman" w:hAnsi="Times New Roman" w:cs="Times New Roman"/>
          <w:bCs/>
          <w:color w:val="auto"/>
          <w:lang w:val="sq-AL"/>
        </w:rPr>
        <w:t xml:space="preserve">Ratifikimi i Protokollit Shtesë 7 të CEFTAs për </w:t>
      </w:r>
      <w:r w:rsidRPr="0068706C">
        <w:rPr>
          <w:rFonts w:ascii="Times New Roman" w:hAnsi="Times New Roman" w:cs="Times New Roman"/>
          <w:color w:val="auto"/>
          <w:lang w:val="sq-AL"/>
        </w:rPr>
        <w:t xml:space="preserve">Zgjidhjen e Mosmarrëveshjeve Tregtare; </w:t>
      </w:r>
    </w:p>
    <w:p w14:paraId="04D5431E" w14:textId="77777777" w:rsidR="00CE4035" w:rsidRPr="0068706C" w:rsidRDefault="00CE4035" w:rsidP="00CE4035">
      <w:pPr>
        <w:pStyle w:val="ListParagraph"/>
        <w:rPr>
          <w:rFonts w:ascii="Times New Roman" w:hAnsi="Times New Roman"/>
          <w:b/>
          <w:bCs/>
          <w:sz w:val="24"/>
          <w:szCs w:val="24"/>
        </w:rPr>
      </w:pPr>
    </w:p>
    <w:p w14:paraId="047C955E" w14:textId="77777777" w:rsidR="00CE4035" w:rsidRPr="0068706C" w:rsidRDefault="00CE4035" w:rsidP="00CE4035">
      <w:pPr>
        <w:jc w:val="both"/>
        <w:rPr>
          <w:b/>
          <w:bCs/>
        </w:rPr>
      </w:pPr>
      <w:r w:rsidRPr="0068706C">
        <w:rPr>
          <w:b/>
          <w:bCs/>
        </w:rPr>
        <w:t>c. Aktivitetet e planifikuara për 2023:</w:t>
      </w:r>
    </w:p>
    <w:p w14:paraId="3A7AE4DB" w14:textId="77777777" w:rsidR="00CE4035" w:rsidRPr="0068706C" w:rsidRDefault="00CE4035" w:rsidP="0068706C">
      <w:pPr>
        <w:pStyle w:val="ListParagraph"/>
        <w:numPr>
          <w:ilvl w:val="0"/>
          <w:numId w:val="42"/>
        </w:numPr>
        <w:spacing w:after="0" w:line="240" w:lineRule="auto"/>
        <w:contextualSpacing w:val="0"/>
        <w:jc w:val="both"/>
        <w:rPr>
          <w:rFonts w:ascii="Times New Roman" w:hAnsi="Times New Roman"/>
          <w:bCs/>
          <w:sz w:val="24"/>
          <w:szCs w:val="24"/>
        </w:rPr>
      </w:pPr>
      <w:r w:rsidRPr="0068706C">
        <w:rPr>
          <w:rFonts w:ascii="Times New Roman" w:hAnsi="Times New Roman"/>
          <w:bCs/>
          <w:sz w:val="24"/>
          <w:szCs w:val="24"/>
        </w:rPr>
        <w:t>Fillimi i procesit të negociatave për anëtarësim në OBT (MTI);</w:t>
      </w:r>
    </w:p>
    <w:p w14:paraId="17AA77C2" w14:textId="77777777" w:rsidR="00CE4035" w:rsidRPr="0068706C" w:rsidRDefault="00CE4035" w:rsidP="0068706C">
      <w:pPr>
        <w:pStyle w:val="ListParagraph"/>
        <w:numPr>
          <w:ilvl w:val="0"/>
          <w:numId w:val="42"/>
        </w:numPr>
        <w:spacing w:after="0" w:line="240" w:lineRule="auto"/>
        <w:contextualSpacing w:val="0"/>
        <w:jc w:val="both"/>
        <w:rPr>
          <w:rFonts w:ascii="Times New Roman" w:hAnsi="Times New Roman"/>
          <w:bCs/>
          <w:sz w:val="24"/>
          <w:szCs w:val="24"/>
        </w:rPr>
      </w:pPr>
      <w:r w:rsidRPr="0068706C">
        <w:rPr>
          <w:rFonts w:ascii="Times New Roman" w:hAnsi="Times New Roman"/>
          <w:bCs/>
          <w:sz w:val="24"/>
          <w:szCs w:val="24"/>
        </w:rPr>
        <w:t>Ratifikimi dhe zbatimi i marrëveshjes me vendet e EFTAs (MTI);</w:t>
      </w:r>
    </w:p>
    <w:p w14:paraId="01C10AEC" w14:textId="77777777" w:rsidR="00CE4035" w:rsidRPr="0068706C" w:rsidRDefault="00CE4035" w:rsidP="00CE4035">
      <w:pPr>
        <w:jc w:val="both"/>
        <w:rPr>
          <w:b/>
        </w:rPr>
      </w:pPr>
    </w:p>
    <w:p w14:paraId="65CCB11C" w14:textId="77777777" w:rsidR="00CE4035" w:rsidRPr="0068706C" w:rsidRDefault="00CE4035" w:rsidP="00CE4035">
      <w:pPr>
        <w:jc w:val="both"/>
        <w:rPr>
          <w:b/>
          <w:bCs/>
        </w:rPr>
      </w:pPr>
      <w:r w:rsidRPr="0068706C">
        <w:rPr>
          <w:b/>
        </w:rPr>
        <w:t>Treguesit e rezultateve</w:t>
      </w:r>
      <w:r w:rsidRPr="0068706C">
        <w:rPr>
          <w:b/>
          <w:bCs/>
        </w:rPr>
        <w:t xml:space="preserve">: </w:t>
      </w:r>
    </w:p>
    <w:tbl>
      <w:tblPr>
        <w:tblpPr w:leftFromText="180" w:rightFromText="180" w:vertAnchor="text" w:horzAnchor="margin" w:tblpY="168"/>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5"/>
        <w:gridCol w:w="990"/>
        <w:gridCol w:w="1080"/>
        <w:gridCol w:w="1350"/>
        <w:gridCol w:w="1350"/>
      </w:tblGrid>
      <w:tr w:rsidR="00CE4035" w:rsidRPr="0068706C" w14:paraId="7D8262DD" w14:textId="77777777" w:rsidTr="0068706C">
        <w:trPr>
          <w:trHeight w:val="20"/>
        </w:trPr>
        <w:tc>
          <w:tcPr>
            <w:tcW w:w="4855" w:type="dxa"/>
            <w:gridSpan w:val="2"/>
            <w:shd w:val="clear" w:color="auto" w:fill="auto"/>
          </w:tcPr>
          <w:p w14:paraId="78B373E9" w14:textId="77777777" w:rsidR="00CE4035" w:rsidRPr="0068706C" w:rsidRDefault="00CE4035" w:rsidP="009B753C">
            <w:pPr>
              <w:pStyle w:val="Default"/>
              <w:jc w:val="both"/>
              <w:rPr>
                <w:rFonts w:ascii="Times New Roman" w:hAnsi="Times New Roman" w:cs="Times New Roman"/>
                <w:b/>
                <w:color w:val="auto"/>
                <w:lang w:val="sq-AL"/>
              </w:rPr>
            </w:pPr>
            <w:r w:rsidRPr="0068706C">
              <w:rPr>
                <w:rFonts w:ascii="Times New Roman" w:hAnsi="Times New Roman" w:cs="Times New Roman"/>
                <w:b/>
                <w:color w:val="auto"/>
                <w:lang w:val="sq-AL"/>
              </w:rPr>
              <w:t>Treguesi</w:t>
            </w:r>
          </w:p>
        </w:tc>
        <w:tc>
          <w:tcPr>
            <w:tcW w:w="1080" w:type="dxa"/>
            <w:shd w:val="clear" w:color="auto" w:fill="auto"/>
            <w:vAlign w:val="center"/>
          </w:tcPr>
          <w:p w14:paraId="1772A257" w14:textId="77777777" w:rsidR="00CE4035" w:rsidRPr="0068706C" w:rsidRDefault="00CE4035" w:rsidP="009B753C">
            <w:pPr>
              <w:pStyle w:val="Default"/>
              <w:rPr>
                <w:rFonts w:ascii="Times New Roman" w:hAnsi="Times New Roman" w:cs="Times New Roman"/>
                <w:b/>
                <w:color w:val="auto"/>
                <w:lang w:val="sq-AL"/>
              </w:rPr>
            </w:pPr>
            <w:r w:rsidRPr="0068706C">
              <w:rPr>
                <w:rFonts w:ascii="Times New Roman" w:hAnsi="Times New Roman" w:cs="Times New Roman"/>
                <w:b/>
                <w:color w:val="auto"/>
                <w:lang w:val="sq-AL"/>
              </w:rPr>
              <w:t>Baza 2019</w:t>
            </w:r>
          </w:p>
        </w:tc>
        <w:tc>
          <w:tcPr>
            <w:tcW w:w="1350" w:type="dxa"/>
            <w:shd w:val="clear" w:color="auto" w:fill="auto"/>
            <w:vAlign w:val="center"/>
          </w:tcPr>
          <w:p w14:paraId="23CA9E47" w14:textId="77777777" w:rsidR="00CE4035" w:rsidRPr="0068706C" w:rsidRDefault="00CE4035" w:rsidP="009B753C">
            <w:pPr>
              <w:pStyle w:val="Default"/>
              <w:rPr>
                <w:rFonts w:ascii="Times New Roman" w:hAnsi="Times New Roman" w:cs="Times New Roman"/>
                <w:b/>
                <w:color w:val="auto"/>
                <w:lang w:val="sq-AL"/>
              </w:rPr>
            </w:pPr>
            <w:r w:rsidRPr="0068706C">
              <w:rPr>
                <w:rFonts w:ascii="Times New Roman" w:hAnsi="Times New Roman" w:cs="Times New Roman"/>
                <w:b/>
                <w:color w:val="auto"/>
                <w:lang w:val="sq-AL"/>
              </w:rPr>
              <w:t>Treguesi i ndërmjetëm 2021</w:t>
            </w:r>
          </w:p>
        </w:tc>
        <w:tc>
          <w:tcPr>
            <w:tcW w:w="1350" w:type="dxa"/>
            <w:shd w:val="clear" w:color="auto" w:fill="auto"/>
            <w:vAlign w:val="center"/>
          </w:tcPr>
          <w:p w14:paraId="2F26C5E3" w14:textId="77777777" w:rsidR="00CE4035" w:rsidRPr="0068706C" w:rsidRDefault="00CE4035" w:rsidP="009B753C">
            <w:pPr>
              <w:pStyle w:val="Default"/>
              <w:rPr>
                <w:rFonts w:ascii="Times New Roman" w:hAnsi="Times New Roman" w:cs="Times New Roman"/>
                <w:b/>
                <w:color w:val="auto"/>
                <w:lang w:val="sq-AL"/>
              </w:rPr>
            </w:pPr>
            <w:r w:rsidRPr="0068706C">
              <w:rPr>
                <w:rFonts w:ascii="Times New Roman" w:hAnsi="Times New Roman" w:cs="Times New Roman"/>
                <w:b/>
                <w:color w:val="auto"/>
                <w:lang w:val="sq-AL"/>
              </w:rPr>
              <w:t>Synimi 2023</w:t>
            </w:r>
          </w:p>
        </w:tc>
      </w:tr>
      <w:tr w:rsidR="00CE4035" w:rsidRPr="0068706C" w14:paraId="14138D19" w14:textId="77777777" w:rsidTr="0068706C">
        <w:trPr>
          <w:trHeight w:val="20"/>
        </w:trPr>
        <w:tc>
          <w:tcPr>
            <w:tcW w:w="3865" w:type="dxa"/>
            <w:vMerge w:val="restart"/>
            <w:shd w:val="clear" w:color="auto" w:fill="auto"/>
            <w:vAlign w:val="center"/>
          </w:tcPr>
          <w:p w14:paraId="0E17AA7B" w14:textId="77777777" w:rsidR="00CE4035" w:rsidRPr="0068706C" w:rsidRDefault="00CE4035" w:rsidP="0068706C">
            <w:pPr>
              <w:pStyle w:val="Default"/>
              <w:numPr>
                <w:ilvl w:val="0"/>
                <w:numId w:val="43"/>
              </w:numPr>
              <w:rPr>
                <w:rFonts w:ascii="Times New Roman" w:hAnsi="Times New Roman" w:cs="Times New Roman"/>
                <w:iCs/>
                <w:color w:val="auto"/>
                <w:lang w:val="sq-AL"/>
              </w:rPr>
            </w:pPr>
            <w:r w:rsidRPr="0068706C">
              <w:rPr>
                <w:rFonts w:ascii="Times New Roman" w:hAnsi="Times New Roman" w:cs="Times New Roman"/>
                <w:color w:val="auto"/>
                <w:lang w:val="sq-AL"/>
              </w:rPr>
              <w:t>Koha e zhdoganimit në orë, Njësia / Orë</w:t>
            </w:r>
          </w:p>
        </w:tc>
        <w:tc>
          <w:tcPr>
            <w:tcW w:w="990" w:type="dxa"/>
            <w:shd w:val="clear" w:color="auto" w:fill="auto"/>
            <w:vAlign w:val="center"/>
          </w:tcPr>
          <w:p w14:paraId="3CF3DD44" w14:textId="77777777" w:rsidR="00CE4035" w:rsidRPr="0068706C" w:rsidRDefault="00CE4035" w:rsidP="009B753C">
            <w:pPr>
              <w:pStyle w:val="Default"/>
              <w:rPr>
                <w:rFonts w:ascii="Times New Roman" w:hAnsi="Times New Roman" w:cs="Times New Roman"/>
                <w:iCs/>
                <w:color w:val="auto"/>
                <w:lang w:val="sq-AL"/>
              </w:rPr>
            </w:pPr>
            <w:r w:rsidRPr="0068706C">
              <w:rPr>
                <w:rFonts w:ascii="Times New Roman" w:hAnsi="Times New Roman" w:cs="Times New Roman"/>
                <w:iCs/>
                <w:color w:val="auto"/>
                <w:lang w:val="sq-AL"/>
              </w:rPr>
              <w:t>Import</w:t>
            </w:r>
          </w:p>
        </w:tc>
        <w:tc>
          <w:tcPr>
            <w:tcW w:w="1080" w:type="dxa"/>
            <w:shd w:val="clear" w:color="auto" w:fill="auto"/>
            <w:vAlign w:val="center"/>
          </w:tcPr>
          <w:p w14:paraId="727C5676" w14:textId="77777777" w:rsidR="00CE4035" w:rsidRPr="0068706C" w:rsidRDefault="00CE4035" w:rsidP="009B753C">
            <w:pPr>
              <w:pStyle w:val="Default"/>
              <w:rPr>
                <w:rFonts w:ascii="Times New Roman" w:hAnsi="Times New Roman" w:cs="Times New Roman"/>
                <w:iCs/>
                <w:color w:val="auto"/>
                <w:lang w:val="sq-AL"/>
              </w:rPr>
            </w:pPr>
            <w:r w:rsidRPr="0068706C">
              <w:rPr>
                <w:rFonts w:ascii="Times New Roman" w:hAnsi="Times New Roman" w:cs="Times New Roman"/>
                <w:iCs/>
                <w:color w:val="auto"/>
                <w:lang w:val="sq-AL"/>
              </w:rPr>
              <w:t>130 min</w:t>
            </w:r>
          </w:p>
        </w:tc>
        <w:tc>
          <w:tcPr>
            <w:tcW w:w="1350" w:type="dxa"/>
            <w:shd w:val="clear" w:color="auto" w:fill="auto"/>
            <w:vAlign w:val="center"/>
          </w:tcPr>
          <w:p w14:paraId="270DE820" w14:textId="77777777" w:rsidR="00CE4035" w:rsidRPr="0068706C" w:rsidRDefault="00CE4035" w:rsidP="009B753C">
            <w:pPr>
              <w:pStyle w:val="Default"/>
              <w:rPr>
                <w:rFonts w:ascii="Times New Roman" w:hAnsi="Times New Roman" w:cs="Times New Roman"/>
                <w:iCs/>
                <w:color w:val="auto"/>
                <w:lang w:val="sq-AL"/>
              </w:rPr>
            </w:pPr>
            <w:r w:rsidRPr="0068706C">
              <w:rPr>
                <w:rFonts w:ascii="Times New Roman" w:hAnsi="Times New Roman" w:cs="Times New Roman"/>
                <w:iCs/>
                <w:color w:val="auto"/>
                <w:lang w:val="sq-AL"/>
              </w:rPr>
              <w:t>110 min</w:t>
            </w:r>
          </w:p>
        </w:tc>
        <w:tc>
          <w:tcPr>
            <w:tcW w:w="1350" w:type="dxa"/>
            <w:shd w:val="clear" w:color="auto" w:fill="auto"/>
            <w:vAlign w:val="center"/>
          </w:tcPr>
          <w:p w14:paraId="5B8EE5D2" w14:textId="77777777" w:rsidR="00CE4035" w:rsidRPr="0068706C" w:rsidRDefault="00CE4035" w:rsidP="009B753C">
            <w:pPr>
              <w:pStyle w:val="Default"/>
              <w:rPr>
                <w:rFonts w:ascii="Times New Roman" w:hAnsi="Times New Roman" w:cs="Times New Roman"/>
                <w:iCs/>
                <w:color w:val="auto"/>
                <w:lang w:val="sq-AL"/>
              </w:rPr>
            </w:pPr>
            <w:r w:rsidRPr="0068706C">
              <w:rPr>
                <w:rFonts w:ascii="Times New Roman" w:hAnsi="Times New Roman" w:cs="Times New Roman"/>
                <w:iCs/>
                <w:color w:val="auto"/>
                <w:lang w:val="sq-AL"/>
              </w:rPr>
              <w:t>100 min</w:t>
            </w:r>
          </w:p>
        </w:tc>
      </w:tr>
      <w:tr w:rsidR="00CE4035" w:rsidRPr="0068706C" w14:paraId="5A327B02" w14:textId="77777777" w:rsidTr="0068706C">
        <w:trPr>
          <w:trHeight w:val="20"/>
        </w:trPr>
        <w:tc>
          <w:tcPr>
            <w:tcW w:w="3865" w:type="dxa"/>
            <w:vMerge/>
            <w:shd w:val="clear" w:color="auto" w:fill="auto"/>
          </w:tcPr>
          <w:p w14:paraId="4D18A976" w14:textId="77777777" w:rsidR="00CE4035" w:rsidRPr="0068706C" w:rsidRDefault="00CE4035" w:rsidP="009B753C">
            <w:pPr>
              <w:pStyle w:val="Default"/>
              <w:ind w:left="360"/>
              <w:jc w:val="both"/>
              <w:rPr>
                <w:rFonts w:ascii="Times New Roman" w:hAnsi="Times New Roman" w:cs="Times New Roman"/>
                <w:iCs/>
                <w:color w:val="auto"/>
                <w:lang w:val="sq-AL"/>
              </w:rPr>
            </w:pPr>
          </w:p>
        </w:tc>
        <w:tc>
          <w:tcPr>
            <w:tcW w:w="990" w:type="dxa"/>
            <w:shd w:val="clear" w:color="auto" w:fill="auto"/>
            <w:vAlign w:val="center"/>
          </w:tcPr>
          <w:p w14:paraId="4629E23E" w14:textId="77777777" w:rsidR="00CE4035" w:rsidRPr="0068706C" w:rsidRDefault="00CE4035" w:rsidP="009B753C">
            <w:pPr>
              <w:pStyle w:val="Default"/>
              <w:rPr>
                <w:rFonts w:ascii="Times New Roman" w:hAnsi="Times New Roman" w:cs="Times New Roman"/>
                <w:iCs/>
                <w:color w:val="auto"/>
                <w:lang w:val="sq-AL"/>
              </w:rPr>
            </w:pPr>
            <w:r w:rsidRPr="0068706C">
              <w:rPr>
                <w:rFonts w:ascii="Times New Roman" w:hAnsi="Times New Roman" w:cs="Times New Roman"/>
                <w:iCs/>
                <w:color w:val="auto"/>
                <w:lang w:val="sq-AL"/>
              </w:rPr>
              <w:t>Eksport</w:t>
            </w:r>
          </w:p>
        </w:tc>
        <w:tc>
          <w:tcPr>
            <w:tcW w:w="1080" w:type="dxa"/>
            <w:shd w:val="clear" w:color="auto" w:fill="auto"/>
            <w:vAlign w:val="center"/>
          </w:tcPr>
          <w:p w14:paraId="4FD93E36" w14:textId="77777777" w:rsidR="00CE4035" w:rsidRPr="0068706C" w:rsidRDefault="00CE4035" w:rsidP="009B753C">
            <w:pPr>
              <w:pStyle w:val="Default"/>
              <w:rPr>
                <w:rFonts w:ascii="Times New Roman" w:hAnsi="Times New Roman" w:cs="Times New Roman"/>
                <w:iCs/>
                <w:color w:val="auto"/>
                <w:lang w:val="sq-AL"/>
              </w:rPr>
            </w:pPr>
            <w:r w:rsidRPr="0068706C">
              <w:rPr>
                <w:rFonts w:ascii="Times New Roman" w:hAnsi="Times New Roman" w:cs="Times New Roman"/>
                <w:iCs/>
                <w:color w:val="auto"/>
                <w:lang w:val="sq-AL"/>
              </w:rPr>
              <w:t>75 min</w:t>
            </w:r>
          </w:p>
        </w:tc>
        <w:tc>
          <w:tcPr>
            <w:tcW w:w="1350" w:type="dxa"/>
            <w:shd w:val="clear" w:color="auto" w:fill="auto"/>
            <w:vAlign w:val="center"/>
          </w:tcPr>
          <w:p w14:paraId="5C3487B7" w14:textId="77777777" w:rsidR="00CE4035" w:rsidRPr="0068706C" w:rsidRDefault="00CE4035" w:rsidP="009B753C">
            <w:pPr>
              <w:pStyle w:val="Default"/>
              <w:rPr>
                <w:rFonts w:ascii="Times New Roman" w:hAnsi="Times New Roman" w:cs="Times New Roman"/>
                <w:iCs/>
                <w:color w:val="auto"/>
                <w:lang w:val="sq-AL"/>
              </w:rPr>
            </w:pPr>
            <w:r w:rsidRPr="0068706C">
              <w:rPr>
                <w:rFonts w:ascii="Times New Roman" w:hAnsi="Times New Roman" w:cs="Times New Roman"/>
                <w:iCs/>
                <w:color w:val="auto"/>
                <w:lang w:val="sq-AL"/>
              </w:rPr>
              <w:t>65 min</w:t>
            </w:r>
          </w:p>
        </w:tc>
        <w:tc>
          <w:tcPr>
            <w:tcW w:w="1350" w:type="dxa"/>
            <w:shd w:val="clear" w:color="auto" w:fill="auto"/>
            <w:vAlign w:val="center"/>
          </w:tcPr>
          <w:p w14:paraId="6647591C" w14:textId="77777777" w:rsidR="00CE4035" w:rsidRPr="0068706C" w:rsidRDefault="00CE4035" w:rsidP="009B753C">
            <w:pPr>
              <w:pStyle w:val="Default"/>
              <w:rPr>
                <w:rFonts w:ascii="Times New Roman" w:hAnsi="Times New Roman" w:cs="Times New Roman"/>
                <w:iCs/>
                <w:color w:val="auto"/>
                <w:lang w:val="sq-AL"/>
              </w:rPr>
            </w:pPr>
            <w:r w:rsidRPr="0068706C">
              <w:rPr>
                <w:rFonts w:ascii="Times New Roman" w:hAnsi="Times New Roman" w:cs="Times New Roman"/>
                <w:iCs/>
                <w:color w:val="auto"/>
                <w:lang w:val="sq-AL"/>
              </w:rPr>
              <w:t>55 min</w:t>
            </w:r>
          </w:p>
        </w:tc>
      </w:tr>
      <w:tr w:rsidR="00CE4035" w:rsidRPr="0068706C" w14:paraId="32E4A951" w14:textId="77777777" w:rsidTr="0068706C">
        <w:trPr>
          <w:trHeight w:val="20"/>
        </w:trPr>
        <w:tc>
          <w:tcPr>
            <w:tcW w:w="4855" w:type="dxa"/>
            <w:gridSpan w:val="2"/>
            <w:shd w:val="clear" w:color="auto" w:fill="auto"/>
            <w:vAlign w:val="center"/>
          </w:tcPr>
          <w:p w14:paraId="5DA5F4E2" w14:textId="77777777" w:rsidR="00CE4035" w:rsidRPr="0068706C" w:rsidRDefault="00CE4035" w:rsidP="0068706C">
            <w:pPr>
              <w:pStyle w:val="ListParagraph"/>
              <w:keepNext/>
              <w:numPr>
                <w:ilvl w:val="0"/>
                <w:numId w:val="43"/>
              </w:numPr>
              <w:spacing w:after="0" w:line="240" w:lineRule="auto"/>
              <w:contextualSpacing w:val="0"/>
              <w:rPr>
                <w:rFonts w:ascii="Times New Roman" w:hAnsi="Times New Roman"/>
                <w:sz w:val="24"/>
                <w:szCs w:val="24"/>
              </w:rPr>
            </w:pPr>
            <w:r w:rsidRPr="0068706C">
              <w:rPr>
                <w:rFonts w:ascii="Times New Roman" w:hAnsi="Times New Roman"/>
                <w:sz w:val="24"/>
                <w:szCs w:val="24"/>
              </w:rPr>
              <w:t>Rritja e përqindjes së deklarimeve elektronike doganore (paperless concept)</w:t>
            </w:r>
          </w:p>
        </w:tc>
        <w:tc>
          <w:tcPr>
            <w:tcW w:w="1080" w:type="dxa"/>
            <w:shd w:val="clear" w:color="auto" w:fill="auto"/>
            <w:vAlign w:val="center"/>
          </w:tcPr>
          <w:p w14:paraId="42B0774A" w14:textId="77777777" w:rsidR="00CE4035" w:rsidRPr="0068706C" w:rsidRDefault="00CE4035" w:rsidP="009B753C">
            <w:pPr>
              <w:pStyle w:val="Default"/>
              <w:rPr>
                <w:rFonts w:ascii="Times New Roman" w:hAnsi="Times New Roman" w:cs="Times New Roman"/>
                <w:color w:val="auto"/>
                <w:lang w:val="sq-AL"/>
              </w:rPr>
            </w:pPr>
            <w:r w:rsidRPr="0068706C">
              <w:rPr>
                <w:rFonts w:ascii="Times New Roman" w:hAnsi="Times New Roman" w:cs="Times New Roman"/>
                <w:color w:val="auto"/>
                <w:lang w:val="sq-AL"/>
              </w:rPr>
              <w:t>70%</w:t>
            </w:r>
          </w:p>
        </w:tc>
        <w:tc>
          <w:tcPr>
            <w:tcW w:w="1350" w:type="dxa"/>
            <w:shd w:val="clear" w:color="auto" w:fill="auto"/>
            <w:vAlign w:val="center"/>
          </w:tcPr>
          <w:p w14:paraId="06DD2F06" w14:textId="77777777" w:rsidR="00CE4035" w:rsidRPr="0068706C" w:rsidRDefault="00CE4035" w:rsidP="009B753C">
            <w:pPr>
              <w:pStyle w:val="Default"/>
              <w:rPr>
                <w:rFonts w:ascii="Times New Roman" w:hAnsi="Times New Roman" w:cs="Times New Roman"/>
                <w:color w:val="auto"/>
                <w:lang w:val="sq-AL"/>
              </w:rPr>
            </w:pPr>
            <w:r w:rsidRPr="0068706C">
              <w:rPr>
                <w:rFonts w:ascii="Times New Roman" w:hAnsi="Times New Roman" w:cs="Times New Roman"/>
                <w:color w:val="auto"/>
                <w:lang w:val="sq-AL"/>
              </w:rPr>
              <w:t>80%</w:t>
            </w:r>
          </w:p>
        </w:tc>
        <w:tc>
          <w:tcPr>
            <w:tcW w:w="1350" w:type="dxa"/>
            <w:shd w:val="clear" w:color="auto" w:fill="auto"/>
            <w:vAlign w:val="center"/>
          </w:tcPr>
          <w:p w14:paraId="6E61A430" w14:textId="77777777" w:rsidR="00CE4035" w:rsidRPr="0068706C" w:rsidRDefault="00CE4035" w:rsidP="009B753C">
            <w:pPr>
              <w:pStyle w:val="Default"/>
              <w:rPr>
                <w:rFonts w:ascii="Times New Roman" w:hAnsi="Times New Roman" w:cs="Times New Roman"/>
                <w:color w:val="auto"/>
                <w:lang w:val="sq-AL"/>
              </w:rPr>
            </w:pPr>
            <w:r w:rsidRPr="0068706C">
              <w:rPr>
                <w:rFonts w:ascii="Times New Roman" w:hAnsi="Times New Roman" w:cs="Times New Roman"/>
                <w:color w:val="auto"/>
                <w:lang w:val="sq-AL"/>
              </w:rPr>
              <w:t>90%</w:t>
            </w:r>
          </w:p>
        </w:tc>
      </w:tr>
    </w:tbl>
    <w:p w14:paraId="09406737" w14:textId="77777777" w:rsidR="00CE4035" w:rsidRPr="0068706C" w:rsidRDefault="00CE4035" w:rsidP="00CE4035">
      <w:pPr>
        <w:widowControl w:val="0"/>
        <w:jc w:val="both"/>
        <w:rPr>
          <w:b/>
          <w:bCs/>
        </w:rPr>
      </w:pPr>
    </w:p>
    <w:p w14:paraId="06C453D8" w14:textId="7F267313" w:rsidR="00CE4035" w:rsidRDefault="00CE4035" w:rsidP="00CE4035">
      <w:pPr>
        <w:widowControl w:val="0"/>
        <w:jc w:val="both"/>
      </w:pPr>
      <w:r w:rsidRPr="0068706C">
        <w:rPr>
          <w:b/>
          <w:bCs/>
        </w:rPr>
        <w:t xml:space="preserve">Ndikimi i pritur në konkurrueshmëri: </w:t>
      </w:r>
      <w:r w:rsidRPr="0068706C">
        <w:t xml:space="preserve">Sipas të dhënave të Organizatës Botërore të Tregtisë lehtësimi i tregtisë mund të ulë kostot tregtare me një mesatare prej 14.3%. Analizat tregojnë se në shumë vende, në nivelin makro reduktimi i kohës për tregti vetëm për një ditë mund të rrit aktivitetin tregtar në më shumë se 5%. Reformat në lehtësimin e tregtisë në Kosovë pritet që të reduktojnë kohën e zhdoganimit në eksport dhe import respektivisht nga 130 minuta sa është aktualisht për import të reduktohet në 100 minuta deri në vitin 2023 ndërsa për eksport nga 75 minuta sa është aktual+isht të reduktohet në 55 minuta. </w:t>
      </w:r>
    </w:p>
    <w:p w14:paraId="01199EE9" w14:textId="77777777" w:rsidR="0068706C" w:rsidRPr="0068706C" w:rsidRDefault="0068706C" w:rsidP="00CE4035">
      <w:pPr>
        <w:widowControl w:val="0"/>
        <w:jc w:val="both"/>
      </w:pPr>
    </w:p>
    <w:p w14:paraId="34D1350D" w14:textId="2F183781" w:rsidR="00CE4035" w:rsidRDefault="00CE4035" w:rsidP="00CE4035">
      <w:pPr>
        <w:jc w:val="both"/>
        <w:rPr>
          <w:bCs/>
        </w:rPr>
      </w:pPr>
      <w:r w:rsidRPr="0068706C">
        <w:rPr>
          <w:b/>
          <w:bCs/>
        </w:rPr>
        <w:t xml:space="preserve">Vlerësimi i kostos së aktiviteteve dhe </w:t>
      </w:r>
      <w:r w:rsidRPr="0068706C">
        <w:rPr>
          <w:b/>
        </w:rPr>
        <w:t xml:space="preserve">burimet e financimit: </w:t>
      </w:r>
      <w:r w:rsidRPr="0068706C">
        <w:rPr>
          <w:bCs/>
        </w:rPr>
        <w:t>Kostoja totale për 3 vite për këtë masë është 85,000 €, të ndara sipas viteve: 48,000 € për vitin 2021, 13,000 € për vitin 2022 dhe 24,000 € për vitin 2023. Nga shuma e përgjithshme, 78,000 € planifikohen të financohen nga buxheti qendror dhe 7,000 € nga fondet e IPA-së.</w:t>
      </w:r>
    </w:p>
    <w:p w14:paraId="4F1629A0" w14:textId="77777777" w:rsidR="0068706C" w:rsidRPr="0068706C" w:rsidRDefault="0068706C" w:rsidP="00CE4035">
      <w:pPr>
        <w:jc w:val="both"/>
        <w:rPr>
          <w:b/>
        </w:rPr>
      </w:pPr>
    </w:p>
    <w:p w14:paraId="58ECF44F" w14:textId="674BF1CF" w:rsidR="00CE4035" w:rsidRDefault="00CE4035" w:rsidP="00CE4035">
      <w:pPr>
        <w:jc w:val="both"/>
      </w:pPr>
      <w:r w:rsidRPr="0068706C">
        <w:rPr>
          <w:b/>
          <w:bCs/>
        </w:rPr>
        <w:t xml:space="preserve">Ndikimet e pritshme mbi rezultatet sociale, të tilla si punësimi, reduktimi i varfërisë, barazia gjinore: </w:t>
      </w:r>
      <w:r w:rsidRPr="0068706C">
        <w:t>Në bazë të raportit të Organizatës Botërore të Tregtisë dhe Bankës Botërore “Trade and Poverty Reduction” të vitit 2018, theksohet se hapja e tregtisë ka ndikime të qarta dhe pozitive në uljen e varfërisë. Sipas hulumtimeve nga Qendra e Tregtisë Ndërkombëtare (ITC), bizneset në pronësi të grave që eksportojnë, punësojnë mesatarisht 42 persona, krahasuar me një mesatare prej vetëm 8 personave të punësuar nga bizneset të cilat nuk janë në pronësi të grave dhe të cilat biznese nuk eksportojnë. Prandaj implementimi i këtyre aktiviteteve synon që në një afat të mesëm të sjell një impakt pozitive në rritjen e mirëqenies sociale në Kosovë.</w:t>
      </w:r>
    </w:p>
    <w:p w14:paraId="67888237" w14:textId="77777777" w:rsidR="0068706C" w:rsidRPr="0068706C" w:rsidRDefault="0068706C" w:rsidP="00CE4035">
      <w:pPr>
        <w:jc w:val="both"/>
      </w:pPr>
    </w:p>
    <w:p w14:paraId="15656A92" w14:textId="77777777" w:rsidR="00CE4035" w:rsidRPr="0068706C" w:rsidRDefault="00CE4035" w:rsidP="00CE4035">
      <w:pPr>
        <w:jc w:val="both"/>
        <w:rPr>
          <w:bCs/>
          <w:iCs/>
        </w:rPr>
      </w:pPr>
      <w:r w:rsidRPr="0068706C">
        <w:rPr>
          <w:b/>
          <w:bCs/>
        </w:rPr>
        <w:t xml:space="preserve">Ndikimi i pritshëm në mjedis: </w:t>
      </w:r>
      <w:r w:rsidRPr="0068706C">
        <w:rPr>
          <w:bCs/>
          <w:iCs/>
        </w:rPr>
        <w:t>Sipas OECD-së, rritja ekonomike që vjen nga zgjerimi i tregtisë mund të ketë një ndikim të drejtpërdrejtë në mjedis duke rritur ndotjen ose duke degraduar burimet natyrore. Sidoqoftë, rritja e tregtisë nga ana tjetër, duke mbështetur rritjen ekonomike, zhvillimin dhe mirëqenien sociale, mund të kontribuojë në një kapacitet më të madh për të menaxhuar mjedisin në mënyrë më efektive. Më e rëndësishmja, tregjet e hapura mund të përmirësojnë qasjen në teknologjitë e reja që i bëjnë proceset e prodhimit vendor më efikas duke zvogëluar përdorimin e inputeve siç janë energjia, uji dhe substancat e tjera të dëmshme për mjedisin.</w:t>
      </w:r>
    </w:p>
    <w:p w14:paraId="6EB61DC8" w14:textId="77777777" w:rsidR="00CE4035" w:rsidRPr="0068706C" w:rsidRDefault="00CE4035" w:rsidP="00CE4035">
      <w:pPr>
        <w:jc w:val="both"/>
        <w:rPr>
          <w:b/>
          <w:bCs/>
        </w:rPr>
      </w:pPr>
      <w:r w:rsidRPr="0068706C">
        <w:rPr>
          <w:b/>
          <w:bCs/>
        </w:rPr>
        <w:t>Rreziqet potenciale:</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gridCol w:w="1800"/>
        <w:gridCol w:w="3870"/>
      </w:tblGrid>
      <w:tr w:rsidR="00CE4035" w:rsidRPr="0068706C" w14:paraId="29C3D126" w14:textId="77777777" w:rsidTr="0068706C">
        <w:trPr>
          <w:trHeight w:val="354"/>
        </w:trPr>
        <w:tc>
          <w:tcPr>
            <w:tcW w:w="2965" w:type="dxa"/>
            <w:shd w:val="clear" w:color="auto" w:fill="auto"/>
          </w:tcPr>
          <w:p w14:paraId="5BA16B14" w14:textId="77777777" w:rsidR="00CE4035" w:rsidRPr="0068706C" w:rsidRDefault="00CE4035" w:rsidP="009B753C">
            <w:pPr>
              <w:pStyle w:val="Default"/>
              <w:jc w:val="both"/>
              <w:rPr>
                <w:rFonts w:ascii="Times New Roman" w:hAnsi="Times New Roman" w:cs="Times New Roman"/>
                <w:color w:val="auto"/>
                <w:lang w:val="sq-AL"/>
              </w:rPr>
            </w:pPr>
            <w:r w:rsidRPr="0068706C">
              <w:rPr>
                <w:rFonts w:ascii="Times New Roman" w:hAnsi="Times New Roman" w:cs="Times New Roman"/>
                <w:b/>
                <w:bCs/>
                <w:color w:val="auto"/>
                <w:lang w:val="sq-AL"/>
              </w:rPr>
              <w:t xml:space="preserve">Rreziku </w:t>
            </w:r>
          </w:p>
        </w:tc>
        <w:tc>
          <w:tcPr>
            <w:tcW w:w="1800" w:type="dxa"/>
            <w:shd w:val="clear" w:color="auto" w:fill="auto"/>
          </w:tcPr>
          <w:p w14:paraId="5A95CDFB" w14:textId="77777777" w:rsidR="00CE4035" w:rsidRPr="0068706C" w:rsidRDefault="00CE4035" w:rsidP="009B753C">
            <w:pPr>
              <w:pStyle w:val="Default"/>
              <w:jc w:val="both"/>
              <w:rPr>
                <w:rFonts w:ascii="Times New Roman" w:hAnsi="Times New Roman" w:cs="Times New Roman"/>
                <w:color w:val="auto"/>
                <w:lang w:val="sq-AL"/>
              </w:rPr>
            </w:pPr>
            <w:r w:rsidRPr="0068706C">
              <w:rPr>
                <w:rFonts w:ascii="Times New Roman" w:hAnsi="Times New Roman" w:cs="Times New Roman"/>
                <w:b/>
                <w:bCs/>
                <w:color w:val="auto"/>
                <w:lang w:val="sq-AL"/>
              </w:rPr>
              <w:t xml:space="preserve">Probabiliteti </w:t>
            </w:r>
          </w:p>
        </w:tc>
        <w:tc>
          <w:tcPr>
            <w:tcW w:w="3870" w:type="dxa"/>
            <w:shd w:val="clear" w:color="auto" w:fill="auto"/>
          </w:tcPr>
          <w:p w14:paraId="400C0FB8" w14:textId="77777777" w:rsidR="00CE4035" w:rsidRPr="0068706C" w:rsidRDefault="00CE4035" w:rsidP="009B753C">
            <w:pPr>
              <w:pStyle w:val="Default"/>
              <w:jc w:val="both"/>
              <w:rPr>
                <w:rFonts w:ascii="Times New Roman" w:hAnsi="Times New Roman" w:cs="Times New Roman"/>
                <w:color w:val="auto"/>
                <w:lang w:val="sq-AL"/>
              </w:rPr>
            </w:pPr>
            <w:r w:rsidRPr="0068706C">
              <w:rPr>
                <w:rFonts w:ascii="Times New Roman" w:hAnsi="Times New Roman" w:cs="Times New Roman"/>
                <w:b/>
                <w:bCs/>
                <w:color w:val="auto"/>
                <w:lang w:val="sq-AL"/>
              </w:rPr>
              <w:t xml:space="preserve">Veprimi lehtësues i planifikuar </w:t>
            </w:r>
          </w:p>
        </w:tc>
      </w:tr>
      <w:tr w:rsidR="00CE4035" w:rsidRPr="0068706C" w14:paraId="37BA2022" w14:textId="77777777" w:rsidTr="0068706C">
        <w:trPr>
          <w:trHeight w:val="372"/>
        </w:trPr>
        <w:tc>
          <w:tcPr>
            <w:tcW w:w="2965" w:type="dxa"/>
            <w:shd w:val="clear" w:color="auto" w:fill="auto"/>
          </w:tcPr>
          <w:p w14:paraId="583B6756" w14:textId="77777777" w:rsidR="00CE4035" w:rsidRPr="0068706C" w:rsidRDefault="00CE4035" w:rsidP="009B753C">
            <w:pPr>
              <w:pStyle w:val="Default"/>
              <w:jc w:val="both"/>
              <w:rPr>
                <w:rFonts w:ascii="Times New Roman" w:hAnsi="Times New Roman" w:cs="Times New Roman"/>
                <w:color w:val="auto"/>
                <w:lang w:val="sq-AL"/>
              </w:rPr>
            </w:pPr>
            <w:r w:rsidRPr="0068706C">
              <w:rPr>
                <w:rFonts w:ascii="Times New Roman" w:hAnsi="Times New Roman" w:cs="Times New Roman"/>
                <w:color w:val="auto"/>
                <w:lang w:val="sq-AL"/>
              </w:rPr>
              <w:t>Vonesat në miratimin e legjislacionit</w:t>
            </w:r>
          </w:p>
        </w:tc>
        <w:tc>
          <w:tcPr>
            <w:tcW w:w="1800" w:type="dxa"/>
            <w:shd w:val="clear" w:color="auto" w:fill="auto"/>
          </w:tcPr>
          <w:p w14:paraId="79F8217C" w14:textId="77777777" w:rsidR="00CE4035" w:rsidRPr="0068706C" w:rsidRDefault="00CE4035" w:rsidP="009B753C">
            <w:pPr>
              <w:pStyle w:val="Default"/>
              <w:jc w:val="both"/>
              <w:rPr>
                <w:rFonts w:ascii="Times New Roman" w:hAnsi="Times New Roman" w:cs="Times New Roman"/>
                <w:color w:val="auto"/>
                <w:lang w:val="sq-AL"/>
              </w:rPr>
            </w:pPr>
            <w:r w:rsidRPr="0068706C">
              <w:rPr>
                <w:rFonts w:ascii="Times New Roman" w:hAnsi="Times New Roman" w:cs="Times New Roman"/>
                <w:color w:val="auto"/>
                <w:lang w:val="sq-AL"/>
              </w:rPr>
              <w:t>I lartë</w:t>
            </w:r>
          </w:p>
        </w:tc>
        <w:tc>
          <w:tcPr>
            <w:tcW w:w="3870" w:type="dxa"/>
            <w:shd w:val="clear" w:color="auto" w:fill="auto"/>
          </w:tcPr>
          <w:p w14:paraId="3F298AAF" w14:textId="77777777" w:rsidR="00CE4035" w:rsidRPr="0068706C" w:rsidRDefault="00CE4035" w:rsidP="009B753C">
            <w:pPr>
              <w:pStyle w:val="Default"/>
              <w:jc w:val="both"/>
              <w:rPr>
                <w:rFonts w:ascii="Times New Roman" w:hAnsi="Times New Roman" w:cs="Times New Roman"/>
                <w:color w:val="auto"/>
                <w:lang w:val="sq-AL"/>
              </w:rPr>
            </w:pPr>
            <w:r w:rsidRPr="0068706C">
              <w:rPr>
                <w:rFonts w:ascii="Times New Roman" w:hAnsi="Times New Roman" w:cs="Times New Roman"/>
                <w:color w:val="auto"/>
                <w:lang w:val="sq-AL"/>
              </w:rPr>
              <w:t>Rritja e bashkëpunimit koordinues me trupat relevant duke respektuar hierarkinë.</w:t>
            </w:r>
          </w:p>
        </w:tc>
      </w:tr>
      <w:tr w:rsidR="00CE4035" w:rsidRPr="0068706C" w14:paraId="02AB8351" w14:textId="77777777" w:rsidTr="0068706C">
        <w:trPr>
          <w:trHeight w:val="606"/>
        </w:trPr>
        <w:tc>
          <w:tcPr>
            <w:tcW w:w="2965" w:type="dxa"/>
            <w:shd w:val="clear" w:color="auto" w:fill="auto"/>
          </w:tcPr>
          <w:p w14:paraId="7A6F99E8" w14:textId="77777777" w:rsidR="00CE4035" w:rsidRPr="0068706C" w:rsidRDefault="00CE4035" w:rsidP="009B753C">
            <w:pPr>
              <w:pStyle w:val="Default"/>
              <w:jc w:val="both"/>
              <w:rPr>
                <w:rFonts w:ascii="Times New Roman" w:hAnsi="Times New Roman" w:cs="Times New Roman"/>
                <w:color w:val="auto"/>
                <w:lang w:val="sq-AL"/>
              </w:rPr>
            </w:pPr>
            <w:r w:rsidRPr="0068706C">
              <w:rPr>
                <w:rFonts w:ascii="Times New Roman" w:hAnsi="Times New Roman" w:cs="Times New Roman"/>
                <w:color w:val="auto"/>
                <w:lang w:val="sq-AL"/>
              </w:rPr>
              <w:t>Pengesat politike në lidhje me përfaqësimet rajonale dhe anëtarësimin në organizata ndërkombëtare</w:t>
            </w:r>
          </w:p>
        </w:tc>
        <w:tc>
          <w:tcPr>
            <w:tcW w:w="1800" w:type="dxa"/>
            <w:shd w:val="clear" w:color="auto" w:fill="auto"/>
          </w:tcPr>
          <w:p w14:paraId="26704627" w14:textId="77777777" w:rsidR="00CE4035" w:rsidRPr="0068706C" w:rsidRDefault="00CE4035" w:rsidP="009B753C">
            <w:pPr>
              <w:pStyle w:val="Default"/>
              <w:jc w:val="both"/>
              <w:rPr>
                <w:rFonts w:ascii="Times New Roman" w:hAnsi="Times New Roman" w:cs="Times New Roman"/>
                <w:color w:val="auto"/>
                <w:lang w:val="sq-AL"/>
              </w:rPr>
            </w:pPr>
            <w:r w:rsidRPr="0068706C">
              <w:rPr>
                <w:rFonts w:ascii="Times New Roman" w:hAnsi="Times New Roman" w:cs="Times New Roman"/>
                <w:color w:val="auto"/>
                <w:lang w:val="sq-AL"/>
              </w:rPr>
              <w:t>I lartë</w:t>
            </w:r>
          </w:p>
        </w:tc>
        <w:tc>
          <w:tcPr>
            <w:tcW w:w="3870" w:type="dxa"/>
            <w:shd w:val="clear" w:color="auto" w:fill="auto"/>
          </w:tcPr>
          <w:p w14:paraId="3C401D29" w14:textId="77777777" w:rsidR="00CE4035" w:rsidRPr="0068706C" w:rsidRDefault="00CE4035" w:rsidP="009B753C">
            <w:pPr>
              <w:pStyle w:val="Default"/>
              <w:jc w:val="both"/>
              <w:rPr>
                <w:rFonts w:ascii="Times New Roman" w:hAnsi="Times New Roman" w:cs="Times New Roman"/>
                <w:color w:val="auto"/>
                <w:lang w:val="sq-AL"/>
              </w:rPr>
            </w:pPr>
            <w:r w:rsidRPr="0068706C">
              <w:rPr>
                <w:rFonts w:ascii="Times New Roman" w:hAnsi="Times New Roman" w:cs="Times New Roman"/>
                <w:color w:val="auto"/>
                <w:lang w:val="sq-AL"/>
              </w:rPr>
              <w:t xml:space="preserve">Ndërtimi i platformave lobuese për anëtarësim në mekanizmat ndërkombëtar dhe adresimi i pengesave te akterët relevant vendor dhe ndërkombëtar. </w:t>
            </w:r>
          </w:p>
        </w:tc>
      </w:tr>
    </w:tbl>
    <w:p w14:paraId="08D9709A" w14:textId="77777777" w:rsidR="00CE4035" w:rsidRPr="0068706C" w:rsidRDefault="00CE4035" w:rsidP="00CE4035"/>
    <w:p w14:paraId="18C183F0" w14:textId="77777777" w:rsidR="00CE4035" w:rsidRPr="0068706C" w:rsidRDefault="00CE4035" w:rsidP="00CE4035">
      <w:pPr>
        <w:shd w:val="clear" w:color="auto" w:fill="9CC2E5" w:themeFill="accent1" w:themeFillTint="99"/>
        <w:spacing w:line="276" w:lineRule="auto"/>
        <w:jc w:val="both"/>
        <w:rPr>
          <w:rFonts w:eastAsia="Calibri"/>
          <w:b/>
        </w:rPr>
      </w:pPr>
      <w:r w:rsidRPr="0068706C">
        <w:rPr>
          <w:b/>
          <w:bCs/>
        </w:rPr>
        <w:t xml:space="preserve">Masa e reformës #15: </w:t>
      </w:r>
      <w:r w:rsidRPr="0068706C">
        <w:rPr>
          <w:rFonts w:eastAsia="Calibri"/>
          <w:b/>
        </w:rPr>
        <w:t>Zhvillimi i mëtutjeshëm i infrastrukturës së cilësisë dhe fuqizimi i rolit të autoriteteve për mbikëqyrjen e tregut</w:t>
      </w:r>
      <w:r w:rsidRPr="0068706C">
        <w:rPr>
          <w:rFonts w:eastAsia="Calibri"/>
          <w:b/>
          <w:i/>
        </w:rPr>
        <w:t xml:space="preserve"> </w:t>
      </w:r>
      <w:r w:rsidRPr="0068706C">
        <w:rPr>
          <w:rFonts w:eastAsia="Calibri"/>
          <w:b/>
        </w:rPr>
        <w:t>me fokus produktet e ndërtimit</w:t>
      </w:r>
    </w:p>
    <w:p w14:paraId="52EF5D4D" w14:textId="5887F92D" w:rsidR="00CE4035" w:rsidRDefault="00CE4035" w:rsidP="00CE4035">
      <w:pPr>
        <w:jc w:val="both"/>
        <w:rPr>
          <w:rFonts w:eastAsia="Calibri"/>
        </w:rPr>
      </w:pPr>
      <w:r w:rsidRPr="0068706C">
        <w:rPr>
          <w:b/>
          <w:bCs/>
        </w:rPr>
        <w:t>Përshkrimi i masës:</w:t>
      </w:r>
      <w:r w:rsidRPr="0068706C">
        <w:rPr>
          <w:bCs/>
        </w:rPr>
        <w:t xml:space="preserve"> Masa synon </w:t>
      </w:r>
      <w:r w:rsidRPr="0068706C">
        <w:rPr>
          <w:rFonts w:eastAsia="Calibri"/>
        </w:rPr>
        <w:t>përafrimin e mëtutjeshëm dhe implementimin e legjislacionit të BE-së me qëllim të: rritjes se kontrollit të tregut, përmbushjen e detyrimeve nga prodhuesit dhe deklarimin e performancës së produkteve të ndërtimit, avancimit të mëtutjeshëm të shërbimeve të ofruara në tregun vendor nga trupat e vlerësimit të konformitetit si dhe integrimin në tregun e BE-së dhe vendeve tjera; eliminimin e barrierave teknike në tregti dhe mbikëqyrjen efektive të tregut nga autoritetet e mbikëqyrjes së tregut. Sektori i ndërtimit është një ndër kontribuesit më të mëdhenj në GDP-në e Kosovës (8.9% në vitin 2019) dhe kontributi i këtij sektori ka shënuar rritje vazhdimisht ndër vite. Andaj produktet e ndërtimit të cilat tregtohen dhe përdoren në punime ndërtimore duhet të plotësojnë karakteristikat e obligueshme sipas standardeve e harmonizuara përkatëse mbi bazën e të cilave do të deklarohet performanca. Meqë gjatë vitit 2020 baza legjislative horizontale është plotësuar edhe me një numër të caktuar të</w:t>
      </w:r>
      <w:r w:rsidRPr="0068706C">
        <w:rPr>
          <w:rFonts w:eastAsia="Calibri"/>
          <w:color w:val="FFFFFF" w:themeColor="background1"/>
        </w:rPr>
        <w:t xml:space="preserve"> </w:t>
      </w:r>
      <w:r w:rsidRPr="0068706C">
        <w:rPr>
          <w:rFonts w:eastAsia="Calibri"/>
        </w:rPr>
        <w:t>akteve vertikale për grupe të caktuara të produkteve ndërtimore e cila do të sigurojë mbështetje për sektorin e prodhimit duke krijuar potenciale eksporti, planifikohet që ky objektiv të arrihet duke identifikuar grupet e caktuara të produkteve ndërtimore, të cilat e mbulojnë tregun vendor e që mund të jenë konkurrente për eksport. Kjo masë ndërlidhet me PKZMSA, Programin e Qeverisë si dhe indirekt me SKZH-në të pjesa e standardizimit gjithashtu ka ndërlidhje me Marrëveshjen e Gjelbër Evropiane pika 2: Transformimi i ekonomisë së BE-së për një të ardhme të qëndrueshme; nën-pika 2.1.3. Industria mobilizuese për një ekonomi të pastër dhe cirkulare (Industritë me intensitet të lartë të energjisë, të tilla si çeliku, kimikatet dhe çimentoja, janë të domosdoshme për ekonominë e Evropës, pasi ato ofrojnë disa zinxhirë kryesorë të vlerës).</w:t>
      </w:r>
    </w:p>
    <w:p w14:paraId="736F0EE8" w14:textId="77777777" w:rsidR="0068706C" w:rsidRPr="0068706C" w:rsidRDefault="0068706C" w:rsidP="00CE4035">
      <w:pPr>
        <w:jc w:val="both"/>
        <w:rPr>
          <w:rFonts w:eastAsia="Calibri"/>
        </w:rPr>
      </w:pPr>
    </w:p>
    <w:p w14:paraId="43DB3CBC" w14:textId="77777777" w:rsidR="00CE4035" w:rsidRPr="0068706C" w:rsidRDefault="00CE4035" w:rsidP="00CE4035">
      <w:pPr>
        <w:spacing w:line="276" w:lineRule="auto"/>
        <w:jc w:val="both"/>
        <w:rPr>
          <w:b/>
          <w:bCs/>
        </w:rPr>
      </w:pPr>
      <w:r w:rsidRPr="0068706C">
        <w:rPr>
          <w:b/>
          <w:bCs/>
        </w:rPr>
        <w:t>a. Aktivitetet e planifikuara për 2021:</w:t>
      </w:r>
    </w:p>
    <w:p w14:paraId="4CB5CDB7" w14:textId="77777777" w:rsidR="00CE4035" w:rsidRPr="0068706C" w:rsidRDefault="00CE4035" w:rsidP="0068706C">
      <w:pPr>
        <w:pStyle w:val="Default"/>
        <w:numPr>
          <w:ilvl w:val="0"/>
          <w:numId w:val="44"/>
        </w:numPr>
        <w:jc w:val="both"/>
        <w:rPr>
          <w:rFonts w:ascii="Times New Roman" w:hAnsi="Times New Roman" w:cs="Times New Roman"/>
          <w:bCs/>
          <w:lang w:val="sq-AL"/>
        </w:rPr>
      </w:pPr>
      <w:r w:rsidRPr="0068706C">
        <w:rPr>
          <w:rFonts w:ascii="Times New Roman" w:hAnsi="Times New Roman" w:cs="Times New Roman"/>
          <w:bCs/>
          <w:lang w:val="sq-AL"/>
        </w:rPr>
        <w:t xml:space="preserve">Përmbyllja e fazës së tretë e asistencës teknike për dy (2) prodhuesit e produkteve ndërtimore si ne vijim, betoni i gatshëm, produkte për shtrim nga betoni: blloqe, pllaka dhe bordura ; </w:t>
      </w:r>
    </w:p>
    <w:p w14:paraId="75A1C204" w14:textId="77777777" w:rsidR="00CE4035" w:rsidRPr="0068706C" w:rsidRDefault="00CE4035" w:rsidP="0068706C">
      <w:pPr>
        <w:pStyle w:val="Default"/>
        <w:numPr>
          <w:ilvl w:val="0"/>
          <w:numId w:val="44"/>
        </w:numPr>
        <w:jc w:val="both"/>
        <w:rPr>
          <w:rFonts w:ascii="Times New Roman" w:hAnsi="Times New Roman" w:cs="Times New Roman"/>
          <w:bCs/>
          <w:lang w:val="sq-AL"/>
        </w:rPr>
      </w:pPr>
      <w:r w:rsidRPr="0068706C">
        <w:rPr>
          <w:rFonts w:ascii="Times New Roman" w:hAnsi="Times New Roman" w:cs="Times New Roman"/>
          <w:bCs/>
          <w:lang w:val="sq-AL"/>
        </w:rPr>
        <w:t xml:space="preserve">Hartimi i planit të veprimit për transpozimin e Rregullores së BE-së 2019/1020 për Mbikëqyrjen e Tregut dhe Përputhshmërinë e produkteve dhe Rregullores 2019/515 Njohjen Reciproke të Mallrave </w:t>
      </w:r>
      <w:r w:rsidRPr="0068706C">
        <w:rPr>
          <w:rFonts w:ascii="Times New Roman" w:hAnsi="Times New Roman" w:cs="Times New Roman"/>
          <w:lang w:val="sq-AL"/>
        </w:rPr>
        <w:t>(DIC-IT)</w:t>
      </w:r>
      <w:r w:rsidRPr="0068706C">
        <w:rPr>
          <w:rFonts w:ascii="Times New Roman" w:hAnsi="Times New Roman" w:cs="Times New Roman"/>
          <w:bCs/>
          <w:lang w:val="sq-AL"/>
        </w:rPr>
        <w:t xml:space="preserve">; </w:t>
      </w:r>
    </w:p>
    <w:p w14:paraId="599CF9CE" w14:textId="77777777" w:rsidR="00CE4035" w:rsidRPr="0068706C" w:rsidRDefault="00CE4035" w:rsidP="0068706C">
      <w:pPr>
        <w:pStyle w:val="Default"/>
        <w:numPr>
          <w:ilvl w:val="0"/>
          <w:numId w:val="44"/>
        </w:numPr>
        <w:jc w:val="both"/>
        <w:rPr>
          <w:rFonts w:ascii="Times New Roman" w:hAnsi="Times New Roman" w:cs="Times New Roman"/>
          <w:bCs/>
          <w:lang w:val="sq-AL"/>
        </w:rPr>
      </w:pPr>
      <w:r w:rsidRPr="0068706C">
        <w:rPr>
          <w:rFonts w:ascii="Times New Roman" w:hAnsi="Times New Roman" w:cs="Times New Roman"/>
          <w:bCs/>
          <w:lang w:val="sq-AL"/>
        </w:rPr>
        <w:t>Miratimi i planit kombëtar për plotësimin e obligimeve nga nenet 34-36 TFEU (</w:t>
      </w:r>
      <w:r w:rsidRPr="0068706C">
        <w:rPr>
          <w:rFonts w:ascii="Times New Roman" w:hAnsi="Times New Roman" w:cs="Times New Roman"/>
          <w:bCs/>
          <w:i/>
          <w:lang w:val="sq-AL"/>
        </w:rPr>
        <w:t>Traktati për funksionimin e Bashkimit Evropian</w:t>
      </w:r>
      <w:r w:rsidRPr="0068706C">
        <w:rPr>
          <w:rFonts w:ascii="Times New Roman" w:hAnsi="Times New Roman" w:cs="Times New Roman"/>
          <w:bCs/>
          <w:lang w:val="sq-AL"/>
        </w:rPr>
        <w:t>), për pjesën e fushës së pa harmonizuar të legjislacionit (dispozitave kombëtare) teknik dhe jo teknik (DIC) ;</w:t>
      </w:r>
    </w:p>
    <w:p w14:paraId="76283278" w14:textId="77777777" w:rsidR="00CE4035" w:rsidRPr="0068706C" w:rsidRDefault="00CE4035" w:rsidP="0068706C">
      <w:pPr>
        <w:pStyle w:val="Default"/>
        <w:numPr>
          <w:ilvl w:val="0"/>
          <w:numId w:val="44"/>
        </w:numPr>
        <w:jc w:val="both"/>
        <w:rPr>
          <w:rFonts w:ascii="Times New Roman" w:hAnsi="Times New Roman" w:cs="Times New Roman"/>
          <w:bCs/>
          <w:lang w:val="sq-AL"/>
        </w:rPr>
      </w:pPr>
      <w:r w:rsidRPr="0068706C">
        <w:rPr>
          <w:rFonts w:ascii="Times New Roman" w:hAnsi="Times New Roman" w:cs="Times New Roman"/>
          <w:bCs/>
          <w:lang w:val="sq-AL"/>
        </w:rPr>
        <w:t xml:space="preserve">Aprovimi i koncept dokumentit për Sigurinë e Përgjithshme të Produkteve (DIC) ; </w:t>
      </w:r>
    </w:p>
    <w:p w14:paraId="7F250F3D" w14:textId="77777777" w:rsidR="00CE4035" w:rsidRPr="0068706C" w:rsidRDefault="00CE4035" w:rsidP="0068706C">
      <w:pPr>
        <w:pStyle w:val="Default"/>
        <w:numPr>
          <w:ilvl w:val="0"/>
          <w:numId w:val="44"/>
        </w:numPr>
        <w:jc w:val="both"/>
        <w:rPr>
          <w:rFonts w:ascii="Times New Roman" w:hAnsi="Times New Roman" w:cs="Times New Roman"/>
          <w:bCs/>
          <w:lang w:val="sq-AL"/>
        </w:rPr>
      </w:pPr>
      <w:r w:rsidRPr="0068706C">
        <w:rPr>
          <w:rFonts w:ascii="Times New Roman" w:hAnsi="Times New Roman" w:cs="Times New Roman"/>
          <w:bCs/>
          <w:lang w:val="sq-AL"/>
        </w:rPr>
        <w:t xml:space="preserve">Miratimi i standardeve të harmonizuara (së paku 50 standarde), për Pajisjet Personale Mbrojtëse të vendosura në dispozicion të tregut, duke u dhënë prioritet standardeve të cilat mbulojnë produktet për mbrojtje nga COVID19 si dhe atyre </w:t>
      </w:r>
      <w:r w:rsidRPr="0068706C">
        <w:rPr>
          <w:rFonts w:ascii="Times New Roman" w:hAnsi="Times New Roman" w:cs="Times New Roman"/>
          <w:lang w:val="sq-AL"/>
        </w:rPr>
        <w:t>me fokus në sektorin e ndërtimit të cilat i afektojnë produktet në dispozicion të tregut; (AKS-MTI);</w:t>
      </w:r>
      <w:r w:rsidRPr="0068706C">
        <w:rPr>
          <w:rFonts w:ascii="Times New Roman" w:hAnsi="Times New Roman" w:cs="Times New Roman"/>
          <w:bCs/>
          <w:lang w:val="sq-AL"/>
        </w:rPr>
        <w:t xml:space="preserve"> </w:t>
      </w:r>
    </w:p>
    <w:p w14:paraId="4BC69BDC" w14:textId="77777777" w:rsidR="00CE4035" w:rsidRPr="0068706C" w:rsidRDefault="00CE4035" w:rsidP="0068706C">
      <w:pPr>
        <w:pStyle w:val="Default"/>
        <w:numPr>
          <w:ilvl w:val="0"/>
          <w:numId w:val="44"/>
        </w:numPr>
        <w:jc w:val="both"/>
        <w:rPr>
          <w:rFonts w:ascii="Times New Roman" w:hAnsi="Times New Roman" w:cs="Times New Roman"/>
          <w:bCs/>
          <w:lang w:val="sq-AL"/>
        </w:rPr>
      </w:pPr>
      <w:r w:rsidRPr="0068706C">
        <w:rPr>
          <w:rFonts w:ascii="Times New Roman" w:hAnsi="Times New Roman" w:cs="Times New Roman"/>
          <w:bCs/>
          <w:lang w:val="sq-AL"/>
        </w:rPr>
        <w:t xml:space="preserve">Krijimi i skemës së akreditimit të trupave certifikues (EN ISO/IEC 17065) duke përfshirë edhe kërkesat e rregullave teknike; (DAK/DIC - MTI) ; </w:t>
      </w:r>
    </w:p>
    <w:p w14:paraId="1D5614C6" w14:textId="77777777" w:rsidR="00CE4035" w:rsidRPr="0068706C" w:rsidRDefault="00CE4035" w:rsidP="0068706C">
      <w:pPr>
        <w:pStyle w:val="Default"/>
        <w:numPr>
          <w:ilvl w:val="0"/>
          <w:numId w:val="44"/>
        </w:numPr>
        <w:jc w:val="both"/>
        <w:rPr>
          <w:rFonts w:ascii="Times New Roman" w:hAnsi="Times New Roman" w:cs="Times New Roman"/>
          <w:bCs/>
          <w:lang w:val="sq-AL"/>
        </w:rPr>
      </w:pPr>
      <w:r w:rsidRPr="0068706C">
        <w:rPr>
          <w:rFonts w:ascii="Times New Roman" w:hAnsi="Times New Roman" w:cs="Times New Roman"/>
          <w:bCs/>
          <w:lang w:val="sq-AL"/>
        </w:rPr>
        <w:t xml:space="preserve">Akreditimi i tre laboratorëve testues/kalibrues të AMK-së (Laboratori i vëllimit dhe rrjedhjes, Laboratori i masës dhe </w:t>
      </w:r>
      <w:r w:rsidRPr="0068706C">
        <w:rPr>
          <w:rFonts w:ascii="Times New Roman" w:hAnsi="Times New Roman" w:cs="Times New Roman"/>
          <w:lang w:val="sq-AL"/>
        </w:rPr>
        <w:t>Laboratori i forcës dhe presionit)-</w:t>
      </w:r>
      <w:r w:rsidRPr="0068706C">
        <w:rPr>
          <w:rFonts w:ascii="Times New Roman" w:hAnsi="Times New Roman" w:cs="Times New Roman"/>
          <w:bCs/>
          <w:lang w:val="sq-AL"/>
        </w:rPr>
        <w:t xml:space="preserve"> (AMK/MTI;</w:t>
      </w:r>
    </w:p>
    <w:p w14:paraId="0A67BF35" w14:textId="77777777" w:rsidR="00CE4035" w:rsidRPr="0068706C" w:rsidRDefault="00CE4035" w:rsidP="0068706C">
      <w:pPr>
        <w:pStyle w:val="Default"/>
        <w:numPr>
          <w:ilvl w:val="0"/>
          <w:numId w:val="44"/>
        </w:numPr>
        <w:jc w:val="both"/>
        <w:rPr>
          <w:rFonts w:ascii="Times New Roman" w:hAnsi="Times New Roman" w:cs="Times New Roman"/>
          <w:bCs/>
          <w:lang w:val="sq-AL"/>
        </w:rPr>
      </w:pPr>
      <w:r w:rsidRPr="0068706C">
        <w:rPr>
          <w:rFonts w:ascii="Times New Roman" w:hAnsi="Times New Roman" w:cs="Times New Roman"/>
          <w:bCs/>
          <w:lang w:val="sq-AL"/>
        </w:rPr>
        <w:t>Hartimi dhe miratimi i Ligjit për Sigurinë e Përgjithshme të Produkteve (transpozimi i Direktivës 2001/95/EC)</w:t>
      </w:r>
    </w:p>
    <w:p w14:paraId="491F0E79" w14:textId="77777777" w:rsidR="00CE4035" w:rsidRPr="0068706C" w:rsidRDefault="00CE4035" w:rsidP="0068706C">
      <w:pPr>
        <w:pStyle w:val="Default"/>
        <w:numPr>
          <w:ilvl w:val="0"/>
          <w:numId w:val="44"/>
        </w:numPr>
        <w:jc w:val="both"/>
        <w:rPr>
          <w:rFonts w:ascii="Times New Roman" w:hAnsi="Times New Roman" w:cs="Times New Roman"/>
          <w:bCs/>
          <w:lang w:val="sq-AL"/>
        </w:rPr>
      </w:pPr>
      <w:r w:rsidRPr="0068706C">
        <w:rPr>
          <w:rFonts w:ascii="Times New Roman" w:hAnsi="Times New Roman" w:cs="Times New Roman"/>
          <w:bCs/>
          <w:lang w:val="sq-AL"/>
        </w:rPr>
        <w:t>Ndërtimi i kapaciteteve për zbatimin e legjislacionit për produktet dhe standardet e ndërtimit për nxënësit e shkollave të AAP (Qendra e Kompetencës - Skenderaj).</w:t>
      </w:r>
    </w:p>
    <w:p w14:paraId="477B16F7" w14:textId="77777777" w:rsidR="00CE4035" w:rsidRPr="0068706C" w:rsidRDefault="00CE4035" w:rsidP="00CE4035">
      <w:pPr>
        <w:pStyle w:val="Default"/>
        <w:ind w:left="360"/>
        <w:jc w:val="both"/>
        <w:rPr>
          <w:rFonts w:ascii="Times New Roman" w:hAnsi="Times New Roman" w:cs="Times New Roman"/>
          <w:lang w:val="sq-AL"/>
        </w:rPr>
      </w:pPr>
    </w:p>
    <w:p w14:paraId="582CE7DB" w14:textId="77777777" w:rsidR="00CE4035" w:rsidRPr="0068706C" w:rsidRDefault="00CE4035" w:rsidP="00CE4035">
      <w:pPr>
        <w:jc w:val="both"/>
        <w:rPr>
          <w:b/>
          <w:bCs/>
        </w:rPr>
      </w:pPr>
      <w:r w:rsidRPr="0068706C">
        <w:rPr>
          <w:b/>
          <w:bCs/>
        </w:rPr>
        <w:t>b. Aktivitetet e planifikuara për 2022:</w:t>
      </w:r>
    </w:p>
    <w:p w14:paraId="4DC7AC80" w14:textId="77777777" w:rsidR="00CE4035" w:rsidRPr="0068706C" w:rsidRDefault="00CE4035" w:rsidP="0068706C">
      <w:pPr>
        <w:pStyle w:val="ListParagraph"/>
        <w:numPr>
          <w:ilvl w:val="0"/>
          <w:numId w:val="45"/>
        </w:numPr>
        <w:spacing w:after="0" w:line="240" w:lineRule="auto"/>
        <w:ind w:left="360" w:right="466"/>
        <w:jc w:val="both"/>
        <w:rPr>
          <w:rFonts w:ascii="Times New Roman" w:hAnsi="Times New Roman"/>
          <w:sz w:val="24"/>
          <w:szCs w:val="24"/>
        </w:rPr>
      </w:pPr>
      <w:r w:rsidRPr="0068706C">
        <w:rPr>
          <w:rFonts w:ascii="Times New Roman" w:hAnsi="Times New Roman"/>
          <w:sz w:val="24"/>
          <w:szCs w:val="24"/>
        </w:rPr>
        <w:t xml:space="preserve">Miratimi i 40 standardeve të harmonizuara të BE-në, sipas kërkesave të Ligjit për Sigurinë e Përgjithshme të Produkteve;(AKS-MTI);  </w:t>
      </w:r>
    </w:p>
    <w:p w14:paraId="00319294" w14:textId="77777777" w:rsidR="00CE4035" w:rsidRPr="0068706C" w:rsidRDefault="00CE4035" w:rsidP="0068706C">
      <w:pPr>
        <w:pStyle w:val="ListParagraph"/>
        <w:numPr>
          <w:ilvl w:val="0"/>
          <w:numId w:val="45"/>
        </w:numPr>
        <w:spacing w:after="0" w:line="240" w:lineRule="auto"/>
        <w:ind w:left="360" w:right="466"/>
        <w:jc w:val="both"/>
        <w:rPr>
          <w:rFonts w:ascii="Times New Roman" w:hAnsi="Times New Roman"/>
          <w:sz w:val="24"/>
          <w:szCs w:val="24"/>
        </w:rPr>
      </w:pPr>
      <w:r w:rsidRPr="0068706C">
        <w:rPr>
          <w:rFonts w:ascii="Times New Roman" w:hAnsi="Times New Roman"/>
          <w:sz w:val="24"/>
          <w:szCs w:val="24"/>
        </w:rPr>
        <w:t xml:space="preserve">Hartimi i tre Udhëzimeve Administrative për produktet e ndërtimit si: tubat e plastikes, tuba betoni, mure betoni ; (DIC); </w:t>
      </w:r>
    </w:p>
    <w:p w14:paraId="08D0F6B6" w14:textId="77777777" w:rsidR="00CE4035" w:rsidRPr="0068706C" w:rsidRDefault="00CE4035" w:rsidP="0068706C">
      <w:pPr>
        <w:pStyle w:val="ListParagraph"/>
        <w:numPr>
          <w:ilvl w:val="0"/>
          <w:numId w:val="45"/>
        </w:numPr>
        <w:spacing w:after="0" w:line="240" w:lineRule="auto"/>
        <w:ind w:left="360" w:right="466"/>
        <w:jc w:val="both"/>
        <w:rPr>
          <w:rFonts w:ascii="Times New Roman" w:hAnsi="Times New Roman"/>
          <w:sz w:val="24"/>
          <w:szCs w:val="24"/>
        </w:rPr>
      </w:pPr>
      <w:r w:rsidRPr="0068706C">
        <w:rPr>
          <w:rFonts w:ascii="Times New Roman" w:hAnsi="Times New Roman"/>
          <w:sz w:val="24"/>
          <w:szCs w:val="24"/>
        </w:rPr>
        <w:t>Hartimi i koncept dokumentit për mbikëqyrjen e tregut dhe pajtueshmërinë e produkteve, si dhe për njohjen reciproke të mallrave që tregtohen në BE; (DIC-IT);</w:t>
      </w:r>
    </w:p>
    <w:p w14:paraId="53954769" w14:textId="77777777" w:rsidR="00CE4035" w:rsidRPr="0068706C" w:rsidRDefault="00CE4035" w:rsidP="0068706C">
      <w:pPr>
        <w:pStyle w:val="ListParagraph"/>
        <w:numPr>
          <w:ilvl w:val="0"/>
          <w:numId w:val="45"/>
        </w:numPr>
        <w:spacing w:after="0" w:line="240" w:lineRule="auto"/>
        <w:ind w:left="360" w:right="466"/>
        <w:jc w:val="both"/>
        <w:rPr>
          <w:rFonts w:ascii="Times New Roman" w:hAnsi="Times New Roman"/>
          <w:b/>
          <w:bCs/>
          <w:sz w:val="24"/>
          <w:szCs w:val="24"/>
        </w:rPr>
      </w:pPr>
      <w:r w:rsidRPr="0068706C">
        <w:rPr>
          <w:rFonts w:ascii="Times New Roman" w:hAnsi="Times New Roman"/>
          <w:sz w:val="24"/>
          <w:szCs w:val="24"/>
        </w:rPr>
        <w:t>Akreditimi i Laboratorit testues/kalibrues i temperaturës dhe lagështisë relative; (AMK).</w:t>
      </w:r>
    </w:p>
    <w:p w14:paraId="20E15E34" w14:textId="77777777" w:rsidR="00CE4035" w:rsidRPr="0068706C" w:rsidRDefault="00CE4035" w:rsidP="00CE4035">
      <w:pPr>
        <w:pStyle w:val="ListParagraph"/>
        <w:ind w:left="360" w:right="466"/>
        <w:jc w:val="both"/>
        <w:rPr>
          <w:rFonts w:ascii="Times New Roman" w:hAnsi="Times New Roman"/>
          <w:b/>
          <w:bCs/>
          <w:sz w:val="24"/>
          <w:szCs w:val="24"/>
        </w:rPr>
      </w:pPr>
    </w:p>
    <w:p w14:paraId="00E7BDFF" w14:textId="77777777" w:rsidR="00CE4035" w:rsidRPr="0068706C" w:rsidRDefault="00CE4035" w:rsidP="00CE4035">
      <w:pPr>
        <w:rPr>
          <w:b/>
          <w:bCs/>
        </w:rPr>
      </w:pPr>
      <w:r w:rsidRPr="0068706C">
        <w:rPr>
          <w:b/>
          <w:bCs/>
        </w:rPr>
        <w:t>c. Aktivitetet e planifikuara për 2023:</w:t>
      </w:r>
    </w:p>
    <w:p w14:paraId="55708F97" w14:textId="77777777" w:rsidR="00CE4035" w:rsidRPr="0068706C" w:rsidRDefault="00CE4035" w:rsidP="0068706C">
      <w:pPr>
        <w:pStyle w:val="ListParagraph"/>
        <w:numPr>
          <w:ilvl w:val="0"/>
          <w:numId w:val="46"/>
        </w:numPr>
        <w:spacing w:after="5" w:line="240" w:lineRule="auto"/>
        <w:ind w:left="360" w:right="466" w:hanging="360"/>
        <w:jc w:val="both"/>
        <w:rPr>
          <w:rFonts w:ascii="Times New Roman" w:hAnsi="Times New Roman"/>
          <w:bCs/>
          <w:sz w:val="24"/>
          <w:szCs w:val="24"/>
        </w:rPr>
      </w:pPr>
      <w:r w:rsidRPr="0068706C">
        <w:rPr>
          <w:rFonts w:ascii="Times New Roman" w:hAnsi="Times New Roman"/>
          <w:bCs/>
          <w:sz w:val="24"/>
          <w:szCs w:val="24"/>
        </w:rPr>
        <w:t>Hartimit i tre (3) Udhëzimeve Administrative sipas kërkesave të Ligjit për Sigurinë e Përgjithshme të Produkteve (DIC);</w:t>
      </w:r>
    </w:p>
    <w:p w14:paraId="5A417749" w14:textId="77777777" w:rsidR="00CE4035" w:rsidRPr="0068706C" w:rsidRDefault="00CE4035" w:rsidP="0068706C">
      <w:pPr>
        <w:pStyle w:val="ListParagraph"/>
        <w:numPr>
          <w:ilvl w:val="0"/>
          <w:numId w:val="46"/>
        </w:numPr>
        <w:spacing w:after="5" w:line="240" w:lineRule="auto"/>
        <w:ind w:left="360" w:right="466" w:hanging="360"/>
        <w:jc w:val="both"/>
        <w:rPr>
          <w:rFonts w:ascii="Times New Roman" w:hAnsi="Times New Roman"/>
          <w:bCs/>
          <w:sz w:val="24"/>
          <w:szCs w:val="24"/>
        </w:rPr>
      </w:pPr>
      <w:r w:rsidRPr="0068706C">
        <w:rPr>
          <w:rFonts w:ascii="Times New Roman" w:hAnsi="Times New Roman"/>
          <w:bCs/>
          <w:sz w:val="24"/>
          <w:szCs w:val="24"/>
        </w:rPr>
        <w:t>Hartimi i pesë (5) Udhëzimeve Administrative për 5 grupe të produkteve të ndërtimit. (DIC);</w:t>
      </w:r>
    </w:p>
    <w:p w14:paraId="1C8A1240" w14:textId="77777777" w:rsidR="00CE4035" w:rsidRPr="0068706C" w:rsidRDefault="00CE4035" w:rsidP="0068706C">
      <w:pPr>
        <w:pStyle w:val="ListParagraph"/>
        <w:numPr>
          <w:ilvl w:val="0"/>
          <w:numId w:val="46"/>
        </w:numPr>
        <w:spacing w:after="5" w:line="240" w:lineRule="auto"/>
        <w:ind w:left="360" w:right="466" w:hanging="360"/>
        <w:jc w:val="both"/>
        <w:rPr>
          <w:rFonts w:ascii="Times New Roman" w:hAnsi="Times New Roman"/>
          <w:bCs/>
          <w:sz w:val="24"/>
          <w:szCs w:val="24"/>
        </w:rPr>
      </w:pPr>
      <w:r w:rsidRPr="0068706C">
        <w:rPr>
          <w:rFonts w:ascii="Times New Roman" w:hAnsi="Times New Roman"/>
          <w:bCs/>
          <w:sz w:val="24"/>
          <w:szCs w:val="24"/>
        </w:rPr>
        <w:t>Ndryshimi dhe plotësimi i Ligjit Nr.06/L-041 për kërkesat teknike për produkte dhe vlerësim të konformitetit (pjesa e mbikëqyrjes së tregut);</w:t>
      </w:r>
    </w:p>
    <w:p w14:paraId="77EAD5D9" w14:textId="77777777" w:rsidR="00CE4035" w:rsidRPr="0068706C" w:rsidRDefault="00CE4035" w:rsidP="0068706C">
      <w:pPr>
        <w:pStyle w:val="ListParagraph"/>
        <w:numPr>
          <w:ilvl w:val="0"/>
          <w:numId w:val="46"/>
        </w:numPr>
        <w:spacing w:after="5" w:line="240" w:lineRule="auto"/>
        <w:ind w:left="360" w:right="466" w:hanging="360"/>
        <w:jc w:val="both"/>
        <w:rPr>
          <w:rFonts w:ascii="Times New Roman" w:hAnsi="Times New Roman"/>
          <w:bCs/>
          <w:sz w:val="24"/>
          <w:szCs w:val="24"/>
        </w:rPr>
      </w:pPr>
      <w:r w:rsidRPr="0068706C">
        <w:rPr>
          <w:rFonts w:ascii="Times New Roman" w:hAnsi="Times New Roman"/>
          <w:bCs/>
          <w:sz w:val="24"/>
          <w:szCs w:val="24"/>
        </w:rPr>
        <w:t>Përgatitja analizës për bashkimin e “Single Liaison Office" dhe “Product Contact Point” si një Pikë Kombëtare (IT-DIC);</w:t>
      </w:r>
    </w:p>
    <w:p w14:paraId="071AD34E" w14:textId="77777777" w:rsidR="00CE4035" w:rsidRPr="0068706C" w:rsidRDefault="00CE4035" w:rsidP="0068706C">
      <w:pPr>
        <w:pStyle w:val="ListParagraph"/>
        <w:numPr>
          <w:ilvl w:val="0"/>
          <w:numId w:val="46"/>
        </w:numPr>
        <w:spacing w:after="0" w:line="240" w:lineRule="auto"/>
        <w:ind w:left="360" w:right="466" w:hanging="360"/>
        <w:jc w:val="both"/>
        <w:rPr>
          <w:rFonts w:ascii="Times New Roman" w:hAnsi="Times New Roman"/>
          <w:b/>
          <w:bCs/>
          <w:sz w:val="24"/>
          <w:szCs w:val="24"/>
        </w:rPr>
      </w:pPr>
      <w:r w:rsidRPr="0068706C">
        <w:rPr>
          <w:rFonts w:ascii="Times New Roman" w:hAnsi="Times New Roman"/>
          <w:sz w:val="24"/>
          <w:szCs w:val="24"/>
        </w:rPr>
        <w:t xml:space="preserve">Krijimi i skemës së akreditimit për laborator mjekësor (ISO 15189:2012), (DAK); </w:t>
      </w:r>
    </w:p>
    <w:p w14:paraId="2B291959" w14:textId="77777777" w:rsidR="00CE4035" w:rsidRPr="0068706C" w:rsidRDefault="00CE4035" w:rsidP="00CE4035">
      <w:pPr>
        <w:rPr>
          <w:b/>
        </w:rPr>
      </w:pPr>
    </w:p>
    <w:p w14:paraId="62BE4625" w14:textId="77777777" w:rsidR="00CE4035" w:rsidRPr="0068706C" w:rsidRDefault="00CE4035" w:rsidP="00CE4035">
      <w:pPr>
        <w:rPr>
          <w:b/>
          <w:bCs/>
        </w:rPr>
      </w:pPr>
      <w:r w:rsidRPr="0068706C">
        <w:rPr>
          <w:b/>
        </w:rPr>
        <w:t>Treguesit e rezultateve</w:t>
      </w:r>
      <w:r w:rsidRPr="0068706C">
        <w:rPr>
          <w:b/>
          <w:bCs/>
        </w:rPr>
        <w:t xml:space="preserve">: </w:t>
      </w:r>
    </w:p>
    <w:tbl>
      <w:tblPr>
        <w:tblpPr w:leftFromText="180" w:rightFromText="180" w:vertAnchor="text" w:horzAnchor="margin" w:tblpY="168"/>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5"/>
        <w:gridCol w:w="1350"/>
        <w:gridCol w:w="1710"/>
        <w:gridCol w:w="1620"/>
      </w:tblGrid>
      <w:tr w:rsidR="00CE4035" w:rsidRPr="0068706C" w14:paraId="5F67B485" w14:textId="77777777" w:rsidTr="0068706C">
        <w:trPr>
          <w:trHeight w:val="246"/>
        </w:trPr>
        <w:tc>
          <w:tcPr>
            <w:tcW w:w="3955" w:type="dxa"/>
            <w:shd w:val="clear" w:color="auto" w:fill="auto"/>
          </w:tcPr>
          <w:p w14:paraId="3895D8FA" w14:textId="77777777" w:rsidR="00CE4035" w:rsidRPr="0068706C" w:rsidRDefault="00CE4035" w:rsidP="009B753C">
            <w:pPr>
              <w:pStyle w:val="Default"/>
              <w:jc w:val="both"/>
              <w:rPr>
                <w:rFonts w:ascii="Times New Roman" w:hAnsi="Times New Roman" w:cs="Times New Roman"/>
                <w:b/>
                <w:color w:val="auto"/>
                <w:lang w:val="sq-AL"/>
              </w:rPr>
            </w:pPr>
            <w:r w:rsidRPr="0068706C">
              <w:rPr>
                <w:rFonts w:ascii="Times New Roman" w:hAnsi="Times New Roman" w:cs="Times New Roman"/>
                <w:b/>
                <w:color w:val="auto"/>
                <w:lang w:val="sq-AL"/>
              </w:rPr>
              <w:t>Treguesi</w:t>
            </w:r>
          </w:p>
        </w:tc>
        <w:tc>
          <w:tcPr>
            <w:tcW w:w="1350" w:type="dxa"/>
            <w:shd w:val="clear" w:color="auto" w:fill="auto"/>
          </w:tcPr>
          <w:p w14:paraId="67B1B8FF" w14:textId="77777777" w:rsidR="00CE4035" w:rsidRPr="0068706C" w:rsidRDefault="00CE4035" w:rsidP="009B753C">
            <w:pPr>
              <w:pStyle w:val="Default"/>
              <w:jc w:val="both"/>
              <w:rPr>
                <w:rFonts w:ascii="Times New Roman" w:hAnsi="Times New Roman" w:cs="Times New Roman"/>
                <w:b/>
                <w:color w:val="auto"/>
                <w:lang w:val="sq-AL"/>
              </w:rPr>
            </w:pPr>
            <w:r w:rsidRPr="0068706C">
              <w:rPr>
                <w:rFonts w:ascii="Times New Roman" w:hAnsi="Times New Roman" w:cs="Times New Roman"/>
                <w:b/>
                <w:color w:val="auto"/>
                <w:lang w:val="sq-AL"/>
              </w:rPr>
              <w:t>Baza 2019</w:t>
            </w:r>
          </w:p>
        </w:tc>
        <w:tc>
          <w:tcPr>
            <w:tcW w:w="1710" w:type="dxa"/>
            <w:shd w:val="clear" w:color="auto" w:fill="auto"/>
          </w:tcPr>
          <w:p w14:paraId="28130819" w14:textId="77777777" w:rsidR="00CE4035" w:rsidRPr="0068706C" w:rsidRDefault="00CE4035" w:rsidP="009B753C">
            <w:pPr>
              <w:pStyle w:val="Default"/>
              <w:jc w:val="both"/>
              <w:rPr>
                <w:rFonts w:ascii="Times New Roman" w:hAnsi="Times New Roman" w:cs="Times New Roman"/>
                <w:b/>
                <w:color w:val="auto"/>
                <w:lang w:val="sq-AL"/>
              </w:rPr>
            </w:pPr>
            <w:r w:rsidRPr="0068706C">
              <w:rPr>
                <w:rFonts w:ascii="Times New Roman" w:hAnsi="Times New Roman" w:cs="Times New Roman"/>
                <w:b/>
                <w:color w:val="auto"/>
                <w:lang w:val="sq-AL"/>
              </w:rPr>
              <w:t>Treguesi i ndërmjetëm 2021</w:t>
            </w:r>
          </w:p>
        </w:tc>
        <w:tc>
          <w:tcPr>
            <w:tcW w:w="1620" w:type="dxa"/>
            <w:shd w:val="clear" w:color="auto" w:fill="auto"/>
          </w:tcPr>
          <w:p w14:paraId="7D2A6B6A" w14:textId="77777777" w:rsidR="00CE4035" w:rsidRPr="0068706C" w:rsidRDefault="00CE4035" w:rsidP="009B753C">
            <w:pPr>
              <w:pStyle w:val="Default"/>
              <w:jc w:val="both"/>
              <w:rPr>
                <w:rFonts w:ascii="Times New Roman" w:hAnsi="Times New Roman" w:cs="Times New Roman"/>
                <w:b/>
                <w:color w:val="auto"/>
                <w:lang w:val="sq-AL"/>
              </w:rPr>
            </w:pPr>
            <w:r w:rsidRPr="0068706C">
              <w:rPr>
                <w:rFonts w:ascii="Times New Roman" w:hAnsi="Times New Roman" w:cs="Times New Roman"/>
                <w:b/>
                <w:color w:val="auto"/>
                <w:lang w:val="sq-AL"/>
              </w:rPr>
              <w:t>Synimi 2023</w:t>
            </w:r>
          </w:p>
        </w:tc>
      </w:tr>
      <w:tr w:rsidR="00CE4035" w:rsidRPr="0068706C" w14:paraId="02B2CA56" w14:textId="77777777" w:rsidTr="0068706C">
        <w:trPr>
          <w:trHeight w:val="332"/>
        </w:trPr>
        <w:tc>
          <w:tcPr>
            <w:tcW w:w="3955" w:type="dxa"/>
            <w:shd w:val="clear" w:color="auto" w:fill="auto"/>
          </w:tcPr>
          <w:p w14:paraId="28854BA1" w14:textId="77777777" w:rsidR="00CE4035" w:rsidRPr="0068706C" w:rsidRDefault="00CE4035" w:rsidP="009B753C">
            <w:pPr>
              <w:pStyle w:val="Default"/>
              <w:jc w:val="both"/>
              <w:rPr>
                <w:rFonts w:ascii="Times New Roman" w:hAnsi="Times New Roman" w:cs="Times New Roman"/>
                <w:iCs/>
                <w:lang w:val="sq-AL"/>
              </w:rPr>
            </w:pPr>
            <w:r w:rsidRPr="0068706C">
              <w:rPr>
                <w:rFonts w:ascii="Times New Roman" w:hAnsi="Times New Roman" w:cs="Times New Roman"/>
                <w:iCs/>
                <w:lang w:val="sq-AL"/>
              </w:rPr>
              <w:t>Eksporti i produkteve t</w:t>
            </w:r>
            <w:r w:rsidRPr="0068706C">
              <w:rPr>
                <w:rFonts w:ascii="Times New Roman" w:hAnsi="Times New Roman" w:cs="Times New Roman"/>
                <w:lang w:val="sq-AL"/>
              </w:rPr>
              <w:t>ë</w:t>
            </w:r>
            <w:r w:rsidRPr="0068706C">
              <w:rPr>
                <w:rFonts w:ascii="Times New Roman" w:hAnsi="Times New Roman" w:cs="Times New Roman"/>
                <w:iCs/>
                <w:lang w:val="sq-AL"/>
              </w:rPr>
              <w:t xml:space="preserve"> ndërtimit</w:t>
            </w:r>
          </w:p>
        </w:tc>
        <w:tc>
          <w:tcPr>
            <w:tcW w:w="1350" w:type="dxa"/>
            <w:shd w:val="clear" w:color="auto" w:fill="auto"/>
            <w:vAlign w:val="center"/>
          </w:tcPr>
          <w:p w14:paraId="1CB315E4" w14:textId="77777777" w:rsidR="00CE4035" w:rsidRPr="0068706C" w:rsidRDefault="00CE4035" w:rsidP="009B753C">
            <w:pPr>
              <w:pStyle w:val="Default"/>
              <w:jc w:val="center"/>
              <w:rPr>
                <w:rFonts w:ascii="Times New Roman" w:hAnsi="Times New Roman" w:cs="Times New Roman"/>
                <w:iCs/>
                <w:lang w:val="sq-AL"/>
              </w:rPr>
            </w:pPr>
            <w:r w:rsidRPr="0068706C">
              <w:rPr>
                <w:rFonts w:ascii="Times New Roman" w:hAnsi="Times New Roman" w:cs="Times New Roman"/>
                <w:iCs/>
                <w:lang w:val="sq-AL"/>
              </w:rPr>
              <w:t>13.4%</w:t>
            </w:r>
          </w:p>
        </w:tc>
        <w:tc>
          <w:tcPr>
            <w:tcW w:w="1710" w:type="dxa"/>
            <w:shd w:val="clear" w:color="auto" w:fill="auto"/>
            <w:vAlign w:val="center"/>
          </w:tcPr>
          <w:p w14:paraId="1D5B7A5C" w14:textId="77777777" w:rsidR="00CE4035" w:rsidRPr="0068706C" w:rsidRDefault="00CE4035" w:rsidP="009B753C">
            <w:pPr>
              <w:pStyle w:val="Default"/>
              <w:jc w:val="center"/>
              <w:rPr>
                <w:rFonts w:ascii="Times New Roman" w:hAnsi="Times New Roman" w:cs="Times New Roman"/>
                <w:iCs/>
                <w:lang w:val="sq-AL"/>
              </w:rPr>
            </w:pPr>
            <w:r w:rsidRPr="0068706C">
              <w:rPr>
                <w:rFonts w:ascii="Times New Roman" w:hAnsi="Times New Roman" w:cs="Times New Roman"/>
                <w:lang w:val="en-GB" w:eastAsia="zh-CN"/>
              </w:rPr>
              <w:t>14.5%</w:t>
            </w:r>
          </w:p>
        </w:tc>
        <w:tc>
          <w:tcPr>
            <w:tcW w:w="1620" w:type="dxa"/>
            <w:shd w:val="clear" w:color="auto" w:fill="auto"/>
            <w:vAlign w:val="center"/>
          </w:tcPr>
          <w:p w14:paraId="5971ED8B" w14:textId="77777777" w:rsidR="00CE4035" w:rsidRPr="0068706C" w:rsidRDefault="00CE4035" w:rsidP="009B753C">
            <w:pPr>
              <w:pStyle w:val="Default"/>
              <w:jc w:val="center"/>
              <w:rPr>
                <w:rFonts w:ascii="Times New Roman" w:hAnsi="Times New Roman" w:cs="Times New Roman"/>
                <w:iCs/>
                <w:lang w:val="sq-AL"/>
              </w:rPr>
            </w:pPr>
            <w:r w:rsidRPr="0068706C">
              <w:rPr>
                <w:rFonts w:ascii="Times New Roman" w:hAnsi="Times New Roman" w:cs="Times New Roman"/>
                <w:lang w:val="en-GB" w:eastAsia="zh-CN"/>
              </w:rPr>
              <w:t>16. 0%</w:t>
            </w:r>
          </w:p>
        </w:tc>
      </w:tr>
      <w:tr w:rsidR="00CE4035" w:rsidRPr="0068706C" w14:paraId="08211851" w14:textId="77777777" w:rsidTr="0068706C">
        <w:trPr>
          <w:trHeight w:val="332"/>
        </w:trPr>
        <w:tc>
          <w:tcPr>
            <w:tcW w:w="3955" w:type="dxa"/>
            <w:shd w:val="clear" w:color="auto" w:fill="auto"/>
          </w:tcPr>
          <w:p w14:paraId="2008FABE" w14:textId="77777777" w:rsidR="00CE4035" w:rsidRPr="0068706C" w:rsidRDefault="00CE4035" w:rsidP="009B753C">
            <w:pPr>
              <w:pStyle w:val="Default"/>
              <w:jc w:val="both"/>
              <w:rPr>
                <w:rFonts w:ascii="Times New Roman" w:hAnsi="Times New Roman" w:cs="Times New Roman"/>
                <w:iCs/>
                <w:lang w:val="sq-AL"/>
              </w:rPr>
            </w:pPr>
            <w:r w:rsidRPr="0068706C">
              <w:rPr>
                <w:rFonts w:ascii="Times New Roman" w:hAnsi="Times New Roman" w:cs="Times New Roman"/>
                <w:iCs/>
                <w:lang w:val="sq-AL"/>
              </w:rPr>
              <w:t>Importi i produkteve t</w:t>
            </w:r>
            <w:r w:rsidRPr="0068706C">
              <w:rPr>
                <w:rFonts w:ascii="Times New Roman" w:hAnsi="Times New Roman" w:cs="Times New Roman"/>
                <w:lang w:val="sq-AL"/>
              </w:rPr>
              <w:t>ë</w:t>
            </w:r>
            <w:r w:rsidRPr="0068706C">
              <w:rPr>
                <w:rFonts w:ascii="Times New Roman" w:hAnsi="Times New Roman" w:cs="Times New Roman"/>
                <w:iCs/>
                <w:lang w:val="sq-AL"/>
              </w:rPr>
              <w:t xml:space="preserve"> ndërtimit</w:t>
            </w:r>
          </w:p>
        </w:tc>
        <w:tc>
          <w:tcPr>
            <w:tcW w:w="1350" w:type="dxa"/>
            <w:shd w:val="clear" w:color="auto" w:fill="auto"/>
            <w:vAlign w:val="center"/>
          </w:tcPr>
          <w:p w14:paraId="13881907" w14:textId="77777777" w:rsidR="00CE4035" w:rsidRPr="0068706C" w:rsidRDefault="00CE4035" w:rsidP="009B753C">
            <w:pPr>
              <w:autoSpaceDE w:val="0"/>
              <w:autoSpaceDN w:val="0"/>
              <w:jc w:val="center"/>
            </w:pPr>
            <w:r w:rsidRPr="0068706C">
              <w:t>9.34 %</w:t>
            </w:r>
          </w:p>
        </w:tc>
        <w:tc>
          <w:tcPr>
            <w:tcW w:w="1710" w:type="dxa"/>
            <w:shd w:val="clear" w:color="auto" w:fill="auto"/>
            <w:vAlign w:val="center"/>
          </w:tcPr>
          <w:p w14:paraId="6734EF64" w14:textId="77777777" w:rsidR="00CE4035" w:rsidRPr="0068706C" w:rsidRDefault="00CE4035" w:rsidP="009B753C">
            <w:pPr>
              <w:autoSpaceDE w:val="0"/>
              <w:autoSpaceDN w:val="0"/>
              <w:jc w:val="center"/>
            </w:pPr>
            <w:r w:rsidRPr="0068706C">
              <w:rPr>
                <w:lang w:eastAsia="zh-CN"/>
              </w:rPr>
              <w:t>9.2%</w:t>
            </w:r>
          </w:p>
        </w:tc>
        <w:tc>
          <w:tcPr>
            <w:tcW w:w="1620" w:type="dxa"/>
            <w:shd w:val="clear" w:color="auto" w:fill="auto"/>
            <w:vAlign w:val="center"/>
          </w:tcPr>
          <w:p w14:paraId="74D0C4F6" w14:textId="77777777" w:rsidR="00CE4035" w:rsidRPr="0068706C" w:rsidRDefault="00CE4035" w:rsidP="009B753C">
            <w:pPr>
              <w:autoSpaceDE w:val="0"/>
              <w:autoSpaceDN w:val="0"/>
              <w:jc w:val="center"/>
            </w:pPr>
            <w:r w:rsidRPr="0068706C">
              <w:rPr>
                <w:lang w:eastAsia="zh-CN"/>
              </w:rPr>
              <w:t>9.1 %</w:t>
            </w:r>
          </w:p>
        </w:tc>
      </w:tr>
      <w:tr w:rsidR="00CE4035" w:rsidRPr="0068706C" w14:paraId="2AB0CE1E" w14:textId="77777777" w:rsidTr="0068706C">
        <w:trPr>
          <w:trHeight w:val="309"/>
        </w:trPr>
        <w:tc>
          <w:tcPr>
            <w:tcW w:w="3955" w:type="dxa"/>
            <w:shd w:val="clear" w:color="auto" w:fill="auto"/>
          </w:tcPr>
          <w:p w14:paraId="78AE9425" w14:textId="77777777" w:rsidR="00CE4035" w:rsidRPr="0068706C" w:rsidRDefault="00CE4035" w:rsidP="009B753C">
            <w:pPr>
              <w:pStyle w:val="Default"/>
              <w:jc w:val="both"/>
              <w:rPr>
                <w:rFonts w:ascii="Times New Roman" w:hAnsi="Times New Roman" w:cs="Times New Roman"/>
                <w:iCs/>
                <w:lang w:val="sq-AL"/>
              </w:rPr>
            </w:pPr>
            <w:r w:rsidRPr="0068706C">
              <w:rPr>
                <w:rFonts w:ascii="Times New Roman" w:hAnsi="Times New Roman" w:cs="Times New Roman"/>
                <w:iCs/>
                <w:lang w:val="sq-AL"/>
              </w:rPr>
              <w:t>Zvogëlimi i deficitit tregtar për produktet e ndërtimit</w:t>
            </w:r>
          </w:p>
        </w:tc>
        <w:tc>
          <w:tcPr>
            <w:tcW w:w="1350" w:type="dxa"/>
            <w:shd w:val="clear" w:color="auto" w:fill="auto"/>
            <w:vAlign w:val="center"/>
          </w:tcPr>
          <w:p w14:paraId="5C763C89" w14:textId="77777777" w:rsidR="00CE4035" w:rsidRPr="0068706C" w:rsidRDefault="00CE4035" w:rsidP="009B753C">
            <w:pPr>
              <w:autoSpaceDE w:val="0"/>
              <w:autoSpaceDN w:val="0"/>
              <w:jc w:val="center"/>
            </w:pPr>
            <w:r w:rsidRPr="0068706C">
              <w:t>3.87 %</w:t>
            </w:r>
          </w:p>
        </w:tc>
        <w:tc>
          <w:tcPr>
            <w:tcW w:w="1710" w:type="dxa"/>
            <w:shd w:val="clear" w:color="auto" w:fill="auto"/>
            <w:vAlign w:val="center"/>
          </w:tcPr>
          <w:p w14:paraId="3EFD3F97" w14:textId="77777777" w:rsidR="00CE4035" w:rsidRPr="0068706C" w:rsidRDefault="00CE4035" w:rsidP="009B753C">
            <w:pPr>
              <w:autoSpaceDE w:val="0"/>
              <w:autoSpaceDN w:val="0"/>
              <w:jc w:val="center"/>
            </w:pPr>
            <w:r w:rsidRPr="0068706C">
              <w:rPr>
                <w:lang w:eastAsia="zh-CN"/>
              </w:rPr>
              <w:t>3.69 %</w:t>
            </w:r>
          </w:p>
        </w:tc>
        <w:tc>
          <w:tcPr>
            <w:tcW w:w="1620" w:type="dxa"/>
            <w:shd w:val="clear" w:color="auto" w:fill="auto"/>
            <w:vAlign w:val="center"/>
          </w:tcPr>
          <w:p w14:paraId="147D6C4F" w14:textId="77777777" w:rsidR="00CE4035" w:rsidRPr="0068706C" w:rsidRDefault="00CE4035" w:rsidP="009B753C">
            <w:pPr>
              <w:autoSpaceDE w:val="0"/>
              <w:autoSpaceDN w:val="0"/>
              <w:jc w:val="center"/>
            </w:pPr>
            <w:r w:rsidRPr="0068706C">
              <w:rPr>
                <w:lang w:eastAsia="zh-CN"/>
              </w:rPr>
              <w:t>3.63 %</w:t>
            </w:r>
          </w:p>
        </w:tc>
      </w:tr>
    </w:tbl>
    <w:p w14:paraId="5BE0304F" w14:textId="77777777" w:rsidR="00CE4035" w:rsidRPr="0068706C" w:rsidRDefault="00CE4035" w:rsidP="00CE4035">
      <w:pPr>
        <w:widowControl w:val="0"/>
        <w:jc w:val="both"/>
        <w:rPr>
          <w:b/>
          <w:bCs/>
        </w:rPr>
      </w:pPr>
    </w:p>
    <w:p w14:paraId="42AA379E" w14:textId="77777777" w:rsidR="00CE4035" w:rsidRPr="0068706C" w:rsidRDefault="00CE4035" w:rsidP="00CE4035">
      <w:pPr>
        <w:widowControl w:val="0"/>
        <w:jc w:val="both"/>
      </w:pPr>
      <w:r w:rsidRPr="0068706C">
        <w:rPr>
          <w:b/>
          <w:bCs/>
        </w:rPr>
        <w:t xml:space="preserve">Ndikimi i pritur në konkurrueshmëri: </w:t>
      </w:r>
      <w:r w:rsidRPr="0068706C">
        <w:t>Aktivitetet e lartpërmendura do të mundësojnë fuqizimin e një Sistemi rregullator të qëndrueshëm, i cili i mbështetë prodhuesit vendor që duke përmirësuar sigurinë dhe cilësinë e produkteve ndërtimore të jenë konkurrues me produktet të cilat kanë shenjën CE, vendosje në treg e produkteve të certifikuara të nivelit të njëjtë me produktet e vendeve të Bashkimit Evropian. Ky sistem do të siguron ngritje të aftësive konkurruese të bizneseve duke iu mundësuar qasjen e tyre në tregjet ndërkombëtare dhe në zvogëlimin e deficitit tregtar për produktet e ndërtimit. Këto aktivitete synojnë arritjen e nivelit të deklarimit të performancës për s</w:t>
      </w:r>
      <w:r w:rsidRPr="0068706C">
        <w:rPr>
          <w:rFonts w:eastAsia="Calibri"/>
        </w:rPr>
        <w:t>ë</w:t>
      </w:r>
      <w:r w:rsidRPr="0068706C">
        <w:t xml:space="preserve"> paku 4 grupe të produkteve ndërtimore. Bizneset më konkurruese mundësojnë një mjedis më të mirë për rritjen e punësimit dhe kështu japin bazë për një rritje të qëndrueshme. Sipas të dhënave të KIESA-së, në vitin 2019 kjo agjenci ka mbështetur 4 kompani në certifikimin e produkteve të ndërtimit, gjatë vitit 2020 pritet që të certifikohen edhe 10-15 produkte tjera të ndërtimit.</w:t>
      </w:r>
    </w:p>
    <w:p w14:paraId="57360334" w14:textId="77777777" w:rsidR="0068706C" w:rsidRDefault="0068706C" w:rsidP="00CE4035">
      <w:pPr>
        <w:pStyle w:val="NoSpacing"/>
        <w:jc w:val="both"/>
        <w:rPr>
          <w:rFonts w:ascii="Times New Roman" w:hAnsi="Times New Roman"/>
          <w:b/>
          <w:bCs/>
          <w:sz w:val="24"/>
          <w:szCs w:val="24"/>
        </w:rPr>
      </w:pPr>
    </w:p>
    <w:p w14:paraId="172477FA" w14:textId="6DEDCF49" w:rsidR="00CE4035" w:rsidRPr="0068706C" w:rsidRDefault="00CE4035" w:rsidP="00CE4035">
      <w:pPr>
        <w:pStyle w:val="NoSpacing"/>
        <w:jc w:val="both"/>
        <w:rPr>
          <w:rFonts w:ascii="Times New Roman" w:hAnsi="Times New Roman"/>
          <w:sz w:val="24"/>
          <w:szCs w:val="24"/>
        </w:rPr>
      </w:pPr>
      <w:r w:rsidRPr="0068706C">
        <w:rPr>
          <w:rFonts w:ascii="Times New Roman" w:hAnsi="Times New Roman"/>
          <w:b/>
          <w:bCs/>
          <w:sz w:val="24"/>
          <w:szCs w:val="24"/>
        </w:rPr>
        <w:t xml:space="preserve">Vlerësimi i kostos së aktiviteteve dhe </w:t>
      </w:r>
      <w:r w:rsidRPr="0068706C">
        <w:rPr>
          <w:rFonts w:ascii="Times New Roman" w:hAnsi="Times New Roman"/>
          <w:b/>
          <w:sz w:val="24"/>
          <w:szCs w:val="24"/>
        </w:rPr>
        <w:t xml:space="preserve">burimet e financimit: </w:t>
      </w:r>
      <w:r w:rsidRPr="0068706C">
        <w:rPr>
          <w:rFonts w:ascii="Times New Roman" w:hAnsi="Times New Roman"/>
          <w:sz w:val="24"/>
          <w:szCs w:val="24"/>
        </w:rPr>
        <w:t xml:space="preserve">Kostoja totale për zbatimin e masës për tri vitet e ardhshme (2021-2023) është 224,000 € përkatësisht 55,000 € për vitin 2021 84,000 € për vitin 2022 dhe 85,000 € për vitin 2023. Nga këto fonde 181,000 € sigurohen nga buxheti qendror, 43,000 € nga Projekti i BE-së (IPA).  </w:t>
      </w:r>
    </w:p>
    <w:p w14:paraId="6D1B618C" w14:textId="77777777" w:rsidR="00CE4035" w:rsidRPr="0068706C" w:rsidRDefault="00CE4035" w:rsidP="00CE4035">
      <w:pPr>
        <w:pStyle w:val="NoSpacing"/>
        <w:jc w:val="both"/>
        <w:rPr>
          <w:rFonts w:ascii="Times New Roman" w:hAnsi="Times New Roman"/>
          <w:b/>
          <w:sz w:val="24"/>
          <w:szCs w:val="24"/>
        </w:rPr>
      </w:pPr>
    </w:p>
    <w:p w14:paraId="4E7A2CBF" w14:textId="77777777" w:rsidR="00CE4035" w:rsidRPr="0068706C" w:rsidRDefault="00CE4035" w:rsidP="00CE4035">
      <w:pPr>
        <w:pStyle w:val="NoSpacing"/>
        <w:jc w:val="both"/>
        <w:rPr>
          <w:rFonts w:ascii="Times New Roman" w:hAnsi="Times New Roman"/>
          <w:sz w:val="24"/>
          <w:szCs w:val="24"/>
        </w:rPr>
      </w:pPr>
      <w:r w:rsidRPr="0068706C">
        <w:rPr>
          <w:rFonts w:ascii="Times New Roman" w:hAnsi="Times New Roman"/>
          <w:b/>
          <w:bCs/>
          <w:sz w:val="24"/>
          <w:szCs w:val="24"/>
        </w:rPr>
        <w:t xml:space="preserve">Ndikimet e pritshme mbi rezultatet sociale, të tilla si punësimi, reduktimi i varfërisë, barazia gjinore: </w:t>
      </w:r>
      <w:r w:rsidRPr="0068706C">
        <w:rPr>
          <w:rFonts w:ascii="Times New Roman" w:hAnsi="Times New Roman"/>
          <w:sz w:val="24"/>
          <w:szCs w:val="24"/>
        </w:rPr>
        <w:t>Zhvillimi i mëtejshëm i sistemit rregullator për produktet e ndërtimit pritet të ketë edhe ndikim më të gjerë në shoqëri përmes nxitjes së investimeve në sektorin privat, hapjen e vendeve të reja të punës si dhe nxitjen e bizneseve që të zbatojnë standardet për të arritur sigurinë dhe cilësinë e produkteve ndërtimore dhe shërbimeve të palët e interesit. Gjithashtu masa pritet të ketë ndikim edhe më të madh në shoqëri duke nxitur investimet e sektorit privat, hapjen e vendeve të reja të punës si dhe inkurajimin e bizneseve për të zbatuar standardet të arrijë sigurinë dhe cilësinë e produkteve ndërtimore dhe shërbimeve të palëve të interesuara.</w:t>
      </w:r>
    </w:p>
    <w:p w14:paraId="40138303" w14:textId="77777777" w:rsidR="00CE4035" w:rsidRPr="0068706C" w:rsidRDefault="00CE4035" w:rsidP="00CE4035">
      <w:pPr>
        <w:pStyle w:val="NoSpacing"/>
        <w:spacing w:line="276" w:lineRule="auto"/>
        <w:jc w:val="both"/>
        <w:rPr>
          <w:rFonts w:ascii="Times New Roman" w:hAnsi="Times New Roman"/>
          <w:sz w:val="24"/>
          <w:szCs w:val="24"/>
        </w:rPr>
      </w:pPr>
    </w:p>
    <w:p w14:paraId="4795EBF2" w14:textId="77777777" w:rsidR="00CE4035" w:rsidRPr="0068706C" w:rsidRDefault="00CE4035" w:rsidP="00CE4035">
      <w:pPr>
        <w:pStyle w:val="NoSpacing"/>
        <w:jc w:val="both"/>
        <w:rPr>
          <w:rFonts w:ascii="Times New Roman" w:hAnsi="Times New Roman"/>
          <w:sz w:val="24"/>
          <w:szCs w:val="24"/>
        </w:rPr>
      </w:pPr>
      <w:r w:rsidRPr="0068706C">
        <w:rPr>
          <w:rFonts w:ascii="Times New Roman" w:hAnsi="Times New Roman"/>
          <w:b/>
          <w:bCs/>
          <w:sz w:val="24"/>
          <w:szCs w:val="24"/>
        </w:rPr>
        <w:t xml:space="preserve">Ndikimi i pritshëm në mjedis: </w:t>
      </w:r>
      <w:r w:rsidRPr="0068706C">
        <w:rPr>
          <w:rFonts w:ascii="Times New Roman" w:hAnsi="Times New Roman"/>
          <w:sz w:val="24"/>
          <w:szCs w:val="24"/>
        </w:rPr>
        <w:t>Nuk pritet ketë efekte negative në mjedis.</w:t>
      </w:r>
    </w:p>
    <w:p w14:paraId="5D89854B" w14:textId="77777777" w:rsidR="00CE4035" w:rsidRPr="0068706C" w:rsidRDefault="00CE4035" w:rsidP="00CE4035">
      <w:pPr>
        <w:pStyle w:val="NoSpacing"/>
        <w:jc w:val="both"/>
        <w:rPr>
          <w:rFonts w:ascii="Times New Roman" w:hAnsi="Times New Roman"/>
          <w:sz w:val="24"/>
          <w:szCs w:val="24"/>
        </w:rPr>
      </w:pPr>
    </w:p>
    <w:p w14:paraId="7FCB7B0A" w14:textId="77777777" w:rsidR="00CE4035" w:rsidRPr="0068706C" w:rsidRDefault="00CE4035" w:rsidP="00CE4035">
      <w:pPr>
        <w:rPr>
          <w:b/>
          <w:bCs/>
        </w:rPr>
      </w:pPr>
      <w:r w:rsidRPr="0068706C">
        <w:rPr>
          <w:b/>
          <w:bCs/>
        </w:rPr>
        <w:t>Rreziqet potenciale:</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5"/>
        <w:gridCol w:w="1530"/>
        <w:gridCol w:w="2970"/>
      </w:tblGrid>
      <w:tr w:rsidR="00CE4035" w:rsidRPr="0068706C" w14:paraId="654064E7" w14:textId="77777777" w:rsidTr="0068706C">
        <w:trPr>
          <w:trHeight w:val="341"/>
        </w:trPr>
        <w:tc>
          <w:tcPr>
            <w:tcW w:w="4135" w:type="dxa"/>
            <w:shd w:val="clear" w:color="auto" w:fill="auto"/>
          </w:tcPr>
          <w:p w14:paraId="3C3C24F2" w14:textId="77777777" w:rsidR="00CE4035" w:rsidRPr="0068706C" w:rsidRDefault="00CE4035" w:rsidP="009B753C">
            <w:pPr>
              <w:pStyle w:val="Default"/>
              <w:jc w:val="both"/>
              <w:rPr>
                <w:rFonts w:ascii="Times New Roman" w:hAnsi="Times New Roman" w:cs="Times New Roman"/>
                <w:lang w:val="sq-AL"/>
              </w:rPr>
            </w:pPr>
            <w:r w:rsidRPr="0068706C">
              <w:rPr>
                <w:rFonts w:ascii="Times New Roman" w:hAnsi="Times New Roman" w:cs="Times New Roman"/>
                <w:bCs/>
                <w:lang w:val="sq-AL"/>
              </w:rPr>
              <w:t xml:space="preserve">Rreziku </w:t>
            </w:r>
          </w:p>
        </w:tc>
        <w:tc>
          <w:tcPr>
            <w:tcW w:w="1530" w:type="dxa"/>
            <w:shd w:val="clear" w:color="auto" w:fill="auto"/>
          </w:tcPr>
          <w:p w14:paraId="6A622A8F" w14:textId="77777777" w:rsidR="00CE4035" w:rsidRPr="0068706C" w:rsidRDefault="00CE4035" w:rsidP="009B753C">
            <w:pPr>
              <w:pStyle w:val="Default"/>
              <w:ind w:right="-122"/>
              <w:rPr>
                <w:rFonts w:ascii="Times New Roman" w:hAnsi="Times New Roman" w:cs="Times New Roman"/>
                <w:lang w:val="sq-AL"/>
              </w:rPr>
            </w:pPr>
            <w:r w:rsidRPr="0068706C">
              <w:rPr>
                <w:rFonts w:ascii="Times New Roman" w:hAnsi="Times New Roman" w:cs="Times New Roman"/>
                <w:bCs/>
                <w:lang w:val="sq-AL"/>
              </w:rPr>
              <w:t xml:space="preserve">Probabiliteti </w:t>
            </w:r>
          </w:p>
        </w:tc>
        <w:tc>
          <w:tcPr>
            <w:tcW w:w="2970" w:type="dxa"/>
            <w:shd w:val="clear" w:color="auto" w:fill="auto"/>
          </w:tcPr>
          <w:p w14:paraId="53079733" w14:textId="77777777" w:rsidR="00CE4035" w:rsidRPr="0068706C" w:rsidRDefault="00CE4035" w:rsidP="009B753C">
            <w:pPr>
              <w:pStyle w:val="Default"/>
              <w:rPr>
                <w:rFonts w:ascii="Times New Roman" w:hAnsi="Times New Roman" w:cs="Times New Roman"/>
                <w:lang w:val="sq-AL"/>
              </w:rPr>
            </w:pPr>
            <w:r w:rsidRPr="0068706C">
              <w:rPr>
                <w:rFonts w:ascii="Times New Roman" w:hAnsi="Times New Roman" w:cs="Times New Roman"/>
                <w:bCs/>
                <w:lang w:val="sq-AL"/>
              </w:rPr>
              <w:t xml:space="preserve">Veprimi lehtësues i planifikuar </w:t>
            </w:r>
          </w:p>
        </w:tc>
      </w:tr>
      <w:tr w:rsidR="00CE4035" w:rsidRPr="0068706C" w14:paraId="55568523" w14:textId="77777777" w:rsidTr="0068706C">
        <w:trPr>
          <w:trHeight w:val="606"/>
        </w:trPr>
        <w:tc>
          <w:tcPr>
            <w:tcW w:w="4135" w:type="dxa"/>
          </w:tcPr>
          <w:p w14:paraId="726BE8E7" w14:textId="77777777" w:rsidR="00CE4035" w:rsidRPr="0068706C" w:rsidRDefault="00CE4035" w:rsidP="009B753C">
            <w:pPr>
              <w:pStyle w:val="Default"/>
              <w:jc w:val="both"/>
              <w:rPr>
                <w:rFonts w:ascii="Times New Roman" w:hAnsi="Times New Roman" w:cs="Times New Roman"/>
                <w:lang w:val="sq-AL"/>
              </w:rPr>
            </w:pPr>
            <w:r w:rsidRPr="0068706C">
              <w:rPr>
                <w:rFonts w:ascii="Times New Roman" w:hAnsi="Times New Roman" w:cs="Times New Roman"/>
                <w:lang w:val="sq-AL"/>
              </w:rPr>
              <w:t>1. Vonesat në miratimin e legjislacionit si dhe mungesa e kapaciteteve teknike profesionale</w:t>
            </w:r>
            <w:r w:rsidRPr="0068706C" w:rsidDel="00AD19C6">
              <w:rPr>
                <w:rFonts w:ascii="Times New Roman" w:hAnsi="Times New Roman" w:cs="Times New Roman"/>
                <w:lang w:val="sq-AL"/>
              </w:rPr>
              <w:t xml:space="preserve"> </w:t>
            </w:r>
          </w:p>
        </w:tc>
        <w:tc>
          <w:tcPr>
            <w:tcW w:w="1530" w:type="dxa"/>
          </w:tcPr>
          <w:p w14:paraId="30D2D0D8" w14:textId="77777777" w:rsidR="00CE4035" w:rsidRPr="0068706C" w:rsidRDefault="00CE4035" w:rsidP="009B753C">
            <w:pPr>
              <w:pStyle w:val="Default"/>
              <w:jc w:val="center"/>
              <w:rPr>
                <w:rFonts w:ascii="Times New Roman" w:hAnsi="Times New Roman" w:cs="Times New Roman"/>
                <w:lang w:val="sq-AL"/>
              </w:rPr>
            </w:pPr>
            <w:r w:rsidRPr="0068706C">
              <w:rPr>
                <w:rFonts w:ascii="Times New Roman" w:hAnsi="Times New Roman" w:cs="Times New Roman"/>
                <w:lang w:val="sq-AL"/>
              </w:rPr>
              <w:t>I ulët</w:t>
            </w:r>
          </w:p>
        </w:tc>
        <w:tc>
          <w:tcPr>
            <w:tcW w:w="2970" w:type="dxa"/>
          </w:tcPr>
          <w:p w14:paraId="22A2A9BD" w14:textId="77777777" w:rsidR="00CE4035" w:rsidRPr="0068706C" w:rsidRDefault="00CE4035" w:rsidP="009B753C">
            <w:pPr>
              <w:pStyle w:val="Default"/>
              <w:jc w:val="both"/>
              <w:rPr>
                <w:rFonts w:ascii="Times New Roman" w:hAnsi="Times New Roman" w:cs="Times New Roman"/>
                <w:lang w:val="sq-AL"/>
              </w:rPr>
            </w:pPr>
            <w:r w:rsidRPr="0068706C">
              <w:rPr>
                <w:rFonts w:ascii="Times New Roman" w:hAnsi="Times New Roman" w:cs="Times New Roman"/>
                <w:lang w:val="sq-AL"/>
              </w:rPr>
              <w:t>Rritja e kapaciteteve njerëzore</w:t>
            </w:r>
          </w:p>
        </w:tc>
      </w:tr>
      <w:tr w:rsidR="00CE4035" w:rsidRPr="0068706C" w14:paraId="4AE0C850" w14:textId="77777777" w:rsidTr="0068706C">
        <w:trPr>
          <w:trHeight w:val="606"/>
        </w:trPr>
        <w:tc>
          <w:tcPr>
            <w:tcW w:w="4135" w:type="dxa"/>
          </w:tcPr>
          <w:p w14:paraId="733E6282" w14:textId="77777777" w:rsidR="00CE4035" w:rsidRPr="0068706C" w:rsidRDefault="00CE4035" w:rsidP="009B753C">
            <w:pPr>
              <w:pStyle w:val="Default"/>
              <w:jc w:val="both"/>
              <w:rPr>
                <w:rFonts w:ascii="Times New Roman" w:hAnsi="Times New Roman" w:cs="Times New Roman"/>
                <w:lang w:val="sq-AL"/>
              </w:rPr>
            </w:pPr>
            <w:r w:rsidRPr="0068706C">
              <w:rPr>
                <w:rFonts w:ascii="Times New Roman" w:hAnsi="Times New Roman" w:cs="Times New Roman"/>
                <w:lang w:val="sq-AL"/>
              </w:rPr>
              <w:t>2. Vonesat në akreditimin dhe emërimin e TVK-ve sipas Ligjit të Produkteve të Ndërtimit.</w:t>
            </w:r>
          </w:p>
        </w:tc>
        <w:tc>
          <w:tcPr>
            <w:tcW w:w="1530" w:type="dxa"/>
          </w:tcPr>
          <w:p w14:paraId="3B560A6A" w14:textId="77777777" w:rsidR="00CE4035" w:rsidRPr="0068706C" w:rsidRDefault="00CE4035" w:rsidP="009B753C">
            <w:pPr>
              <w:pStyle w:val="Default"/>
              <w:jc w:val="center"/>
              <w:rPr>
                <w:rFonts w:ascii="Times New Roman" w:hAnsi="Times New Roman" w:cs="Times New Roman"/>
                <w:lang w:val="sq-AL"/>
              </w:rPr>
            </w:pPr>
            <w:r w:rsidRPr="0068706C">
              <w:rPr>
                <w:rFonts w:ascii="Times New Roman" w:hAnsi="Times New Roman" w:cs="Times New Roman"/>
                <w:lang w:val="sq-AL"/>
              </w:rPr>
              <w:t>I ulët</w:t>
            </w:r>
          </w:p>
        </w:tc>
        <w:tc>
          <w:tcPr>
            <w:tcW w:w="2970" w:type="dxa"/>
          </w:tcPr>
          <w:p w14:paraId="6EDA61A4" w14:textId="77777777" w:rsidR="00CE4035" w:rsidRPr="0068706C" w:rsidRDefault="00CE4035" w:rsidP="009B753C">
            <w:pPr>
              <w:pStyle w:val="Default"/>
              <w:jc w:val="both"/>
              <w:rPr>
                <w:rFonts w:ascii="Times New Roman" w:hAnsi="Times New Roman" w:cs="Times New Roman"/>
                <w:lang w:val="sq-AL"/>
              </w:rPr>
            </w:pPr>
            <w:r w:rsidRPr="0068706C">
              <w:rPr>
                <w:rFonts w:ascii="Times New Roman" w:hAnsi="Times New Roman" w:cs="Times New Roman"/>
                <w:lang w:val="sq-AL"/>
              </w:rPr>
              <w:t xml:space="preserve">Trajnime specifike për stafin e TVK-ve. </w:t>
            </w:r>
          </w:p>
        </w:tc>
      </w:tr>
    </w:tbl>
    <w:p w14:paraId="1AA52401" w14:textId="77777777" w:rsidR="00CE4035" w:rsidRPr="0068706C" w:rsidRDefault="00CE4035" w:rsidP="0068706C">
      <w:pPr>
        <w:pStyle w:val="ERPL3"/>
        <w:numPr>
          <w:ilvl w:val="0"/>
          <w:numId w:val="0"/>
        </w:numPr>
        <w:ind w:left="1080" w:hanging="720"/>
        <w:jc w:val="left"/>
        <w:rPr>
          <w:rFonts w:ascii="Times New Roman" w:hAnsi="Times New Roman"/>
          <w:lang w:val="sq-AL"/>
        </w:rPr>
      </w:pPr>
      <w:r w:rsidRPr="0068706C">
        <w:rPr>
          <w:rFonts w:ascii="Times New Roman" w:hAnsi="Times New Roman"/>
          <w:lang w:val="sq-AL"/>
        </w:rPr>
        <w:t xml:space="preserve">4.3.6.  Arsimi dhe shkathtësitë </w:t>
      </w:r>
    </w:p>
    <w:p w14:paraId="4C62FC60" w14:textId="77777777" w:rsidR="00CE4035" w:rsidRPr="0068706C" w:rsidRDefault="00CE4035" w:rsidP="0068706C">
      <w:pPr>
        <w:pStyle w:val="ListParagraph"/>
        <w:numPr>
          <w:ilvl w:val="0"/>
          <w:numId w:val="47"/>
        </w:numPr>
        <w:spacing w:after="60" w:line="240" w:lineRule="auto"/>
        <w:jc w:val="both"/>
        <w:rPr>
          <w:rFonts w:ascii="Times New Roman" w:hAnsi="Times New Roman"/>
          <w:b/>
          <w:sz w:val="24"/>
          <w:szCs w:val="24"/>
        </w:rPr>
      </w:pPr>
      <w:r w:rsidRPr="0068706C">
        <w:rPr>
          <w:rFonts w:ascii="Times New Roman" w:hAnsi="Times New Roman"/>
          <w:b/>
          <w:sz w:val="24"/>
          <w:szCs w:val="24"/>
        </w:rPr>
        <w:t xml:space="preserve">Analiza e pengesave strukturore: </w:t>
      </w:r>
    </w:p>
    <w:p w14:paraId="0C78C9B1" w14:textId="77777777" w:rsidR="00CE4035" w:rsidRPr="0068706C" w:rsidRDefault="00CE4035" w:rsidP="00CE4035">
      <w:pPr>
        <w:shd w:val="clear" w:color="auto" w:fill="FFFFFF"/>
        <w:jc w:val="both"/>
        <w:rPr>
          <w:b/>
        </w:rPr>
      </w:pPr>
      <w:r w:rsidRPr="0068706C">
        <w:rPr>
          <w:b/>
        </w:rPr>
        <w:t xml:space="preserve">Gjendja aktuale: </w:t>
      </w:r>
      <w:r w:rsidRPr="0068706C">
        <w:t>Pas zhvillimit të mësimit në distancë përmes platformave online, për vitin e kaluar  shkollor, Qeveria e Kosovës ka miratuar Master-Planin për vitin shkollor 2020-2021, i cili shqyrton të gjitha format dhe mundësitë e organizimit të mësimit në vitin shkollor 2020-2021 duke prezantuar  tre skenarë të ndryshëm për organizimin e mësimit në institucionet e arsimit parauniversitar në Kosovë:  a) organizimi i mësimit në shkolla;  b) mësimi i kombinuar (mësimi në shkolla dhe mësimi në distancë); ) mësimi online dhe në distancë. Kurse, sa i pëketë të dhënave në arsim, gjendja është kjo: shkalla  bruto e regjistrimit për 2018-2019 të fëmijëve në edukimin parafillor (5 vjeç) është 92.5%, ndërsa vetëm në nivelin parashkollor (mosha 3-5) është 37.5%. Shkalla bruto e përfshirjes së fëmijëve në arsimin fillor është 100%, ndërsa në arsimin e mesëm të ulët në vitin shkollor 2018/2019 ishte 90.5%. Nuk është shënuar ndonjë progres në rritje të shkallës së përfshirjes në arsimin e mesëm të lartë - më 2018/2019 ishte 86.8 % (1.9% rritje në krahasim me  vitin shkollor 2016/2017). Kalueshmëria në Testin e Maturës në afatin e parë është 67.4%. Në test kanë marrë pjesë 25.362 nxënës, nga 26.699 që e kanë paraqitur testin, prej të cilëve 17.105 e kanë kaluar testin, ndërsa për 8.257 maturantë do të mbetet si mundësi edhe afati i dytë i Provimit të Maturës. Numri i studentëve dhe numri i stafit akademik (proporcioni staf-student) në institucionet e AL publike dhe private të raportuar në MASH (2019) është 32. Përqindja e moshës 25-64 e arritshmërisë në arsim ishte 83.5 në vitin 2018, ndërsa  81.0 në vitin 2017.</w:t>
      </w:r>
    </w:p>
    <w:p w14:paraId="10DE4479" w14:textId="23A53702" w:rsidR="00CE4035" w:rsidRDefault="00CE4035" w:rsidP="00CE4035">
      <w:pPr>
        <w:jc w:val="both"/>
      </w:pPr>
      <w:r w:rsidRPr="0068706C">
        <w:t>Shpenzimet publike në arsim, si përqindje</w:t>
      </w:r>
      <w:r w:rsidRPr="0068706C">
        <w:rPr>
          <w:bCs/>
        </w:rPr>
        <w:t xml:space="preserve"> e BPV në vitin 2019 janë 4.3%, ndërsa si % e buxhetit qeveritar janë 12.8%. P</w:t>
      </w:r>
      <w:r w:rsidRPr="0068706C">
        <w:t>aga mesatare bruto</w:t>
      </w:r>
      <w:r w:rsidRPr="0068706C">
        <w:rPr>
          <w:bCs/>
        </w:rPr>
        <w:t xml:space="preserve"> (mujore) e mësimdhënësve përgjatë të gjitha niveleve para-universitare është afërsisht 80% e pagës mesatare në Kosovë dhe 77% e pagës mesatare vetëm të sektorit publik. </w:t>
      </w:r>
      <w:r w:rsidRPr="0068706C">
        <w:t>Numri i nxënësve për mësimdhënës më 2019 ishte rreth 14.1; kurse raporti nxënës-mësimdhënës</w:t>
      </w:r>
      <w:r w:rsidRPr="0068706C">
        <w:rPr>
          <w:bCs/>
        </w:rPr>
        <w:t xml:space="preserve"> dallon sipas nivelit të shkollimit. Në nivelin parafillor/çerdhe për çdo 9.5 fëmijë  të regjistruar ka një mësimdhënës; në nivelin e arsimit parafillor, për çdo mësimdhënës janë mbi 20.5 fëmijë;  nivelin e arsimit fillor dhe të mesëm të ulët, për çdo mësimdhënës janë afërsisht 14.3 nxënës; në arsimin e mesëm të lartë është një mësimdhënës për çdo 15.4 nxënës. Në nivelin e arsimit fillor e të mesëm të ulët, </w:t>
      </w:r>
      <w:r w:rsidRPr="0068706C">
        <w:t>madhësia mesatare e klasës</w:t>
      </w:r>
      <w:r w:rsidRPr="0068706C">
        <w:rPr>
          <w:bCs/>
        </w:rPr>
        <w:t xml:space="preserve"> është 18.8 nxënës për paralele, ndërkaq për arsimin e nivelit të mesëm të lartë, ky raport është 25. </w:t>
      </w:r>
      <w:r w:rsidRPr="0068706C">
        <w:t xml:space="preserve">Kosova në vitin 2018 ka mbajtur fazën finale të PISA-së dhe nuk ka pasur përmirësim të  rezultatit krahasuar me testin e vitit 2015 (pozita e 69 nga 72 vende). </w:t>
      </w:r>
      <w:r w:rsidRPr="0068706C">
        <w:rPr>
          <w:bCs/>
        </w:rPr>
        <w:t>Mospërputhja e shkathtësive</w:t>
      </w:r>
      <w:r w:rsidRPr="0068706C">
        <w:t xml:space="preserve"> me nevojat e tregut të punës vazhdon të jetë pengesë kryesore. Sa i përket AAP-së, rreth gjysma e nxënësve të arsimit të mesëm të lartë zgjedhin një nga 122 profilet e ofruara në kuadër të 68 shkollave profesionale dhe Qendrave të Kompetencës. Nevojitet që politikat sektoriale të fokusohen në përputhshmërinë e sistemit arsimor në mënyrë që ky sistem të reagojë më mirë ndaj tregut të punës. Shkalla e braktisjes në arsimin e obliguar për vitin shkollor 2018/2019 ishte 0.09% (228 nxënës; më 2017/2018 kjo ishte 0.</w:t>
      </w:r>
      <w:r w:rsidRPr="0068706C">
        <w:rPr>
          <w:bCs/>
        </w:rPr>
        <w:t xml:space="preserve">07% - 159 nxënës) dhe përqindja e vijuesve të arsimit të të rriturve më 2018 ishte 3.5 </w:t>
      </w:r>
      <w:r w:rsidRPr="0068706C">
        <w:t>ndërsa për grup moshën  18-24 (“Early leavers from education and training”) ishte 9.6 në vitin 2018 (më 2017 ishte 12.2  sipas AFP).  Kemi rritje të p</w:t>
      </w:r>
      <w:r w:rsidRPr="0068706C">
        <w:rPr>
          <w:bCs/>
        </w:rPr>
        <w:t xml:space="preserve">ërqindjes së të rinjve në kategorinë NEET më 2018 në krahasim me vitin 2017, nga 27.4% në 30.1%. Më 2018, shkalla e papunësisë në mesin e personave që ishin pa shkollim ishte 57.8%; 39.8% të papunësuar në mesin e atyre me arsimin fillor dhe të mesëm të ulët, 28.9% me arsimin e mesëm, 32.5% të papunësuar në arsimin e mesëm profesional dhe 19.2% në mesin e atyre që kishin arsimin terciar. </w:t>
      </w:r>
      <w:r w:rsidRPr="0068706C">
        <w:t>Agjencia e Kosovës për Akreditim është bërë anëtare e ENQA në vitin 2014, mirëpo në vitin 2019 statusi i saj është rishqyrtuar me arsyetimin që pozicioni i saj institucional nuk siguron pavarësi të plotë nga ndërhyrjet politike. AKA po bashkëpunon ngushtë me partnerët amerikanë dhe evropianë për zhvillimin e kapaciteteve të saj, garantimin e pavarësisë institucionale dhe plotësimin</w:t>
      </w:r>
      <w:r w:rsidR="0068706C">
        <w:t xml:space="preserve"> e kritereve për kthim në ENQA.</w:t>
      </w:r>
    </w:p>
    <w:p w14:paraId="143C1A00" w14:textId="77777777" w:rsidR="0068706C" w:rsidRPr="0068706C" w:rsidRDefault="0068706C" w:rsidP="00CE4035">
      <w:pPr>
        <w:jc w:val="both"/>
      </w:pPr>
    </w:p>
    <w:p w14:paraId="39F5A023" w14:textId="77777777" w:rsidR="00CE4035" w:rsidRPr="0068706C" w:rsidRDefault="00CE4035" w:rsidP="00CE4035">
      <w:pPr>
        <w:pStyle w:val="NoSpacing"/>
        <w:jc w:val="both"/>
        <w:rPr>
          <w:rFonts w:ascii="Times New Roman" w:hAnsi="Times New Roman"/>
          <w:color w:val="000000"/>
          <w:sz w:val="24"/>
          <w:szCs w:val="24"/>
        </w:rPr>
      </w:pPr>
      <w:r w:rsidRPr="0068706C">
        <w:rPr>
          <w:rFonts w:ascii="Times New Roman" w:hAnsi="Times New Roman"/>
          <w:b/>
          <w:color w:val="000000"/>
          <w:sz w:val="24"/>
          <w:szCs w:val="24"/>
        </w:rPr>
        <w:t>Pengesat strukturore</w:t>
      </w:r>
      <w:r w:rsidRPr="0068706C">
        <w:rPr>
          <w:rFonts w:ascii="Times New Roman" w:hAnsi="Times New Roman"/>
          <w:color w:val="000000"/>
          <w:sz w:val="24"/>
          <w:szCs w:val="24"/>
        </w:rPr>
        <w:t xml:space="preserve">: Arritshmëria në arsim në Kosovë është e ulët dhe kjo lidhet edhe me përfshirjen e ulët të fëmijëve në arsimin parashkollor (shkaqet kryesore janë: mungesa e infrastrukturës fizike, mos financimi i duhur. Në arsimin e obliguar pengesat lidhen me:  përfshirjen e nxënësve dhe cilësinë e arsimit, e cila është evidente tek grupet e margjinalizuara; sipas hulumtimeve, zhvillimi i shkathtësive për shumicën e fushave përkatëse profesionale, nuk përputhet  me kërkesat e tregut dhe këto shkaktojnë efekte negative në zhvillim; Agjencia për Arsimin Profesional dhe Arsimin e të Rriturve ende ka numër relativisht të kufizuar të programeve dhe pjesëmarrja është e ulët; mundësi të kufizuara të të mësuarit gjatë gjithë jetës për shkak të  mospërshtatjes së profileve të QAP me kërkesat e tregut të punës; buxheti i kufizuar publik i alokuar për sektorin e arsimit; mospërputhja e sistemit të arsimit me nevojat e tregut të punës; në AAP mbetet pengesë mos përfshirja e nxënësve në praktikë profesionale meqë kapaciteti i kompanive nuk mjafton për një përfshirje të të gjithë nxënësve dhe jo të gjitha shkollat kanë pajisje për të ofruar praktiken në shkollë. Zhvillimi profesional i mësimdhënësve sipas kritereve dhe standardeve të kornizës strategjike për ZHPM dhe lidhja e gradave me sistem të pagesave mungon. Si pasojë e pandemisë janë identifikuar edhe pengesa të tjera në arsim si: mungesa e pajisjeve teknologjike, kushtet e rënda  sociale dhe ekonomike të një pjese e familjeve për të blerë pajisje teknologjike. </w:t>
      </w:r>
    </w:p>
    <w:p w14:paraId="1F0D31D0" w14:textId="77777777" w:rsidR="00CE4035" w:rsidRPr="0068706C" w:rsidRDefault="00CE4035" w:rsidP="00CE4035">
      <w:pPr>
        <w:pStyle w:val="NoSpacing"/>
        <w:jc w:val="both"/>
        <w:rPr>
          <w:rFonts w:ascii="Times New Roman" w:hAnsi="Times New Roman"/>
          <w:color w:val="000000"/>
          <w:sz w:val="24"/>
          <w:szCs w:val="24"/>
        </w:rPr>
      </w:pPr>
    </w:p>
    <w:p w14:paraId="583CBCE5" w14:textId="77777777" w:rsidR="00CE4035" w:rsidRPr="0068706C" w:rsidRDefault="00CE4035" w:rsidP="00CE4035">
      <w:pPr>
        <w:pStyle w:val="NoSpacing"/>
        <w:shd w:val="clear" w:color="auto" w:fill="9CC2E5"/>
        <w:jc w:val="both"/>
        <w:rPr>
          <w:rFonts w:ascii="Times New Roman" w:hAnsi="Times New Roman"/>
          <w:b/>
          <w:color w:val="000000"/>
          <w:sz w:val="24"/>
          <w:szCs w:val="24"/>
        </w:rPr>
      </w:pPr>
      <w:r w:rsidRPr="0068706C">
        <w:rPr>
          <w:rFonts w:ascii="Times New Roman" w:hAnsi="Times New Roman"/>
          <w:b/>
          <w:color w:val="000000"/>
          <w:sz w:val="24"/>
          <w:szCs w:val="24"/>
        </w:rPr>
        <w:t>Masa e reformës 16#: Rritja e gjithëpërfshirjes dhe cilësisë së edukimit në fëmijërinë e hershme</w:t>
      </w:r>
    </w:p>
    <w:p w14:paraId="2D279035" w14:textId="77777777" w:rsidR="00CE4035" w:rsidRPr="0068706C" w:rsidRDefault="00CE4035" w:rsidP="00CE4035">
      <w:pPr>
        <w:pStyle w:val="Default"/>
        <w:jc w:val="both"/>
        <w:rPr>
          <w:rFonts w:ascii="Times New Roman" w:eastAsia="Times New Roman" w:hAnsi="Times New Roman" w:cs="Times New Roman"/>
          <w:lang w:val="sq-AL"/>
        </w:rPr>
      </w:pPr>
      <w:r w:rsidRPr="0068706C">
        <w:rPr>
          <w:rFonts w:ascii="Times New Roman" w:eastAsia="Times New Roman" w:hAnsi="Times New Roman" w:cs="Times New Roman"/>
          <w:b/>
          <w:lang w:val="sq-AL"/>
        </w:rPr>
        <w:t>Përshkrimi i masës:</w:t>
      </w:r>
      <w:r w:rsidRPr="0068706C">
        <w:rPr>
          <w:rFonts w:ascii="Times New Roman" w:eastAsia="Times New Roman" w:hAnsi="Times New Roman" w:cs="Times New Roman"/>
          <w:lang w:val="sq-AL"/>
        </w:rPr>
        <w:t xml:space="preserve"> Masa synon të rris vijueshmërinë e fëmijëve në edukimin në fëmijërinë e  </w:t>
      </w:r>
    </w:p>
    <w:p w14:paraId="61D4141F" w14:textId="77777777" w:rsidR="00CE4035" w:rsidRPr="0068706C" w:rsidRDefault="00CE4035" w:rsidP="00CE4035">
      <w:pPr>
        <w:pStyle w:val="Default"/>
        <w:jc w:val="both"/>
        <w:rPr>
          <w:rFonts w:ascii="Times New Roman" w:eastAsia="Times New Roman" w:hAnsi="Times New Roman" w:cs="Times New Roman"/>
          <w:lang w:val="sq-AL"/>
        </w:rPr>
      </w:pPr>
      <w:r w:rsidRPr="0068706C">
        <w:rPr>
          <w:rFonts w:ascii="Times New Roman" w:eastAsia="Times New Roman" w:hAnsi="Times New Roman" w:cs="Times New Roman"/>
          <w:lang w:val="sq-AL"/>
        </w:rPr>
        <w:t>hershme (EFH), duke përfshirë zbatimin e qasjes gjithëpërfshirëse. Kjo synohet të arrihet nëpërmjet hartimit dhe miratimit të ligjit të ri të EFH-së, përmes të cilit synohet rritja e përfshirjes së fëmijëve në këtë nivel edukimi përmes rregullimit të formave të organizimit të këtij niveli edukimi, miratimit të kurrikulës bërthamë, dhe  rishikimit të dokumentit të standardeve të zhvillimit dhe të mësuarit në fëmijërinë e hershme, rritjes së hapësirave për të IP publike përmes ndërtimit të 18 institucioneve parashkollore publike, si dhe formave të tjera alternative të edukimit të hershëm, duke përfshirë edhe zhvillimin e vazhdueshëm profesional të stafit menaxherial dhe edukativ. Masa mbështetet në Strategjinë Kombëtare për Zhvillim, Planin Strategjik të Arsimit në Kosovë 2017-2021. Masa është vazhdimësi e ciklit të mëhershëm të Programit për Reforma Ekonomike (PRE), ndërkaq aktivitetet paraprake janë zbatuar pjesërisht duke pasur parasysh ndryshimin e Qeverisë dhe pandeminë Covid 19’. MASH-i edhe për këtë nivel edukimi,  ka aplikuar organizimin e Edukimit në Distancë, për shkak të situatës pandemike në vend, ku MASH me ndihmën e Partnerëve si UNICEF-i dhe Save the Children, ka lansuar platformën e parë online “Edukimi në Distancë – Kujdesi, Zhvillimi dhe Edukimi në fëmijërinë e hershme për moshën 0-6 vjeç”. Përmes kësaj Platforme të gjithë fëmijëve e moshës 0-6 vjeç, u është mundësuar qasja në shërbimet e edukimit të hershëm pra në realizimin e aktiviteteve ditore në kushte shtëpie, të cilat fëmijët i realizojnë me mbështetjen e prindërve dhe me ndihmën e edukatoreve. Për të ju mundësuar qasje në realizimin e aktiviteteve ditore të gjithë fëmijëve pa përjashtim, përmbajtja edukative ditore po transmetohet edhe përmes televizionit kombëtar-rrjetit tokësor  Po ashtu, MASH në bashkëpunim me UNICEF-in, Save The Children, Bankën Botërore ka organizuar trajnimin online me të gjitha edukatoret që punojnë në këtë nivel edukimi, si dhe ka shpërndarë mbi 7000 pako edukative për fëmijët e kategorisë sociale. Kjo masë dhe shumica e aktiviteteve të planifikuara janë në përputhje me SZHQ 4 (Edukimi Cilësor), përmes përmirësimit të synuar për qasjen në fëmijërisë së hershme në arsim dhe ngritjen e kapaciteteve njerëzore në arsim. Kjo masë është në pajtim me SZHQ 4 “Sigurimi i arsimit gjithëpërfshirës dhe me cilësi të barabartë dhe promovimi i mundësive për të mësuarit gjatë gjithë jetës”.</w:t>
      </w:r>
    </w:p>
    <w:p w14:paraId="2014E56C" w14:textId="77777777" w:rsidR="00CE4035" w:rsidRPr="0068706C" w:rsidRDefault="00CE4035" w:rsidP="00CE4035">
      <w:pPr>
        <w:pStyle w:val="Default"/>
        <w:jc w:val="both"/>
        <w:rPr>
          <w:rFonts w:ascii="Times New Roman" w:eastAsia="Times New Roman" w:hAnsi="Times New Roman" w:cs="Times New Roman"/>
          <w:lang w:val="sq-AL"/>
        </w:rPr>
      </w:pPr>
    </w:p>
    <w:p w14:paraId="5CB212E2" w14:textId="77777777" w:rsidR="00CE4035" w:rsidRPr="0068706C" w:rsidRDefault="00CE4035" w:rsidP="0068706C">
      <w:pPr>
        <w:pStyle w:val="Default"/>
        <w:numPr>
          <w:ilvl w:val="0"/>
          <w:numId w:val="49"/>
        </w:numPr>
        <w:jc w:val="both"/>
        <w:rPr>
          <w:rFonts w:ascii="Times New Roman" w:hAnsi="Times New Roman" w:cs="Times New Roman"/>
          <w:b/>
          <w:lang w:val="sq-AL"/>
        </w:rPr>
      </w:pPr>
      <w:r w:rsidRPr="0068706C">
        <w:rPr>
          <w:rFonts w:ascii="Times New Roman" w:hAnsi="Times New Roman" w:cs="Times New Roman"/>
          <w:b/>
          <w:lang w:val="sq-AL"/>
        </w:rPr>
        <w:t xml:space="preserve">Aktivitetet e planifikuara për 2021 </w:t>
      </w:r>
    </w:p>
    <w:p w14:paraId="368B6036" w14:textId="77777777" w:rsidR="00CE4035" w:rsidRPr="0068706C" w:rsidRDefault="00CE4035" w:rsidP="0068706C">
      <w:pPr>
        <w:pStyle w:val="Default"/>
        <w:numPr>
          <w:ilvl w:val="0"/>
          <w:numId w:val="48"/>
        </w:numPr>
        <w:jc w:val="both"/>
        <w:rPr>
          <w:rFonts w:ascii="Times New Roman" w:hAnsi="Times New Roman" w:cs="Times New Roman"/>
          <w:lang w:val="sq-AL"/>
        </w:rPr>
      </w:pPr>
      <w:r w:rsidRPr="0068706C">
        <w:rPr>
          <w:rFonts w:ascii="Times New Roman" w:hAnsi="Times New Roman" w:cs="Times New Roman"/>
          <w:lang w:val="sq-AL"/>
        </w:rPr>
        <w:t>Miratimi i  Ligjit për Edukimin në Fëmijërinë e Hershme, (MASH);</w:t>
      </w:r>
    </w:p>
    <w:p w14:paraId="1BF6D7FA" w14:textId="77777777" w:rsidR="00CE4035" w:rsidRPr="0068706C" w:rsidRDefault="00CE4035" w:rsidP="0068706C">
      <w:pPr>
        <w:pStyle w:val="Default"/>
        <w:numPr>
          <w:ilvl w:val="0"/>
          <w:numId w:val="48"/>
        </w:numPr>
        <w:jc w:val="both"/>
        <w:rPr>
          <w:rFonts w:ascii="Times New Roman" w:hAnsi="Times New Roman" w:cs="Times New Roman"/>
          <w:lang w:val="sq-AL"/>
        </w:rPr>
      </w:pPr>
      <w:r w:rsidRPr="0068706C">
        <w:rPr>
          <w:rFonts w:ascii="Times New Roman" w:hAnsi="Times New Roman" w:cs="Times New Roman"/>
          <w:lang w:val="sq-AL"/>
        </w:rPr>
        <w:t xml:space="preserve">Finalizimi i draftit dhe miratimi i kurrikulës bërthamë, e cila përmban </w:t>
      </w:r>
      <w:r w:rsidRPr="0068706C">
        <w:rPr>
          <w:rFonts w:ascii="Times New Roman" w:hAnsi="Times New Roman" w:cs="Times New Roman"/>
          <w:b/>
          <w:color w:val="auto"/>
          <w:lang w:val="sq-AL"/>
        </w:rPr>
        <w:t>5</w:t>
      </w:r>
      <w:r w:rsidRPr="0068706C">
        <w:rPr>
          <w:rFonts w:ascii="Times New Roman" w:hAnsi="Times New Roman" w:cs="Times New Roman"/>
          <w:color w:val="auto"/>
          <w:lang w:val="sq-AL"/>
        </w:rPr>
        <w:t xml:space="preserve"> </w:t>
      </w:r>
      <w:r w:rsidRPr="0068706C">
        <w:rPr>
          <w:rFonts w:ascii="Times New Roman" w:hAnsi="Times New Roman" w:cs="Times New Roman"/>
          <w:lang w:val="sq-AL"/>
        </w:rPr>
        <w:t>fusha, për edukimin në fëmijërinë e hershme, (MASH);</w:t>
      </w:r>
    </w:p>
    <w:p w14:paraId="67C85BEC" w14:textId="77777777" w:rsidR="00CE4035" w:rsidRPr="0068706C" w:rsidRDefault="00CE4035" w:rsidP="0068706C">
      <w:pPr>
        <w:pStyle w:val="Default"/>
        <w:numPr>
          <w:ilvl w:val="0"/>
          <w:numId w:val="48"/>
        </w:numPr>
        <w:jc w:val="both"/>
        <w:rPr>
          <w:rFonts w:ascii="Times New Roman" w:hAnsi="Times New Roman" w:cs="Times New Roman"/>
          <w:color w:val="auto"/>
          <w:lang w:val="sq-AL"/>
        </w:rPr>
      </w:pPr>
      <w:r w:rsidRPr="0068706C">
        <w:rPr>
          <w:rFonts w:ascii="Times New Roman" w:hAnsi="Times New Roman" w:cs="Times New Roman"/>
          <w:lang w:val="sq-AL"/>
        </w:rPr>
        <w:t xml:space="preserve">Hartimi </w:t>
      </w:r>
      <w:r w:rsidRPr="0068706C">
        <w:rPr>
          <w:rFonts w:ascii="Times New Roman" w:hAnsi="Times New Roman" w:cs="Times New Roman"/>
          <w:color w:val="auto"/>
          <w:lang w:val="sq-AL"/>
        </w:rPr>
        <w:t xml:space="preserve">dhe miratimi i 5 udhëzuesve praktikë për pilotimin e kurrikulës bërthamë, (MASH); </w:t>
      </w:r>
    </w:p>
    <w:p w14:paraId="0C7B5F3A" w14:textId="77777777" w:rsidR="00CE4035" w:rsidRPr="0068706C" w:rsidRDefault="00CE4035" w:rsidP="0068706C">
      <w:pPr>
        <w:pStyle w:val="Default"/>
        <w:numPr>
          <w:ilvl w:val="0"/>
          <w:numId w:val="48"/>
        </w:numPr>
        <w:jc w:val="both"/>
        <w:rPr>
          <w:rFonts w:ascii="Times New Roman" w:hAnsi="Times New Roman" w:cs="Times New Roman"/>
          <w:color w:val="auto"/>
          <w:lang w:val="sq-AL"/>
        </w:rPr>
      </w:pPr>
      <w:r w:rsidRPr="0068706C">
        <w:rPr>
          <w:rFonts w:ascii="Times New Roman" w:hAnsi="Times New Roman" w:cs="Times New Roman"/>
          <w:color w:val="auto"/>
          <w:lang w:val="sq-AL"/>
        </w:rPr>
        <w:t xml:space="preserve">Trajnimi i deri 100 edukatorëve në deri 10 kopshte në fazën e pilotimit për zbatimin e kurrikulës bërthamë, (MASH); </w:t>
      </w:r>
    </w:p>
    <w:p w14:paraId="7400FC86" w14:textId="77777777" w:rsidR="00CE4035" w:rsidRPr="0068706C" w:rsidRDefault="00CE4035" w:rsidP="0068706C">
      <w:pPr>
        <w:pStyle w:val="Default"/>
        <w:numPr>
          <w:ilvl w:val="0"/>
          <w:numId w:val="48"/>
        </w:numPr>
        <w:jc w:val="both"/>
        <w:rPr>
          <w:rFonts w:ascii="Times New Roman" w:hAnsi="Times New Roman" w:cs="Times New Roman"/>
          <w:color w:val="auto"/>
          <w:lang w:val="sq-AL"/>
        </w:rPr>
      </w:pPr>
      <w:r w:rsidRPr="0068706C">
        <w:rPr>
          <w:rFonts w:ascii="Times New Roman" w:hAnsi="Times New Roman" w:cs="Times New Roman"/>
          <w:color w:val="auto"/>
          <w:lang w:val="sq-AL"/>
        </w:rPr>
        <w:t>Përfundimi i ndërtimit të 6  objekteve të reja të institucioneve parashkollore  si dhe fillon ndërtimi  i një  objekti të ri (MASH);</w:t>
      </w:r>
    </w:p>
    <w:p w14:paraId="64E49351" w14:textId="77777777" w:rsidR="00CE4035" w:rsidRPr="0068706C" w:rsidRDefault="00CE4035" w:rsidP="00CE4035">
      <w:pPr>
        <w:pStyle w:val="Default"/>
        <w:ind w:left="360"/>
        <w:jc w:val="both"/>
        <w:rPr>
          <w:rFonts w:ascii="Times New Roman" w:hAnsi="Times New Roman" w:cs="Times New Roman"/>
          <w:color w:val="auto"/>
          <w:lang w:val="sq-AL"/>
        </w:rPr>
      </w:pPr>
    </w:p>
    <w:p w14:paraId="2FF48755" w14:textId="77777777" w:rsidR="00CE4035" w:rsidRPr="0068706C" w:rsidRDefault="00CE4035" w:rsidP="0068706C">
      <w:pPr>
        <w:pStyle w:val="Default"/>
        <w:numPr>
          <w:ilvl w:val="0"/>
          <w:numId w:val="49"/>
        </w:numPr>
        <w:jc w:val="both"/>
        <w:rPr>
          <w:rFonts w:ascii="Times New Roman" w:hAnsi="Times New Roman" w:cs="Times New Roman"/>
          <w:b/>
          <w:lang w:val="sq-AL"/>
        </w:rPr>
      </w:pPr>
      <w:r w:rsidRPr="0068706C">
        <w:rPr>
          <w:rFonts w:ascii="Times New Roman" w:hAnsi="Times New Roman" w:cs="Times New Roman"/>
          <w:b/>
          <w:lang w:val="sq-AL"/>
        </w:rPr>
        <w:t>Aktivitetet e planifikuara për 2022</w:t>
      </w:r>
    </w:p>
    <w:p w14:paraId="52F899DA" w14:textId="77777777" w:rsidR="00CE4035" w:rsidRPr="0068706C" w:rsidRDefault="00CE4035" w:rsidP="0068706C">
      <w:pPr>
        <w:pStyle w:val="Default"/>
        <w:numPr>
          <w:ilvl w:val="0"/>
          <w:numId w:val="50"/>
        </w:numPr>
        <w:jc w:val="both"/>
        <w:rPr>
          <w:rFonts w:ascii="Times New Roman" w:hAnsi="Times New Roman" w:cs="Times New Roman"/>
          <w:lang w:val="sq-AL"/>
        </w:rPr>
      </w:pPr>
      <w:r w:rsidRPr="0068706C">
        <w:rPr>
          <w:rFonts w:ascii="Times New Roman" w:hAnsi="Times New Roman" w:cs="Times New Roman"/>
          <w:lang w:val="sq-AL"/>
        </w:rPr>
        <w:t>Hartimi i të gjitha akteve nënligjore që dalin nga Ligji për Edukimin në Fëmijërinë e Hershme (MASH);</w:t>
      </w:r>
    </w:p>
    <w:p w14:paraId="26330F19" w14:textId="77777777" w:rsidR="00CE4035" w:rsidRPr="0068706C" w:rsidRDefault="00CE4035" w:rsidP="0068706C">
      <w:pPr>
        <w:pStyle w:val="Default"/>
        <w:numPr>
          <w:ilvl w:val="0"/>
          <w:numId w:val="50"/>
        </w:numPr>
        <w:jc w:val="both"/>
        <w:rPr>
          <w:rFonts w:ascii="Times New Roman" w:hAnsi="Times New Roman" w:cs="Times New Roman"/>
          <w:lang w:val="sq-AL"/>
        </w:rPr>
      </w:pPr>
      <w:r w:rsidRPr="0068706C">
        <w:rPr>
          <w:rFonts w:ascii="Times New Roman" w:hAnsi="Times New Roman" w:cs="Times New Roman"/>
          <w:lang w:val="sq-AL"/>
        </w:rPr>
        <w:t xml:space="preserve">Pilotimi i kurrikulës bërthamë në 10 institucione parashkollore, (MASH); </w:t>
      </w:r>
    </w:p>
    <w:p w14:paraId="0FD6EFD4" w14:textId="77777777" w:rsidR="00CE4035" w:rsidRPr="0068706C" w:rsidRDefault="00CE4035" w:rsidP="0068706C">
      <w:pPr>
        <w:pStyle w:val="Default"/>
        <w:numPr>
          <w:ilvl w:val="0"/>
          <w:numId w:val="50"/>
        </w:numPr>
        <w:jc w:val="both"/>
        <w:rPr>
          <w:rFonts w:ascii="Times New Roman" w:hAnsi="Times New Roman" w:cs="Times New Roman"/>
          <w:lang w:val="sq-AL"/>
        </w:rPr>
      </w:pPr>
      <w:r w:rsidRPr="0068706C">
        <w:rPr>
          <w:rFonts w:ascii="Times New Roman" w:hAnsi="Times New Roman" w:cs="Times New Roman"/>
          <w:lang w:val="sq-AL"/>
        </w:rPr>
        <w:t>Përpilimi i Raportit Vlerësues për fazën e pilotimit të kurrikulës bazë dhe plotësimi i kurrikulës bërthamë bazuar në gjetjet e Raportit si dhe finalizimi dhe  miratimi, (MASH)</w:t>
      </w:r>
    </w:p>
    <w:p w14:paraId="43BB3EE7" w14:textId="77777777" w:rsidR="00CE4035" w:rsidRPr="0068706C" w:rsidRDefault="00CE4035" w:rsidP="0068706C">
      <w:pPr>
        <w:pStyle w:val="Default"/>
        <w:numPr>
          <w:ilvl w:val="0"/>
          <w:numId w:val="50"/>
        </w:numPr>
        <w:jc w:val="both"/>
        <w:rPr>
          <w:rFonts w:ascii="Times New Roman" w:hAnsi="Times New Roman" w:cs="Times New Roman"/>
          <w:lang w:val="sq-AL"/>
        </w:rPr>
      </w:pPr>
      <w:r w:rsidRPr="0068706C">
        <w:rPr>
          <w:rFonts w:ascii="Times New Roman" w:hAnsi="Times New Roman" w:cs="Times New Roman"/>
          <w:lang w:val="sq-AL"/>
        </w:rPr>
        <w:t xml:space="preserve">Trajnimi i deri në 800  edukatoreve në gjithsej 44 kopshte publike që punojnë me fëmijët e moshës 0-6 vjeç për zbatimin e kurrikulës së re, (MASH); </w:t>
      </w:r>
    </w:p>
    <w:p w14:paraId="0169082D" w14:textId="77777777" w:rsidR="00CE4035" w:rsidRPr="0068706C" w:rsidRDefault="00CE4035" w:rsidP="0068706C">
      <w:pPr>
        <w:pStyle w:val="Default"/>
        <w:numPr>
          <w:ilvl w:val="0"/>
          <w:numId w:val="50"/>
        </w:numPr>
        <w:jc w:val="both"/>
        <w:rPr>
          <w:rFonts w:ascii="Times New Roman" w:hAnsi="Times New Roman" w:cs="Times New Roman"/>
          <w:lang w:val="sq-AL"/>
        </w:rPr>
      </w:pPr>
      <w:r w:rsidRPr="0068706C">
        <w:rPr>
          <w:rFonts w:ascii="Times New Roman" w:hAnsi="Times New Roman" w:cs="Times New Roman"/>
          <w:lang w:val="sq-AL"/>
        </w:rPr>
        <w:t>Përfundimi i ndërtimit të 11 objekteve të reja të institucioneve parashkollore (MASH);</w:t>
      </w:r>
    </w:p>
    <w:p w14:paraId="356B5B2C" w14:textId="77777777" w:rsidR="00CE4035" w:rsidRPr="0068706C" w:rsidRDefault="00CE4035" w:rsidP="00CE4035">
      <w:pPr>
        <w:pStyle w:val="Default"/>
        <w:ind w:left="360"/>
        <w:jc w:val="both"/>
        <w:rPr>
          <w:rFonts w:ascii="Times New Roman" w:hAnsi="Times New Roman" w:cs="Times New Roman"/>
          <w:lang w:val="sq-AL"/>
        </w:rPr>
      </w:pPr>
    </w:p>
    <w:p w14:paraId="729582FF" w14:textId="77777777" w:rsidR="00CE4035" w:rsidRPr="0068706C" w:rsidRDefault="00CE4035" w:rsidP="0068706C">
      <w:pPr>
        <w:pStyle w:val="Default"/>
        <w:numPr>
          <w:ilvl w:val="0"/>
          <w:numId w:val="49"/>
        </w:numPr>
        <w:jc w:val="both"/>
        <w:rPr>
          <w:rFonts w:ascii="Times New Roman" w:hAnsi="Times New Roman" w:cs="Times New Roman"/>
          <w:b/>
          <w:color w:val="auto"/>
          <w:lang w:val="sq-AL"/>
        </w:rPr>
      </w:pPr>
      <w:r w:rsidRPr="0068706C">
        <w:rPr>
          <w:rFonts w:ascii="Times New Roman" w:hAnsi="Times New Roman" w:cs="Times New Roman"/>
          <w:b/>
          <w:color w:val="auto"/>
          <w:lang w:val="sq-AL"/>
        </w:rPr>
        <w:t xml:space="preserve">Aktivitetet e planifikuara për 2023 </w:t>
      </w:r>
    </w:p>
    <w:p w14:paraId="6CCF5809" w14:textId="77777777" w:rsidR="00CE4035" w:rsidRPr="0068706C" w:rsidRDefault="00CE4035" w:rsidP="0068706C">
      <w:pPr>
        <w:pStyle w:val="Default"/>
        <w:numPr>
          <w:ilvl w:val="0"/>
          <w:numId w:val="51"/>
        </w:numPr>
        <w:jc w:val="both"/>
        <w:rPr>
          <w:rFonts w:ascii="Times New Roman" w:hAnsi="Times New Roman" w:cs="Times New Roman"/>
          <w:lang w:val="sq-AL"/>
        </w:rPr>
      </w:pPr>
      <w:r w:rsidRPr="0068706C">
        <w:rPr>
          <w:rFonts w:ascii="Times New Roman" w:hAnsi="Times New Roman" w:cs="Times New Roman"/>
          <w:lang w:val="sq-AL"/>
        </w:rPr>
        <w:t xml:space="preserve">Trajnimi i deri 160 edukatoreve në 80 kopshte private (MASH); </w:t>
      </w:r>
    </w:p>
    <w:p w14:paraId="69714495" w14:textId="77777777" w:rsidR="00CE4035" w:rsidRPr="0068706C" w:rsidRDefault="00CE4035" w:rsidP="0068706C">
      <w:pPr>
        <w:pStyle w:val="Default"/>
        <w:numPr>
          <w:ilvl w:val="0"/>
          <w:numId w:val="51"/>
        </w:numPr>
        <w:jc w:val="both"/>
        <w:rPr>
          <w:rFonts w:ascii="Times New Roman" w:hAnsi="Times New Roman" w:cs="Times New Roman"/>
          <w:lang w:val="sq-AL"/>
        </w:rPr>
      </w:pPr>
      <w:r w:rsidRPr="0068706C">
        <w:rPr>
          <w:rFonts w:ascii="Times New Roman" w:hAnsi="Times New Roman" w:cs="Times New Roman"/>
          <w:lang w:val="sq-AL"/>
        </w:rPr>
        <w:t>Zhvillimi i programeve për identifikimin e hershëm për fëmijë me nevoja të veçanta arsimore (MASH);</w:t>
      </w:r>
    </w:p>
    <w:p w14:paraId="3960F6F3" w14:textId="77777777" w:rsidR="00CE4035" w:rsidRPr="0068706C" w:rsidRDefault="00CE4035" w:rsidP="0068706C">
      <w:pPr>
        <w:pStyle w:val="Default"/>
        <w:numPr>
          <w:ilvl w:val="0"/>
          <w:numId w:val="51"/>
        </w:numPr>
        <w:jc w:val="both"/>
        <w:rPr>
          <w:rFonts w:ascii="Times New Roman" w:hAnsi="Times New Roman" w:cs="Times New Roman"/>
          <w:lang w:val="sq-AL"/>
        </w:rPr>
      </w:pPr>
      <w:r w:rsidRPr="0068706C">
        <w:rPr>
          <w:rFonts w:ascii="Times New Roman" w:hAnsi="Times New Roman" w:cs="Times New Roman"/>
          <w:lang w:val="sq-AL"/>
        </w:rPr>
        <w:t xml:space="preserve">Përfundimi i ndërtimit të 1 objekti të ri të institucionit parashkollor (MASH). </w:t>
      </w:r>
    </w:p>
    <w:p w14:paraId="57EE948E" w14:textId="77777777" w:rsidR="00CE4035" w:rsidRPr="0068706C" w:rsidRDefault="00CE4035" w:rsidP="00CE4035">
      <w:pPr>
        <w:pStyle w:val="Default"/>
        <w:ind w:left="360"/>
        <w:jc w:val="both"/>
        <w:rPr>
          <w:rFonts w:ascii="Times New Roman" w:hAnsi="Times New Roman" w:cs="Times New Roman"/>
          <w:lang w:val="sq-AL"/>
        </w:rPr>
      </w:pPr>
    </w:p>
    <w:p w14:paraId="76C5E1FA" w14:textId="77777777" w:rsidR="00CE4035" w:rsidRPr="0068706C" w:rsidRDefault="00CE4035" w:rsidP="00CE4035">
      <w:r w:rsidRPr="0068706C">
        <w:rPr>
          <w:b/>
          <w:bCs/>
        </w:rPr>
        <w:t>Treguesit e rezultateve:</w:t>
      </w:r>
    </w:p>
    <w:p w14:paraId="207B1E39" w14:textId="77777777" w:rsidR="00CE4035" w:rsidRPr="0068706C" w:rsidRDefault="00CE4035" w:rsidP="00CE4035">
      <w:pPr>
        <w:rPr>
          <w:vanish/>
        </w:rPr>
      </w:pPr>
    </w:p>
    <w:tbl>
      <w:tblPr>
        <w:tblpPr w:leftFromText="180" w:rightFromText="180" w:vertAnchor="text" w:horzAnchor="margin" w:tblpY="175"/>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5"/>
        <w:gridCol w:w="1440"/>
        <w:gridCol w:w="1710"/>
        <w:gridCol w:w="1440"/>
      </w:tblGrid>
      <w:tr w:rsidR="00CE4035" w:rsidRPr="0068706C" w14:paraId="2F47BB6D" w14:textId="77777777" w:rsidTr="0068706C">
        <w:tc>
          <w:tcPr>
            <w:tcW w:w="4135" w:type="dxa"/>
            <w:shd w:val="clear" w:color="auto" w:fill="auto"/>
          </w:tcPr>
          <w:p w14:paraId="2E43217D" w14:textId="77777777" w:rsidR="00CE4035" w:rsidRPr="0068706C" w:rsidRDefault="00CE4035" w:rsidP="009B753C">
            <w:pPr>
              <w:pStyle w:val="Default"/>
              <w:rPr>
                <w:rFonts w:ascii="Times New Roman" w:hAnsi="Times New Roman" w:cs="Times New Roman"/>
                <w:b/>
                <w:lang w:val="sq-AL"/>
              </w:rPr>
            </w:pPr>
            <w:r w:rsidRPr="0068706C">
              <w:rPr>
                <w:rFonts w:ascii="Times New Roman" w:hAnsi="Times New Roman" w:cs="Times New Roman"/>
                <w:b/>
                <w:lang w:val="sq-AL"/>
              </w:rPr>
              <w:t xml:space="preserve">Treguesi </w:t>
            </w:r>
          </w:p>
          <w:p w14:paraId="60687566" w14:textId="77777777" w:rsidR="00CE4035" w:rsidRPr="0068706C" w:rsidRDefault="00CE4035" w:rsidP="009B753C">
            <w:pPr>
              <w:pStyle w:val="Default"/>
              <w:rPr>
                <w:rFonts w:ascii="Times New Roman" w:hAnsi="Times New Roman" w:cs="Times New Roman"/>
                <w:b/>
                <w:i/>
                <w:iCs/>
                <w:lang w:val="sq-AL"/>
              </w:rPr>
            </w:pPr>
          </w:p>
        </w:tc>
        <w:tc>
          <w:tcPr>
            <w:tcW w:w="1440" w:type="dxa"/>
            <w:shd w:val="clear" w:color="auto" w:fill="auto"/>
          </w:tcPr>
          <w:p w14:paraId="226CC4B7" w14:textId="77777777" w:rsidR="00CE4035" w:rsidRPr="0068706C" w:rsidRDefault="00CE4035" w:rsidP="009B753C">
            <w:pPr>
              <w:pStyle w:val="Default"/>
              <w:rPr>
                <w:rFonts w:ascii="Times New Roman" w:hAnsi="Times New Roman" w:cs="Times New Roman"/>
                <w:b/>
                <w:lang w:val="sq-AL"/>
              </w:rPr>
            </w:pPr>
            <w:r w:rsidRPr="0068706C">
              <w:rPr>
                <w:rFonts w:ascii="Times New Roman" w:hAnsi="Times New Roman" w:cs="Times New Roman"/>
                <w:b/>
                <w:lang w:val="sq-AL"/>
              </w:rPr>
              <w:t xml:space="preserve">Viti bazë    2020 </w:t>
            </w:r>
          </w:p>
        </w:tc>
        <w:tc>
          <w:tcPr>
            <w:tcW w:w="1710" w:type="dxa"/>
            <w:shd w:val="clear" w:color="auto" w:fill="auto"/>
          </w:tcPr>
          <w:p w14:paraId="41C36138" w14:textId="77777777" w:rsidR="00CE4035" w:rsidRPr="0068706C" w:rsidRDefault="00CE4035" w:rsidP="009B753C">
            <w:pPr>
              <w:pStyle w:val="Default"/>
              <w:rPr>
                <w:rFonts w:ascii="Times New Roman" w:hAnsi="Times New Roman" w:cs="Times New Roman"/>
                <w:b/>
                <w:lang w:val="sq-AL"/>
              </w:rPr>
            </w:pPr>
            <w:r w:rsidRPr="0068706C">
              <w:rPr>
                <w:rFonts w:ascii="Times New Roman" w:hAnsi="Times New Roman" w:cs="Times New Roman"/>
                <w:b/>
                <w:lang w:val="sq-AL"/>
              </w:rPr>
              <w:t>Objektivi i ndërmjetëm 2022</w:t>
            </w:r>
          </w:p>
        </w:tc>
        <w:tc>
          <w:tcPr>
            <w:tcW w:w="1440" w:type="dxa"/>
            <w:shd w:val="clear" w:color="auto" w:fill="auto"/>
          </w:tcPr>
          <w:p w14:paraId="7F7578C8" w14:textId="77777777" w:rsidR="00CE4035" w:rsidRPr="0068706C" w:rsidRDefault="00CE4035" w:rsidP="009B753C">
            <w:pPr>
              <w:pStyle w:val="Default"/>
              <w:rPr>
                <w:rFonts w:ascii="Times New Roman" w:hAnsi="Times New Roman" w:cs="Times New Roman"/>
                <w:b/>
                <w:lang w:val="sq-AL"/>
              </w:rPr>
            </w:pPr>
            <w:r w:rsidRPr="0068706C">
              <w:rPr>
                <w:rFonts w:ascii="Times New Roman" w:hAnsi="Times New Roman" w:cs="Times New Roman"/>
                <w:b/>
                <w:lang w:val="sq-AL"/>
              </w:rPr>
              <w:t xml:space="preserve">Objektivi </w:t>
            </w:r>
          </w:p>
          <w:p w14:paraId="58A78FE2" w14:textId="77777777" w:rsidR="00CE4035" w:rsidRPr="0068706C" w:rsidRDefault="00CE4035" w:rsidP="009B753C">
            <w:pPr>
              <w:pStyle w:val="Default"/>
              <w:rPr>
                <w:rFonts w:ascii="Times New Roman" w:hAnsi="Times New Roman" w:cs="Times New Roman"/>
                <w:b/>
                <w:lang w:val="sq-AL"/>
              </w:rPr>
            </w:pPr>
            <w:r w:rsidRPr="0068706C">
              <w:rPr>
                <w:rFonts w:ascii="Times New Roman" w:hAnsi="Times New Roman" w:cs="Times New Roman"/>
                <w:b/>
                <w:lang w:val="sq-AL"/>
              </w:rPr>
              <w:t>2023</w:t>
            </w:r>
          </w:p>
        </w:tc>
      </w:tr>
      <w:tr w:rsidR="00CE4035" w:rsidRPr="0068706C" w14:paraId="290CFBF7" w14:textId="77777777" w:rsidTr="0068706C">
        <w:trPr>
          <w:trHeight w:val="675"/>
        </w:trPr>
        <w:tc>
          <w:tcPr>
            <w:tcW w:w="4135" w:type="dxa"/>
            <w:shd w:val="clear" w:color="auto" w:fill="auto"/>
          </w:tcPr>
          <w:p w14:paraId="6DEE14C5" w14:textId="77777777" w:rsidR="00CE4035" w:rsidRPr="0068706C" w:rsidRDefault="00CE4035" w:rsidP="009B753C">
            <w:pPr>
              <w:pStyle w:val="Default"/>
              <w:rPr>
                <w:rFonts w:ascii="Times New Roman" w:hAnsi="Times New Roman" w:cs="Times New Roman"/>
                <w:i/>
                <w:iCs/>
                <w:color w:val="auto"/>
                <w:lang w:val="sq-AL"/>
              </w:rPr>
            </w:pPr>
            <w:r w:rsidRPr="0068706C">
              <w:rPr>
                <w:rFonts w:ascii="Times New Roman" w:hAnsi="Times New Roman" w:cs="Times New Roman"/>
                <w:color w:val="auto"/>
                <w:lang w:val="sq-AL"/>
              </w:rPr>
              <w:t>Numri  i  edukatoreve të trajnuara që punojnë sipas kurrikulës bërthamë</w:t>
            </w:r>
          </w:p>
        </w:tc>
        <w:tc>
          <w:tcPr>
            <w:tcW w:w="1440" w:type="dxa"/>
            <w:shd w:val="clear" w:color="auto" w:fill="auto"/>
          </w:tcPr>
          <w:p w14:paraId="619FB10A" w14:textId="77777777" w:rsidR="00CE4035" w:rsidRPr="0068706C" w:rsidRDefault="00CE4035" w:rsidP="009B753C">
            <w:pPr>
              <w:pStyle w:val="Default"/>
              <w:jc w:val="center"/>
              <w:rPr>
                <w:rFonts w:ascii="Times New Roman" w:hAnsi="Times New Roman" w:cs="Times New Roman"/>
                <w:color w:val="auto"/>
                <w:lang w:val="sq-AL"/>
              </w:rPr>
            </w:pPr>
          </w:p>
          <w:p w14:paraId="4657C6FE" w14:textId="77777777" w:rsidR="00CE4035" w:rsidRPr="0068706C" w:rsidRDefault="00CE4035" w:rsidP="009B753C">
            <w:pPr>
              <w:pStyle w:val="Default"/>
              <w:jc w:val="center"/>
              <w:rPr>
                <w:rFonts w:ascii="Times New Roman" w:hAnsi="Times New Roman" w:cs="Times New Roman"/>
                <w:color w:val="auto"/>
                <w:lang w:val="sq-AL"/>
              </w:rPr>
            </w:pPr>
            <w:r w:rsidRPr="0068706C">
              <w:rPr>
                <w:rFonts w:ascii="Times New Roman" w:hAnsi="Times New Roman" w:cs="Times New Roman"/>
                <w:color w:val="auto"/>
                <w:lang w:val="sq-AL"/>
              </w:rPr>
              <w:t>100</w:t>
            </w:r>
          </w:p>
        </w:tc>
        <w:tc>
          <w:tcPr>
            <w:tcW w:w="1710" w:type="dxa"/>
            <w:shd w:val="clear" w:color="auto" w:fill="auto"/>
          </w:tcPr>
          <w:p w14:paraId="3079C981" w14:textId="77777777" w:rsidR="00CE4035" w:rsidRPr="0068706C" w:rsidRDefault="00CE4035" w:rsidP="009B753C">
            <w:pPr>
              <w:pStyle w:val="Default"/>
              <w:jc w:val="center"/>
              <w:rPr>
                <w:rFonts w:ascii="Times New Roman" w:hAnsi="Times New Roman" w:cs="Times New Roman"/>
                <w:color w:val="auto"/>
                <w:lang w:val="sq-AL"/>
              </w:rPr>
            </w:pPr>
            <w:r w:rsidRPr="0068706C">
              <w:rPr>
                <w:rFonts w:ascii="Times New Roman" w:hAnsi="Times New Roman" w:cs="Times New Roman"/>
                <w:color w:val="auto"/>
                <w:lang w:val="sq-AL"/>
              </w:rPr>
              <w:t>400</w:t>
            </w:r>
          </w:p>
        </w:tc>
        <w:tc>
          <w:tcPr>
            <w:tcW w:w="1440" w:type="dxa"/>
            <w:shd w:val="clear" w:color="auto" w:fill="auto"/>
          </w:tcPr>
          <w:p w14:paraId="4B341B6D" w14:textId="77777777" w:rsidR="00CE4035" w:rsidRPr="0068706C" w:rsidRDefault="00CE4035" w:rsidP="009B753C">
            <w:pPr>
              <w:pStyle w:val="Default"/>
              <w:jc w:val="center"/>
              <w:rPr>
                <w:rFonts w:ascii="Times New Roman" w:hAnsi="Times New Roman" w:cs="Times New Roman"/>
                <w:color w:val="auto"/>
                <w:lang w:val="sq-AL"/>
              </w:rPr>
            </w:pPr>
            <w:r w:rsidRPr="0068706C">
              <w:rPr>
                <w:rFonts w:ascii="Times New Roman" w:hAnsi="Times New Roman" w:cs="Times New Roman"/>
                <w:color w:val="auto"/>
                <w:lang w:val="sq-AL"/>
              </w:rPr>
              <w:t>800</w:t>
            </w:r>
          </w:p>
        </w:tc>
      </w:tr>
      <w:tr w:rsidR="00CE4035" w:rsidRPr="0068706C" w14:paraId="1D7F60C7" w14:textId="77777777" w:rsidTr="0068706C">
        <w:trPr>
          <w:trHeight w:val="545"/>
        </w:trPr>
        <w:tc>
          <w:tcPr>
            <w:tcW w:w="4135" w:type="dxa"/>
            <w:shd w:val="clear" w:color="auto" w:fill="auto"/>
          </w:tcPr>
          <w:p w14:paraId="722B04A0" w14:textId="77777777" w:rsidR="00CE4035" w:rsidRPr="0068706C" w:rsidRDefault="00CE4035" w:rsidP="009B753C">
            <w:pPr>
              <w:pStyle w:val="Default"/>
              <w:jc w:val="both"/>
              <w:rPr>
                <w:rFonts w:ascii="Times New Roman" w:hAnsi="Times New Roman" w:cs="Times New Roman"/>
                <w:color w:val="auto"/>
                <w:lang w:val="sq-AL"/>
              </w:rPr>
            </w:pPr>
            <w:r w:rsidRPr="0068706C">
              <w:rPr>
                <w:rFonts w:ascii="Times New Roman" w:hAnsi="Times New Roman" w:cs="Times New Roman"/>
                <w:lang w:val="sq-AL"/>
              </w:rPr>
              <w:t xml:space="preserve">Numri i fëmijëve të moshës 0-6 vjeç në institucionet parashkollore sipas planifikimit me ndërtimin e institucioneve parashkollore të reja </w:t>
            </w:r>
          </w:p>
        </w:tc>
        <w:tc>
          <w:tcPr>
            <w:tcW w:w="1440" w:type="dxa"/>
            <w:shd w:val="clear" w:color="auto" w:fill="auto"/>
          </w:tcPr>
          <w:p w14:paraId="775D5C6B" w14:textId="77777777" w:rsidR="00CE4035" w:rsidRPr="0068706C" w:rsidRDefault="00CE4035" w:rsidP="009B753C">
            <w:pPr>
              <w:pStyle w:val="Default"/>
              <w:jc w:val="center"/>
              <w:rPr>
                <w:rFonts w:ascii="Times New Roman" w:hAnsi="Times New Roman" w:cs="Times New Roman"/>
                <w:color w:val="auto"/>
                <w:lang w:val="sq-AL"/>
              </w:rPr>
            </w:pPr>
          </w:p>
          <w:p w14:paraId="53AF5D18" w14:textId="77777777" w:rsidR="00CE4035" w:rsidRPr="0068706C" w:rsidRDefault="00CE4035" w:rsidP="009B753C">
            <w:pPr>
              <w:pStyle w:val="Default"/>
              <w:jc w:val="center"/>
              <w:rPr>
                <w:rFonts w:ascii="Times New Roman" w:hAnsi="Times New Roman" w:cs="Times New Roman"/>
                <w:color w:val="auto"/>
                <w:lang w:val="sq-AL"/>
              </w:rPr>
            </w:pPr>
            <w:r w:rsidRPr="0068706C">
              <w:rPr>
                <w:rFonts w:ascii="Times New Roman" w:eastAsia="Times New Roman" w:hAnsi="Times New Roman" w:cs="Times New Roman"/>
                <w:bCs/>
                <w:color w:val="auto"/>
              </w:rPr>
              <w:t>20.8%</w:t>
            </w:r>
          </w:p>
        </w:tc>
        <w:tc>
          <w:tcPr>
            <w:tcW w:w="1710" w:type="dxa"/>
            <w:shd w:val="clear" w:color="auto" w:fill="auto"/>
          </w:tcPr>
          <w:p w14:paraId="09935509" w14:textId="77777777" w:rsidR="00CE4035" w:rsidRPr="0068706C" w:rsidRDefault="00CE4035" w:rsidP="009B753C">
            <w:pPr>
              <w:pStyle w:val="Default"/>
              <w:jc w:val="center"/>
              <w:rPr>
                <w:rFonts w:ascii="Times New Roman" w:hAnsi="Times New Roman" w:cs="Times New Roman"/>
                <w:color w:val="auto"/>
                <w:lang w:val="sq-AL"/>
              </w:rPr>
            </w:pPr>
          </w:p>
          <w:p w14:paraId="743202A6" w14:textId="77777777" w:rsidR="00CE4035" w:rsidRPr="0068706C" w:rsidRDefault="00CE4035" w:rsidP="009B753C">
            <w:pPr>
              <w:pStyle w:val="Default"/>
              <w:jc w:val="center"/>
              <w:rPr>
                <w:rFonts w:ascii="Times New Roman" w:hAnsi="Times New Roman" w:cs="Times New Roman"/>
                <w:color w:val="auto"/>
                <w:lang w:val="sq-AL"/>
              </w:rPr>
            </w:pPr>
            <w:r w:rsidRPr="0068706C">
              <w:rPr>
                <w:rFonts w:ascii="Times New Roman" w:eastAsia="Times New Roman" w:hAnsi="Times New Roman" w:cs="Times New Roman"/>
                <w:bCs/>
                <w:color w:val="auto"/>
              </w:rPr>
              <w:t>22.0%</w:t>
            </w:r>
          </w:p>
        </w:tc>
        <w:tc>
          <w:tcPr>
            <w:tcW w:w="1440" w:type="dxa"/>
            <w:shd w:val="clear" w:color="auto" w:fill="auto"/>
          </w:tcPr>
          <w:p w14:paraId="3D9C85FA" w14:textId="77777777" w:rsidR="00CE4035" w:rsidRPr="0068706C" w:rsidRDefault="00CE4035" w:rsidP="009B753C">
            <w:pPr>
              <w:pStyle w:val="Default"/>
              <w:jc w:val="center"/>
              <w:rPr>
                <w:rFonts w:ascii="Times New Roman" w:hAnsi="Times New Roman" w:cs="Times New Roman"/>
                <w:color w:val="auto"/>
                <w:lang w:val="sq-AL"/>
              </w:rPr>
            </w:pPr>
          </w:p>
          <w:p w14:paraId="38CCA269" w14:textId="77777777" w:rsidR="00CE4035" w:rsidRPr="0068706C" w:rsidRDefault="00CE4035" w:rsidP="009B753C">
            <w:pPr>
              <w:pStyle w:val="Default"/>
              <w:jc w:val="center"/>
              <w:rPr>
                <w:rFonts w:ascii="Times New Roman" w:hAnsi="Times New Roman" w:cs="Times New Roman"/>
                <w:color w:val="auto"/>
                <w:lang w:val="sq-AL"/>
              </w:rPr>
            </w:pPr>
            <w:r w:rsidRPr="0068706C">
              <w:rPr>
                <w:rFonts w:ascii="Times New Roman" w:eastAsia="Times New Roman" w:hAnsi="Times New Roman" w:cs="Times New Roman"/>
                <w:bCs/>
                <w:color w:val="auto"/>
              </w:rPr>
              <w:t>23.2%</w:t>
            </w:r>
          </w:p>
        </w:tc>
      </w:tr>
      <w:tr w:rsidR="00CE4035" w:rsidRPr="0068706C" w14:paraId="22A458C5" w14:textId="77777777" w:rsidTr="0068706C">
        <w:trPr>
          <w:trHeight w:val="602"/>
        </w:trPr>
        <w:tc>
          <w:tcPr>
            <w:tcW w:w="4135" w:type="dxa"/>
            <w:tcBorders>
              <w:bottom w:val="single" w:sz="4" w:space="0" w:color="auto"/>
            </w:tcBorders>
            <w:shd w:val="clear" w:color="auto" w:fill="auto"/>
          </w:tcPr>
          <w:p w14:paraId="3AB06279" w14:textId="77777777" w:rsidR="00CE4035" w:rsidRPr="0068706C" w:rsidRDefault="00CE4035" w:rsidP="009B753C">
            <w:r w:rsidRPr="0068706C">
              <w:rPr>
                <w:rFonts w:eastAsia="Calibri"/>
              </w:rPr>
              <w:t>Shkalla bruto e regjistrimit parafillor (5 vjeç)</w:t>
            </w:r>
          </w:p>
        </w:tc>
        <w:tc>
          <w:tcPr>
            <w:tcW w:w="1440" w:type="dxa"/>
            <w:shd w:val="clear" w:color="auto" w:fill="auto"/>
          </w:tcPr>
          <w:p w14:paraId="1BBE8DEE" w14:textId="77777777" w:rsidR="00CE4035" w:rsidRPr="0068706C" w:rsidRDefault="00CE4035" w:rsidP="009B753C">
            <w:pPr>
              <w:jc w:val="center"/>
              <w:rPr>
                <w:lang w:val="en-US"/>
              </w:rPr>
            </w:pPr>
            <w:r w:rsidRPr="0068706C">
              <w:t>(2019)</w:t>
            </w:r>
          </w:p>
          <w:p w14:paraId="7857B25B" w14:textId="77777777" w:rsidR="00CE4035" w:rsidRPr="0068706C" w:rsidRDefault="00CE4035" w:rsidP="009B753C">
            <w:pPr>
              <w:jc w:val="center"/>
            </w:pPr>
            <w:r w:rsidRPr="0068706C">
              <w:t>92.50%</w:t>
            </w:r>
          </w:p>
        </w:tc>
        <w:tc>
          <w:tcPr>
            <w:tcW w:w="1710" w:type="dxa"/>
            <w:shd w:val="clear" w:color="auto" w:fill="auto"/>
          </w:tcPr>
          <w:p w14:paraId="57625786" w14:textId="77777777" w:rsidR="00CE4035" w:rsidRPr="0068706C" w:rsidRDefault="00CE4035" w:rsidP="009B753C">
            <w:pPr>
              <w:pStyle w:val="Default"/>
              <w:jc w:val="center"/>
              <w:rPr>
                <w:rFonts w:ascii="Times New Roman" w:hAnsi="Times New Roman" w:cs="Times New Roman"/>
                <w:color w:val="auto"/>
                <w:lang w:val="sq-AL"/>
              </w:rPr>
            </w:pPr>
          </w:p>
          <w:p w14:paraId="72C4A34B" w14:textId="77777777" w:rsidR="00CE4035" w:rsidRPr="0068706C" w:rsidRDefault="00CE4035" w:rsidP="009B753C">
            <w:pPr>
              <w:pStyle w:val="Default"/>
              <w:jc w:val="center"/>
              <w:rPr>
                <w:rFonts w:ascii="Times New Roman" w:hAnsi="Times New Roman" w:cs="Times New Roman"/>
                <w:color w:val="auto"/>
                <w:lang w:val="sq-AL"/>
              </w:rPr>
            </w:pPr>
            <w:r w:rsidRPr="0068706C">
              <w:rPr>
                <w:rFonts w:ascii="Times New Roman" w:hAnsi="Times New Roman" w:cs="Times New Roman"/>
                <w:color w:val="auto"/>
                <w:lang w:val="sq-AL"/>
              </w:rPr>
              <w:t>93.0%</w:t>
            </w:r>
          </w:p>
        </w:tc>
        <w:tc>
          <w:tcPr>
            <w:tcW w:w="1440" w:type="dxa"/>
            <w:shd w:val="clear" w:color="auto" w:fill="auto"/>
          </w:tcPr>
          <w:p w14:paraId="7CB9587F" w14:textId="77777777" w:rsidR="00CE4035" w:rsidRPr="0068706C" w:rsidRDefault="00CE4035" w:rsidP="009B753C">
            <w:pPr>
              <w:pStyle w:val="Default"/>
              <w:jc w:val="center"/>
              <w:rPr>
                <w:rFonts w:ascii="Times New Roman" w:hAnsi="Times New Roman" w:cs="Times New Roman"/>
                <w:color w:val="auto"/>
                <w:lang w:val="sq-AL"/>
              </w:rPr>
            </w:pPr>
          </w:p>
          <w:p w14:paraId="6D8501D6" w14:textId="77777777" w:rsidR="00CE4035" w:rsidRPr="0068706C" w:rsidRDefault="00CE4035" w:rsidP="009B753C">
            <w:pPr>
              <w:pStyle w:val="Default"/>
              <w:jc w:val="center"/>
              <w:rPr>
                <w:rFonts w:ascii="Times New Roman" w:hAnsi="Times New Roman" w:cs="Times New Roman"/>
                <w:color w:val="auto"/>
                <w:lang w:val="sq-AL"/>
              </w:rPr>
            </w:pPr>
            <w:r w:rsidRPr="0068706C">
              <w:rPr>
                <w:rFonts w:ascii="Times New Roman" w:hAnsi="Times New Roman" w:cs="Times New Roman"/>
                <w:color w:val="auto"/>
                <w:lang w:val="sq-AL"/>
              </w:rPr>
              <w:t>94,5%</w:t>
            </w:r>
          </w:p>
        </w:tc>
      </w:tr>
    </w:tbl>
    <w:p w14:paraId="15EE31F2" w14:textId="77777777" w:rsidR="00CE4035" w:rsidRPr="0068706C" w:rsidRDefault="00CE4035" w:rsidP="00CE4035">
      <w:pPr>
        <w:jc w:val="both"/>
        <w:rPr>
          <w:i/>
        </w:rPr>
      </w:pPr>
      <w:r w:rsidRPr="0068706C">
        <w:rPr>
          <w:i/>
        </w:rPr>
        <w:t xml:space="preserve">Arritja e këtyre treguesve është në pajtim me treguesin 4.2.2 të SZHQ 4 ‘Sigurimi i arsimit gjithëpërfshirës dhe me cilësi të barabartë dhe promovimi i mundësive për të mësuarit gjatë gjithë jetës’. </w:t>
      </w:r>
    </w:p>
    <w:p w14:paraId="6DFEC31D" w14:textId="056EF83E" w:rsidR="00CE4035" w:rsidRDefault="00CE4035" w:rsidP="00CE4035">
      <w:pPr>
        <w:jc w:val="both"/>
      </w:pPr>
      <w:r w:rsidRPr="0068706C">
        <w:rPr>
          <w:b/>
        </w:rPr>
        <w:t xml:space="preserve">Ndikimi i pritshëm në konkurrueshmëri: </w:t>
      </w:r>
      <w:r w:rsidRPr="0068706C">
        <w:t xml:space="preserve">Kjo masë ndikon në përmirësimin dhe rritjen e përfshirjes në edukimin  parashkollor.  </w:t>
      </w:r>
    </w:p>
    <w:p w14:paraId="0D36151A" w14:textId="77777777" w:rsidR="0068706C" w:rsidRPr="0068706C" w:rsidRDefault="0068706C" w:rsidP="00CE4035">
      <w:pPr>
        <w:jc w:val="both"/>
      </w:pPr>
    </w:p>
    <w:p w14:paraId="61902432" w14:textId="62236418" w:rsidR="00CE4035" w:rsidRDefault="00CE4035" w:rsidP="00CE4035">
      <w:pPr>
        <w:jc w:val="both"/>
        <w:rPr>
          <w:bCs/>
          <w:iCs/>
        </w:rPr>
      </w:pPr>
      <w:r w:rsidRPr="0068706C">
        <w:rPr>
          <w:b/>
        </w:rPr>
        <w:t xml:space="preserve">Vlerësimi i kostos së aktiviteteve dhe burimet të financimit: </w:t>
      </w:r>
      <w:r w:rsidRPr="0068706C">
        <w:t>Kosto e përgjithshme për zbatim të kësaj mase vlerësohet të jetë rreth   10,613,000 Euro. Nga kjo vlerë: 4,451,000 Euro vlerësohet të jetë kosto për vitin 2021. Nga kjo shume 2,400,000  Euro do të financohet nga buxheti i Kosovës, që janë të destinuara për ndërtim të institucioneve parashkollore, ndërsa 51,000 Euro pritet të financojë aktivitetet që kanë të bëjnë me finalizimin e miratimit të kurrikulës bërthamë dhe trajnime, si dhe miratimi i ligjit. Për vitin 2022, kosto vlerësohet të jetë  3,651.000 Euro, ku  1,600,000 Euro janë të destinuara për ndërtim të institucioneve parashkollore, ndërsa 51,000 Euro, janë të destinuara për hartimin e UA që dalin nga ligji i ri, pilotimin e kurrikulës si dhe trajnimin e edukatoreve. Ndërsa për vitin 2023  kosto e zbatimit është 2,511,000 Euro,  ku 1,460,000 janë  për ndërtim të institucioneve parashkollore, ndërsa shuma prej 51.000 Euro për trajnimin e edukatoreve në sektorin privat.</w:t>
      </w:r>
      <w:r w:rsidRPr="0068706C">
        <w:rPr>
          <w:bCs/>
          <w:iCs/>
        </w:rPr>
        <w:t xml:space="preserve"> Ndërsa 5,000,000 euro janë nga fondet e IPA për ndërtimin e 7 objekteve të institucioneve parashkollore brenda periudhës 2021-2023, nga të cilat 2,000,000 ne vitin 2021, 2,000,000 ne vitin 2022, dhe 1,000,000 ne vitin 2023. </w:t>
      </w:r>
    </w:p>
    <w:p w14:paraId="02C3D2DA" w14:textId="77777777" w:rsidR="0068706C" w:rsidRPr="0068706C" w:rsidRDefault="0068706C" w:rsidP="00CE4035">
      <w:pPr>
        <w:jc w:val="both"/>
      </w:pPr>
    </w:p>
    <w:p w14:paraId="71C98B52" w14:textId="24D88F25" w:rsidR="00CE4035" w:rsidRDefault="00CE4035" w:rsidP="00CE4035">
      <w:pPr>
        <w:jc w:val="both"/>
      </w:pPr>
      <w:r w:rsidRPr="0068706C">
        <w:rPr>
          <w:b/>
          <w:bCs/>
          <w:iCs/>
        </w:rPr>
        <w:t>Ndikimet e pritshme mbi rezultatet sociale, të tilla si punësimi, reduktimi i varfërisë, barazia gjinore:</w:t>
      </w:r>
      <w:r w:rsidRPr="0068706C">
        <w:rPr>
          <w:b/>
          <w:bCs/>
          <w:i/>
          <w:iCs/>
        </w:rPr>
        <w:t xml:space="preserve"> </w:t>
      </w:r>
      <w:r w:rsidRPr="0068706C">
        <w:t>Miratimi i Ligjit për EFH dhe i kurrikulës bërthamë për edukimin në fëmijërinë e hershme, si dhe  ndërtimi i institucioneve të reja parashkollore rregullojnë sistemin e zhvillimit të edukimit në fëmijërinë e hershme në Kosovë në aspektin e cilësisë;  ndihmojnë në rritjen e  punësimit dhe krijimit të mundësive të barabarta për punësim, përmes krijimit të hapësirave shtesë dhe përmes formave alternative të shërbimeve në edukimin e hershëm, të cilat parashihen me realizimin e këtyre aktiviteteve; ndërsa në periudhën afatgjatë zhvillimi i fëmijërisë së hershme ulë varfërinë.</w:t>
      </w:r>
    </w:p>
    <w:p w14:paraId="22F84A1F" w14:textId="77777777" w:rsidR="0068706C" w:rsidRPr="0068706C" w:rsidRDefault="0068706C" w:rsidP="00CE4035">
      <w:pPr>
        <w:jc w:val="both"/>
      </w:pPr>
    </w:p>
    <w:p w14:paraId="5BF2BDFA" w14:textId="1679FD14" w:rsidR="00CE4035" w:rsidRDefault="00CE4035" w:rsidP="00CE4035">
      <w:pPr>
        <w:jc w:val="both"/>
      </w:pPr>
      <w:r w:rsidRPr="0068706C">
        <w:rPr>
          <w:b/>
        </w:rPr>
        <w:t>Ndikimi i pritshëm në mjedis:</w:t>
      </w:r>
      <w:r w:rsidRPr="0068706C">
        <w:t xml:space="preserve"> Masa nuk ka ndikim në mjedis.</w:t>
      </w:r>
    </w:p>
    <w:p w14:paraId="60EEAF98" w14:textId="77777777" w:rsidR="0068706C" w:rsidRPr="0068706C" w:rsidRDefault="0068706C" w:rsidP="00CE4035">
      <w:pPr>
        <w:jc w:val="both"/>
      </w:pPr>
    </w:p>
    <w:p w14:paraId="0A6EFCF6" w14:textId="77777777" w:rsidR="00CE4035" w:rsidRPr="0068706C" w:rsidRDefault="00CE4035" w:rsidP="00CE4035">
      <w:pPr>
        <w:jc w:val="both"/>
        <w:rPr>
          <w:b/>
          <w:bCs/>
        </w:rPr>
      </w:pPr>
      <w:r w:rsidRPr="0068706C">
        <w:rPr>
          <w:b/>
          <w:bCs/>
        </w:rPr>
        <w:t>Rreziqet potenciale:</w:t>
      </w:r>
    </w:p>
    <w:p w14:paraId="5EEB1460" w14:textId="77777777" w:rsidR="00CE4035" w:rsidRPr="0068706C" w:rsidRDefault="00CE4035" w:rsidP="00CE4035">
      <w:pPr>
        <w:rPr>
          <w:vanish/>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1710"/>
        <w:gridCol w:w="3780"/>
      </w:tblGrid>
      <w:tr w:rsidR="00CE4035" w:rsidRPr="0068706C" w14:paraId="10E2B259" w14:textId="77777777" w:rsidTr="0068706C">
        <w:tc>
          <w:tcPr>
            <w:tcW w:w="3145" w:type="dxa"/>
            <w:shd w:val="clear" w:color="auto" w:fill="auto"/>
          </w:tcPr>
          <w:p w14:paraId="7B798AC0" w14:textId="77777777" w:rsidR="00CE4035" w:rsidRPr="0068706C" w:rsidRDefault="00CE4035" w:rsidP="009B753C">
            <w:pPr>
              <w:pStyle w:val="Default"/>
              <w:jc w:val="both"/>
              <w:rPr>
                <w:rFonts w:ascii="Times New Roman" w:hAnsi="Times New Roman" w:cs="Times New Roman"/>
                <w:lang w:val="sq-AL"/>
              </w:rPr>
            </w:pPr>
            <w:r w:rsidRPr="0068706C">
              <w:rPr>
                <w:rFonts w:ascii="Times New Roman" w:hAnsi="Times New Roman" w:cs="Times New Roman"/>
                <w:b/>
                <w:bCs/>
                <w:lang w:val="sq-AL"/>
              </w:rPr>
              <w:t xml:space="preserve">Rreziku </w:t>
            </w:r>
          </w:p>
        </w:tc>
        <w:tc>
          <w:tcPr>
            <w:tcW w:w="1710" w:type="dxa"/>
            <w:shd w:val="clear" w:color="auto" w:fill="auto"/>
          </w:tcPr>
          <w:p w14:paraId="00CCECD4" w14:textId="77777777" w:rsidR="00CE4035" w:rsidRPr="0068706C" w:rsidRDefault="00CE4035" w:rsidP="009B753C">
            <w:pPr>
              <w:pStyle w:val="Default"/>
              <w:ind w:right="-122"/>
              <w:rPr>
                <w:rFonts w:ascii="Times New Roman" w:hAnsi="Times New Roman" w:cs="Times New Roman"/>
                <w:lang w:val="sq-AL"/>
              </w:rPr>
            </w:pPr>
            <w:r w:rsidRPr="0068706C">
              <w:rPr>
                <w:rFonts w:ascii="Times New Roman" w:hAnsi="Times New Roman" w:cs="Times New Roman"/>
                <w:b/>
                <w:bCs/>
                <w:lang w:val="sq-AL"/>
              </w:rPr>
              <w:t xml:space="preserve">Probabiliteti </w:t>
            </w:r>
          </w:p>
        </w:tc>
        <w:tc>
          <w:tcPr>
            <w:tcW w:w="3780" w:type="dxa"/>
            <w:shd w:val="clear" w:color="auto" w:fill="auto"/>
          </w:tcPr>
          <w:p w14:paraId="50A624E8" w14:textId="77777777" w:rsidR="00CE4035" w:rsidRPr="0068706C" w:rsidRDefault="00CE4035" w:rsidP="009B753C">
            <w:pPr>
              <w:pStyle w:val="Default"/>
              <w:rPr>
                <w:rFonts w:ascii="Times New Roman" w:hAnsi="Times New Roman" w:cs="Times New Roman"/>
                <w:lang w:val="sq-AL"/>
              </w:rPr>
            </w:pPr>
            <w:r w:rsidRPr="0068706C">
              <w:rPr>
                <w:rFonts w:ascii="Times New Roman" w:hAnsi="Times New Roman" w:cs="Times New Roman"/>
                <w:b/>
                <w:bCs/>
                <w:lang w:val="sq-AL"/>
              </w:rPr>
              <w:t xml:space="preserve">Veprimi lehtësues i planifikuar </w:t>
            </w:r>
          </w:p>
        </w:tc>
      </w:tr>
      <w:tr w:rsidR="00CE4035" w:rsidRPr="0068706C" w14:paraId="396F1FF5" w14:textId="77777777" w:rsidTr="0068706C">
        <w:tc>
          <w:tcPr>
            <w:tcW w:w="3145" w:type="dxa"/>
            <w:shd w:val="clear" w:color="auto" w:fill="auto"/>
          </w:tcPr>
          <w:p w14:paraId="63E0CC02" w14:textId="77777777" w:rsidR="00CE4035" w:rsidRPr="0068706C" w:rsidRDefault="00CE4035" w:rsidP="009B753C">
            <w:pPr>
              <w:pStyle w:val="Default"/>
              <w:jc w:val="both"/>
              <w:rPr>
                <w:rFonts w:ascii="Times New Roman" w:hAnsi="Times New Roman" w:cs="Times New Roman"/>
                <w:lang w:val="sq-AL"/>
              </w:rPr>
            </w:pPr>
            <w:r w:rsidRPr="0068706C">
              <w:rPr>
                <w:rFonts w:ascii="Times New Roman" w:hAnsi="Times New Roman" w:cs="Times New Roman"/>
                <w:lang w:val="sq-AL"/>
              </w:rPr>
              <w:t>Mos miratimi i ligjit për EFH dhe mos miratimi i kurrikulës bërthamë për këtë nivel edukimi</w:t>
            </w:r>
          </w:p>
          <w:p w14:paraId="41FF5419" w14:textId="77777777" w:rsidR="00CE4035" w:rsidRPr="0068706C" w:rsidRDefault="00CE4035" w:rsidP="009B753C">
            <w:pPr>
              <w:pStyle w:val="Default"/>
              <w:jc w:val="both"/>
              <w:rPr>
                <w:rFonts w:ascii="Times New Roman" w:hAnsi="Times New Roman" w:cs="Times New Roman"/>
                <w:lang w:val="sq-AL"/>
              </w:rPr>
            </w:pPr>
          </w:p>
        </w:tc>
        <w:tc>
          <w:tcPr>
            <w:tcW w:w="1710" w:type="dxa"/>
            <w:shd w:val="clear" w:color="auto" w:fill="auto"/>
          </w:tcPr>
          <w:p w14:paraId="7B4A2815" w14:textId="77777777" w:rsidR="00CE4035" w:rsidRPr="0068706C" w:rsidRDefault="00CE4035" w:rsidP="009B753C">
            <w:pPr>
              <w:pStyle w:val="Default"/>
              <w:jc w:val="both"/>
              <w:rPr>
                <w:rFonts w:ascii="Times New Roman" w:hAnsi="Times New Roman" w:cs="Times New Roman"/>
                <w:lang w:val="sq-AL"/>
              </w:rPr>
            </w:pPr>
            <w:r w:rsidRPr="0068706C">
              <w:rPr>
                <w:rFonts w:ascii="Times New Roman" w:hAnsi="Times New Roman" w:cs="Times New Roman"/>
                <w:lang w:val="sq-AL"/>
              </w:rPr>
              <w:t xml:space="preserve">I mesëm </w:t>
            </w:r>
          </w:p>
        </w:tc>
        <w:tc>
          <w:tcPr>
            <w:tcW w:w="3780" w:type="dxa"/>
            <w:shd w:val="clear" w:color="auto" w:fill="auto"/>
          </w:tcPr>
          <w:p w14:paraId="66F0A822" w14:textId="77777777" w:rsidR="00CE4035" w:rsidRPr="0068706C" w:rsidRDefault="00CE4035" w:rsidP="009B753C">
            <w:pPr>
              <w:pStyle w:val="Default"/>
              <w:jc w:val="both"/>
              <w:rPr>
                <w:rFonts w:ascii="Times New Roman" w:hAnsi="Times New Roman" w:cs="Times New Roman"/>
                <w:color w:val="auto"/>
                <w:lang w:val="sq-AL"/>
              </w:rPr>
            </w:pPr>
            <w:r w:rsidRPr="0068706C">
              <w:rPr>
                <w:rFonts w:ascii="Times New Roman" w:hAnsi="Times New Roman" w:cs="Times New Roman"/>
                <w:color w:val="auto"/>
                <w:lang w:val="sq-AL"/>
              </w:rPr>
              <w:t xml:space="preserve">Kjo masë, është e lidhur ngushtë me vendimet politike andaj, janë të pashmangshme veprimet lehtësuese. Kurrikula e re, për arsye të ndërrimit të shpeshtë të ministrave nuk ka arritur të nënshkruhet, po ashtu edhe ligji është shtyrë si pasojë e  ndërrimit të Qeverisë. </w:t>
            </w:r>
          </w:p>
        </w:tc>
      </w:tr>
      <w:tr w:rsidR="00CE4035" w:rsidRPr="0068706C" w14:paraId="2DE3298C" w14:textId="77777777" w:rsidTr="0068706C">
        <w:tc>
          <w:tcPr>
            <w:tcW w:w="3145" w:type="dxa"/>
            <w:shd w:val="clear" w:color="auto" w:fill="auto"/>
          </w:tcPr>
          <w:p w14:paraId="7729BA4A" w14:textId="77777777" w:rsidR="00CE4035" w:rsidRPr="0068706C" w:rsidRDefault="00CE4035" w:rsidP="009B753C">
            <w:pPr>
              <w:pStyle w:val="Default"/>
              <w:jc w:val="both"/>
              <w:rPr>
                <w:rFonts w:ascii="Times New Roman" w:hAnsi="Times New Roman" w:cs="Times New Roman"/>
                <w:lang w:val="sq-AL"/>
              </w:rPr>
            </w:pPr>
            <w:r w:rsidRPr="0068706C">
              <w:rPr>
                <w:rFonts w:ascii="Times New Roman" w:hAnsi="Times New Roman" w:cs="Times New Roman"/>
                <w:lang w:val="sq-AL"/>
              </w:rPr>
              <w:t>Mos funksionalizimi në kohën e planifikuar i objekteve të reja të institucioneve parashkollore për shkak te pandemisë</w:t>
            </w:r>
          </w:p>
        </w:tc>
        <w:tc>
          <w:tcPr>
            <w:tcW w:w="1710" w:type="dxa"/>
            <w:shd w:val="clear" w:color="auto" w:fill="auto"/>
          </w:tcPr>
          <w:p w14:paraId="16DCA33E" w14:textId="77777777" w:rsidR="00CE4035" w:rsidRPr="0068706C" w:rsidRDefault="00CE4035" w:rsidP="009B753C">
            <w:pPr>
              <w:pStyle w:val="Default"/>
              <w:jc w:val="both"/>
              <w:rPr>
                <w:rFonts w:ascii="Times New Roman" w:hAnsi="Times New Roman" w:cs="Times New Roman"/>
                <w:lang w:val="sq-AL"/>
              </w:rPr>
            </w:pPr>
            <w:r w:rsidRPr="0068706C">
              <w:rPr>
                <w:rFonts w:ascii="Times New Roman" w:hAnsi="Times New Roman" w:cs="Times New Roman"/>
                <w:lang w:val="sq-AL"/>
              </w:rPr>
              <w:t>I mesëm</w:t>
            </w:r>
          </w:p>
        </w:tc>
        <w:tc>
          <w:tcPr>
            <w:tcW w:w="3780" w:type="dxa"/>
            <w:shd w:val="clear" w:color="auto" w:fill="auto"/>
          </w:tcPr>
          <w:p w14:paraId="296F4CD4" w14:textId="77777777" w:rsidR="00CE4035" w:rsidRPr="0068706C" w:rsidRDefault="00CE4035" w:rsidP="009B753C">
            <w:pPr>
              <w:pStyle w:val="Default"/>
              <w:jc w:val="both"/>
              <w:rPr>
                <w:rFonts w:ascii="Times New Roman" w:hAnsi="Times New Roman" w:cs="Times New Roman"/>
                <w:color w:val="auto"/>
                <w:lang w:val="sq-AL"/>
              </w:rPr>
            </w:pPr>
            <w:r w:rsidRPr="0068706C">
              <w:rPr>
                <w:rFonts w:ascii="Times New Roman" w:hAnsi="Times New Roman" w:cs="Times New Roman"/>
                <w:color w:val="auto"/>
                <w:lang w:val="sq-AL"/>
              </w:rPr>
              <w:t>Planifikimi me kohë i stafit dhe shërbimeve tjera teknike dhe komunale  për funksionalizimin e institucionit</w:t>
            </w:r>
          </w:p>
        </w:tc>
      </w:tr>
    </w:tbl>
    <w:p w14:paraId="7EBDB31A" w14:textId="77777777" w:rsidR="00CE4035" w:rsidRPr="0068706C" w:rsidRDefault="00CE4035" w:rsidP="00CE4035"/>
    <w:p w14:paraId="4E8CE514" w14:textId="77777777" w:rsidR="00CE4035" w:rsidRPr="0068706C" w:rsidRDefault="00CE4035" w:rsidP="00CE4035">
      <w:pPr>
        <w:shd w:val="clear" w:color="auto" w:fill="9CC2E5"/>
        <w:autoSpaceDE w:val="0"/>
        <w:autoSpaceDN w:val="0"/>
        <w:adjustRightInd w:val="0"/>
        <w:contextualSpacing/>
        <w:jc w:val="both"/>
        <w:rPr>
          <w:rFonts w:eastAsia="Calibri"/>
          <w:b/>
          <w:bCs/>
        </w:rPr>
      </w:pPr>
      <w:r w:rsidRPr="0068706C">
        <w:rPr>
          <w:rFonts w:eastAsia="Calibri"/>
          <w:b/>
          <w:bCs/>
        </w:rPr>
        <w:t>Masa e reformës 17#: Zbatimi i kornizës së re kurrikulare në sistemin e arsimit dhe aftësimit profesional</w:t>
      </w:r>
    </w:p>
    <w:p w14:paraId="0E3D1B31" w14:textId="7DB3F085" w:rsidR="00CE4035" w:rsidRDefault="00CE4035" w:rsidP="00CE4035">
      <w:pPr>
        <w:jc w:val="both"/>
      </w:pPr>
      <w:r w:rsidRPr="0068706C">
        <w:rPr>
          <w:b/>
        </w:rPr>
        <w:t xml:space="preserve">Përshkrimi i masës: </w:t>
      </w:r>
      <w:r w:rsidRPr="0068706C">
        <w:t xml:space="preserve">Masa synon ngritjen e përputhshmërisë së arsimit dhe aftësimit profesional me kërkesat e tregut të punës. Realizimi i masës bazohet në miratimin e kurrikulës bazë në fushën e arsimit dhe aftësimit profesional (AAP); revidimin e formulës së financimit të AAP; dhe fillimin e pilotimit të kurrikulës së re nga institucionet e AAP-së. Masa mbështetet në Strategjinë Kombëtare për Zhvillim (SKZH) dhe Planin Strategjik të Arsimit në Kosovë (PSAK). Kjo masë është formuluar si përgjigje ndaj pengesave strukturore në fushën e arsimit dhe shkathtësive, të cilat lidhen me mospërputhshmërinë e sistemit të arsimit me nevojat e tregut të punës. MASH për këtë qëllim ka pilotuar Mësimin në Vendin e Punës dhe meqë ka rezultuar i suksesshëm ka filluar përgatitjen e infrastrukturës për ta aplikuar atë edhe si element të Sistemit Dual. Po ashtu, Këshilli për AAP është funksionalizuar dhe ka përfshirje të kënaqshme  të bizneseve me qellim të përafrimit të kërkesës se tregut te punës me AAP. Gjithashtu, edhe kjo masë është në pajtim me SZHQ 4 ‘Sigurimi i arsimit gjithëpërfshirës dhe me cilësi të barabartë dhe promovimi i mundësive për të mësuarit gjatë gjithë jetës’. </w:t>
      </w:r>
    </w:p>
    <w:p w14:paraId="7B1F0BB5" w14:textId="77777777" w:rsidR="0068706C" w:rsidRPr="0068706C" w:rsidRDefault="0068706C" w:rsidP="00CE4035">
      <w:pPr>
        <w:jc w:val="both"/>
      </w:pPr>
    </w:p>
    <w:p w14:paraId="5948E1FE" w14:textId="77777777" w:rsidR="00CE4035" w:rsidRPr="0068706C" w:rsidRDefault="00CE4035" w:rsidP="00CE4035">
      <w:pPr>
        <w:autoSpaceDE w:val="0"/>
        <w:autoSpaceDN w:val="0"/>
        <w:adjustRightInd w:val="0"/>
        <w:jc w:val="both"/>
        <w:rPr>
          <w:b/>
        </w:rPr>
      </w:pPr>
      <w:r w:rsidRPr="0068706C">
        <w:rPr>
          <w:b/>
        </w:rPr>
        <w:t>a. Aktivitetet e planifikuara për 2021:</w:t>
      </w:r>
    </w:p>
    <w:p w14:paraId="5C12BA25" w14:textId="77777777" w:rsidR="00CE4035" w:rsidRPr="0068706C" w:rsidRDefault="00CE4035" w:rsidP="0068706C">
      <w:pPr>
        <w:numPr>
          <w:ilvl w:val="0"/>
          <w:numId w:val="52"/>
        </w:numPr>
        <w:autoSpaceDE w:val="0"/>
        <w:autoSpaceDN w:val="0"/>
        <w:adjustRightInd w:val="0"/>
        <w:contextualSpacing/>
        <w:jc w:val="both"/>
        <w:rPr>
          <w:bCs/>
          <w:iCs/>
        </w:rPr>
      </w:pPr>
      <w:r w:rsidRPr="0068706C">
        <w:rPr>
          <w:bCs/>
          <w:iCs/>
        </w:rPr>
        <w:t>Miratimi i Kornizës së Kurrikulës për sistemin e AAP, rishikimi i kurrikulave dhe përpilimi i udhëzuesve për zbatim të kurrikulës bërthamë (MASH);</w:t>
      </w:r>
    </w:p>
    <w:p w14:paraId="557BF45B" w14:textId="77777777" w:rsidR="00CE4035" w:rsidRPr="0068706C" w:rsidRDefault="00CE4035" w:rsidP="0068706C">
      <w:pPr>
        <w:numPr>
          <w:ilvl w:val="0"/>
          <w:numId w:val="52"/>
        </w:numPr>
        <w:autoSpaceDE w:val="0"/>
        <w:autoSpaceDN w:val="0"/>
        <w:adjustRightInd w:val="0"/>
        <w:contextualSpacing/>
        <w:jc w:val="both"/>
        <w:rPr>
          <w:bCs/>
          <w:iCs/>
        </w:rPr>
      </w:pPr>
      <w:r w:rsidRPr="0068706C">
        <w:rPr>
          <w:bCs/>
          <w:iCs/>
        </w:rPr>
        <w:t>Rishikimi i formulës së financimit për AAP duke përcaktuar kriteret e financimit të cilat bëhen përmes grantit specifik për arsim (MASH);</w:t>
      </w:r>
    </w:p>
    <w:p w14:paraId="0F5A3BE0" w14:textId="77777777" w:rsidR="00CE4035" w:rsidRPr="0068706C" w:rsidRDefault="00CE4035" w:rsidP="0068706C">
      <w:pPr>
        <w:numPr>
          <w:ilvl w:val="0"/>
          <w:numId w:val="52"/>
        </w:numPr>
        <w:autoSpaceDE w:val="0"/>
        <w:autoSpaceDN w:val="0"/>
        <w:adjustRightInd w:val="0"/>
        <w:contextualSpacing/>
        <w:jc w:val="both"/>
        <w:rPr>
          <w:bCs/>
          <w:iCs/>
        </w:rPr>
      </w:pPr>
      <w:r w:rsidRPr="0068706C">
        <w:rPr>
          <w:bCs/>
          <w:iCs/>
        </w:rPr>
        <w:t>Hartimi dhe miratimi i udhëzimit administrativ për vlerësimin e studentëve të AAP-së, përmes inkuadrimit të përfaqësuesve të punëdhënësve (MASH);</w:t>
      </w:r>
    </w:p>
    <w:p w14:paraId="13B7BAAC" w14:textId="77777777" w:rsidR="00CE4035" w:rsidRPr="0068706C" w:rsidRDefault="00CE4035" w:rsidP="0068706C">
      <w:pPr>
        <w:numPr>
          <w:ilvl w:val="0"/>
          <w:numId w:val="52"/>
        </w:numPr>
        <w:autoSpaceDE w:val="0"/>
        <w:autoSpaceDN w:val="0"/>
        <w:adjustRightInd w:val="0"/>
        <w:contextualSpacing/>
        <w:jc w:val="both"/>
        <w:rPr>
          <w:bCs/>
          <w:iCs/>
        </w:rPr>
      </w:pPr>
      <w:r w:rsidRPr="0068706C">
        <w:rPr>
          <w:bCs/>
          <w:iCs/>
        </w:rPr>
        <w:t>Pilotimi i platformës dixhitale në  fushën e TIK dhe dy fusha tjera (MASH/MTI/ATK);</w:t>
      </w:r>
    </w:p>
    <w:p w14:paraId="0A81181A" w14:textId="77777777" w:rsidR="00CE4035" w:rsidRPr="0068706C" w:rsidRDefault="00CE4035" w:rsidP="0068706C">
      <w:pPr>
        <w:numPr>
          <w:ilvl w:val="0"/>
          <w:numId w:val="52"/>
        </w:numPr>
        <w:autoSpaceDE w:val="0"/>
        <w:autoSpaceDN w:val="0"/>
        <w:adjustRightInd w:val="0"/>
        <w:contextualSpacing/>
        <w:jc w:val="both"/>
        <w:rPr>
          <w:bCs/>
          <w:iCs/>
        </w:rPr>
      </w:pPr>
      <w:r w:rsidRPr="0068706C">
        <w:rPr>
          <w:bCs/>
          <w:iCs/>
        </w:rPr>
        <w:t>Funksionalizimi i sistemit për bashkëpunim me biznesin edhe për 10 shkolla të AAP (MASH).</w:t>
      </w:r>
    </w:p>
    <w:p w14:paraId="15865917" w14:textId="77777777" w:rsidR="00CE4035" w:rsidRPr="0068706C" w:rsidRDefault="00CE4035" w:rsidP="0068706C">
      <w:pPr>
        <w:numPr>
          <w:ilvl w:val="0"/>
          <w:numId w:val="52"/>
        </w:numPr>
        <w:autoSpaceDE w:val="0"/>
        <w:autoSpaceDN w:val="0"/>
        <w:adjustRightInd w:val="0"/>
        <w:contextualSpacing/>
        <w:jc w:val="both"/>
        <w:rPr>
          <w:bCs/>
          <w:iCs/>
        </w:rPr>
      </w:pPr>
      <w:r w:rsidRPr="0068706C">
        <w:rPr>
          <w:bCs/>
          <w:iCs/>
        </w:rPr>
        <w:t>Lidhja me programin Master një vjeçar për mësuesit në shërbim të ofruar nga Fakulteti i Edukimit me fakultetet e synuara (p.sh. Mekatronika dhe Bujqësia) për të siguruar vendosjen praktike të mësuesve të AAP-së (MASH);</w:t>
      </w:r>
    </w:p>
    <w:p w14:paraId="5E14914F" w14:textId="77777777" w:rsidR="00CE4035" w:rsidRPr="0068706C" w:rsidRDefault="00CE4035" w:rsidP="00CE4035">
      <w:pPr>
        <w:autoSpaceDE w:val="0"/>
        <w:autoSpaceDN w:val="0"/>
        <w:adjustRightInd w:val="0"/>
        <w:ind w:left="360"/>
        <w:contextualSpacing/>
        <w:jc w:val="both"/>
        <w:rPr>
          <w:bCs/>
          <w:iCs/>
        </w:rPr>
      </w:pPr>
    </w:p>
    <w:p w14:paraId="56176841" w14:textId="77777777" w:rsidR="00CE4035" w:rsidRPr="0068706C" w:rsidRDefault="00CE4035" w:rsidP="00CE4035">
      <w:pPr>
        <w:autoSpaceDE w:val="0"/>
        <w:autoSpaceDN w:val="0"/>
        <w:adjustRightInd w:val="0"/>
        <w:jc w:val="both"/>
        <w:rPr>
          <w:b/>
        </w:rPr>
      </w:pPr>
      <w:r w:rsidRPr="0068706C">
        <w:rPr>
          <w:b/>
        </w:rPr>
        <w:t xml:space="preserve">b. Aktivitetet e planifikuara për 2022: </w:t>
      </w:r>
    </w:p>
    <w:p w14:paraId="5B07564F" w14:textId="77777777" w:rsidR="00CE4035" w:rsidRPr="0068706C" w:rsidRDefault="00CE4035" w:rsidP="0068706C">
      <w:pPr>
        <w:numPr>
          <w:ilvl w:val="0"/>
          <w:numId w:val="53"/>
        </w:numPr>
        <w:autoSpaceDE w:val="0"/>
        <w:autoSpaceDN w:val="0"/>
        <w:adjustRightInd w:val="0"/>
        <w:contextualSpacing/>
        <w:jc w:val="both"/>
        <w:rPr>
          <w:bCs/>
          <w:iCs/>
        </w:rPr>
      </w:pPr>
      <w:r w:rsidRPr="0068706C">
        <w:rPr>
          <w:bCs/>
          <w:iCs/>
        </w:rPr>
        <w:t>Trajnimi i 1,500 mësimdhënësve për zbatimin e kurrikulës bërthamë (MASH);</w:t>
      </w:r>
    </w:p>
    <w:p w14:paraId="43870697" w14:textId="77777777" w:rsidR="00CE4035" w:rsidRPr="0068706C" w:rsidRDefault="00CE4035" w:rsidP="0068706C">
      <w:pPr>
        <w:numPr>
          <w:ilvl w:val="0"/>
          <w:numId w:val="53"/>
        </w:numPr>
        <w:autoSpaceDE w:val="0"/>
        <w:autoSpaceDN w:val="0"/>
        <w:adjustRightInd w:val="0"/>
        <w:contextualSpacing/>
        <w:jc w:val="both"/>
        <w:rPr>
          <w:bCs/>
          <w:iCs/>
        </w:rPr>
      </w:pPr>
      <w:r w:rsidRPr="0068706C">
        <w:rPr>
          <w:bCs/>
          <w:iCs/>
        </w:rPr>
        <w:t>Pilotimi i kurrikulës së re bërthamë (në të gjitha profilet e AAP-së) në 18 shkolla të klasës së 11-të (MASHT);</w:t>
      </w:r>
    </w:p>
    <w:p w14:paraId="2E14AC4B" w14:textId="77777777" w:rsidR="00CE4035" w:rsidRPr="0068706C" w:rsidRDefault="00CE4035" w:rsidP="0068706C">
      <w:pPr>
        <w:numPr>
          <w:ilvl w:val="0"/>
          <w:numId w:val="53"/>
        </w:numPr>
        <w:autoSpaceDE w:val="0"/>
        <w:autoSpaceDN w:val="0"/>
        <w:adjustRightInd w:val="0"/>
        <w:contextualSpacing/>
        <w:jc w:val="both"/>
        <w:rPr>
          <w:bCs/>
          <w:iCs/>
        </w:rPr>
      </w:pPr>
      <w:r w:rsidRPr="0068706C">
        <w:rPr>
          <w:bCs/>
          <w:iCs/>
        </w:rPr>
        <w:t>Funksionalizimi i platformës dixhitale për planifikimin e shkathtësive për tregun e punës në fushën e TIK përmes zgjerimit të të dhënave të bizneseve të TIK-ut (MASH/MTI/ATK);</w:t>
      </w:r>
    </w:p>
    <w:p w14:paraId="6A228020" w14:textId="77777777" w:rsidR="00CE4035" w:rsidRPr="0068706C" w:rsidRDefault="00CE4035" w:rsidP="0068706C">
      <w:pPr>
        <w:numPr>
          <w:ilvl w:val="0"/>
          <w:numId w:val="53"/>
        </w:numPr>
        <w:autoSpaceDE w:val="0"/>
        <w:autoSpaceDN w:val="0"/>
        <w:adjustRightInd w:val="0"/>
        <w:contextualSpacing/>
        <w:jc w:val="both"/>
        <w:rPr>
          <w:bCs/>
          <w:iCs/>
        </w:rPr>
      </w:pPr>
      <w:r w:rsidRPr="0068706C">
        <w:rPr>
          <w:bCs/>
          <w:iCs/>
        </w:rPr>
        <w:t>Hapja e Qendrës së Kompetencës në Prishtinë në fushën e TIK-ut (MASH/Komuna Prishtine dhe Luxemburgu);</w:t>
      </w:r>
    </w:p>
    <w:p w14:paraId="489A4562" w14:textId="77777777" w:rsidR="00CE4035" w:rsidRPr="0068706C" w:rsidRDefault="00CE4035" w:rsidP="0068706C">
      <w:pPr>
        <w:numPr>
          <w:ilvl w:val="0"/>
          <w:numId w:val="53"/>
        </w:numPr>
        <w:autoSpaceDE w:val="0"/>
        <w:autoSpaceDN w:val="0"/>
        <w:adjustRightInd w:val="0"/>
        <w:contextualSpacing/>
        <w:jc w:val="both"/>
        <w:rPr>
          <w:bCs/>
          <w:iCs/>
        </w:rPr>
      </w:pPr>
      <w:r w:rsidRPr="0068706C">
        <w:rPr>
          <w:bCs/>
          <w:iCs/>
        </w:rPr>
        <w:t>Funksionalizimi i sistemit për bashkëpunim me biznesin edhe per 10 shkolla (MASH)</w:t>
      </w:r>
    </w:p>
    <w:p w14:paraId="6164A0CF" w14:textId="77777777" w:rsidR="00CE4035" w:rsidRPr="0068706C" w:rsidRDefault="00CE4035" w:rsidP="0068706C">
      <w:pPr>
        <w:numPr>
          <w:ilvl w:val="0"/>
          <w:numId w:val="53"/>
        </w:numPr>
        <w:autoSpaceDE w:val="0"/>
        <w:autoSpaceDN w:val="0"/>
        <w:adjustRightInd w:val="0"/>
        <w:contextualSpacing/>
        <w:jc w:val="both"/>
        <w:rPr>
          <w:bCs/>
          <w:iCs/>
        </w:rPr>
      </w:pPr>
      <w:r w:rsidRPr="0068706C">
        <w:rPr>
          <w:bCs/>
          <w:iCs/>
        </w:rPr>
        <w:t>Lidhja me programin Master një vjeçar për mësuesit në shërbim të ofruar nga Fakulteti i Edukimit me fakultetet e synuara (p.sh. Mekatronika dhe Bujqësia) për të siguruar vendosjen praktike të mësuesve të AAP-së (MASH).</w:t>
      </w:r>
    </w:p>
    <w:p w14:paraId="6C7A07BA" w14:textId="77777777" w:rsidR="00CE4035" w:rsidRPr="0068706C" w:rsidRDefault="00CE4035" w:rsidP="00CE4035">
      <w:pPr>
        <w:autoSpaceDE w:val="0"/>
        <w:autoSpaceDN w:val="0"/>
        <w:adjustRightInd w:val="0"/>
        <w:ind w:left="360"/>
        <w:contextualSpacing/>
        <w:jc w:val="both"/>
        <w:rPr>
          <w:bCs/>
          <w:iCs/>
        </w:rPr>
      </w:pPr>
    </w:p>
    <w:p w14:paraId="2087654E" w14:textId="77777777" w:rsidR="00CE4035" w:rsidRPr="0068706C" w:rsidRDefault="00CE4035" w:rsidP="00CE4035">
      <w:pPr>
        <w:autoSpaceDE w:val="0"/>
        <w:autoSpaceDN w:val="0"/>
        <w:adjustRightInd w:val="0"/>
        <w:contextualSpacing/>
        <w:jc w:val="both"/>
        <w:rPr>
          <w:bCs/>
          <w:iCs/>
        </w:rPr>
      </w:pPr>
      <w:r w:rsidRPr="0068706C">
        <w:rPr>
          <w:b/>
        </w:rPr>
        <w:t xml:space="preserve">c. Aktivitetet e planifikuara për 2023: </w:t>
      </w:r>
    </w:p>
    <w:p w14:paraId="05462932" w14:textId="77777777" w:rsidR="00CE4035" w:rsidRPr="0068706C" w:rsidRDefault="00CE4035" w:rsidP="0068706C">
      <w:pPr>
        <w:numPr>
          <w:ilvl w:val="0"/>
          <w:numId w:val="54"/>
        </w:numPr>
        <w:autoSpaceDE w:val="0"/>
        <w:autoSpaceDN w:val="0"/>
        <w:adjustRightInd w:val="0"/>
        <w:contextualSpacing/>
        <w:jc w:val="both"/>
        <w:rPr>
          <w:bCs/>
          <w:iCs/>
        </w:rPr>
      </w:pPr>
      <w:r w:rsidRPr="0068706C">
        <w:rPr>
          <w:bCs/>
          <w:iCs/>
        </w:rPr>
        <w:t>Trajnimi i 1,500 mësimdhënësve për zbatimin e kurrikulës bërthamë;</w:t>
      </w:r>
    </w:p>
    <w:p w14:paraId="6FA71E0E" w14:textId="77777777" w:rsidR="00CE4035" w:rsidRPr="0068706C" w:rsidRDefault="00CE4035" w:rsidP="0068706C">
      <w:pPr>
        <w:numPr>
          <w:ilvl w:val="0"/>
          <w:numId w:val="54"/>
        </w:numPr>
        <w:autoSpaceDE w:val="0"/>
        <w:autoSpaceDN w:val="0"/>
        <w:adjustRightInd w:val="0"/>
        <w:contextualSpacing/>
        <w:jc w:val="both"/>
        <w:rPr>
          <w:bCs/>
          <w:iCs/>
        </w:rPr>
      </w:pPr>
      <w:r w:rsidRPr="0068706C">
        <w:rPr>
          <w:bCs/>
          <w:iCs/>
        </w:rPr>
        <w:t>Zbatimi i kurrikulës bërthamë të klasës 11 dhe 12 në institucione të AAP (MASH);</w:t>
      </w:r>
    </w:p>
    <w:p w14:paraId="7938F672" w14:textId="77777777" w:rsidR="00CE4035" w:rsidRPr="0068706C" w:rsidRDefault="00CE4035" w:rsidP="0068706C">
      <w:pPr>
        <w:numPr>
          <w:ilvl w:val="0"/>
          <w:numId w:val="54"/>
        </w:numPr>
        <w:autoSpaceDE w:val="0"/>
        <w:autoSpaceDN w:val="0"/>
        <w:adjustRightInd w:val="0"/>
        <w:contextualSpacing/>
        <w:jc w:val="both"/>
      </w:pPr>
      <w:r w:rsidRPr="0068706C">
        <w:rPr>
          <w:bCs/>
          <w:iCs/>
        </w:rPr>
        <w:t xml:space="preserve">Pilotimi i kurrikulës së re bërthamë (në të gjitha profilet e AAP-së) (MASH); </w:t>
      </w:r>
    </w:p>
    <w:p w14:paraId="19535AE5" w14:textId="77777777" w:rsidR="00CE4035" w:rsidRPr="0068706C" w:rsidRDefault="00CE4035" w:rsidP="0068706C">
      <w:pPr>
        <w:numPr>
          <w:ilvl w:val="0"/>
          <w:numId w:val="54"/>
        </w:numPr>
        <w:autoSpaceDE w:val="0"/>
        <w:autoSpaceDN w:val="0"/>
        <w:adjustRightInd w:val="0"/>
        <w:contextualSpacing/>
        <w:jc w:val="both"/>
      </w:pPr>
      <w:r w:rsidRPr="0068706C">
        <w:t>Funksionalizimi i sistemit për bashkëpunim me ekonominë për 20 shkolla.</w:t>
      </w:r>
    </w:p>
    <w:p w14:paraId="2DD2B0D3" w14:textId="77777777" w:rsidR="00CE4035" w:rsidRPr="0068706C" w:rsidRDefault="00CE4035" w:rsidP="00CE4035">
      <w:pPr>
        <w:autoSpaceDE w:val="0"/>
        <w:autoSpaceDN w:val="0"/>
        <w:adjustRightInd w:val="0"/>
        <w:contextualSpacing/>
        <w:jc w:val="both"/>
        <w:rPr>
          <w:b/>
        </w:rPr>
      </w:pPr>
    </w:p>
    <w:p w14:paraId="06D659E2" w14:textId="77777777" w:rsidR="00CE4035" w:rsidRPr="0068706C" w:rsidRDefault="00CE4035" w:rsidP="00CE4035">
      <w:pPr>
        <w:autoSpaceDE w:val="0"/>
        <w:autoSpaceDN w:val="0"/>
        <w:adjustRightInd w:val="0"/>
        <w:contextualSpacing/>
        <w:jc w:val="both"/>
        <w:rPr>
          <w:b/>
        </w:rPr>
      </w:pPr>
      <w:r w:rsidRPr="0068706C">
        <w:rPr>
          <w:b/>
        </w:rPr>
        <w:t>Treguesit e rezultateve:</w:t>
      </w:r>
    </w:p>
    <w:tbl>
      <w:tblPr>
        <w:tblpPr w:leftFromText="180" w:rightFromText="180" w:vertAnchor="text" w:horzAnchor="margin" w:tblpY="175"/>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5"/>
        <w:gridCol w:w="1170"/>
        <w:gridCol w:w="1620"/>
        <w:gridCol w:w="1710"/>
      </w:tblGrid>
      <w:tr w:rsidR="00CE4035" w:rsidRPr="0068706C" w14:paraId="045922D9" w14:textId="77777777" w:rsidTr="0068706C">
        <w:tc>
          <w:tcPr>
            <w:tcW w:w="4135" w:type="dxa"/>
            <w:shd w:val="clear" w:color="auto" w:fill="auto"/>
          </w:tcPr>
          <w:p w14:paraId="6842F4A9" w14:textId="77777777" w:rsidR="00CE4035" w:rsidRPr="0068706C" w:rsidRDefault="00CE4035" w:rsidP="009B753C">
            <w:pPr>
              <w:autoSpaceDE w:val="0"/>
              <w:autoSpaceDN w:val="0"/>
              <w:adjustRightInd w:val="0"/>
              <w:jc w:val="both"/>
              <w:rPr>
                <w:b/>
                <w:i/>
              </w:rPr>
            </w:pPr>
            <w:r w:rsidRPr="0068706C">
              <w:rPr>
                <w:b/>
                <w:i/>
              </w:rPr>
              <w:t xml:space="preserve">Treguesit </w:t>
            </w:r>
          </w:p>
        </w:tc>
        <w:tc>
          <w:tcPr>
            <w:tcW w:w="1170" w:type="dxa"/>
            <w:shd w:val="clear" w:color="auto" w:fill="auto"/>
          </w:tcPr>
          <w:p w14:paraId="6BB0F51F" w14:textId="77777777" w:rsidR="00CE4035" w:rsidRPr="0068706C" w:rsidRDefault="00CE4035" w:rsidP="009B753C">
            <w:pPr>
              <w:autoSpaceDE w:val="0"/>
              <w:autoSpaceDN w:val="0"/>
              <w:adjustRightInd w:val="0"/>
              <w:rPr>
                <w:b/>
              </w:rPr>
            </w:pPr>
            <w:r w:rsidRPr="0068706C">
              <w:rPr>
                <w:b/>
              </w:rPr>
              <w:t xml:space="preserve">Viti bazë    2020 </w:t>
            </w:r>
          </w:p>
        </w:tc>
        <w:tc>
          <w:tcPr>
            <w:tcW w:w="1620" w:type="dxa"/>
            <w:shd w:val="clear" w:color="auto" w:fill="auto"/>
          </w:tcPr>
          <w:p w14:paraId="7EB89E85" w14:textId="77777777" w:rsidR="00CE4035" w:rsidRPr="0068706C" w:rsidRDefault="00CE4035" w:rsidP="009B753C">
            <w:pPr>
              <w:autoSpaceDE w:val="0"/>
              <w:autoSpaceDN w:val="0"/>
              <w:adjustRightInd w:val="0"/>
              <w:rPr>
                <w:b/>
              </w:rPr>
            </w:pPr>
            <w:r w:rsidRPr="0068706C">
              <w:rPr>
                <w:b/>
              </w:rPr>
              <w:t>Objektivi i ndërmjetëm 2022</w:t>
            </w:r>
          </w:p>
        </w:tc>
        <w:tc>
          <w:tcPr>
            <w:tcW w:w="1710" w:type="dxa"/>
            <w:shd w:val="clear" w:color="auto" w:fill="auto"/>
          </w:tcPr>
          <w:p w14:paraId="0BA642B0" w14:textId="77777777" w:rsidR="00CE4035" w:rsidRPr="0068706C" w:rsidRDefault="00CE4035" w:rsidP="009B753C">
            <w:pPr>
              <w:autoSpaceDE w:val="0"/>
              <w:autoSpaceDN w:val="0"/>
              <w:adjustRightInd w:val="0"/>
              <w:rPr>
                <w:b/>
              </w:rPr>
            </w:pPr>
            <w:r w:rsidRPr="0068706C">
              <w:rPr>
                <w:b/>
              </w:rPr>
              <w:t>Objektivi 2023</w:t>
            </w:r>
          </w:p>
        </w:tc>
      </w:tr>
      <w:tr w:rsidR="00CE4035" w:rsidRPr="0068706C" w14:paraId="33F1F761" w14:textId="77777777" w:rsidTr="0068706C">
        <w:trPr>
          <w:trHeight w:val="936"/>
        </w:trPr>
        <w:tc>
          <w:tcPr>
            <w:tcW w:w="4135" w:type="dxa"/>
            <w:shd w:val="clear" w:color="auto" w:fill="auto"/>
          </w:tcPr>
          <w:p w14:paraId="6A9A8831" w14:textId="77777777" w:rsidR="00CE4035" w:rsidRPr="0068706C" w:rsidRDefault="00CE4035" w:rsidP="009B753C">
            <w:pPr>
              <w:autoSpaceDE w:val="0"/>
              <w:autoSpaceDN w:val="0"/>
              <w:adjustRightInd w:val="0"/>
              <w:jc w:val="both"/>
            </w:pPr>
            <w:r w:rsidRPr="0068706C">
              <w:t>% e institucioneve të arsimit dhe aftësimit profesional (IAAP) të cilët zbatojnë kurrikulën bërthamë e re.</w:t>
            </w:r>
          </w:p>
        </w:tc>
        <w:tc>
          <w:tcPr>
            <w:tcW w:w="1170" w:type="dxa"/>
            <w:shd w:val="clear" w:color="auto" w:fill="auto"/>
          </w:tcPr>
          <w:p w14:paraId="4567A3D4" w14:textId="77777777" w:rsidR="00CE4035" w:rsidRPr="0068706C" w:rsidRDefault="00CE4035" w:rsidP="009B753C">
            <w:pPr>
              <w:autoSpaceDE w:val="0"/>
              <w:autoSpaceDN w:val="0"/>
              <w:adjustRightInd w:val="0"/>
              <w:jc w:val="center"/>
            </w:pPr>
            <w:r w:rsidRPr="0068706C">
              <w:t>25%</w:t>
            </w:r>
          </w:p>
        </w:tc>
        <w:tc>
          <w:tcPr>
            <w:tcW w:w="1620" w:type="dxa"/>
            <w:shd w:val="clear" w:color="auto" w:fill="auto"/>
          </w:tcPr>
          <w:p w14:paraId="3404E8AA" w14:textId="77777777" w:rsidR="00CE4035" w:rsidRPr="0068706C" w:rsidRDefault="00CE4035" w:rsidP="009B753C">
            <w:pPr>
              <w:autoSpaceDE w:val="0"/>
              <w:autoSpaceDN w:val="0"/>
              <w:adjustRightInd w:val="0"/>
              <w:jc w:val="center"/>
            </w:pPr>
            <w:r w:rsidRPr="0068706C">
              <w:t>50%</w:t>
            </w:r>
          </w:p>
        </w:tc>
        <w:tc>
          <w:tcPr>
            <w:tcW w:w="1710" w:type="dxa"/>
            <w:shd w:val="clear" w:color="auto" w:fill="auto"/>
          </w:tcPr>
          <w:p w14:paraId="3B5E83C5" w14:textId="77777777" w:rsidR="00CE4035" w:rsidRPr="0068706C" w:rsidRDefault="00CE4035" w:rsidP="009B753C">
            <w:pPr>
              <w:autoSpaceDE w:val="0"/>
              <w:autoSpaceDN w:val="0"/>
              <w:adjustRightInd w:val="0"/>
              <w:jc w:val="center"/>
            </w:pPr>
            <w:r w:rsidRPr="0068706C">
              <w:t>75%</w:t>
            </w:r>
          </w:p>
        </w:tc>
      </w:tr>
      <w:tr w:rsidR="00CE4035" w:rsidRPr="0068706C" w14:paraId="3532D912" w14:textId="77777777" w:rsidTr="0068706C">
        <w:trPr>
          <w:trHeight w:val="594"/>
        </w:trPr>
        <w:tc>
          <w:tcPr>
            <w:tcW w:w="4135" w:type="dxa"/>
            <w:shd w:val="clear" w:color="auto" w:fill="auto"/>
          </w:tcPr>
          <w:p w14:paraId="64AC23C5" w14:textId="77777777" w:rsidR="00CE4035" w:rsidRPr="0068706C" w:rsidRDefault="00CE4035" w:rsidP="009B753C">
            <w:pPr>
              <w:autoSpaceDE w:val="0"/>
              <w:autoSpaceDN w:val="0"/>
              <w:adjustRightInd w:val="0"/>
              <w:jc w:val="both"/>
              <w:rPr>
                <w:b/>
              </w:rPr>
            </w:pPr>
            <w:r w:rsidRPr="0068706C">
              <w:t>% e m</w:t>
            </w:r>
            <w:r w:rsidRPr="0068706C">
              <w:rPr>
                <w:bCs/>
                <w:iCs/>
              </w:rPr>
              <w:t>ësimdhënësve të IAAP-ve të trajnuar në zbatimin e kurrikulës bërthamë.</w:t>
            </w:r>
          </w:p>
        </w:tc>
        <w:tc>
          <w:tcPr>
            <w:tcW w:w="1170" w:type="dxa"/>
            <w:shd w:val="clear" w:color="auto" w:fill="auto"/>
          </w:tcPr>
          <w:p w14:paraId="3AE52D1C" w14:textId="77777777" w:rsidR="00CE4035" w:rsidRPr="0068706C" w:rsidRDefault="00CE4035" w:rsidP="009B753C">
            <w:pPr>
              <w:autoSpaceDE w:val="0"/>
              <w:autoSpaceDN w:val="0"/>
              <w:adjustRightInd w:val="0"/>
              <w:jc w:val="center"/>
            </w:pPr>
            <w:r w:rsidRPr="0068706C">
              <w:t>25%</w:t>
            </w:r>
          </w:p>
        </w:tc>
        <w:tc>
          <w:tcPr>
            <w:tcW w:w="1620" w:type="dxa"/>
            <w:shd w:val="clear" w:color="auto" w:fill="auto"/>
          </w:tcPr>
          <w:p w14:paraId="05005E45" w14:textId="77777777" w:rsidR="00CE4035" w:rsidRPr="0068706C" w:rsidRDefault="00CE4035" w:rsidP="009B753C">
            <w:pPr>
              <w:autoSpaceDE w:val="0"/>
              <w:autoSpaceDN w:val="0"/>
              <w:adjustRightInd w:val="0"/>
              <w:jc w:val="center"/>
            </w:pPr>
            <w:r w:rsidRPr="0068706C">
              <w:t>50%</w:t>
            </w:r>
          </w:p>
        </w:tc>
        <w:tc>
          <w:tcPr>
            <w:tcW w:w="1710" w:type="dxa"/>
            <w:shd w:val="clear" w:color="auto" w:fill="auto"/>
          </w:tcPr>
          <w:p w14:paraId="7A2D4166" w14:textId="77777777" w:rsidR="00CE4035" w:rsidRPr="0068706C" w:rsidRDefault="00CE4035" w:rsidP="009B753C">
            <w:pPr>
              <w:autoSpaceDE w:val="0"/>
              <w:autoSpaceDN w:val="0"/>
              <w:adjustRightInd w:val="0"/>
              <w:jc w:val="center"/>
            </w:pPr>
            <w:r w:rsidRPr="0068706C">
              <w:t>75%</w:t>
            </w:r>
          </w:p>
        </w:tc>
      </w:tr>
      <w:tr w:rsidR="00CE4035" w:rsidRPr="0068706C" w14:paraId="5E522398" w14:textId="77777777" w:rsidTr="0068706C">
        <w:tc>
          <w:tcPr>
            <w:tcW w:w="4135" w:type="dxa"/>
            <w:shd w:val="clear" w:color="auto" w:fill="auto"/>
          </w:tcPr>
          <w:p w14:paraId="7ABE5A7B" w14:textId="77777777" w:rsidR="00CE4035" w:rsidRPr="0068706C" w:rsidRDefault="00CE4035" w:rsidP="009B753C">
            <w:pPr>
              <w:autoSpaceDE w:val="0"/>
              <w:autoSpaceDN w:val="0"/>
              <w:adjustRightInd w:val="0"/>
              <w:jc w:val="both"/>
              <w:rPr>
                <w:i/>
                <w:iCs/>
              </w:rPr>
            </w:pPr>
            <w:r w:rsidRPr="0068706C">
              <w:t>% e nxënësve në arsimin profesional që marrin pjesë në mësimin e bazuar në vendin e punës.</w:t>
            </w:r>
          </w:p>
        </w:tc>
        <w:tc>
          <w:tcPr>
            <w:tcW w:w="1170" w:type="dxa"/>
            <w:shd w:val="clear" w:color="auto" w:fill="auto"/>
          </w:tcPr>
          <w:p w14:paraId="73A223CE" w14:textId="77777777" w:rsidR="00CE4035" w:rsidRPr="0068706C" w:rsidRDefault="00CE4035" w:rsidP="009B753C">
            <w:pPr>
              <w:autoSpaceDE w:val="0"/>
              <w:autoSpaceDN w:val="0"/>
              <w:adjustRightInd w:val="0"/>
              <w:jc w:val="center"/>
              <w:rPr>
                <w:i/>
                <w:iCs/>
              </w:rPr>
            </w:pPr>
            <w:r w:rsidRPr="0068706C">
              <w:t>10%</w:t>
            </w:r>
          </w:p>
        </w:tc>
        <w:tc>
          <w:tcPr>
            <w:tcW w:w="1620" w:type="dxa"/>
            <w:shd w:val="clear" w:color="auto" w:fill="auto"/>
          </w:tcPr>
          <w:p w14:paraId="2E44913F" w14:textId="77777777" w:rsidR="00CE4035" w:rsidRPr="0068706C" w:rsidRDefault="00CE4035" w:rsidP="009B753C">
            <w:pPr>
              <w:autoSpaceDE w:val="0"/>
              <w:autoSpaceDN w:val="0"/>
              <w:adjustRightInd w:val="0"/>
              <w:jc w:val="center"/>
              <w:rPr>
                <w:i/>
                <w:iCs/>
              </w:rPr>
            </w:pPr>
            <w:r w:rsidRPr="0068706C">
              <w:t>10% (20%)</w:t>
            </w:r>
          </w:p>
        </w:tc>
        <w:tc>
          <w:tcPr>
            <w:tcW w:w="1710" w:type="dxa"/>
            <w:shd w:val="clear" w:color="auto" w:fill="auto"/>
          </w:tcPr>
          <w:p w14:paraId="1784D7A9" w14:textId="77777777" w:rsidR="00CE4035" w:rsidRPr="0068706C" w:rsidRDefault="00CE4035" w:rsidP="009B753C">
            <w:pPr>
              <w:autoSpaceDE w:val="0"/>
              <w:autoSpaceDN w:val="0"/>
              <w:adjustRightInd w:val="0"/>
              <w:jc w:val="center"/>
              <w:rPr>
                <w:i/>
                <w:iCs/>
              </w:rPr>
            </w:pPr>
            <w:r w:rsidRPr="0068706C">
              <w:t>30%</w:t>
            </w:r>
          </w:p>
        </w:tc>
      </w:tr>
    </w:tbl>
    <w:p w14:paraId="102C56B6" w14:textId="5AE40E6E" w:rsidR="00CE4035" w:rsidRDefault="00CE4035" w:rsidP="00CE4035">
      <w:pPr>
        <w:jc w:val="both"/>
        <w:rPr>
          <w:i/>
        </w:rPr>
      </w:pPr>
      <w:r w:rsidRPr="0068706C">
        <w:rPr>
          <w:i/>
        </w:rPr>
        <w:t xml:space="preserve">Arritja e treguesve në këtë masë është në përgjithësi në pajtim me treguesit e SZHQ 4 ‘Sigurimi i arsimit gjithëpërfshirës dhe me cilësi të barabartë dhe promovimi i mundësive për të mësuarit gjatë gjithë jetës’. </w:t>
      </w:r>
    </w:p>
    <w:p w14:paraId="7A0A8A25" w14:textId="77777777" w:rsidR="0068706C" w:rsidRPr="0068706C" w:rsidRDefault="0068706C" w:rsidP="00CE4035">
      <w:pPr>
        <w:jc w:val="both"/>
        <w:rPr>
          <w:i/>
        </w:rPr>
      </w:pPr>
    </w:p>
    <w:p w14:paraId="798B7EC5" w14:textId="77777777" w:rsidR="0068706C" w:rsidRDefault="00CE4035" w:rsidP="00CE4035">
      <w:pPr>
        <w:jc w:val="both"/>
      </w:pPr>
      <w:r w:rsidRPr="0068706C">
        <w:rPr>
          <w:b/>
        </w:rPr>
        <w:t xml:space="preserve">Ndikimi i pritur në konkurrueshmëri: </w:t>
      </w:r>
      <w:r w:rsidRPr="0068706C">
        <w:t>Zbatimi i kurrikulës së re bërthamë në fushën e AAP-së pritet të rrisë përputhshmërinë e zhvillimit të shkathtësive me nevojat e ekonomisë; uljes së normës së papunësisë dhe ngritjen e shkallës së punësimit në mesin e nxënësve që përfundojnë arsimin në institucionet e arsimit dhe aftësimit profesional.</w:t>
      </w:r>
    </w:p>
    <w:p w14:paraId="10074B74" w14:textId="78A1FD9E" w:rsidR="00CE4035" w:rsidRPr="0068706C" w:rsidRDefault="00CE4035" w:rsidP="00CE4035">
      <w:pPr>
        <w:jc w:val="both"/>
        <w:rPr>
          <w:i/>
          <w:iCs/>
        </w:rPr>
      </w:pPr>
      <w:r w:rsidRPr="0068706C">
        <w:rPr>
          <w:i/>
          <w:iCs/>
        </w:rPr>
        <w:t xml:space="preserve"> </w:t>
      </w:r>
    </w:p>
    <w:p w14:paraId="02E651A0" w14:textId="449583C9" w:rsidR="00CE4035" w:rsidRDefault="00CE4035" w:rsidP="00CE4035">
      <w:pPr>
        <w:autoSpaceDE w:val="0"/>
        <w:autoSpaceDN w:val="0"/>
        <w:adjustRightInd w:val="0"/>
        <w:jc w:val="both"/>
      </w:pPr>
      <w:r w:rsidRPr="0068706C">
        <w:rPr>
          <w:b/>
        </w:rPr>
        <w:t xml:space="preserve">Vlerësimi i kostos së aktiviteteve dhe burimet e financimit: </w:t>
      </w:r>
      <w:bookmarkStart w:id="217" w:name="_Hlk57632136"/>
      <w:r w:rsidRPr="0068706C">
        <w:t>Vlerësimi i kostos së aktiviteteve dhe burimet e financimit: Vlerësimi i kostos së aktiviteteve dhe burimet e financimit: Kosto e përgjithshme për zbatim të kësaj mase gjatë viteve 2021-2023 vlerësohet të jetë 3,250,000 €. Nga kjo vlerë 1,300,000 € vlerësohet kosto për vitin 2021, nga e cila 150,000  do të financohet nga Buxheti i Kosovës  dhe pjesa tjetër prej 1,300,000 € nga grantet tjera (PALLED2, GIZ, LUX Development). Për vitin 2022, kosto vlerësohet te jetë 900,000 €, nga të cilat 150,000 € pritet të financohen nga buxheti i Kosovës dhe 750,000 € nga grantet tjera ( ALLED2,GIZ, LUX Development). Ndërsa kosto e vlerësuar për vitin 2023 është 900.000 nga e cila 150,000  do të financohet nga buxheti i Kosovës  dhe pjesa tjetër prej 750,000 € nga grantet tjera ( ALLED2, GIZ, LUX Development).</w:t>
      </w:r>
    </w:p>
    <w:p w14:paraId="36ED7E40" w14:textId="77777777" w:rsidR="0068706C" w:rsidRPr="0068706C" w:rsidRDefault="0068706C" w:rsidP="00CE4035">
      <w:pPr>
        <w:autoSpaceDE w:val="0"/>
        <w:autoSpaceDN w:val="0"/>
        <w:adjustRightInd w:val="0"/>
        <w:jc w:val="both"/>
      </w:pPr>
    </w:p>
    <w:bookmarkEnd w:id="217"/>
    <w:p w14:paraId="58D6083E" w14:textId="791904D6" w:rsidR="00CE4035" w:rsidRDefault="00CE4035" w:rsidP="00CE4035">
      <w:pPr>
        <w:autoSpaceDE w:val="0"/>
        <w:autoSpaceDN w:val="0"/>
        <w:adjustRightInd w:val="0"/>
        <w:jc w:val="both"/>
        <w:rPr>
          <w:bCs/>
        </w:rPr>
      </w:pPr>
      <w:r w:rsidRPr="0068706C">
        <w:rPr>
          <w:b/>
          <w:bCs/>
        </w:rPr>
        <w:t xml:space="preserve">Ndikimet e pritshme mbi rezultatet sociale, të tilla si punësimi, reduktimi i varfërisë, barazia gjinore: </w:t>
      </w:r>
      <w:r w:rsidRPr="0068706C">
        <w:t>Harmonizimi i shkathtësive me nevojat e tregut e punës, si dhe miratimi i akteve nënligjore që e rregullojnë këtë fushë, do të rezultojë me punëtorë të kualifikuar bazuar në nevojat e bizneseve. K</w:t>
      </w:r>
      <w:r w:rsidRPr="0068706C">
        <w:rPr>
          <w:bCs/>
        </w:rPr>
        <w:t xml:space="preserve">ësisoj, pritet rritja e punësimit, sidomos në mesin e të rinjve. </w:t>
      </w:r>
    </w:p>
    <w:p w14:paraId="4FDB711D" w14:textId="77777777" w:rsidR="0068706C" w:rsidRPr="0068706C" w:rsidRDefault="0068706C" w:rsidP="00CE4035">
      <w:pPr>
        <w:autoSpaceDE w:val="0"/>
        <w:autoSpaceDN w:val="0"/>
        <w:adjustRightInd w:val="0"/>
        <w:jc w:val="both"/>
        <w:rPr>
          <w:bCs/>
        </w:rPr>
      </w:pPr>
    </w:p>
    <w:p w14:paraId="2607174E" w14:textId="33B05469" w:rsidR="00CE4035" w:rsidRDefault="00CE4035" w:rsidP="00CE4035">
      <w:pPr>
        <w:autoSpaceDE w:val="0"/>
        <w:autoSpaceDN w:val="0"/>
        <w:adjustRightInd w:val="0"/>
        <w:jc w:val="both"/>
        <w:rPr>
          <w:bCs/>
        </w:rPr>
      </w:pPr>
      <w:r w:rsidRPr="0068706C">
        <w:rPr>
          <w:b/>
          <w:bCs/>
        </w:rPr>
        <w:t xml:space="preserve">Ndikimi i pritshëm në mjedis: </w:t>
      </w:r>
      <w:r w:rsidRPr="0068706C">
        <w:rPr>
          <w:bCs/>
        </w:rPr>
        <w:t>Masa nuk pritet të ketë ndikim në mjedis.</w:t>
      </w:r>
    </w:p>
    <w:p w14:paraId="0EA30F32" w14:textId="77777777" w:rsidR="0068706C" w:rsidRPr="0068706C" w:rsidRDefault="0068706C" w:rsidP="00CE4035">
      <w:pPr>
        <w:autoSpaceDE w:val="0"/>
        <w:autoSpaceDN w:val="0"/>
        <w:adjustRightInd w:val="0"/>
        <w:jc w:val="both"/>
        <w:rPr>
          <w:bCs/>
        </w:rPr>
      </w:pPr>
    </w:p>
    <w:p w14:paraId="7915E193" w14:textId="77777777" w:rsidR="00CE4035" w:rsidRPr="0068706C" w:rsidRDefault="00CE4035" w:rsidP="00CE4035">
      <w:pPr>
        <w:autoSpaceDE w:val="0"/>
        <w:autoSpaceDN w:val="0"/>
        <w:adjustRightInd w:val="0"/>
        <w:jc w:val="both"/>
        <w:rPr>
          <w:b/>
        </w:rPr>
      </w:pPr>
      <w:r w:rsidRPr="0068706C">
        <w:rPr>
          <w:b/>
        </w:rPr>
        <w:t>Rreziqet potenciale:</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620"/>
        <w:gridCol w:w="4500"/>
      </w:tblGrid>
      <w:tr w:rsidR="00CE4035" w:rsidRPr="0068706C" w14:paraId="5CEDF581" w14:textId="77777777" w:rsidTr="0068706C">
        <w:tc>
          <w:tcPr>
            <w:tcW w:w="2515" w:type="dxa"/>
            <w:shd w:val="clear" w:color="auto" w:fill="auto"/>
          </w:tcPr>
          <w:p w14:paraId="577BC73A" w14:textId="77777777" w:rsidR="00CE4035" w:rsidRPr="0068706C" w:rsidRDefault="00CE4035" w:rsidP="009B753C">
            <w:pPr>
              <w:autoSpaceDE w:val="0"/>
              <w:autoSpaceDN w:val="0"/>
              <w:adjustRightInd w:val="0"/>
              <w:jc w:val="both"/>
            </w:pPr>
            <w:r w:rsidRPr="0068706C">
              <w:rPr>
                <w:b/>
                <w:bCs/>
              </w:rPr>
              <w:t xml:space="preserve">Rreziku </w:t>
            </w:r>
          </w:p>
        </w:tc>
        <w:tc>
          <w:tcPr>
            <w:tcW w:w="1620" w:type="dxa"/>
            <w:shd w:val="clear" w:color="auto" w:fill="auto"/>
          </w:tcPr>
          <w:p w14:paraId="4296DB9B" w14:textId="77777777" w:rsidR="00CE4035" w:rsidRPr="0068706C" w:rsidRDefault="00CE4035" w:rsidP="009B753C">
            <w:pPr>
              <w:autoSpaceDE w:val="0"/>
              <w:autoSpaceDN w:val="0"/>
              <w:adjustRightInd w:val="0"/>
              <w:ind w:right="-122"/>
              <w:jc w:val="both"/>
            </w:pPr>
            <w:r w:rsidRPr="0068706C">
              <w:rPr>
                <w:b/>
                <w:bCs/>
              </w:rPr>
              <w:t xml:space="preserve">Probabiliteti </w:t>
            </w:r>
          </w:p>
        </w:tc>
        <w:tc>
          <w:tcPr>
            <w:tcW w:w="4500" w:type="dxa"/>
            <w:shd w:val="clear" w:color="auto" w:fill="auto"/>
          </w:tcPr>
          <w:p w14:paraId="3073937D" w14:textId="77777777" w:rsidR="00CE4035" w:rsidRPr="0068706C" w:rsidRDefault="00CE4035" w:rsidP="009B753C">
            <w:pPr>
              <w:autoSpaceDE w:val="0"/>
              <w:autoSpaceDN w:val="0"/>
              <w:adjustRightInd w:val="0"/>
              <w:jc w:val="both"/>
            </w:pPr>
            <w:r w:rsidRPr="0068706C">
              <w:rPr>
                <w:b/>
                <w:bCs/>
              </w:rPr>
              <w:t xml:space="preserve">Veprimi lehtësues i planifikuar </w:t>
            </w:r>
          </w:p>
        </w:tc>
      </w:tr>
      <w:tr w:rsidR="00CE4035" w:rsidRPr="0068706C" w14:paraId="129147BE" w14:textId="77777777" w:rsidTr="0068706C">
        <w:trPr>
          <w:trHeight w:val="1097"/>
        </w:trPr>
        <w:tc>
          <w:tcPr>
            <w:tcW w:w="2515" w:type="dxa"/>
            <w:shd w:val="clear" w:color="auto" w:fill="auto"/>
          </w:tcPr>
          <w:p w14:paraId="2FF04090" w14:textId="77777777" w:rsidR="00CE4035" w:rsidRPr="0068706C" w:rsidRDefault="00CE4035" w:rsidP="009B753C">
            <w:pPr>
              <w:autoSpaceDE w:val="0"/>
              <w:autoSpaceDN w:val="0"/>
              <w:adjustRightInd w:val="0"/>
            </w:pPr>
            <w:r w:rsidRPr="0068706C">
              <w:t>Mos dakordimi dhe mosmiratimi i formulës së financimit për institucionet e AAP-së</w:t>
            </w:r>
          </w:p>
        </w:tc>
        <w:tc>
          <w:tcPr>
            <w:tcW w:w="1620" w:type="dxa"/>
            <w:shd w:val="clear" w:color="auto" w:fill="auto"/>
          </w:tcPr>
          <w:p w14:paraId="2EE9A0F7" w14:textId="77777777" w:rsidR="00CE4035" w:rsidRPr="0068706C" w:rsidRDefault="00CE4035" w:rsidP="009B753C">
            <w:pPr>
              <w:autoSpaceDE w:val="0"/>
              <w:autoSpaceDN w:val="0"/>
              <w:adjustRightInd w:val="0"/>
              <w:jc w:val="both"/>
            </w:pPr>
            <w:r w:rsidRPr="0068706C">
              <w:t xml:space="preserve">I mesëm </w:t>
            </w:r>
          </w:p>
        </w:tc>
        <w:tc>
          <w:tcPr>
            <w:tcW w:w="4500" w:type="dxa"/>
            <w:shd w:val="clear" w:color="auto" w:fill="auto"/>
          </w:tcPr>
          <w:p w14:paraId="53D0F69A" w14:textId="77777777" w:rsidR="00CE4035" w:rsidRPr="0068706C" w:rsidRDefault="00CE4035" w:rsidP="009B753C">
            <w:pPr>
              <w:autoSpaceDE w:val="0"/>
              <w:autoSpaceDN w:val="0"/>
              <w:adjustRightInd w:val="0"/>
              <w:jc w:val="both"/>
            </w:pPr>
            <w:r w:rsidRPr="0068706C">
              <w:t>Nevojitet dakordimi mes partnerëve kyç, përfshi partnerët ndërkombëtarë të për finalizimin e formulës së financimit dhe përpilimin dhe zbatimin e UA</w:t>
            </w:r>
          </w:p>
        </w:tc>
      </w:tr>
      <w:tr w:rsidR="00CE4035" w:rsidRPr="0068706C" w14:paraId="0E239EE0" w14:textId="77777777" w:rsidTr="0068706C">
        <w:tc>
          <w:tcPr>
            <w:tcW w:w="2515" w:type="dxa"/>
            <w:shd w:val="clear" w:color="auto" w:fill="auto"/>
          </w:tcPr>
          <w:p w14:paraId="6A79F6AC" w14:textId="77777777" w:rsidR="00CE4035" w:rsidRPr="0068706C" w:rsidRDefault="00CE4035" w:rsidP="009B753C">
            <w:pPr>
              <w:autoSpaceDE w:val="0"/>
              <w:autoSpaceDN w:val="0"/>
              <w:adjustRightInd w:val="0"/>
            </w:pPr>
            <w:r w:rsidRPr="0068706C">
              <w:t>Ngecjet në zbatimin e kurrikulave bërthamë në nivelin nacional</w:t>
            </w:r>
          </w:p>
        </w:tc>
        <w:tc>
          <w:tcPr>
            <w:tcW w:w="1620" w:type="dxa"/>
            <w:shd w:val="clear" w:color="auto" w:fill="auto"/>
          </w:tcPr>
          <w:p w14:paraId="63F91C98" w14:textId="77777777" w:rsidR="00CE4035" w:rsidRPr="0068706C" w:rsidRDefault="00CE4035" w:rsidP="009B753C">
            <w:pPr>
              <w:autoSpaceDE w:val="0"/>
              <w:autoSpaceDN w:val="0"/>
              <w:adjustRightInd w:val="0"/>
              <w:jc w:val="both"/>
            </w:pPr>
            <w:r w:rsidRPr="0068706C">
              <w:t>I ulët</w:t>
            </w:r>
          </w:p>
        </w:tc>
        <w:tc>
          <w:tcPr>
            <w:tcW w:w="4500" w:type="dxa"/>
            <w:shd w:val="clear" w:color="auto" w:fill="auto"/>
          </w:tcPr>
          <w:p w14:paraId="66CAD393" w14:textId="77777777" w:rsidR="00CE4035" w:rsidRPr="0068706C" w:rsidRDefault="00CE4035" w:rsidP="009B753C">
            <w:pPr>
              <w:autoSpaceDE w:val="0"/>
              <w:autoSpaceDN w:val="0"/>
              <w:adjustRightInd w:val="0"/>
              <w:jc w:val="both"/>
            </w:pPr>
            <w:r w:rsidRPr="0068706C">
              <w:t>Përgatitjet paraprake dhe pilotimi adekuat  që të evitohen ngecjet në zbatimin e kurrikulave bërthamë në nivel nacional; pajisja e punëtorive ne shkolla me pajisje baze dhe bashkëpunimi me bizneset per praktike profesionale është qenësore per zbatim te plote te kurrikulave.</w:t>
            </w:r>
          </w:p>
        </w:tc>
      </w:tr>
      <w:tr w:rsidR="00CE4035" w:rsidRPr="0068706C" w14:paraId="3FA58CC1" w14:textId="77777777" w:rsidTr="0068706C">
        <w:trPr>
          <w:trHeight w:val="1160"/>
        </w:trPr>
        <w:tc>
          <w:tcPr>
            <w:tcW w:w="2515" w:type="dxa"/>
            <w:shd w:val="clear" w:color="auto" w:fill="auto"/>
          </w:tcPr>
          <w:p w14:paraId="07929D25" w14:textId="77777777" w:rsidR="00CE4035" w:rsidRPr="0068706C" w:rsidRDefault="00CE4035" w:rsidP="009B753C">
            <w:pPr>
              <w:autoSpaceDE w:val="0"/>
              <w:autoSpaceDN w:val="0"/>
              <w:adjustRightInd w:val="0"/>
            </w:pPr>
            <w:r w:rsidRPr="0068706C">
              <w:t>Mos aftësimi adekuat i mësimdhënësve për zbatimin e kurrikulës së re bërthamë</w:t>
            </w:r>
          </w:p>
        </w:tc>
        <w:tc>
          <w:tcPr>
            <w:tcW w:w="1620" w:type="dxa"/>
            <w:shd w:val="clear" w:color="auto" w:fill="auto"/>
          </w:tcPr>
          <w:p w14:paraId="1EA33689" w14:textId="77777777" w:rsidR="00CE4035" w:rsidRPr="0068706C" w:rsidRDefault="00CE4035" w:rsidP="009B753C">
            <w:pPr>
              <w:autoSpaceDE w:val="0"/>
              <w:autoSpaceDN w:val="0"/>
              <w:adjustRightInd w:val="0"/>
              <w:jc w:val="both"/>
            </w:pPr>
            <w:r w:rsidRPr="0068706C">
              <w:t>I ulet</w:t>
            </w:r>
          </w:p>
        </w:tc>
        <w:tc>
          <w:tcPr>
            <w:tcW w:w="4500" w:type="dxa"/>
            <w:shd w:val="clear" w:color="auto" w:fill="auto"/>
          </w:tcPr>
          <w:p w14:paraId="766FF20B" w14:textId="77777777" w:rsidR="00CE4035" w:rsidRPr="0068706C" w:rsidRDefault="00CE4035" w:rsidP="009B753C">
            <w:pPr>
              <w:autoSpaceDE w:val="0"/>
              <w:autoSpaceDN w:val="0"/>
              <w:adjustRightInd w:val="0"/>
              <w:jc w:val="both"/>
            </w:pPr>
            <w:r w:rsidRPr="0068706C">
              <w:t>Fuqizimi i programit TiT me resurset e nevojshme që të sigurohet aftësimi adekuat i mësimdhënësve (fillimisht në shkollat-pilot dhe pastaj në nivel nacional).</w:t>
            </w:r>
          </w:p>
        </w:tc>
      </w:tr>
    </w:tbl>
    <w:p w14:paraId="4D158C39" w14:textId="77777777" w:rsidR="00CE4035" w:rsidRPr="0068706C" w:rsidRDefault="00CE4035" w:rsidP="00CE4035"/>
    <w:p w14:paraId="4EB144D1" w14:textId="77777777" w:rsidR="00CE4035" w:rsidRPr="0068706C" w:rsidRDefault="00CE4035" w:rsidP="00CE4035">
      <w:pPr>
        <w:shd w:val="clear" w:color="auto" w:fill="9CC2E5"/>
        <w:autoSpaceDE w:val="0"/>
        <w:autoSpaceDN w:val="0"/>
        <w:adjustRightInd w:val="0"/>
        <w:contextualSpacing/>
        <w:jc w:val="both"/>
        <w:rPr>
          <w:b/>
          <w:color w:val="FF0000"/>
        </w:rPr>
      </w:pPr>
      <w:r w:rsidRPr="0068706C">
        <w:rPr>
          <w:rFonts w:eastAsia="Calibri"/>
          <w:b/>
          <w:bCs/>
        </w:rPr>
        <w:t>Masa e reformës 18#: Reforma gjithëpërfshirëse e sistemit parauniversitar</w:t>
      </w:r>
    </w:p>
    <w:p w14:paraId="01A9E52A" w14:textId="77777777" w:rsidR="00CE4035" w:rsidRPr="0068706C" w:rsidRDefault="00CE4035" w:rsidP="00CE4035">
      <w:pPr>
        <w:jc w:val="both"/>
      </w:pPr>
      <w:r w:rsidRPr="0068706C">
        <w:rPr>
          <w:b/>
        </w:rPr>
        <w:t>Përshkrimi i masës:</w:t>
      </w:r>
      <w:r w:rsidRPr="0068706C">
        <w:rPr>
          <w:rFonts w:eastAsia="Calibri"/>
          <w:b/>
          <w:bCs/>
        </w:rPr>
        <w:t xml:space="preserve"> </w:t>
      </w:r>
      <w:r w:rsidRPr="0068706C">
        <w:rPr>
          <w:rFonts w:eastAsia="Calibri"/>
        </w:rPr>
        <w:t>Masa synon</w:t>
      </w:r>
      <w:r w:rsidRPr="0068706C">
        <w:rPr>
          <w:rFonts w:eastAsia="Calibri"/>
          <w:spacing w:val="-1"/>
        </w:rPr>
        <w:t xml:space="preserve"> reformën gjithëpërfshirëse të s</w:t>
      </w:r>
      <w:r w:rsidRPr="0068706C">
        <w:rPr>
          <w:rFonts w:eastAsia="Calibri"/>
        </w:rPr>
        <w:t>istemit  arsimor parauniversitar, përmirësimin e sigurimit të aftësive themelore, ngritjen e cilësisë dhe qasjen në arsim. Kjo synohet të arrihet nëpërmjet hartimit të</w:t>
      </w:r>
      <w:r w:rsidRPr="0068706C">
        <w:rPr>
          <w:rFonts w:eastAsia="Calibri"/>
          <w:bCs/>
        </w:rPr>
        <w:t xml:space="preserve"> dokumenteve kurrikulare dhe programeve të reja mësimore/lëndore, përgatitja e teksteve shkollore për të gjitha lëndët dhe për të gjitha klasat,  trajnimi i mësimdhënësve, z</w:t>
      </w:r>
      <w:r w:rsidRPr="0068706C">
        <w:rPr>
          <w:rFonts w:eastAsia="Calibri"/>
        </w:rPr>
        <w:t>hvillimi profesional i mësimdhënësve dhe i drejtorëve të shkollave, aprovimi i programeve për trajnimin e mësimdhënësve, v</w:t>
      </w:r>
      <w:r w:rsidRPr="0068706C">
        <w:t>lerësimi i performancës së mësimdhënësve dhe institucioneve arsimore të arsimit parauniversitar, r</w:t>
      </w:r>
      <w:r w:rsidRPr="0068706C">
        <w:rPr>
          <w:rFonts w:eastAsia="Calibri"/>
        </w:rPr>
        <w:t xml:space="preserve">ekrutimin e inspektorëve të arsimit dhe trajnimi i tyre për proceset e vlerësimit të performancës (MASH), </w:t>
      </w:r>
      <w:r w:rsidRPr="0068706C">
        <w:t xml:space="preserve">plotësimin  dhe rishikimin e legjislacionit në arsimin parauniversitar si dhe rritja e përfshirjes në arsim. Gjithashtu masa përfshin edhe organizimin e mësimit në kushte pandemie, aftësimin e mësimdhënësve për përdorimin e platformave për të zbatuar programet mësimore/lëndore sipas klasave, nëpërmjet trajnimeve për mësimin online dhe organizimin e mësimit plotësues. Në këtë masë është përfshirë edhe plani për fëmijët/ nxënësit me aftësi të jashtëzakonshme, dhunti dhe talente. </w:t>
      </w:r>
      <w:r w:rsidRPr="0068706C">
        <w:rPr>
          <w:rFonts w:eastAsia="Calibri"/>
        </w:rPr>
        <w:t xml:space="preserve">Vlerësimi i PSAK 2017-2021  do të realizohet në vitin 2021 si dhe do të fillojë hartimi i Planit Strategjik të Arsimit në Kosovë 2022-2027. Kjo masë ndërlidhet drejtpërsëdrejti me prioritetet e Qeverisë, SKZh, PSAK, PKZMSA, KASH si dhe me të gjitha dokumentet relevante, si dhe me udhëzuesit e MASHT për organizmin e mësimit në kushtet e pandemisë dhe vendimet e Qeverisë  për masat anti-Covid. Kjo masë përafrohet pjesërisht me SZHQ 4 (Edukimi Cilësor), i përqendruar posaçërisht në treguesit e infrastrukturës së dixhitalizuar dhe gjithëpërfshirëse për arsimin parauniversitar. </w:t>
      </w:r>
    </w:p>
    <w:p w14:paraId="6DC92A90" w14:textId="77777777" w:rsidR="00CE4035" w:rsidRPr="0068706C" w:rsidRDefault="00CE4035" w:rsidP="00CE4035">
      <w:pPr>
        <w:jc w:val="both"/>
      </w:pPr>
      <w:r w:rsidRPr="0068706C">
        <w:t>Në Kosovë, në kushte të imponuara të pandemisë COVID–19, nga data 12 mars 2020, në bazë të udhëzimeve të Qeverisë së Republikës së Kosovës është ndërprerë mësimi ne të gjitha institucionet edukative-arsimore. Bazuar në të dhënat e pranuara nga Drejtoritë Komunale të Arsimit, mësimin në distance e kane vijuar 89,61%, ndërsa numri i nxënësve që nuk kane marr pjesë apo vijuar mësimin është 10.36%.</w:t>
      </w:r>
      <w:r w:rsidRPr="0068706C">
        <w:rPr>
          <w:rStyle w:val="FootnoteReference"/>
        </w:rPr>
        <w:footnoteReference w:id="22"/>
      </w:r>
      <w:r w:rsidRPr="0068706C">
        <w:t xml:space="preserve"> </w:t>
      </w:r>
      <w:r w:rsidRPr="0068706C">
        <w:rPr>
          <w:rFonts w:eastAsia="Calibri"/>
        </w:rPr>
        <w:t xml:space="preserve"> </w:t>
      </w:r>
      <w:r w:rsidRPr="0068706C">
        <w:t>Duke pasur parasysh specifikat individuale të fëmijëve/nxënësve me nevoja të veçanta ka ofruar  mësimin në distancë përmes platformave elektronike  si dhe në shkollat AAP.</w:t>
      </w:r>
      <w:r w:rsidRPr="0068706C">
        <w:rPr>
          <w:rFonts w:eastAsia="Calibri"/>
          <w:lang w:eastAsia="ja-JP"/>
        </w:rPr>
        <w:t xml:space="preserve">  </w:t>
      </w:r>
      <w:r w:rsidRPr="0068706C">
        <w:t>Format e mësimit në shkollë dhe e-mësimit, do të zbatohen në nivele dhe shërbime të ndryshme të arsimit para universitar dhe do të aplikohen varësisht nga skenari për të cilin do të përcaktohen autoritetet kosovare për zhvillimin e mësimit gjatë vitit shkollor 2020-2021. Mësimi online dhe në distancë do të zhvillohet dhe publikohet paralelisht me aplikimin e skenarëve të ndryshëm për të qenë në dispozicion të të gjithë nxënësve në Kosovë edhe si formë rezervë në raste të situatave të paparashikuara. Gjithashtu edhe me Master-Planin  për mësimin 2020, i cili shqyrton të gjitha format dhe mundësitë e organizimit të mësimit në vitin shkollor 2020-221.</w:t>
      </w:r>
    </w:p>
    <w:p w14:paraId="5972B9E4" w14:textId="79A10E5E" w:rsidR="00CE4035" w:rsidRDefault="00CE4035" w:rsidP="00CE4035">
      <w:r w:rsidRPr="0068706C">
        <w:t xml:space="preserve">Kjo masë pjesërisht ndërlidhet me SZHQ 4 ‘Sigurimi i arsimit gjithëpërfshirës dhe me cilësi të barabartë dhe promovimi i mundësive për të mësuarit gjatë gjithë jetës’. </w:t>
      </w:r>
    </w:p>
    <w:p w14:paraId="32B11B31" w14:textId="77777777" w:rsidR="0068706C" w:rsidRPr="0068706C" w:rsidRDefault="0068706C" w:rsidP="00CE4035"/>
    <w:p w14:paraId="215254A5" w14:textId="77777777" w:rsidR="00CE4035" w:rsidRPr="0068706C" w:rsidRDefault="00CE4035" w:rsidP="0068706C">
      <w:pPr>
        <w:pStyle w:val="ListParagraph"/>
        <w:numPr>
          <w:ilvl w:val="0"/>
          <w:numId w:val="57"/>
        </w:numPr>
        <w:autoSpaceDE w:val="0"/>
        <w:autoSpaceDN w:val="0"/>
        <w:adjustRightInd w:val="0"/>
        <w:spacing w:after="0" w:line="240" w:lineRule="auto"/>
        <w:jc w:val="both"/>
        <w:rPr>
          <w:rFonts w:ascii="Times New Roman" w:hAnsi="Times New Roman"/>
          <w:sz w:val="24"/>
          <w:szCs w:val="24"/>
        </w:rPr>
      </w:pPr>
      <w:r w:rsidRPr="0068706C">
        <w:rPr>
          <w:rFonts w:ascii="Times New Roman" w:hAnsi="Times New Roman"/>
          <w:b/>
          <w:bCs/>
          <w:sz w:val="24"/>
          <w:szCs w:val="24"/>
        </w:rPr>
        <w:t>Aktivitetet e planifikuara për 2021:</w:t>
      </w:r>
      <w:r w:rsidRPr="0068706C">
        <w:rPr>
          <w:rFonts w:ascii="Times New Roman" w:hAnsi="Times New Roman"/>
          <w:sz w:val="24"/>
          <w:szCs w:val="24"/>
        </w:rPr>
        <w:t xml:space="preserve"> </w:t>
      </w:r>
    </w:p>
    <w:p w14:paraId="6E85F83C" w14:textId="77777777" w:rsidR="00CE4035" w:rsidRPr="0068706C" w:rsidRDefault="00CE4035" w:rsidP="0068706C">
      <w:pPr>
        <w:numPr>
          <w:ilvl w:val="0"/>
          <w:numId w:val="55"/>
        </w:numPr>
        <w:autoSpaceDE w:val="0"/>
        <w:autoSpaceDN w:val="0"/>
        <w:adjustRightInd w:val="0"/>
        <w:contextualSpacing/>
        <w:jc w:val="both"/>
        <w:rPr>
          <w:rFonts w:eastAsia="Calibri"/>
        </w:rPr>
      </w:pPr>
      <w:r w:rsidRPr="0068706C">
        <w:rPr>
          <w:rFonts w:eastAsia="Calibri"/>
        </w:rPr>
        <w:t>Rishikimi i draft  kurrikulave programeve mësimore për klasën e 5-të  për të gjitha lëndët  mësimore në gjuhën shqipe  dhe për  lëndët nacionale  në gjuhën boshnjake dhe turke si dhe rishikimi i draft kurrikulave/ programeve mësimore për  Gjuhë shqipe dhe letërsi  për nxënësit e komuniteteve joshqiptare  për klasat  5, 8, 9, 12 (MASH);</w:t>
      </w:r>
    </w:p>
    <w:p w14:paraId="2490FBC7" w14:textId="77777777" w:rsidR="00CE4035" w:rsidRPr="0068706C" w:rsidRDefault="00CE4035" w:rsidP="0068706C">
      <w:pPr>
        <w:numPr>
          <w:ilvl w:val="0"/>
          <w:numId w:val="55"/>
        </w:numPr>
        <w:autoSpaceDE w:val="0"/>
        <w:autoSpaceDN w:val="0"/>
        <w:adjustRightInd w:val="0"/>
        <w:contextualSpacing/>
        <w:jc w:val="both"/>
        <w:rPr>
          <w:rFonts w:eastAsia="Calibri"/>
        </w:rPr>
      </w:pPr>
      <w:r w:rsidRPr="0068706C">
        <w:rPr>
          <w:rFonts w:eastAsia="Calibri"/>
        </w:rPr>
        <w:t>Organizimi dhe monitorimi i mësimit në kushte pandemie, sipas skenarëve B dhe C të udhëzuesit  të MASH si dhe organizimi i mësimit plotësues (për fëmijët të cilët nuk mund të marrin pjese në  mësim sipas skenarëve) (MASH);</w:t>
      </w:r>
    </w:p>
    <w:p w14:paraId="6917BD02" w14:textId="77777777" w:rsidR="00CE4035" w:rsidRPr="0068706C" w:rsidRDefault="00CE4035" w:rsidP="0068706C">
      <w:pPr>
        <w:numPr>
          <w:ilvl w:val="0"/>
          <w:numId w:val="55"/>
        </w:numPr>
        <w:autoSpaceDE w:val="0"/>
        <w:autoSpaceDN w:val="0"/>
        <w:adjustRightInd w:val="0"/>
        <w:contextualSpacing/>
        <w:jc w:val="both"/>
        <w:rPr>
          <w:rFonts w:eastAsia="Calibri"/>
        </w:rPr>
      </w:pPr>
      <w:r w:rsidRPr="0068706C">
        <w:rPr>
          <w:rFonts w:eastAsia="Calibri"/>
        </w:rPr>
        <w:t>Hartimi dhe miratimi i Strategjisë për Dixhitalizimin e Arsimit 2021-25 (MASH);</w:t>
      </w:r>
    </w:p>
    <w:p w14:paraId="4EBAED03" w14:textId="77777777" w:rsidR="00CE4035" w:rsidRPr="0068706C" w:rsidRDefault="00CE4035" w:rsidP="0068706C">
      <w:pPr>
        <w:numPr>
          <w:ilvl w:val="0"/>
          <w:numId w:val="55"/>
        </w:numPr>
        <w:autoSpaceDE w:val="0"/>
        <w:autoSpaceDN w:val="0"/>
        <w:adjustRightInd w:val="0"/>
        <w:contextualSpacing/>
        <w:jc w:val="both"/>
        <w:rPr>
          <w:rFonts w:eastAsia="Calibri"/>
        </w:rPr>
      </w:pPr>
      <w:r w:rsidRPr="0068706C">
        <w:rPr>
          <w:rFonts w:eastAsia="Calibri"/>
        </w:rPr>
        <w:t>Përfundimi i 10 shkollave të reja të mesme të ulëta (MASH);</w:t>
      </w:r>
    </w:p>
    <w:p w14:paraId="74236C85" w14:textId="77777777" w:rsidR="00CE4035" w:rsidRPr="0068706C" w:rsidRDefault="00CE4035" w:rsidP="0068706C">
      <w:pPr>
        <w:numPr>
          <w:ilvl w:val="0"/>
          <w:numId w:val="55"/>
        </w:numPr>
        <w:autoSpaceDE w:val="0"/>
        <w:autoSpaceDN w:val="0"/>
        <w:adjustRightInd w:val="0"/>
        <w:contextualSpacing/>
        <w:jc w:val="both"/>
        <w:rPr>
          <w:rFonts w:eastAsia="Calibri"/>
        </w:rPr>
      </w:pPr>
      <w:r w:rsidRPr="0068706C">
        <w:rPr>
          <w:rFonts w:eastAsia="Calibri"/>
        </w:rPr>
        <w:t xml:space="preserve">Pajisja e kabineteve me mjetet më të reja teknologjike dhe dixhitalizimit të përmbajtjeve arsimore për përdorim në klasë dhe jashtë klase  për komunikim në distancë dhe aspekte të tjera (MASH);   </w:t>
      </w:r>
    </w:p>
    <w:p w14:paraId="0E0721C1" w14:textId="77777777" w:rsidR="00CE4035" w:rsidRPr="0068706C" w:rsidRDefault="00CE4035" w:rsidP="0068706C">
      <w:pPr>
        <w:numPr>
          <w:ilvl w:val="0"/>
          <w:numId w:val="55"/>
        </w:numPr>
        <w:autoSpaceDE w:val="0"/>
        <w:autoSpaceDN w:val="0"/>
        <w:adjustRightInd w:val="0"/>
        <w:contextualSpacing/>
        <w:jc w:val="both"/>
        <w:rPr>
          <w:rFonts w:eastAsia="Calibri"/>
        </w:rPr>
      </w:pPr>
      <w:r w:rsidRPr="0068706C">
        <w:rPr>
          <w:rFonts w:eastAsia="Calibri"/>
        </w:rPr>
        <w:t>Pilotimi i planit të individualizuar për fëmijët/ nxënësit me aftësi të jashtëzakonshme, dhunti dhe talente ne 25 shkolla (MASH).</w:t>
      </w:r>
    </w:p>
    <w:p w14:paraId="42A6B145" w14:textId="77777777" w:rsidR="00CE4035" w:rsidRPr="0068706C" w:rsidRDefault="00CE4035" w:rsidP="0068706C">
      <w:pPr>
        <w:numPr>
          <w:ilvl w:val="0"/>
          <w:numId w:val="55"/>
        </w:numPr>
        <w:autoSpaceDE w:val="0"/>
        <w:autoSpaceDN w:val="0"/>
        <w:adjustRightInd w:val="0"/>
        <w:contextualSpacing/>
        <w:jc w:val="both"/>
        <w:rPr>
          <w:rFonts w:eastAsia="Calibri"/>
        </w:rPr>
      </w:pPr>
      <w:r w:rsidRPr="0068706C">
        <w:rPr>
          <w:rFonts w:eastAsia="Calibri"/>
        </w:rPr>
        <w:t>Miratimi i udhëzimit administrativ për Detyrat, përgjegjësitë, procedurat dhe kriteret e zgjedhjes së drejtorit dhe të zëvendësdrejtorit të institucionit edukativo-arsimor dhe aftësues para-universitar si dhe UA për Procedurat e përzgjedhjes së personelit edukativo-arsimor në institucionet edukativo-arsimore dhe aftësuese (IEAA) të arsimit para-universitar (MASH)</w:t>
      </w:r>
    </w:p>
    <w:p w14:paraId="0FEB7AD6" w14:textId="77777777" w:rsidR="00CE4035" w:rsidRPr="0068706C" w:rsidRDefault="00CE4035" w:rsidP="0068706C">
      <w:pPr>
        <w:numPr>
          <w:ilvl w:val="0"/>
          <w:numId w:val="55"/>
        </w:numPr>
        <w:autoSpaceDE w:val="0"/>
        <w:autoSpaceDN w:val="0"/>
        <w:adjustRightInd w:val="0"/>
        <w:contextualSpacing/>
        <w:jc w:val="both"/>
        <w:rPr>
          <w:rFonts w:eastAsia="Calibri"/>
        </w:rPr>
      </w:pPr>
      <w:r w:rsidRPr="0068706C">
        <w:rPr>
          <w:rFonts w:eastAsia="Calibri"/>
        </w:rPr>
        <w:t>Aprovimi i programeve për trajnimin e mësimdhënësve dhe monitorimi i tyre (MASH)</w:t>
      </w:r>
    </w:p>
    <w:p w14:paraId="57D42441" w14:textId="77777777" w:rsidR="00CE4035" w:rsidRPr="0068706C" w:rsidRDefault="00CE4035" w:rsidP="0068706C">
      <w:pPr>
        <w:numPr>
          <w:ilvl w:val="0"/>
          <w:numId w:val="55"/>
        </w:numPr>
        <w:autoSpaceDE w:val="0"/>
        <w:autoSpaceDN w:val="0"/>
        <w:adjustRightInd w:val="0"/>
        <w:contextualSpacing/>
        <w:jc w:val="both"/>
        <w:rPr>
          <w:rFonts w:eastAsia="Calibri"/>
        </w:rPr>
      </w:pPr>
      <w:r w:rsidRPr="0068706C">
        <w:rPr>
          <w:rFonts w:eastAsia="Calibri"/>
        </w:rPr>
        <w:t>UA (i rishikuar) për Sistemimin e licencimit dhe zhvillimit të mësimdhënësve në karrierë (MASH).</w:t>
      </w:r>
    </w:p>
    <w:p w14:paraId="007FBA84" w14:textId="77777777" w:rsidR="00CE4035" w:rsidRPr="0068706C" w:rsidRDefault="00CE4035" w:rsidP="00CE4035">
      <w:pPr>
        <w:autoSpaceDE w:val="0"/>
        <w:autoSpaceDN w:val="0"/>
        <w:adjustRightInd w:val="0"/>
        <w:ind w:left="360"/>
        <w:contextualSpacing/>
        <w:jc w:val="both"/>
        <w:rPr>
          <w:rFonts w:eastAsia="Calibri"/>
        </w:rPr>
      </w:pPr>
    </w:p>
    <w:p w14:paraId="3F2318D1" w14:textId="77777777" w:rsidR="00CE4035" w:rsidRPr="0068706C" w:rsidRDefault="00CE4035" w:rsidP="00CE4035">
      <w:pPr>
        <w:autoSpaceDE w:val="0"/>
        <w:autoSpaceDN w:val="0"/>
        <w:adjustRightInd w:val="0"/>
        <w:jc w:val="both"/>
        <w:rPr>
          <w:rFonts w:eastAsia="Calibri"/>
          <w:b/>
          <w:bCs/>
        </w:rPr>
      </w:pPr>
      <w:r w:rsidRPr="0068706C">
        <w:rPr>
          <w:rFonts w:eastAsia="Calibri"/>
          <w:b/>
        </w:rPr>
        <w:t xml:space="preserve">b. </w:t>
      </w:r>
      <w:r w:rsidRPr="0068706C">
        <w:rPr>
          <w:rFonts w:eastAsia="Calibri"/>
          <w:b/>
          <w:bCs/>
        </w:rPr>
        <w:t>Aktivitetet e planifikuara për 2022:</w:t>
      </w:r>
    </w:p>
    <w:p w14:paraId="407BF2FA" w14:textId="77777777" w:rsidR="00CE4035" w:rsidRPr="0068706C" w:rsidRDefault="00CE4035" w:rsidP="0068706C">
      <w:pPr>
        <w:pStyle w:val="ListParagraph"/>
        <w:widowControl w:val="0"/>
        <w:numPr>
          <w:ilvl w:val="0"/>
          <w:numId w:val="58"/>
        </w:numPr>
        <w:autoSpaceDE w:val="0"/>
        <w:autoSpaceDN w:val="0"/>
        <w:adjustRightInd w:val="0"/>
        <w:spacing w:after="0" w:line="240" w:lineRule="auto"/>
        <w:ind w:left="360"/>
        <w:jc w:val="both"/>
        <w:rPr>
          <w:rFonts w:ascii="Times New Roman" w:hAnsi="Times New Roman"/>
          <w:sz w:val="24"/>
          <w:szCs w:val="24"/>
        </w:rPr>
      </w:pPr>
      <w:r w:rsidRPr="0068706C">
        <w:rPr>
          <w:rFonts w:ascii="Times New Roman" w:hAnsi="Times New Roman"/>
          <w:sz w:val="24"/>
          <w:szCs w:val="24"/>
        </w:rPr>
        <w:t xml:space="preserve">Zbatimi i kurrikulave programeve mësimore për klasën 5 për të gjitha lëndët  mësimore në gjuhën shqipe  dhe për  lëndët nacionale  në gjuhën boshnjake dhe turke në të gjitha shkollat;  </w:t>
      </w:r>
    </w:p>
    <w:p w14:paraId="6E253915" w14:textId="77777777" w:rsidR="00CE4035" w:rsidRPr="0068706C" w:rsidRDefault="00CE4035" w:rsidP="0068706C">
      <w:pPr>
        <w:pStyle w:val="ListParagraph"/>
        <w:widowControl w:val="0"/>
        <w:numPr>
          <w:ilvl w:val="0"/>
          <w:numId w:val="58"/>
        </w:numPr>
        <w:autoSpaceDE w:val="0"/>
        <w:autoSpaceDN w:val="0"/>
        <w:adjustRightInd w:val="0"/>
        <w:spacing w:after="0" w:line="240" w:lineRule="auto"/>
        <w:ind w:left="360"/>
        <w:jc w:val="both"/>
        <w:rPr>
          <w:rFonts w:ascii="Times New Roman" w:hAnsi="Times New Roman"/>
          <w:sz w:val="24"/>
          <w:szCs w:val="24"/>
        </w:rPr>
      </w:pPr>
      <w:r w:rsidRPr="0068706C">
        <w:rPr>
          <w:rFonts w:ascii="Times New Roman" w:hAnsi="Times New Roman"/>
          <w:sz w:val="24"/>
          <w:szCs w:val="24"/>
        </w:rPr>
        <w:t>Zbatimi i kurrikulave, programeve mësimore për gjuhë shqipe dhe letërsi  për nxënësit e komuniteteve joshqiptare për klasat 5,8,12 (MASH)</w:t>
      </w:r>
    </w:p>
    <w:p w14:paraId="250BD9C9" w14:textId="77777777" w:rsidR="00CE4035" w:rsidRPr="0068706C" w:rsidRDefault="00CE4035" w:rsidP="0068706C">
      <w:pPr>
        <w:pStyle w:val="ListParagraph"/>
        <w:widowControl w:val="0"/>
        <w:numPr>
          <w:ilvl w:val="0"/>
          <w:numId w:val="58"/>
        </w:numPr>
        <w:autoSpaceDE w:val="0"/>
        <w:autoSpaceDN w:val="0"/>
        <w:adjustRightInd w:val="0"/>
        <w:spacing w:after="0" w:line="240" w:lineRule="auto"/>
        <w:ind w:left="360"/>
        <w:jc w:val="both"/>
        <w:rPr>
          <w:rFonts w:ascii="Times New Roman" w:hAnsi="Times New Roman"/>
          <w:sz w:val="24"/>
          <w:szCs w:val="24"/>
        </w:rPr>
      </w:pPr>
      <w:r w:rsidRPr="0068706C">
        <w:rPr>
          <w:rFonts w:ascii="Times New Roman" w:hAnsi="Times New Roman"/>
          <w:sz w:val="24"/>
          <w:szCs w:val="24"/>
        </w:rPr>
        <w:t xml:space="preserve">Pajisja e kabineteve me mjetet më të reja teknologjike dhe dixhitalizimit të përmbajtjeve arsimore për përdorim në klasë dhe jashtë klase  për komunikim në distancë dhe aspekte tjera (MASH);   </w:t>
      </w:r>
    </w:p>
    <w:p w14:paraId="52AEB0EF" w14:textId="77777777" w:rsidR="00CE4035" w:rsidRPr="0068706C" w:rsidRDefault="00CE4035" w:rsidP="0068706C">
      <w:pPr>
        <w:pStyle w:val="ListParagraph"/>
        <w:widowControl w:val="0"/>
        <w:numPr>
          <w:ilvl w:val="0"/>
          <w:numId w:val="58"/>
        </w:numPr>
        <w:autoSpaceDE w:val="0"/>
        <w:autoSpaceDN w:val="0"/>
        <w:adjustRightInd w:val="0"/>
        <w:spacing w:after="0" w:line="240" w:lineRule="auto"/>
        <w:ind w:left="360"/>
        <w:jc w:val="both"/>
        <w:rPr>
          <w:rFonts w:ascii="Times New Roman" w:hAnsi="Times New Roman"/>
          <w:sz w:val="24"/>
          <w:szCs w:val="24"/>
        </w:rPr>
      </w:pPr>
      <w:r w:rsidRPr="0068706C">
        <w:rPr>
          <w:rFonts w:ascii="Times New Roman" w:hAnsi="Times New Roman"/>
          <w:sz w:val="24"/>
          <w:szCs w:val="24"/>
        </w:rPr>
        <w:t>Përfundimi i 4 shkollave të reja të mesme të ulëta (MASH);</w:t>
      </w:r>
    </w:p>
    <w:p w14:paraId="12C6B484" w14:textId="77777777" w:rsidR="00CE4035" w:rsidRPr="0068706C" w:rsidRDefault="00CE4035" w:rsidP="0068706C">
      <w:pPr>
        <w:pStyle w:val="ListParagraph"/>
        <w:widowControl w:val="0"/>
        <w:numPr>
          <w:ilvl w:val="0"/>
          <w:numId w:val="58"/>
        </w:numPr>
        <w:autoSpaceDE w:val="0"/>
        <w:autoSpaceDN w:val="0"/>
        <w:adjustRightInd w:val="0"/>
        <w:spacing w:after="0" w:line="240" w:lineRule="auto"/>
        <w:ind w:left="360"/>
        <w:jc w:val="both"/>
        <w:rPr>
          <w:rFonts w:ascii="Times New Roman" w:hAnsi="Times New Roman"/>
          <w:sz w:val="24"/>
          <w:szCs w:val="24"/>
        </w:rPr>
      </w:pPr>
      <w:r w:rsidRPr="0068706C">
        <w:rPr>
          <w:rFonts w:ascii="Times New Roman" w:hAnsi="Times New Roman"/>
          <w:sz w:val="24"/>
          <w:szCs w:val="24"/>
        </w:rPr>
        <w:t>Organizimi i trajnimeve për 100 mësimdhënës për përdorimin e PIA për nxënësit me aftësi të jashtëzakonshme, dhunti dhe talente ( nuk janë të DPTSH );</w:t>
      </w:r>
    </w:p>
    <w:p w14:paraId="6C07F0CF" w14:textId="77777777" w:rsidR="00CE4035" w:rsidRPr="0068706C" w:rsidRDefault="00CE4035" w:rsidP="00CE4035">
      <w:pPr>
        <w:pStyle w:val="ListParagraph"/>
        <w:autoSpaceDE w:val="0"/>
        <w:autoSpaceDN w:val="0"/>
        <w:adjustRightInd w:val="0"/>
        <w:ind w:left="360"/>
        <w:jc w:val="both"/>
        <w:rPr>
          <w:rFonts w:ascii="Times New Roman" w:hAnsi="Times New Roman"/>
          <w:sz w:val="24"/>
          <w:szCs w:val="24"/>
        </w:rPr>
      </w:pPr>
    </w:p>
    <w:p w14:paraId="07AE32A2" w14:textId="77777777" w:rsidR="00CE4035" w:rsidRPr="0068706C" w:rsidRDefault="00CE4035" w:rsidP="00CE4035">
      <w:pPr>
        <w:rPr>
          <w:rFonts w:eastAsia="Calibri"/>
        </w:rPr>
      </w:pPr>
      <w:r w:rsidRPr="0068706C">
        <w:rPr>
          <w:rFonts w:eastAsia="Calibri"/>
          <w:b/>
          <w:bCs/>
        </w:rPr>
        <w:t>c. Aktivitetet e planifikuara për 2023</w:t>
      </w:r>
      <w:r w:rsidRPr="0068706C">
        <w:rPr>
          <w:rFonts w:eastAsia="Calibri"/>
          <w:b/>
        </w:rPr>
        <w:t>:</w:t>
      </w:r>
    </w:p>
    <w:p w14:paraId="40D92706" w14:textId="77777777" w:rsidR="00CE4035" w:rsidRPr="0068706C" w:rsidRDefault="00CE4035" w:rsidP="0068706C">
      <w:pPr>
        <w:numPr>
          <w:ilvl w:val="0"/>
          <w:numId w:val="56"/>
        </w:numPr>
        <w:jc w:val="both"/>
        <w:rPr>
          <w:rFonts w:eastAsia="Calibri"/>
        </w:rPr>
      </w:pPr>
      <w:r w:rsidRPr="0068706C">
        <w:rPr>
          <w:rFonts w:eastAsia="Calibri"/>
        </w:rPr>
        <w:t xml:space="preserve">Monitorimi i zbatimit të dokumenteve kurrikulare dhe programeve të reja mësimore / lëndore për të gjitha klasat e arsimit parauniversitar; </w:t>
      </w:r>
    </w:p>
    <w:p w14:paraId="65BAF788" w14:textId="77777777" w:rsidR="00CE4035" w:rsidRPr="0068706C" w:rsidRDefault="00CE4035" w:rsidP="0068706C">
      <w:pPr>
        <w:numPr>
          <w:ilvl w:val="0"/>
          <w:numId w:val="56"/>
        </w:numPr>
        <w:jc w:val="both"/>
        <w:rPr>
          <w:rFonts w:eastAsia="Calibri"/>
        </w:rPr>
      </w:pPr>
      <w:r w:rsidRPr="0068706C">
        <w:rPr>
          <w:rFonts w:eastAsia="Calibri"/>
        </w:rPr>
        <w:t xml:space="preserve">Avancimi i data bazës se SMIA (MASH); </w:t>
      </w:r>
    </w:p>
    <w:p w14:paraId="50B6FAE4" w14:textId="77777777" w:rsidR="00CE4035" w:rsidRPr="0068706C" w:rsidRDefault="00CE4035" w:rsidP="0068706C">
      <w:pPr>
        <w:numPr>
          <w:ilvl w:val="0"/>
          <w:numId w:val="56"/>
        </w:numPr>
        <w:jc w:val="both"/>
        <w:rPr>
          <w:rFonts w:eastAsia="Calibri"/>
        </w:rPr>
      </w:pPr>
      <w:r w:rsidRPr="0068706C">
        <w:rPr>
          <w:rFonts w:eastAsia="Calibri"/>
        </w:rPr>
        <w:t xml:space="preserve">Pajisja e kabineteve me mjetet më të reja teknologjike dhe dixhitalizimit të përmbajtjeve arsimore për përdorim në klasë dhe jashtë klase  për komunikim në distancë dhe aspekte tjera (MASH);   </w:t>
      </w:r>
    </w:p>
    <w:p w14:paraId="16C3D88B" w14:textId="77777777" w:rsidR="00CE4035" w:rsidRPr="0068706C" w:rsidRDefault="00CE4035" w:rsidP="0068706C">
      <w:pPr>
        <w:numPr>
          <w:ilvl w:val="0"/>
          <w:numId w:val="56"/>
        </w:numPr>
        <w:jc w:val="both"/>
        <w:rPr>
          <w:rFonts w:eastAsia="Calibri"/>
        </w:rPr>
      </w:pPr>
      <w:r w:rsidRPr="0068706C">
        <w:rPr>
          <w:rFonts w:eastAsia="Calibri"/>
        </w:rPr>
        <w:t xml:space="preserve">Pajisja e kabineteve me mjetet më të reja teknologjike dhe dixhitalizimit të përmbajtjeve arsimore për përdorim në klasë dhe jashtë klase  për komunikim në distancë dhe aspekte tjera (MASH);   </w:t>
      </w:r>
    </w:p>
    <w:p w14:paraId="72570C8F" w14:textId="77777777" w:rsidR="00CE4035" w:rsidRPr="0068706C" w:rsidRDefault="00CE4035" w:rsidP="0068706C">
      <w:pPr>
        <w:numPr>
          <w:ilvl w:val="0"/>
          <w:numId w:val="56"/>
        </w:numPr>
        <w:jc w:val="both"/>
        <w:rPr>
          <w:rFonts w:eastAsia="Calibri"/>
        </w:rPr>
      </w:pPr>
      <w:r w:rsidRPr="0068706C">
        <w:rPr>
          <w:rFonts w:eastAsia="Calibri"/>
        </w:rPr>
        <w:t xml:space="preserve">Përfundimi i 5 shkollave të reja të mesme të ulëta; </w:t>
      </w:r>
    </w:p>
    <w:p w14:paraId="1089AF68" w14:textId="77777777" w:rsidR="00CE4035" w:rsidRPr="0068706C" w:rsidRDefault="00CE4035" w:rsidP="0068706C">
      <w:pPr>
        <w:numPr>
          <w:ilvl w:val="0"/>
          <w:numId w:val="56"/>
        </w:numPr>
        <w:jc w:val="both"/>
        <w:rPr>
          <w:rFonts w:eastAsia="Calibri"/>
        </w:rPr>
      </w:pPr>
      <w:r w:rsidRPr="0068706C">
        <w:rPr>
          <w:rFonts w:eastAsia="Calibri"/>
        </w:rPr>
        <w:t>Organizimi i trajnimeve për 200 mësimdhënës për përdorimin e PIA për nxënësit me aftësi të jashtëzakonshme, dhunti dhe talente.</w:t>
      </w:r>
    </w:p>
    <w:p w14:paraId="5A302545" w14:textId="77777777" w:rsidR="00CE4035" w:rsidRPr="0068706C" w:rsidRDefault="00CE4035" w:rsidP="00CE4035">
      <w:pPr>
        <w:jc w:val="both"/>
        <w:rPr>
          <w:b/>
        </w:rPr>
      </w:pPr>
      <w:r w:rsidRPr="0068706C">
        <w:rPr>
          <w:b/>
        </w:rPr>
        <w:t xml:space="preserve">Treguesit e rezultateve </w:t>
      </w:r>
    </w:p>
    <w:tbl>
      <w:tblPr>
        <w:tblpPr w:leftFromText="180" w:rightFromText="180" w:bottomFromText="200" w:vertAnchor="text" w:horzAnchor="margin" w:tblpY="175"/>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1440"/>
        <w:gridCol w:w="1260"/>
        <w:gridCol w:w="1350"/>
      </w:tblGrid>
      <w:tr w:rsidR="00CE4035" w:rsidRPr="0068706C" w14:paraId="3465B2F9" w14:textId="77777777" w:rsidTr="0068706C">
        <w:tc>
          <w:tcPr>
            <w:tcW w:w="4585" w:type="dxa"/>
          </w:tcPr>
          <w:p w14:paraId="0412A1C2" w14:textId="77777777" w:rsidR="00CE4035" w:rsidRPr="0068706C" w:rsidRDefault="00CE4035" w:rsidP="009B753C">
            <w:pPr>
              <w:autoSpaceDE w:val="0"/>
              <w:autoSpaceDN w:val="0"/>
              <w:adjustRightInd w:val="0"/>
              <w:rPr>
                <w:b/>
                <w:i/>
              </w:rPr>
            </w:pPr>
            <w:r w:rsidRPr="0068706C">
              <w:rPr>
                <w:b/>
                <w:i/>
              </w:rPr>
              <w:t xml:space="preserve">Treguesit </w:t>
            </w:r>
          </w:p>
          <w:p w14:paraId="59D45336" w14:textId="77777777" w:rsidR="00CE4035" w:rsidRPr="0068706C" w:rsidRDefault="00CE4035" w:rsidP="009B753C">
            <w:pPr>
              <w:autoSpaceDE w:val="0"/>
              <w:autoSpaceDN w:val="0"/>
              <w:adjustRightInd w:val="0"/>
              <w:rPr>
                <w:b/>
                <w:i/>
                <w:iCs/>
              </w:rPr>
            </w:pPr>
          </w:p>
        </w:tc>
        <w:tc>
          <w:tcPr>
            <w:tcW w:w="1440" w:type="dxa"/>
          </w:tcPr>
          <w:p w14:paraId="41892040" w14:textId="77777777" w:rsidR="00CE4035" w:rsidRPr="0068706C" w:rsidRDefault="00CE4035" w:rsidP="009B753C">
            <w:pPr>
              <w:autoSpaceDE w:val="0"/>
              <w:autoSpaceDN w:val="0"/>
              <w:adjustRightInd w:val="0"/>
              <w:rPr>
                <w:b/>
              </w:rPr>
            </w:pPr>
            <w:r w:rsidRPr="0068706C">
              <w:rPr>
                <w:b/>
              </w:rPr>
              <w:t xml:space="preserve">Viti bazë    2020 </w:t>
            </w:r>
          </w:p>
        </w:tc>
        <w:tc>
          <w:tcPr>
            <w:tcW w:w="1260" w:type="dxa"/>
          </w:tcPr>
          <w:p w14:paraId="44A704BA" w14:textId="77777777" w:rsidR="00CE4035" w:rsidRPr="0068706C" w:rsidRDefault="00CE4035" w:rsidP="009B753C">
            <w:pPr>
              <w:autoSpaceDE w:val="0"/>
              <w:autoSpaceDN w:val="0"/>
              <w:adjustRightInd w:val="0"/>
              <w:rPr>
                <w:b/>
                <w:iCs/>
              </w:rPr>
            </w:pPr>
            <w:r w:rsidRPr="0068706C">
              <w:rPr>
                <w:b/>
                <w:iCs/>
              </w:rPr>
              <w:t>Objektivi  2022</w:t>
            </w:r>
          </w:p>
        </w:tc>
        <w:tc>
          <w:tcPr>
            <w:tcW w:w="1350" w:type="dxa"/>
          </w:tcPr>
          <w:p w14:paraId="566D265D" w14:textId="77777777" w:rsidR="00CE4035" w:rsidRPr="0068706C" w:rsidRDefault="00CE4035" w:rsidP="009B753C">
            <w:pPr>
              <w:autoSpaceDE w:val="0"/>
              <w:autoSpaceDN w:val="0"/>
              <w:adjustRightInd w:val="0"/>
              <w:rPr>
                <w:b/>
                <w:iCs/>
              </w:rPr>
            </w:pPr>
            <w:r w:rsidRPr="0068706C">
              <w:rPr>
                <w:b/>
                <w:iCs/>
              </w:rPr>
              <w:t xml:space="preserve">Objektivi 2023 </w:t>
            </w:r>
          </w:p>
        </w:tc>
      </w:tr>
      <w:tr w:rsidR="00CE4035" w:rsidRPr="0068706C" w14:paraId="635318D9" w14:textId="77777777" w:rsidTr="0068706C">
        <w:trPr>
          <w:trHeight w:val="559"/>
        </w:trPr>
        <w:tc>
          <w:tcPr>
            <w:tcW w:w="4585" w:type="dxa"/>
          </w:tcPr>
          <w:p w14:paraId="3C8FD798" w14:textId="77777777" w:rsidR="00CE4035" w:rsidRPr="0068706C" w:rsidRDefault="00CE4035" w:rsidP="009B753C">
            <w:pPr>
              <w:autoSpaceDE w:val="0"/>
              <w:autoSpaceDN w:val="0"/>
              <w:adjustRightInd w:val="0"/>
            </w:pPr>
            <w:r w:rsidRPr="0068706C">
              <w:t xml:space="preserve">Numri i shkollave të reja në arsimin parauniveritar </w:t>
            </w:r>
          </w:p>
        </w:tc>
        <w:tc>
          <w:tcPr>
            <w:tcW w:w="1440" w:type="dxa"/>
          </w:tcPr>
          <w:p w14:paraId="754EB397" w14:textId="77777777" w:rsidR="00CE4035" w:rsidRPr="0068706C" w:rsidRDefault="00CE4035" w:rsidP="009B753C">
            <w:pPr>
              <w:autoSpaceDE w:val="0"/>
              <w:autoSpaceDN w:val="0"/>
              <w:adjustRightInd w:val="0"/>
            </w:pPr>
            <w:r w:rsidRPr="0068706C">
              <w:rPr>
                <w:iCs/>
              </w:rPr>
              <w:t>1175</w:t>
            </w:r>
          </w:p>
        </w:tc>
        <w:tc>
          <w:tcPr>
            <w:tcW w:w="1260" w:type="dxa"/>
          </w:tcPr>
          <w:p w14:paraId="674C8BBC" w14:textId="77777777" w:rsidR="00CE4035" w:rsidRPr="0068706C" w:rsidRDefault="00CE4035" w:rsidP="009B753C">
            <w:pPr>
              <w:autoSpaceDE w:val="0"/>
              <w:autoSpaceDN w:val="0"/>
              <w:adjustRightInd w:val="0"/>
            </w:pPr>
            <w:r w:rsidRPr="0068706C">
              <w:t>1187</w:t>
            </w:r>
          </w:p>
        </w:tc>
        <w:tc>
          <w:tcPr>
            <w:tcW w:w="1350" w:type="dxa"/>
          </w:tcPr>
          <w:p w14:paraId="7E998A14" w14:textId="77777777" w:rsidR="00CE4035" w:rsidRPr="0068706C" w:rsidRDefault="00CE4035" w:rsidP="009B753C">
            <w:pPr>
              <w:autoSpaceDE w:val="0"/>
              <w:autoSpaceDN w:val="0"/>
              <w:adjustRightInd w:val="0"/>
            </w:pPr>
            <w:r w:rsidRPr="0068706C">
              <w:t>1192</w:t>
            </w:r>
          </w:p>
        </w:tc>
      </w:tr>
      <w:tr w:rsidR="00CE4035" w:rsidRPr="0068706C" w14:paraId="0F88E2CE" w14:textId="77777777" w:rsidTr="0068706C">
        <w:tc>
          <w:tcPr>
            <w:tcW w:w="4585" w:type="dxa"/>
          </w:tcPr>
          <w:p w14:paraId="05ED3924" w14:textId="77777777" w:rsidR="00CE4035" w:rsidRPr="0068706C" w:rsidRDefault="00CE4035" w:rsidP="009B753C">
            <w:pPr>
              <w:autoSpaceDE w:val="0"/>
              <w:autoSpaceDN w:val="0"/>
              <w:adjustRightInd w:val="0"/>
            </w:pPr>
            <w:r w:rsidRPr="0068706C">
              <w:t>Arritshmëria në Testin e Maturës</w:t>
            </w:r>
          </w:p>
        </w:tc>
        <w:tc>
          <w:tcPr>
            <w:tcW w:w="1440" w:type="dxa"/>
          </w:tcPr>
          <w:p w14:paraId="78B5DAAA" w14:textId="77777777" w:rsidR="00CE4035" w:rsidRPr="0068706C" w:rsidRDefault="00CE4035" w:rsidP="009B753C">
            <w:pPr>
              <w:autoSpaceDE w:val="0"/>
              <w:autoSpaceDN w:val="0"/>
              <w:adjustRightInd w:val="0"/>
              <w:rPr>
                <w:iCs/>
              </w:rPr>
            </w:pPr>
            <w:r w:rsidRPr="0068706C">
              <w:t>60.9 % (2019)</w:t>
            </w:r>
          </w:p>
        </w:tc>
        <w:tc>
          <w:tcPr>
            <w:tcW w:w="1260" w:type="dxa"/>
          </w:tcPr>
          <w:p w14:paraId="73929B9F" w14:textId="77777777" w:rsidR="00CE4035" w:rsidRPr="0068706C" w:rsidRDefault="00CE4035" w:rsidP="009B753C">
            <w:pPr>
              <w:autoSpaceDE w:val="0"/>
              <w:autoSpaceDN w:val="0"/>
              <w:adjustRightInd w:val="0"/>
            </w:pPr>
            <w:r w:rsidRPr="0068706C">
              <w:t>63,0</w:t>
            </w:r>
          </w:p>
        </w:tc>
        <w:tc>
          <w:tcPr>
            <w:tcW w:w="1350" w:type="dxa"/>
          </w:tcPr>
          <w:p w14:paraId="5A692A4E" w14:textId="77777777" w:rsidR="00CE4035" w:rsidRPr="0068706C" w:rsidRDefault="00CE4035" w:rsidP="009B753C">
            <w:pPr>
              <w:autoSpaceDE w:val="0"/>
              <w:autoSpaceDN w:val="0"/>
              <w:adjustRightInd w:val="0"/>
            </w:pPr>
            <w:r w:rsidRPr="0068706C">
              <w:t>65,0</w:t>
            </w:r>
          </w:p>
        </w:tc>
      </w:tr>
    </w:tbl>
    <w:p w14:paraId="1171C4F7" w14:textId="77777777" w:rsidR="00CE4035" w:rsidRPr="0068706C" w:rsidRDefault="00CE4035" w:rsidP="00CE4035">
      <w:pPr>
        <w:jc w:val="both"/>
        <w:rPr>
          <w:i/>
        </w:rPr>
      </w:pPr>
      <w:r w:rsidRPr="0068706C">
        <w:rPr>
          <w:i/>
        </w:rPr>
        <w:t xml:space="preserve">Arritja e këtyre treguesve është pjesërisht në ndërlidhje me treguesit e infrastrukturës së dixhitalizuar dhe gjithëpërfshirëse për arsimin parauniversitar të SZHQ 4 ‘Sigurimi i arsimit gjithëpërfshirës dhe me cilësi të barabartë dhe promovimi i mundësive për të mësuarit gjatë gjithë jetës’. </w:t>
      </w:r>
    </w:p>
    <w:p w14:paraId="549E002F" w14:textId="77777777" w:rsidR="00CE4035" w:rsidRPr="0068706C" w:rsidRDefault="00CE4035" w:rsidP="00CE4035">
      <w:pPr>
        <w:jc w:val="both"/>
        <w:rPr>
          <w:b/>
        </w:rPr>
      </w:pPr>
    </w:p>
    <w:p w14:paraId="4C79FDB7" w14:textId="7EE2BD0F" w:rsidR="00CE4035" w:rsidRDefault="00CE4035" w:rsidP="00CE4035">
      <w:pPr>
        <w:jc w:val="both"/>
      </w:pPr>
      <w:r w:rsidRPr="0068706C">
        <w:rPr>
          <w:b/>
        </w:rPr>
        <w:t xml:space="preserve">Ndikimi i pritur në konkurrueshmëri: </w:t>
      </w:r>
      <w:r w:rsidRPr="0068706C">
        <w:t>Kjo masë do të zvogëlojë hendekun e shkathtësive të fituara në arsim me kërkesat e tregut të punës.</w:t>
      </w:r>
    </w:p>
    <w:p w14:paraId="5B7BF577" w14:textId="77777777" w:rsidR="0068706C" w:rsidRPr="0068706C" w:rsidRDefault="0068706C" w:rsidP="00CE4035">
      <w:pPr>
        <w:jc w:val="both"/>
      </w:pPr>
    </w:p>
    <w:p w14:paraId="7F072BDF" w14:textId="037403B4" w:rsidR="00CE4035" w:rsidRDefault="00CE4035" w:rsidP="00CE4035">
      <w:pPr>
        <w:autoSpaceDE w:val="0"/>
        <w:autoSpaceDN w:val="0"/>
        <w:adjustRightInd w:val="0"/>
        <w:jc w:val="both"/>
        <w:rPr>
          <w:rFonts w:eastAsia="Calibri"/>
        </w:rPr>
      </w:pPr>
      <w:r w:rsidRPr="0068706C">
        <w:rPr>
          <w:b/>
          <w:bCs/>
        </w:rPr>
        <w:t xml:space="preserve">Vlerësimi i kostos së aktiviteteve dhe burimet e financimit:  </w:t>
      </w:r>
      <w:r w:rsidRPr="0068706C">
        <w:rPr>
          <w:rFonts w:eastAsia="Calibri"/>
        </w:rPr>
        <w:t>Kostoja e përgjithshme për zbatim të kësaj mase gjatë viteve 2021-2023 vlerësohet të jetë  17,431,500. Pjesa më e madhe e  kësaj shume do te jetë e orientuar drejt shpenzimeve kapitale për ndërtimin e shkollave te reja si dhe paisjen e kabineteve me mjetet më të reja teknologjike dhe dixhitalizimit të përmbajtjeve arsimore për përdorim në klasë dhe jashtë klase, të cilat do të financohen nga Buxheti i Kosovës në vlerë prej 5,500,000 Euro në vitin 2021, 4,100,000 Euro në vitin 2022 si dhe 7,500,000 Euro në vitin 2023.</w:t>
      </w:r>
    </w:p>
    <w:p w14:paraId="14BEC751" w14:textId="77777777" w:rsidR="0068706C" w:rsidRPr="0068706C" w:rsidRDefault="0068706C" w:rsidP="00CE4035">
      <w:pPr>
        <w:autoSpaceDE w:val="0"/>
        <w:autoSpaceDN w:val="0"/>
        <w:adjustRightInd w:val="0"/>
        <w:jc w:val="both"/>
        <w:rPr>
          <w:b/>
          <w:bCs/>
        </w:rPr>
      </w:pPr>
    </w:p>
    <w:p w14:paraId="512AF469" w14:textId="4E9F083A" w:rsidR="00CE4035" w:rsidRDefault="00CE4035" w:rsidP="00CE4035">
      <w:pPr>
        <w:autoSpaceDE w:val="0"/>
        <w:autoSpaceDN w:val="0"/>
        <w:adjustRightInd w:val="0"/>
        <w:jc w:val="both"/>
        <w:rPr>
          <w:rFonts w:eastAsia="Calibri"/>
        </w:rPr>
      </w:pPr>
      <w:r w:rsidRPr="0068706C">
        <w:rPr>
          <w:rFonts w:eastAsia="Calibri"/>
          <w:b/>
          <w:bCs/>
        </w:rPr>
        <w:t xml:space="preserve">Ndikimet e pritshme mbi rezultatet sociale, të tilla si punësimi, reduktimi i varfërisë, barazia gjinore: </w:t>
      </w:r>
      <w:r w:rsidRPr="0068706C">
        <w:rPr>
          <w:rFonts w:eastAsia="Calibri"/>
        </w:rPr>
        <w:t>Kjo masë rrit mundësitë për avancimin e mësimdhënësve dhe stafit të institucioneve arsimore pa dallime gjinore punësim dhe cilësinë e zbatimit të reformës në sistemit arsimor. Gjithashtu ndihmon në parandalimin e varfërisë, mbrojtjen e fëmijëve nga puna eksploatuese, dhe për integrimin e personave me aftësi të kufizuara në shoqëri, minimizimin e pabarazive në shoqëri, luftimin e diskriminimit, shmangien e margjinalizimit dhe të përjashtimit, si dhe sigurimin e mirëqenies për të gjithë pjesëtarët e shoqërisë.</w:t>
      </w:r>
    </w:p>
    <w:p w14:paraId="460B7B4D" w14:textId="77777777" w:rsidR="0068706C" w:rsidRPr="0068706C" w:rsidRDefault="0068706C" w:rsidP="00CE4035">
      <w:pPr>
        <w:autoSpaceDE w:val="0"/>
        <w:autoSpaceDN w:val="0"/>
        <w:adjustRightInd w:val="0"/>
        <w:jc w:val="both"/>
        <w:rPr>
          <w:rFonts w:eastAsia="Calibri"/>
        </w:rPr>
      </w:pPr>
    </w:p>
    <w:p w14:paraId="77EF3748" w14:textId="684FFAA3" w:rsidR="00CE4035" w:rsidRDefault="00CE4035" w:rsidP="00CE4035">
      <w:pPr>
        <w:autoSpaceDE w:val="0"/>
        <w:autoSpaceDN w:val="0"/>
        <w:adjustRightInd w:val="0"/>
        <w:jc w:val="both"/>
        <w:rPr>
          <w:rFonts w:eastAsia="Calibri"/>
        </w:rPr>
      </w:pPr>
      <w:r w:rsidRPr="0068706C">
        <w:rPr>
          <w:rFonts w:eastAsia="Calibri"/>
          <w:b/>
          <w:bCs/>
        </w:rPr>
        <w:t xml:space="preserve">Ndikimi pritshëm në punësim dhe çështje gjinore: </w:t>
      </w:r>
      <w:r w:rsidRPr="0068706C">
        <w:rPr>
          <w:rFonts w:eastAsia="Calibri"/>
        </w:rPr>
        <w:t>Kjo masë rrit mundësitë për avancimin e mësimdhënësve dhe stafit të institucioneve arsimore pa dallime gjinore punësim dhe cilësinë e zbatimit të reformës në sistemit arsimor, i cili do të përmirësoj cilësinë e fuqisë punëtore. Gjithashtu ndihmon në parandalimin e varfërisë,  minimizimin e pabarazive në shoqëri, luftimin e diskriminimit, shmangien e margjinalizimit dhe të përjashtimit, si dhe sigurimin e mirëqenies për të gjithë pjesëtarët e shoqërisë.</w:t>
      </w:r>
    </w:p>
    <w:p w14:paraId="5F4F2770" w14:textId="77777777" w:rsidR="0068706C" w:rsidRPr="0068706C" w:rsidRDefault="0068706C" w:rsidP="00CE4035">
      <w:pPr>
        <w:autoSpaceDE w:val="0"/>
        <w:autoSpaceDN w:val="0"/>
        <w:adjustRightInd w:val="0"/>
        <w:jc w:val="both"/>
        <w:rPr>
          <w:rFonts w:eastAsia="Calibri"/>
        </w:rPr>
      </w:pPr>
    </w:p>
    <w:p w14:paraId="2F28CEE0" w14:textId="3B204C0A" w:rsidR="00CE4035" w:rsidRDefault="00CE4035" w:rsidP="00CE4035">
      <w:pPr>
        <w:shd w:val="clear" w:color="auto" w:fill="FFFFFF"/>
        <w:autoSpaceDE w:val="0"/>
        <w:autoSpaceDN w:val="0"/>
        <w:adjustRightInd w:val="0"/>
        <w:jc w:val="both"/>
      </w:pPr>
      <w:r w:rsidRPr="0068706C">
        <w:rPr>
          <w:b/>
          <w:bCs/>
        </w:rPr>
        <w:t xml:space="preserve">Ndikimi i pritshëm në mjedis: </w:t>
      </w:r>
      <w:r w:rsidRPr="0068706C">
        <w:t>Kjo masë është neutrale ndaj ndikimit në mjedis.</w:t>
      </w:r>
    </w:p>
    <w:p w14:paraId="6111F193" w14:textId="77777777" w:rsidR="0068706C" w:rsidRPr="0068706C" w:rsidRDefault="0068706C" w:rsidP="00CE4035">
      <w:pPr>
        <w:shd w:val="clear" w:color="auto" w:fill="FFFFFF"/>
        <w:autoSpaceDE w:val="0"/>
        <w:autoSpaceDN w:val="0"/>
        <w:adjustRightInd w:val="0"/>
        <w:jc w:val="both"/>
        <w:rPr>
          <w:rFonts w:eastAsia="Calibri"/>
        </w:rPr>
      </w:pPr>
    </w:p>
    <w:p w14:paraId="4B953BD2" w14:textId="77777777" w:rsidR="00CE4035" w:rsidRPr="0068706C" w:rsidRDefault="00CE4035" w:rsidP="00CE4035">
      <w:pPr>
        <w:autoSpaceDE w:val="0"/>
        <w:autoSpaceDN w:val="0"/>
        <w:adjustRightInd w:val="0"/>
        <w:jc w:val="both"/>
        <w:rPr>
          <w:rFonts w:eastAsia="Calibri"/>
        </w:rPr>
      </w:pPr>
      <w:r w:rsidRPr="0068706C">
        <w:rPr>
          <w:rFonts w:eastAsia="Calibri"/>
          <w:b/>
          <w:bCs/>
        </w:rPr>
        <w:t xml:space="preserve">Rreziqet e mundshme: </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5"/>
        <w:gridCol w:w="1646"/>
        <w:gridCol w:w="3124"/>
      </w:tblGrid>
      <w:tr w:rsidR="00CE4035" w:rsidRPr="0068706C" w14:paraId="6F8F1B08" w14:textId="77777777" w:rsidTr="0068706C">
        <w:tc>
          <w:tcPr>
            <w:tcW w:w="3865" w:type="dxa"/>
            <w:tcBorders>
              <w:top w:val="single" w:sz="4" w:space="0" w:color="auto"/>
              <w:left w:val="single" w:sz="4" w:space="0" w:color="auto"/>
              <w:bottom w:val="single" w:sz="4" w:space="0" w:color="auto"/>
              <w:right w:val="single" w:sz="4" w:space="0" w:color="auto"/>
            </w:tcBorders>
          </w:tcPr>
          <w:p w14:paraId="3724B5F7" w14:textId="77777777" w:rsidR="00CE4035" w:rsidRPr="0068706C" w:rsidRDefault="00CE4035" w:rsidP="009B753C">
            <w:pPr>
              <w:autoSpaceDE w:val="0"/>
              <w:autoSpaceDN w:val="0"/>
              <w:adjustRightInd w:val="0"/>
              <w:jc w:val="both"/>
            </w:pPr>
            <w:r w:rsidRPr="0068706C">
              <w:rPr>
                <w:b/>
                <w:bCs/>
              </w:rPr>
              <w:t xml:space="preserve">Rreziku </w:t>
            </w:r>
          </w:p>
        </w:tc>
        <w:tc>
          <w:tcPr>
            <w:tcW w:w="1646" w:type="dxa"/>
            <w:tcBorders>
              <w:top w:val="single" w:sz="4" w:space="0" w:color="auto"/>
              <w:left w:val="single" w:sz="4" w:space="0" w:color="auto"/>
              <w:bottom w:val="single" w:sz="4" w:space="0" w:color="auto"/>
              <w:right w:val="single" w:sz="4" w:space="0" w:color="auto"/>
            </w:tcBorders>
            <w:hideMark/>
          </w:tcPr>
          <w:p w14:paraId="166593EF" w14:textId="77777777" w:rsidR="00CE4035" w:rsidRPr="0068706C" w:rsidRDefault="00CE4035" w:rsidP="009B753C">
            <w:pPr>
              <w:autoSpaceDE w:val="0"/>
              <w:autoSpaceDN w:val="0"/>
              <w:adjustRightInd w:val="0"/>
              <w:ind w:right="-122"/>
              <w:jc w:val="both"/>
            </w:pPr>
            <w:r w:rsidRPr="0068706C">
              <w:rPr>
                <w:b/>
                <w:bCs/>
              </w:rPr>
              <w:t xml:space="preserve">Probabiliteti </w:t>
            </w:r>
          </w:p>
        </w:tc>
        <w:tc>
          <w:tcPr>
            <w:tcW w:w="3124" w:type="dxa"/>
            <w:tcBorders>
              <w:top w:val="single" w:sz="4" w:space="0" w:color="auto"/>
              <w:left w:val="single" w:sz="4" w:space="0" w:color="auto"/>
              <w:bottom w:val="single" w:sz="4" w:space="0" w:color="auto"/>
              <w:right w:val="single" w:sz="4" w:space="0" w:color="auto"/>
            </w:tcBorders>
            <w:hideMark/>
          </w:tcPr>
          <w:p w14:paraId="51E8EB13" w14:textId="77777777" w:rsidR="00CE4035" w:rsidRPr="0068706C" w:rsidRDefault="00CE4035" w:rsidP="009B753C">
            <w:pPr>
              <w:autoSpaceDE w:val="0"/>
              <w:autoSpaceDN w:val="0"/>
              <w:adjustRightInd w:val="0"/>
              <w:jc w:val="both"/>
            </w:pPr>
            <w:r w:rsidRPr="0068706C">
              <w:rPr>
                <w:b/>
                <w:bCs/>
              </w:rPr>
              <w:t xml:space="preserve">Veprimi lehtësues i planifikuar </w:t>
            </w:r>
          </w:p>
        </w:tc>
      </w:tr>
      <w:tr w:rsidR="00CE4035" w:rsidRPr="0068706C" w14:paraId="3D7A625A" w14:textId="77777777" w:rsidTr="0068706C">
        <w:trPr>
          <w:trHeight w:val="1250"/>
        </w:trPr>
        <w:tc>
          <w:tcPr>
            <w:tcW w:w="3865" w:type="dxa"/>
            <w:tcBorders>
              <w:top w:val="single" w:sz="4" w:space="0" w:color="auto"/>
              <w:left w:val="single" w:sz="4" w:space="0" w:color="auto"/>
              <w:bottom w:val="single" w:sz="4" w:space="0" w:color="auto"/>
              <w:right w:val="single" w:sz="4" w:space="0" w:color="auto"/>
            </w:tcBorders>
          </w:tcPr>
          <w:p w14:paraId="600CE7A8" w14:textId="77777777" w:rsidR="00CE4035" w:rsidRPr="0068706C" w:rsidRDefault="00CE4035" w:rsidP="009B753C">
            <w:pPr>
              <w:autoSpaceDE w:val="0"/>
              <w:autoSpaceDN w:val="0"/>
              <w:adjustRightInd w:val="0"/>
              <w:jc w:val="both"/>
            </w:pPr>
            <w:r w:rsidRPr="0068706C">
              <w:t>Mos-mobilizimi i mekanizmave për Zbatim të Kurrikulës si MASH, DKA, Shkollë, Prind edhe në kushte pandemie.</w:t>
            </w:r>
          </w:p>
        </w:tc>
        <w:tc>
          <w:tcPr>
            <w:tcW w:w="1646" w:type="dxa"/>
            <w:tcBorders>
              <w:top w:val="single" w:sz="4" w:space="0" w:color="auto"/>
              <w:left w:val="single" w:sz="4" w:space="0" w:color="auto"/>
              <w:bottom w:val="single" w:sz="4" w:space="0" w:color="auto"/>
              <w:right w:val="single" w:sz="4" w:space="0" w:color="auto"/>
            </w:tcBorders>
            <w:hideMark/>
          </w:tcPr>
          <w:p w14:paraId="6A200BA5" w14:textId="77777777" w:rsidR="00CE4035" w:rsidRPr="0068706C" w:rsidRDefault="00CE4035" w:rsidP="009B753C">
            <w:pPr>
              <w:autoSpaceDE w:val="0"/>
              <w:autoSpaceDN w:val="0"/>
              <w:adjustRightInd w:val="0"/>
              <w:jc w:val="both"/>
            </w:pPr>
            <w:r w:rsidRPr="0068706C">
              <w:t xml:space="preserve">Mesatar </w:t>
            </w:r>
          </w:p>
        </w:tc>
        <w:tc>
          <w:tcPr>
            <w:tcW w:w="3124" w:type="dxa"/>
            <w:tcBorders>
              <w:top w:val="single" w:sz="4" w:space="0" w:color="auto"/>
              <w:left w:val="single" w:sz="4" w:space="0" w:color="auto"/>
              <w:bottom w:val="single" w:sz="4" w:space="0" w:color="auto"/>
              <w:right w:val="single" w:sz="4" w:space="0" w:color="auto"/>
            </w:tcBorders>
            <w:hideMark/>
          </w:tcPr>
          <w:p w14:paraId="6A6B9D31" w14:textId="77777777" w:rsidR="00CE4035" w:rsidRPr="0068706C" w:rsidRDefault="00CE4035" w:rsidP="009B753C">
            <w:pPr>
              <w:autoSpaceDE w:val="0"/>
              <w:autoSpaceDN w:val="0"/>
              <w:adjustRightInd w:val="0"/>
              <w:jc w:val="both"/>
            </w:pPr>
            <w:r w:rsidRPr="0068706C">
              <w:t>Implementimi dhe monitorimi i master planit për mësim në kushte pandemie</w:t>
            </w:r>
          </w:p>
        </w:tc>
      </w:tr>
      <w:tr w:rsidR="00CE4035" w:rsidRPr="0068706C" w14:paraId="3E340C28" w14:textId="77777777" w:rsidTr="0068706C">
        <w:tc>
          <w:tcPr>
            <w:tcW w:w="3865" w:type="dxa"/>
            <w:tcBorders>
              <w:top w:val="single" w:sz="4" w:space="0" w:color="auto"/>
              <w:left w:val="single" w:sz="4" w:space="0" w:color="auto"/>
              <w:bottom w:val="single" w:sz="4" w:space="0" w:color="auto"/>
              <w:right w:val="single" w:sz="4" w:space="0" w:color="auto"/>
            </w:tcBorders>
            <w:hideMark/>
          </w:tcPr>
          <w:p w14:paraId="1B1BF2B6" w14:textId="77777777" w:rsidR="00CE4035" w:rsidRPr="0068706C" w:rsidRDefault="00CE4035" w:rsidP="009B753C">
            <w:pPr>
              <w:autoSpaceDE w:val="0"/>
              <w:autoSpaceDN w:val="0"/>
              <w:adjustRightInd w:val="0"/>
              <w:jc w:val="both"/>
            </w:pPr>
            <w:r w:rsidRPr="0068706C">
              <w:t xml:space="preserve">Ngecjet në zbatimin e kurrikulave </w:t>
            </w:r>
          </w:p>
        </w:tc>
        <w:tc>
          <w:tcPr>
            <w:tcW w:w="1646" w:type="dxa"/>
            <w:tcBorders>
              <w:top w:val="single" w:sz="4" w:space="0" w:color="auto"/>
              <w:left w:val="single" w:sz="4" w:space="0" w:color="auto"/>
              <w:bottom w:val="single" w:sz="4" w:space="0" w:color="auto"/>
              <w:right w:val="single" w:sz="4" w:space="0" w:color="auto"/>
            </w:tcBorders>
            <w:hideMark/>
          </w:tcPr>
          <w:p w14:paraId="1A3AE5B2" w14:textId="77777777" w:rsidR="00CE4035" w:rsidRPr="0068706C" w:rsidRDefault="00CE4035" w:rsidP="009B753C">
            <w:pPr>
              <w:autoSpaceDE w:val="0"/>
              <w:autoSpaceDN w:val="0"/>
              <w:adjustRightInd w:val="0"/>
              <w:jc w:val="both"/>
            </w:pPr>
            <w:r w:rsidRPr="0068706C">
              <w:t>Mesatar</w:t>
            </w:r>
          </w:p>
        </w:tc>
        <w:tc>
          <w:tcPr>
            <w:tcW w:w="3124" w:type="dxa"/>
            <w:tcBorders>
              <w:top w:val="single" w:sz="4" w:space="0" w:color="auto"/>
              <w:left w:val="single" w:sz="4" w:space="0" w:color="auto"/>
              <w:bottom w:val="single" w:sz="4" w:space="0" w:color="auto"/>
              <w:right w:val="single" w:sz="4" w:space="0" w:color="auto"/>
            </w:tcBorders>
            <w:hideMark/>
          </w:tcPr>
          <w:p w14:paraId="608A8C45" w14:textId="77777777" w:rsidR="00CE4035" w:rsidRPr="0068706C" w:rsidRDefault="00CE4035" w:rsidP="009B753C">
            <w:pPr>
              <w:autoSpaceDE w:val="0"/>
              <w:autoSpaceDN w:val="0"/>
              <w:adjustRightInd w:val="0"/>
              <w:jc w:val="both"/>
            </w:pPr>
            <w:r w:rsidRPr="0068706C">
              <w:t>Planifikimi dhe realizimi i standardizuar i njësive mësimore për të gjithë nxënësit e Kosovës në kushte pandemie</w:t>
            </w:r>
          </w:p>
        </w:tc>
      </w:tr>
      <w:tr w:rsidR="00CE4035" w:rsidRPr="0068706C" w14:paraId="68BEA65C" w14:textId="77777777" w:rsidTr="0068706C">
        <w:tc>
          <w:tcPr>
            <w:tcW w:w="3865" w:type="dxa"/>
            <w:tcBorders>
              <w:top w:val="single" w:sz="4" w:space="0" w:color="auto"/>
              <w:left w:val="single" w:sz="4" w:space="0" w:color="auto"/>
              <w:bottom w:val="single" w:sz="4" w:space="0" w:color="auto"/>
              <w:right w:val="single" w:sz="4" w:space="0" w:color="auto"/>
            </w:tcBorders>
            <w:hideMark/>
          </w:tcPr>
          <w:p w14:paraId="6DC3333E" w14:textId="77777777" w:rsidR="00CE4035" w:rsidRPr="0068706C" w:rsidRDefault="00CE4035" w:rsidP="009B753C">
            <w:pPr>
              <w:autoSpaceDE w:val="0"/>
              <w:autoSpaceDN w:val="0"/>
              <w:adjustRightInd w:val="0"/>
              <w:jc w:val="both"/>
            </w:pPr>
            <w:r w:rsidRPr="0068706C">
              <w:t>Trajnimi i mësimdhënësve sipas kërkesave të udhëzuesit per realizimin  e mësimit ne kushte pandemie</w:t>
            </w:r>
          </w:p>
        </w:tc>
        <w:tc>
          <w:tcPr>
            <w:tcW w:w="1646" w:type="dxa"/>
            <w:tcBorders>
              <w:top w:val="single" w:sz="4" w:space="0" w:color="auto"/>
              <w:left w:val="single" w:sz="4" w:space="0" w:color="auto"/>
              <w:bottom w:val="single" w:sz="4" w:space="0" w:color="auto"/>
              <w:right w:val="single" w:sz="4" w:space="0" w:color="auto"/>
            </w:tcBorders>
            <w:hideMark/>
          </w:tcPr>
          <w:p w14:paraId="7491D41F" w14:textId="77777777" w:rsidR="00CE4035" w:rsidRPr="0068706C" w:rsidRDefault="00CE4035" w:rsidP="009B753C">
            <w:pPr>
              <w:autoSpaceDE w:val="0"/>
              <w:autoSpaceDN w:val="0"/>
              <w:adjustRightInd w:val="0"/>
              <w:jc w:val="both"/>
            </w:pPr>
            <w:r w:rsidRPr="0068706C">
              <w:t xml:space="preserve">I ulët </w:t>
            </w:r>
          </w:p>
        </w:tc>
        <w:tc>
          <w:tcPr>
            <w:tcW w:w="3124" w:type="dxa"/>
            <w:tcBorders>
              <w:top w:val="single" w:sz="4" w:space="0" w:color="auto"/>
              <w:left w:val="single" w:sz="4" w:space="0" w:color="auto"/>
              <w:bottom w:val="single" w:sz="4" w:space="0" w:color="auto"/>
              <w:right w:val="single" w:sz="4" w:space="0" w:color="auto"/>
            </w:tcBorders>
            <w:hideMark/>
          </w:tcPr>
          <w:p w14:paraId="19839A2E" w14:textId="77777777" w:rsidR="00CE4035" w:rsidRPr="0068706C" w:rsidRDefault="00CE4035" w:rsidP="009B753C">
            <w:pPr>
              <w:autoSpaceDE w:val="0"/>
              <w:autoSpaceDN w:val="0"/>
              <w:adjustRightInd w:val="0"/>
              <w:jc w:val="both"/>
            </w:pPr>
            <w:r w:rsidRPr="0068706C">
              <w:t>Aftësimi i mësimdhënësve për përdorimin e platformave për realizimin e mësimit në distancë sipas skenarit B të udhëzuesit.</w:t>
            </w:r>
          </w:p>
        </w:tc>
      </w:tr>
    </w:tbl>
    <w:p w14:paraId="7500F47B" w14:textId="77777777" w:rsidR="00CE4035" w:rsidRPr="0068706C" w:rsidRDefault="00CE4035" w:rsidP="00CE4035"/>
    <w:p w14:paraId="40B00373" w14:textId="77777777" w:rsidR="00CE4035" w:rsidRPr="0068706C" w:rsidRDefault="00CE4035" w:rsidP="00CE4035">
      <w:pPr>
        <w:shd w:val="clear" w:color="auto" w:fill="9CC2E5" w:themeFill="accent1" w:themeFillTint="99"/>
        <w:jc w:val="both"/>
        <w:rPr>
          <w:b/>
          <w:iCs/>
        </w:rPr>
      </w:pPr>
      <w:r w:rsidRPr="0068706C">
        <w:rPr>
          <w:b/>
          <w:bCs/>
          <w:iCs/>
        </w:rPr>
        <w:t xml:space="preserve">Masa e reformës 19#: </w:t>
      </w:r>
      <w:r w:rsidRPr="0068706C">
        <w:rPr>
          <w:b/>
          <w:iCs/>
        </w:rPr>
        <w:t>Ngritja dhe sigurimi i cilësisë në arsimin e lartë përmes fuqizimit të AKA dhe profilizimin e institucioneve të arsimit të lartë</w:t>
      </w:r>
    </w:p>
    <w:p w14:paraId="3B813ADA" w14:textId="61255C78" w:rsidR="00CE4035" w:rsidRDefault="00CE4035" w:rsidP="00CE4035">
      <w:pPr>
        <w:jc w:val="both"/>
      </w:pPr>
      <w:r w:rsidRPr="0068706C">
        <w:rPr>
          <w:b/>
          <w:iCs/>
        </w:rPr>
        <w:t xml:space="preserve">Përshkrimi i masës: </w:t>
      </w:r>
      <w:r w:rsidRPr="0068706C">
        <w:rPr>
          <w:iCs/>
        </w:rPr>
        <w:t>Masa vijon nga PRE i vitit të kaluar dhe synon ngritjen e cilësisë së arsimit të lartë përmes përmirësimit të legjislacionit dhe ngritjes së kapacitetit të mekanizmave që sigurojnë cilësinë e ofruar nga institucionet e arsimit të lartë (IAL). Është hartuar Projektligji për Arsimin e Lartë por nuk është miratuar në Kuvend si dhe p</w:t>
      </w:r>
      <w:r w:rsidRPr="0068706C">
        <w:t xml:space="preserve">rojektligji për AKA ende nuk është miratuar për shkak të ndryshimeve politike që ndodhën gjatë vitit 2020 dhe si pasojë e kësaj nuk është bërë as rekrutimi i zyrtarëve në AKA. </w:t>
      </w:r>
      <w:r w:rsidRPr="0068706C">
        <w:rPr>
          <w:iCs/>
        </w:rPr>
        <w:t xml:space="preserve">Pas përjashtimit të AKA nga ENQA, është zhvilluar vlerësimi i jashtëm nga kjo e fundit, e cila në shtator 2019 ka njoftuar se nuk ka miratuar anëtarësimin e AKA-së në këtë institucion. Tani AKA është duke zhvilluar një plan të veprimit për këtë çështje dhe në fund të viti 2021 do të  bëhet kërkesa zyrtare për anëtarësim. </w:t>
      </w:r>
      <w:r w:rsidRPr="0068706C">
        <w:t xml:space="preserve">Po ashtu ende nuk është rishikuar udhëzimi administrativ </w:t>
      </w:r>
      <w:r w:rsidRPr="0068706C">
        <w:rPr>
          <w:bCs/>
          <w:iCs/>
        </w:rPr>
        <w:t xml:space="preserve">për dhënien e bursave për studentët në fushat deficitare. është fituar projekti ERASMSMUS+STAND (Strengthening university autonomy and increasing accountability and transparency of Ëestern Balkans University), që  do të trajtojë autonominë e IAL, përfshirë edhe komponentin e financimit. </w:t>
      </w:r>
      <w:r w:rsidRPr="0068706C">
        <w:rPr>
          <w:iCs/>
        </w:rPr>
        <w:t xml:space="preserve">Masa mbështetet në Strategjisë Kombëtare të Zhvillimit (SKZH) dhe Planin Strategjik të Arsimit në Kosovë (PSAK). Kjo masë pjesërisht ndjek SZHQ 9 (Industria, Inovacioni dhe Infrastruktura) përmes investimeve në kapacitete dhe infrastrukturë kërkimore dhe shkencore. </w:t>
      </w:r>
      <w:r w:rsidRPr="0068706C">
        <w:t>Kjo masë pjesërisht ndërlidhet SZHQ 9 ‘ Ndërtimi i infrastrukturës adekuate, promovimi i industrializimit gjithëpërfshirës dhe të qëndrueshëm dhe nxitja e inovacionit’.</w:t>
      </w:r>
    </w:p>
    <w:p w14:paraId="71594ADF" w14:textId="77777777" w:rsidR="0068706C" w:rsidRPr="0068706C" w:rsidRDefault="0068706C" w:rsidP="00CE4035">
      <w:pPr>
        <w:jc w:val="both"/>
      </w:pPr>
    </w:p>
    <w:p w14:paraId="67BBA27F" w14:textId="77777777" w:rsidR="00CE4035" w:rsidRPr="0068706C" w:rsidRDefault="00CE4035" w:rsidP="00CE4035">
      <w:pPr>
        <w:autoSpaceDE w:val="0"/>
        <w:autoSpaceDN w:val="0"/>
        <w:adjustRightInd w:val="0"/>
        <w:jc w:val="both"/>
        <w:rPr>
          <w:b/>
        </w:rPr>
      </w:pPr>
      <w:r w:rsidRPr="0068706C">
        <w:rPr>
          <w:b/>
        </w:rPr>
        <w:t>a. Aktivitetet e planifikuara për 2021:</w:t>
      </w:r>
    </w:p>
    <w:p w14:paraId="2455D228" w14:textId="77777777" w:rsidR="00CE4035" w:rsidRPr="0068706C" w:rsidRDefault="00CE4035" w:rsidP="0068706C">
      <w:pPr>
        <w:pStyle w:val="ListParagraph"/>
        <w:numPr>
          <w:ilvl w:val="0"/>
          <w:numId w:val="59"/>
        </w:numPr>
        <w:autoSpaceDE w:val="0"/>
        <w:autoSpaceDN w:val="0"/>
        <w:adjustRightInd w:val="0"/>
        <w:spacing w:after="0" w:line="240" w:lineRule="auto"/>
        <w:jc w:val="both"/>
        <w:rPr>
          <w:rFonts w:ascii="Times New Roman" w:eastAsia="MS Mincho" w:hAnsi="Times New Roman"/>
          <w:bCs/>
          <w:iCs/>
          <w:sz w:val="24"/>
          <w:szCs w:val="24"/>
        </w:rPr>
      </w:pPr>
      <w:r w:rsidRPr="0068706C">
        <w:rPr>
          <w:rFonts w:ascii="Times New Roman" w:eastAsia="MS Mincho" w:hAnsi="Times New Roman"/>
          <w:bCs/>
          <w:iCs/>
          <w:sz w:val="24"/>
          <w:szCs w:val="24"/>
        </w:rPr>
        <w:t>Miratimi i Projektligjit për Agjencinë e Kosovës për Akreditim (MASH);</w:t>
      </w:r>
    </w:p>
    <w:p w14:paraId="0B6C1137" w14:textId="77777777" w:rsidR="00CE4035" w:rsidRPr="0068706C" w:rsidRDefault="00CE4035" w:rsidP="0068706C">
      <w:pPr>
        <w:pStyle w:val="ListParagraph"/>
        <w:numPr>
          <w:ilvl w:val="0"/>
          <w:numId w:val="59"/>
        </w:numPr>
        <w:autoSpaceDE w:val="0"/>
        <w:autoSpaceDN w:val="0"/>
        <w:adjustRightInd w:val="0"/>
        <w:spacing w:after="0" w:line="240" w:lineRule="auto"/>
        <w:jc w:val="both"/>
        <w:rPr>
          <w:rFonts w:ascii="Times New Roman" w:eastAsia="MS Mincho" w:hAnsi="Times New Roman"/>
          <w:bCs/>
          <w:iCs/>
          <w:sz w:val="24"/>
          <w:szCs w:val="24"/>
        </w:rPr>
      </w:pPr>
      <w:r w:rsidRPr="0068706C">
        <w:rPr>
          <w:rFonts w:ascii="Times New Roman" w:eastAsia="MS Mincho" w:hAnsi="Times New Roman"/>
          <w:bCs/>
          <w:iCs/>
          <w:sz w:val="24"/>
          <w:szCs w:val="24"/>
        </w:rPr>
        <w:t>Miratimi i Projektligjit për Arsimin e Lartë (MASH);</w:t>
      </w:r>
    </w:p>
    <w:p w14:paraId="4BDD25CC" w14:textId="77777777" w:rsidR="00CE4035" w:rsidRPr="0068706C" w:rsidRDefault="00CE4035" w:rsidP="0068706C">
      <w:pPr>
        <w:pStyle w:val="ListParagraph"/>
        <w:numPr>
          <w:ilvl w:val="0"/>
          <w:numId w:val="59"/>
        </w:numPr>
        <w:autoSpaceDE w:val="0"/>
        <w:autoSpaceDN w:val="0"/>
        <w:adjustRightInd w:val="0"/>
        <w:spacing w:after="0" w:line="240" w:lineRule="auto"/>
        <w:jc w:val="both"/>
        <w:rPr>
          <w:rFonts w:ascii="Times New Roman" w:eastAsia="MS Mincho" w:hAnsi="Times New Roman"/>
          <w:bCs/>
          <w:iCs/>
          <w:sz w:val="24"/>
          <w:szCs w:val="24"/>
        </w:rPr>
      </w:pPr>
      <w:r w:rsidRPr="0068706C">
        <w:rPr>
          <w:rFonts w:ascii="Times New Roman" w:eastAsia="MS Mincho" w:hAnsi="Times New Roman"/>
          <w:bCs/>
          <w:iCs/>
          <w:sz w:val="24"/>
          <w:szCs w:val="24"/>
        </w:rPr>
        <w:t>Plotësimi i personelit dhe fuqizimi i kapaciteteve të AKA-së përmes rekrutimit të 20 zyrtarëve të rinj (AKA/MASH);</w:t>
      </w:r>
    </w:p>
    <w:p w14:paraId="7DFFF380" w14:textId="77777777" w:rsidR="00CE4035" w:rsidRPr="0068706C" w:rsidRDefault="00CE4035" w:rsidP="0068706C">
      <w:pPr>
        <w:pStyle w:val="ListParagraph"/>
        <w:numPr>
          <w:ilvl w:val="0"/>
          <w:numId w:val="59"/>
        </w:numPr>
        <w:autoSpaceDE w:val="0"/>
        <w:autoSpaceDN w:val="0"/>
        <w:adjustRightInd w:val="0"/>
        <w:spacing w:after="0" w:line="240" w:lineRule="auto"/>
        <w:jc w:val="both"/>
        <w:rPr>
          <w:rFonts w:ascii="Times New Roman" w:eastAsia="MS Mincho" w:hAnsi="Times New Roman"/>
          <w:bCs/>
          <w:iCs/>
          <w:sz w:val="24"/>
          <w:szCs w:val="24"/>
        </w:rPr>
      </w:pPr>
      <w:r w:rsidRPr="0068706C">
        <w:rPr>
          <w:rFonts w:ascii="Times New Roman" w:eastAsia="MS Mincho" w:hAnsi="Times New Roman"/>
          <w:bCs/>
          <w:iCs/>
          <w:sz w:val="24"/>
          <w:szCs w:val="24"/>
        </w:rPr>
        <w:t>Themelimi i “Qendrës së kompetencës për lidhje me industrinë” në 2 fakultete të Universitetit të Prishtinës (MASH);</w:t>
      </w:r>
    </w:p>
    <w:p w14:paraId="5F2D6105" w14:textId="77777777" w:rsidR="00CE4035" w:rsidRPr="0068706C" w:rsidRDefault="00CE4035" w:rsidP="0068706C">
      <w:pPr>
        <w:pStyle w:val="ListParagraph"/>
        <w:numPr>
          <w:ilvl w:val="0"/>
          <w:numId w:val="59"/>
        </w:numPr>
        <w:autoSpaceDE w:val="0"/>
        <w:autoSpaceDN w:val="0"/>
        <w:adjustRightInd w:val="0"/>
        <w:spacing w:after="0" w:line="240" w:lineRule="auto"/>
        <w:jc w:val="both"/>
        <w:rPr>
          <w:rFonts w:ascii="Times New Roman" w:eastAsia="MS Mincho" w:hAnsi="Times New Roman"/>
          <w:bCs/>
          <w:iCs/>
          <w:sz w:val="24"/>
          <w:szCs w:val="24"/>
        </w:rPr>
      </w:pPr>
      <w:r w:rsidRPr="0068706C">
        <w:rPr>
          <w:rFonts w:ascii="Times New Roman" w:eastAsia="MS Mincho" w:hAnsi="Times New Roman"/>
          <w:bCs/>
          <w:iCs/>
          <w:sz w:val="24"/>
          <w:szCs w:val="24"/>
        </w:rPr>
        <w:t>Themelimi i Zyrave Kërkimore dhe planeve kërkimore në Universitetet Publike dhe mbështetja  e aksesit në platformat anti-plagjiaturë dhe bibliotekave elektronike.</w:t>
      </w:r>
    </w:p>
    <w:p w14:paraId="6AEFEFD4" w14:textId="77777777" w:rsidR="00CE4035" w:rsidRPr="0068706C" w:rsidRDefault="00CE4035" w:rsidP="00CE4035">
      <w:pPr>
        <w:pStyle w:val="ListParagraph"/>
        <w:autoSpaceDE w:val="0"/>
        <w:autoSpaceDN w:val="0"/>
        <w:adjustRightInd w:val="0"/>
        <w:ind w:left="360"/>
        <w:jc w:val="both"/>
        <w:rPr>
          <w:rFonts w:ascii="Times New Roman" w:eastAsia="MS Mincho" w:hAnsi="Times New Roman"/>
          <w:bCs/>
          <w:iCs/>
          <w:sz w:val="24"/>
          <w:szCs w:val="24"/>
        </w:rPr>
      </w:pPr>
      <w:r w:rsidRPr="0068706C">
        <w:rPr>
          <w:rFonts w:ascii="Times New Roman" w:eastAsia="MS Mincho" w:hAnsi="Times New Roman"/>
          <w:bCs/>
          <w:iCs/>
          <w:sz w:val="24"/>
          <w:szCs w:val="24"/>
        </w:rPr>
        <w:t xml:space="preserve"> </w:t>
      </w:r>
    </w:p>
    <w:p w14:paraId="11D09141" w14:textId="77777777" w:rsidR="00CE4035" w:rsidRPr="0068706C" w:rsidRDefault="00CE4035" w:rsidP="00CE4035">
      <w:pPr>
        <w:autoSpaceDE w:val="0"/>
        <w:autoSpaceDN w:val="0"/>
        <w:adjustRightInd w:val="0"/>
        <w:jc w:val="both"/>
        <w:rPr>
          <w:b/>
        </w:rPr>
      </w:pPr>
      <w:r w:rsidRPr="0068706C">
        <w:rPr>
          <w:b/>
        </w:rPr>
        <w:t xml:space="preserve">b. Aktivitetet e planifikuara për 2022: </w:t>
      </w:r>
    </w:p>
    <w:p w14:paraId="09611A32" w14:textId="77777777" w:rsidR="00CE4035" w:rsidRPr="0068706C" w:rsidRDefault="00CE4035" w:rsidP="0068706C">
      <w:pPr>
        <w:pStyle w:val="ListParagraph"/>
        <w:numPr>
          <w:ilvl w:val="0"/>
          <w:numId w:val="60"/>
        </w:numPr>
        <w:autoSpaceDE w:val="0"/>
        <w:autoSpaceDN w:val="0"/>
        <w:adjustRightInd w:val="0"/>
        <w:spacing w:after="0" w:line="240" w:lineRule="auto"/>
        <w:jc w:val="both"/>
        <w:rPr>
          <w:rFonts w:ascii="Times New Roman" w:eastAsia="MS Mincho" w:hAnsi="Times New Roman"/>
          <w:bCs/>
          <w:iCs/>
          <w:sz w:val="24"/>
          <w:szCs w:val="24"/>
        </w:rPr>
      </w:pPr>
      <w:r w:rsidRPr="0068706C">
        <w:rPr>
          <w:rFonts w:ascii="Times New Roman" w:eastAsia="MS Mincho" w:hAnsi="Times New Roman"/>
          <w:bCs/>
          <w:iCs/>
          <w:sz w:val="24"/>
          <w:szCs w:val="24"/>
        </w:rPr>
        <w:t xml:space="preserve">Adresimi i plotë i rekomandimeve të ENQA dhe përgatitja e aplikimit për ripranim në ENQA (MASH); </w:t>
      </w:r>
    </w:p>
    <w:p w14:paraId="6D36B0C0" w14:textId="77777777" w:rsidR="00CE4035" w:rsidRPr="0068706C" w:rsidRDefault="00CE4035" w:rsidP="0068706C">
      <w:pPr>
        <w:pStyle w:val="ListParagraph"/>
        <w:numPr>
          <w:ilvl w:val="0"/>
          <w:numId w:val="60"/>
        </w:numPr>
        <w:autoSpaceDE w:val="0"/>
        <w:autoSpaceDN w:val="0"/>
        <w:adjustRightInd w:val="0"/>
        <w:spacing w:after="0" w:line="240" w:lineRule="auto"/>
        <w:jc w:val="both"/>
        <w:rPr>
          <w:rFonts w:ascii="Times New Roman" w:eastAsia="MS Mincho" w:hAnsi="Times New Roman"/>
          <w:bCs/>
          <w:iCs/>
          <w:sz w:val="24"/>
          <w:szCs w:val="24"/>
        </w:rPr>
      </w:pPr>
      <w:r w:rsidRPr="0068706C">
        <w:rPr>
          <w:rFonts w:ascii="Times New Roman" w:eastAsia="MS Mincho" w:hAnsi="Times New Roman"/>
          <w:bCs/>
          <w:iCs/>
          <w:sz w:val="24"/>
          <w:szCs w:val="24"/>
        </w:rPr>
        <w:t>Përfshirja e 2 fakulteteve tjera të Universitetit të Prishtinës në rrjetin e “qendrës së kompetencës për lidhje me industrinë” (IAL/MASH);</w:t>
      </w:r>
    </w:p>
    <w:p w14:paraId="6627A59E" w14:textId="77777777" w:rsidR="00CE4035" w:rsidRPr="0068706C" w:rsidRDefault="00CE4035" w:rsidP="0068706C">
      <w:pPr>
        <w:pStyle w:val="ListParagraph"/>
        <w:numPr>
          <w:ilvl w:val="0"/>
          <w:numId w:val="60"/>
        </w:numPr>
        <w:autoSpaceDE w:val="0"/>
        <w:autoSpaceDN w:val="0"/>
        <w:adjustRightInd w:val="0"/>
        <w:spacing w:after="0" w:line="240" w:lineRule="auto"/>
        <w:jc w:val="both"/>
        <w:rPr>
          <w:rFonts w:ascii="Times New Roman" w:eastAsia="MS Mincho" w:hAnsi="Times New Roman"/>
          <w:bCs/>
          <w:iCs/>
          <w:sz w:val="24"/>
          <w:szCs w:val="24"/>
        </w:rPr>
      </w:pPr>
      <w:r w:rsidRPr="0068706C">
        <w:rPr>
          <w:rFonts w:ascii="Times New Roman" w:eastAsia="MS Mincho" w:hAnsi="Times New Roman"/>
          <w:bCs/>
          <w:iCs/>
          <w:sz w:val="24"/>
          <w:szCs w:val="24"/>
        </w:rPr>
        <w:t>Rishikimi i statuteve të Universiteteve Publike në forcim të autonomisë së tyre (MASH).</w:t>
      </w:r>
    </w:p>
    <w:p w14:paraId="1A097F95" w14:textId="77777777" w:rsidR="00CE4035" w:rsidRPr="0068706C" w:rsidRDefault="00CE4035" w:rsidP="00CE4035">
      <w:pPr>
        <w:pStyle w:val="ListParagraph"/>
        <w:autoSpaceDE w:val="0"/>
        <w:autoSpaceDN w:val="0"/>
        <w:adjustRightInd w:val="0"/>
        <w:ind w:left="360"/>
        <w:jc w:val="both"/>
        <w:rPr>
          <w:rFonts w:ascii="Times New Roman" w:eastAsia="MS Mincho" w:hAnsi="Times New Roman"/>
          <w:bCs/>
          <w:iCs/>
          <w:sz w:val="24"/>
          <w:szCs w:val="24"/>
        </w:rPr>
      </w:pPr>
    </w:p>
    <w:p w14:paraId="79704128" w14:textId="77777777" w:rsidR="00CE4035" w:rsidRPr="0068706C" w:rsidRDefault="00CE4035" w:rsidP="00CE4035">
      <w:pPr>
        <w:autoSpaceDE w:val="0"/>
        <w:autoSpaceDN w:val="0"/>
        <w:adjustRightInd w:val="0"/>
        <w:jc w:val="both"/>
        <w:rPr>
          <w:b/>
        </w:rPr>
      </w:pPr>
      <w:r w:rsidRPr="0068706C">
        <w:rPr>
          <w:b/>
        </w:rPr>
        <w:t xml:space="preserve">c. Aktivitetet e planifikuara për 2023: </w:t>
      </w:r>
    </w:p>
    <w:p w14:paraId="6280870D" w14:textId="77777777" w:rsidR="00CE4035" w:rsidRPr="0068706C" w:rsidRDefault="00CE4035" w:rsidP="0068706C">
      <w:pPr>
        <w:pStyle w:val="ListParagraph"/>
        <w:numPr>
          <w:ilvl w:val="0"/>
          <w:numId w:val="61"/>
        </w:numPr>
        <w:autoSpaceDE w:val="0"/>
        <w:autoSpaceDN w:val="0"/>
        <w:adjustRightInd w:val="0"/>
        <w:spacing w:after="0" w:line="240" w:lineRule="auto"/>
        <w:jc w:val="both"/>
        <w:rPr>
          <w:rFonts w:ascii="Times New Roman" w:eastAsia="MS Mincho" w:hAnsi="Times New Roman"/>
          <w:bCs/>
          <w:iCs/>
          <w:sz w:val="24"/>
          <w:szCs w:val="24"/>
        </w:rPr>
      </w:pPr>
      <w:r w:rsidRPr="0068706C">
        <w:rPr>
          <w:rFonts w:ascii="Times New Roman" w:eastAsia="MS Mincho" w:hAnsi="Times New Roman"/>
          <w:bCs/>
          <w:iCs/>
          <w:sz w:val="24"/>
          <w:szCs w:val="24"/>
        </w:rPr>
        <w:t>Përgatitja e raporteve të monitorimit nga AKA për të gjitha institucionet publike dhe private të arsimit të lartë (AKA/MASH);</w:t>
      </w:r>
    </w:p>
    <w:p w14:paraId="77C9F0BC" w14:textId="77777777" w:rsidR="00CE4035" w:rsidRPr="0068706C" w:rsidRDefault="00CE4035" w:rsidP="0068706C">
      <w:pPr>
        <w:pStyle w:val="ListParagraph"/>
        <w:numPr>
          <w:ilvl w:val="0"/>
          <w:numId w:val="61"/>
        </w:numPr>
        <w:autoSpaceDE w:val="0"/>
        <w:autoSpaceDN w:val="0"/>
        <w:adjustRightInd w:val="0"/>
        <w:spacing w:after="0" w:line="240" w:lineRule="auto"/>
        <w:jc w:val="both"/>
        <w:rPr>
          <w:rFonts w:ascii="Times New Roman" w:eastAsia="MS Mincho" w:hAnsi="Times New Roman"/>
          <w:bCs/>
          <w:iCs/>
          <w:sz w:val="24"/>
          <w:szCs w:val="24"/>
        </w:rPr>
      </w:pPr>
      <w:r w:rsidRPr="0068706C">
        <w:rPr>
          <w:rFonts w:ascii="Times New Roman" w:eastAsia="MS Mincho" w:hAnsi="Times New Roman"/>
          <w:bCs/>
          <w:iCs/>
          <w:sz w:val="24"/>
          <w:szCs w:val="24"/>
        </w:rPr>
        <w:t>Vlerësimi për anëtarësim të AKA nga EQUAR (AKA/MASH);</w:t>
      </w:r>
    </w:p>
    <w:p w14:paraId="19255589" w14:textId="77777777" w:rsidR="00CE4035" w:rsidRPr="0068706C" w:rsidRDefault="00CE4035" w:rsidP="0068706C">
      <w:pPr>
        <w:pStyle w:val="ListParagraph"/>
        <w:numPr>
          <w:ilvl w:val="0"/>
          <w:numId w:val="61"/>
        </w:numPr>
        <w:autoSpaceDE w:val="0"/>
        <w:autoSpaceDN w:val="0"/>
        <w:adjustRightInd w:val="0"/>
        <w:spacing w:after="0" w:line="240" w:lineRule="auto"/>
        <w:jc w:val="both"/>
        <w:rPr>
          <w:rFonts w:ascii="Times New Roman" w:eastAsia="MS Mincho" w:hAnsi="Times New Roman"/>
          <w:bCs/>
          <w:iCs/>
          <w:sz w:val="24"/>
          <w:szCs w:val="24"/>
        </w:rPr>
      </w:pPr>
      <w:r w:rsidRPr="0068706C">
        <w:rPr>
          <w:rFonts w:ascii="Times New Roman" w:eastAsia="MS Mincho" w:hAnsi="Times New Roman"/>
          <w:bCs/>
          <w:iCs/>
          <w:sz w:val="24"/>
          <w:szCs w:val="24"/>
        </w:rPr>
        <w:t>Përfshirja e 2 fakulteteve tjera të Universitetit të Prishtinës në rrjetin e “qendrës së kompetencës për lidhje me industrinë” (IAL/MASH);</w:t>
      </w:r>
    </w:p>
    <w:p w14:paraId="484F1859" w14:textId="77777777" w:rsidR="00CE4035" w:rsidRPr="0068706C" w:rsidRDefault="00CE4035" w:rsidP="0068706C">
      <w:pPr>
        <w:pStyle w:val="ListParagraph"/>
        <w:numPr>
          <w:ilvl w:val="0"/>
          <w:numId w:val="61"/>
        </w:numPr>
        <w:autoSpaceDE w:val="0"/>
        <w:autoSpaceDN w:val="0"/>
        <w:adjustRightInd w:val="0"/>
        <w:spacing w:after="0" w:line="240" w:lineRule="auto"/>
        <w:jc w:val="both"/>
        <w:rPr>
          <w:rFonts w:ascii="Times New Roman" w:eastAsia="MS Mincho" w:hAnsi="Times New Roman"/>
          <w:bCs/>
          <w:iCs/>
          <w:sz w:val="24"/>
          <w:szCs w:val="24"/>
        </w:rPr>
      </w:pPr>
      <w:r w:rsidRPr="0068706C">
        <w:rPr>
          <w:rFonts w:ascii="Times New Roman" w:eastAsia="MS Mincho" w:hAnsi="Times New Roman"/>
          <w:bCs/>
          <w:iCs/>
          <w:sz w:val="24"/>
          <w:szCs w:val="24"/>
        </w:rPr>
        <w:t>Themelimi i Platformës Kërkimore në Kosovë për hulumtuesit dhe publikimet shkencore (MASH);</w:t>
      </w:r>
    </w:p>
    <w:p w14:paraId="1D65F549" w14:textId="77777777" w:rsidR="00CE4035" w:rsidRPr="0068706C" w:rsidRDefault="00CE4035" w:rsidP="0068706C">
      <w:pPr>
        <w:pStyle w:val="ListParagraph"/>
        <w:numPr>
          <w:ilvl w:val="0"/>
          <w:numId w:val="61"/>
        </w:numPr>
        <w:autoSpaceDE w:val="0"/>
        <w:autoSpaceDN w:val="0"/>
        <w:adjustRightInd w:val="0"/>
        <w:spacing w:after="0" w:line="240" w:lineRule="auto"/>
        <w:jc w:val="both"/>
        <w:rPr>
          <w:rFonts w:ascii="Times New Roman" w:eastAsia="MS Mincho" w:hAnsi="Times New Roman"/>
          <w:bCs/>
          <w:iCs/>
          <w:sz w:val="24"/>
          <w:szCs w:val="24"/>
        </w:rPr>
      </w:pPr>
      <w:r w:rsidRPr="0068706C">
        <w:rPr>
          <w:rFonts w:ascii="Times New Roman" w:eastAsia="MS Mincho" w:hAnsi="Times New Roman"/>
          <w:bCs/>
          <w:iCs/>
          <w:sz w:val="24"/>
          <w:szCs w:val="24"/>
        </w:rPr>
        <w:t>Hartimi i rregulloreve të transparencës së stafit akademik në Universitetet Publike.</w:t>
      </w:r>
    </w:p>
    <w:p w14:paraId="6B7FBB06" w14:textId="77777777" w:rsidR="00CE4035" w:rsidRPr="0068706C" w:rsidRDefault="00CE4035" w:rsidP="00CE4035">
      <w:pPr>
        <w:pStyle w:val="ListParagraph"/>
        <w:autoSpaceDE w:val="0"/>
        <w:autoSpaceDN w:val="0"/>
        <w:adjustRightInd w:val="0"/>
        <w:ind w:left="360"/>
        <w:jc w:val="both"/>
        <w:rPr>
          <w:rFonts w:ascii="Times New Roman" w:eastAsia="MS Mincho" w:hAnsi="Times New Roman"/>
          <w:bCs/>
          <w:iCs/>
          <w:sz w:val="24"/>
          <w:szCs w:val="24"/>
        </w:rPr>
      </w:pPr>
    </w:p>
    <w:p w14:paraId="1E36B64A" w14:textId="77777777" w:rsidR="00CE4035" w:rsidRPr="0068706C" w:rsidRDefault="00CE4035" w:rsidP="00CE4035">
      <w:pPr>
        <w:pStyle w:val="Default"/>
        <w:jc w:val="both"/>
        <w:rPr>
          <w:rFonts w:ascii="Times New Roman" w:hAnsi="Times New Roman" w:cs="Times New Roman"/>
          <w:b/>
          <w:lang w:val="sq-AL"/>
        </w:rPr>
      </w:pPr>
      <w:r w:rsidRPr="0068706C">
        <w:rPr>
          <w:rFonts w:ascii="Times New Roman" w:hAnsi="Times New Roman" w:cs="Times New Roman"/>
          <w:b/>
          <w:lang w:val="sq-AL"/>
        </w:rPr>
        <w:t xml:space="preserve">Treguesit e Rezultateve: </w:t>
      </w:r>
    </w:p>
    <w:tbl>
      <w:tblPr>
        <w:tblpPr w:leftFromText="180" w:rightFromText="180" w:vertAnchor="text" w:horzAnchor="margin" w:tblpY="175"/>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5"/>
        <w:gridCol w:w="1170"/>
        <w:gridCol w:w="2074"/>
        <w:gridCol w:w="1616"/>
      </w:tblGrid>
      <w:tr w:rsidR="00CE4035" w:rsidRPr="0068706C" w14:paraId="27A9028F" w14:textId="77777777" w:rsidTr="009B753C">
        <w:trPr>
          <w:trHeight w:val="706"/>
        </w:trPr>
        <w:tc>
          <w:tcPr>
            <w:tcW w:w="4495" w:type="dxa"/>
            <w:tcBorders>
              <w:top w:val="single" w:sz="4" w:space="0" w:color="auto"/>
              <w:left w:val="single" w:sz="4" w:space="0" w:color="auto"/>
              <w:bottom w:val="single" w:sz="4" w:space="0" w:color="auto"/>
              <w:right w:val="single" w:sz="4" w:space="0" w:color="auto"/>
            </w:tcBorders>
          </w:tcPr>
          <w:p w14:paraId="33FBF7F2" w14:textId="77777777" w:rsidR="00CE4035" w:rsidRPr="0068706C" w:rsidRDefault="00CE4035" w:rsidP="009B753C">
            <w:pPr>
              <w:autoSpaceDE w:val="0"/>
              <w:autoSpaceDN w:val="0"/>
              <w:adjustRightInd w:val="0"/>
              <w:rPr>
                <w:b/>
              </w:rPr>
            </w:pPr>
            <w:r w:rsidRPr="0068706C">
              <w:rPr>
                <w:b/>
              </w:rPr>
              <w:t xml:space="preserve">Treguesi </w:t>
            </w:r>
          </w:p>
        </w:tc>
        <w:tc>
          <w:tcPr>
            <w:tcW w:w="1170" w:type="dxa"/>
            <w:tcBorders>
              <w:top w:val="single" w:sz="4" w:space="0" w:color="auto"/>
              <w:left w:val="single" w:sz="4" w:space="0" w:color="auto"/>
              <w:bottom w:val="single" w:sz="4" w:space="0" w:color="auto"/>
              <w:right w:val="single" w:sz="4" w:space="0" w:color="auto"/>
            </w:tcBorders>
            <w:hideMark/>
          </w:tcPr>
          <w:p w14:paraId="6463C831" w14:textId="77777777" w:rsidR="00CE4035" w:rsidRPr="0068706C" w:rsidRDefault="00CE4035" w:rsidP="009B753C">
            <w:pPr>
              <w:autoSpaceDE w:val="0"/>
              <w:autoSpaceDN w:val="0"/>
              <w:adjustRightInd w:val="0"/>
              <w:jc w:val="center"/>
              <w:rPr>
                <w:b/>
                <w:i/>
                <w:iCs/>
              </w:rPr>
            </w:pPr>
            <w:r w:rsidRPr="0068706C">
              <w:rPr>
                <w:b/>
              </w:rPr>
              <w:t>Viti bazë    2020</w:t>
            </w:r>
          </w:p>
        </w:tc>
        <w:tc>
          <w:tcPr>
            <w:tcW w:w="2074" w:type="dxa"/>
            <w:tcBorders>
              <w:top w:val="single" w:sz="4" w:space="0" w:color="auto"/>
              <w:left w:val="single" w:sz="4" w:space="0" w:color="auto"/>
              <w:bottom w:val="single" w:sz="4" w:space="0" w:color="auto"/>
              <w:right w:val="single" w:sz="4" w:space="0" w:color="auto"/>
            </w:tcBorders>
          </w:tcPr>
          <w:p w14:paraId="6303F25D" w14:textId="77777777" w:rsidR="00CE4035" w:rsidRPr="0068706C" w:rsidRDefault="00CE4035" w:rsidP="009B753C">
            <w:pPr>
              <w:autoSpaceDE w:val="0"/>
              <w:autoSpaceDN w:val="0"/>
              <w:adjustRightInd w:val="0"/>
              <w:jc w:val="center"/>
              <w:rPr>
                <w:b/>
              </w:rPr>
            </w:pPr>
            <w:r w:rsidRPr="0068706C">
              <w:rPr>
                <w:b/>
              </w:rPr>
              <w:t>Objektivi i ndërmjetëm 2022</w:t>
            </w:r>
          </w:p>
        </w:tc>
        <w:tc>
          <w:tcPr>
            <w:tcW w:w="1616" w:type="dxa"/>
            <w:tcBorders>
              <w:top w:val="single" w:sz="4" w:space="0" w:color="auto"/>
              <w:left w:val="single" w:sz="4" w:space="0" w:color="auto"/>
              <w:bottom w:val="single" w:sz="4" w:space="0" w:color="auto"/>
              <w:right w:val="single" w:sz="4" w:space="0" w:color="auto"/>
            </w:tcBorders>
          </w:tcPr>
          <w:p w14:paraId="2975CF93" w14:textId="77777777" w:rsidR="00CE4035" w:rsidRPr="0068706C" w:rsidRDefault="00CE4035" w:rsidP="009B753C">
            <w:pPr>
              <w:autoSpaceDE w:val="0"/>
              <w:autoSpaceDN w:val="0"/>
              <w:adjustRightInd w:val="0"/>
              <w:jc w:val="center"/>
              <w:rPr>
                <w:b/>
              </w:rPr>
            </w:pPr>
            <w:r w:rsidRPr="0068706C">
              <w:rPr>
                <w:b/>
              </w:rPr>
              <w:t>Objektivi 2022</w:t>
            </w:r>
          </w:p>
        </w:tc>
      </w:tr>
      <w:tr w:rsidR="00CE4035" w:rsidRPr="0068706C" w14:paraId="019F8C7D" w14:textId="77777777" w:rsidTr="009B753C">
        <w:tc>
          <w:tcPr>
            <w:tcW w:w="4495" w:type="dxa"/>
            <w:tcBorders>
              <w:top w:val="single" w:sz="4" w:space="0" w:color="auto"/>
              <w:left w:val="single" w:sz="4" w:space="0" w:color="auto"/>
              <w:bottom w:val="single" w:sz="4" w:space="0" w:color="auto"/>
              <w:right w:val="single" w:sz="4" w:space="0" w:color="auto"/>
            </w:tcBorders>
            <w:hideMark/>
          </w:tcPr>
          <w:p w14:paraId="19D3FEB8" w14:textId="77777777" w:rsidR="00CE4035" w:rsidRPr="0068706C" w:rsidRDefault="00CE4035" w:rsidP="009B753C">
            <w:pPr>
              <w:autoSpaceDE w:val="0"/>
              <w:autoSpaceDN w:val="0"/>
              <w:adjustRightInd w:val="0"/>
              <w:jc w:val="both"/>
            </w:pPr>
            <w:r w:rsidRPr="0068706C">
              <w:t>Numri i IAL-ve të monitoruara nga AKA</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4DF995B" w14:textId="77777777" w:rsidR="00CE4035" w:rsidRPr="0068706C" w:rsidRDefault="00CE4035" w:rsidP="009B753C">
            <w:pPr>
              <w:autoSpaceDE w:val="0"/>
              <w:autoSpaceDN w:val="0"/>
              <w:adjustRightInd w:val="0"/>
              <w:jc w:val="center"/>
            </w:pPr>
            <w:r w:rsidRPr="0068706C">
              <w:t>20</w:t>
            </w:r>
          </w:p>
        </w:tc>
        <w:tc>
          <w:tcPr>
            <w:tcW w:w="2074" w:type="dxa"/>
            <w:tcBorders>
              <w:top w:val="single" w:sz="4" w:space="0" w:color="auto"/>
              <w:left w:val="single" w:sz="4" w:space="0" w:color="auto"/>
              <w:bottom w:val="single" w:sz="4" w:space="0" w:color="auto"/>
              <w:right w:val="single" w:sz="4" w:space="0" w:color="auto"/>
            </w:tcBorders>
            <w:vAlign w:val="center"/>
            <w:hideMark/>
          </w:tcPr>
          <w:p w14:paraId="410B20F5" w14:textId="77777777" w:rsidR="00CE4035" w:rsidRPr="0068706C" w:rsidRDefault="00CE4035" w:rsidP="009B753C">
            <w:pPr>
              <w:autoSpaceDE w:val="0"/>
              <w:autoSpaceDN w:val="0"/>
              <w:adjustRightInd w:val="0"/>
              <w:jc w:val="center"/>
            </w:pPr>
            <w:r w:rsidRPr="0068706C">
              <w:t>10</w:t>
            </w:r>
          </w:p>
        </w:tc>
        <w:tc>
          <w:tcPr>
            <w:tcW w:w="1616" w:type="dxa"/>
            <w:tcBorders>
              <w:top w:val="single" w:sz="4" w:space="0" w:color="auto"/>
              <w:left w:val="single" w:sz="4" w:space="0" w:color="auto"/>
              <w:bottom w:val="single" w:sz="4" w:space="0" w:color="auto"/>
              <w:right w:val="single" w:sz="4" w:space="0" w:color="auto"/>
            </w:tcBorders>
            <w:vAlign w:val="center"/>
            <w:hideMark/>
          </w:tcPr>
          <w:p w14:paraId="62FC3C3B" w14:textId="77777777" w:rsidR="00CE4035" w:rsidRPr="0068706C" w:rsidRDefault="00CE4035" w:rsidP="009B753C">
            <w:pPr>
              <w:autoSpaceDE w:val="0"/>
              <w:autoSpaceDN w:val="0"/>
              <w:adjustRightInd w:val="0"/>
              <w:jc w:val="center"/>
            </w:pPr>
            <w:r w:rsidRPr="0068706C">
              <w:t>18</w:t>
            </w:r>
          </w:p>
        </w:tc>
      </w:tr>
      <w:tr w:rsidR="00CE4035" w:rsidRPr="0068706C" w14:paraId="3AC2AE17" w14:textId="77777777" w:rsidTr="009B753C">
        <w:tc>
          <w:tcPr>
            <w:tcW w:w="4495" w:type="dxa"/>
            <w:tcBorders>
              <w:top w:val="single" w:sz="4" w:space="0" w:color="auto"/>
              <w:left w:val="single" w:sz="4" w:space="0" w:color="auto"/>
              <w:bottom w:val="single" w:sz="4" w:space="0" w:color="auto"/>
              <w:right w:val="single" w:sz="4" w:space="0" w:color="auto"/>
            </w:tcBorders>
            <w:hideMark/>
          </w:tcPr>
          <w:p w14:paraId="60DD3DD9" w14:textId="77777777" w:rsidR="00CE4035" w:rsidRPr="0068706C" w:rsidRDefault="00CE4035" w:rsidP="009B753C">
            <w:pPr>
              <w:autoSpaceDE w:val="0"/>
              <w:autoSpaceDN w:val="0"/>
              <w:adjustRightInd w:val="0"/>
              <w:jc w:val="both"/>
            </w:pPr>
            <w:r w:rsidRPr="0068706C">
              <w:t>Numri i programeve të arsimit të lartë të rishikuara konform tregut të punës</w:t>
            </w:r>
          </w:p>
        </w:tc>
        <w:tc>
          <w:tcPr>
            <w:tcW w:w="1170" w:type="dxa"/>
            <w:tcBorders>
              <w:top w:val="single" w:sz="4" w:space="0" w:color="auto"/>
              <w:left w:val="single" w:sz="4" w:space="0" w:color="auto"/>
              <w:bottom w:val="single" w:sz="4" w:space="0" w:color="auto"/>
              <w:right w:val="single" w:sz="4" w:space="0" w:color="auto"/>
            </w:tcBorders>
            <w:vAlign w:val="center"/>
          </w:tcPr>
          <w:p w14:paraId="229A8EA5" w14:textId="77777777" w:rsidR="00CE4035" w:rsidRPr="0068706C" w:rsidRDefault="00CE4035" w:rsidP="009B753C">
            <w:pPr>
              <w:autoSpaceDE w:val="0"/>
              <w:autoSpaceDN w:val="0"/>
              <w:adjustRightInd w:val="0"/>
              <w:jc w:val="center"/>
            </w:pPr>
            <w:r w:rsidRPr="0068706C">
              <w:t>0</w:t>
            </w:r>
          </w:p>
        </w:tc>
        <w:tc>
          <w:tcPr>
            <w:tcW w:w="2074" w:type="dxa"/>
            <w:tcBorders>
              <w:top w:val="single" w:sz="4" w:space="0" w:color="auto"/>
              <w:left w:val="single" w:sz="4" w:space="0" w:color="auto"/>
              <w:bottom w:val="single" w:sz="4" w:space="0" w:color="auto"/>
              <w:right w:val="single" w:sz="4" w:space="0" w:color="auto"/>
            </w:tcBorders>
            <w:vAlign w:val="center"/>
          </w:tcPr>
          <w:p w14:paraId="1E5F0298" w14:textId="77777777" w:rsidR="00CE4035" w:rsidRPr="0068706C" w:rsidRDefault="00CE4035" w:rsidP="009B753C">
            <w:pPr>
              <w:autoSpaceDE w:val="0"/>
              <w:autoSpaceDN w:val="0"/>
              <w:adjustRightInd w:val="0"/>
              <w:jc w:val="center"/>
            </w:pPr>
            <w:r w:rsidRPr="0068706C">
              <w:t>2</w:t>
            </w:r>
          </w:p>
        </w:tc>
        <w:tc>
          <w:tcPr>
            <w:tcW w:w="1616" w:type="dxa"/>
            <w:tcBorders>
              <w:top w:val="single" w:sz="4" w:space="0" w:color="auto"/>
              <w:left w:val="single" w:sz="4" w:space="0" w:color="auto"/>
              <w:bottom w:val="single" w:sz="4" w:space="0" w:color="auto"/>
              <w:right w:val="single" w:sz="4" w:space="0" w:color="auto"/>
            </w:tcBorders>
            <w:vAlign w:val="center"/>
          </w:tcPr>
          <w:p w14:paraId="3DF352F7" w14:textId="77777777" w:rsidR="00CE4035" w:rsidRPr="0068706C" w:rsidRDefault="00CE4035" w:rsidP="009B753C">
            <w:pPr>
              <w:autoSpaceDE w:val="0"/>
              <w:autoSpaceDN w:val="0"/>
              <w:adjustRightInd w:val="0"/>
              <w:jc w:val="center"/>
            </w:pPr>
            <w:r w:rsidRPr="0068706C">
              <w:t>4</w:t>
            </w:r>
          </w:p>
        </w:tc>
      </w:tr>
    </w:tbl>
    <w:p w14:paraId="599D7275" w14:textId="77777777" w:rsidR="00CE4035" w:rsidRPr="0068706C" w:rsidRDefault="00CE4035" w:rsidP="00CE4035">
      <w:pPr>
        <w:pStyle w:val="Default"/>
        <w:jc w:val="both"/>
        <w:rPr>
          <w:rFonts w:ascii="Times New Roman" w:hAnsi="Times New Roman" w:cs="Times New Roman"/>
          <w:lang w:val="sq-AL"/>
        </w:rPr>
      </w:pPr>
      <w:r w:rsidRPr="0068706C">
        <w:rPr>
          <w:rFonts w:ascii="Times New Roman" w:hAnsi="Times New Roman" w:cs="Times New Roman"/>
          <w:i/>
          <w:lang w:val="sq-AL"/>
        </w:rPr>
        <w:t>Arritja e këtyre treguesve ndërlidhet pjesërisht me treguesit e SZHQ ‘Ndërtimi i infrastrukturës adekuate, promovimi i industrializimit gjithëpërfshirës dhe të qëndrueshëm dhe nxitja e inovacionit’</w:t>
      </w:r>
      <w:r w:rsidRPr="0068706C">
        <w:rPr>
          <w:rFonts w:ascii="Times New Roman" w:hAnsi="Times New Roman" w:cs="Times New Roman"/>
          <w:lang w:val="sq-AL"/>
        </w:rPr>
        <w:t>.</w:t>
      </w:r>
    </w:p>
    <w:p w14:paraId="083CE500" w14:textId="77777777" w:rsidR="00CE4035" w:rsidRPr="0068706C" w:rsidRDefault="00CE4035" w:rsidP="00CE4035">
      <w:pPr>
        <w:pStyle w:val="Default"/>
        <w:jc w:val="both"/>
        <w:rPr>
          <w:rFonts w:ascii="Times New Roman" w:hAnsi="Times New Roman" w:cs="Times New Roman"/>
          <w:b/>
          <w:bCs/>
          <w:lang w:val="sq-AL"/>
        </w:rPr>
      </w:pPr>
    </w:p>
    <w:p w14:paraId="2329D318" w14:textId="77777777" w:rsidR="00CE4035" w:rsidRPr="0068706C" w:rsidRDefault="00CE4035" w:rsidP="00CE4035">
      <w:pPr>
        <w:pStyle w:val="Default"/>
        <w:jc w:val="both"/>
        <w:rPr>
          <w:rFonts w:ascii="Times New Roman" w:hAnsi="Times New Roman" w:cs="Times New Roman"/>
          <w:b/>
          <w:bCs/>
          <w:i/>
          <w:iCs/>
          <w:lang w:val="sq-AL"/>
        </w:rPr>
      </w:pPr>
      <w:r w:rsidRPr="0068706C">
        <w:rPr>
          <w:rFonts w:ascii="Times New Roman" w:hAnsi="Times New Roman" w:cs="Times New Roman"/>
          <w:b/>
          <w:bCs/>
          <w:lang w:val="sq-AL"/>
        </w:rPr>
        <w:t xml:space="preserve">Ndikimi i pritur në konkurrueshmëri: </w:t>
      </w:r>
      <w:r w:rsidRPr="0068706C">
        <w:rPr>
          <w:rFonts w:ascii="Times New Roman" w:hAnsi="Times New Roman" w:cs="Times New Roman"/>
          <w:lang w:val="sq-AL"/>
        </w:rPr>
        <w:t xml:space="preserve">Fuqizimi i kapaciteteve dhe i sigurimi i autonomisë së Agjencisë së Kosovës për Akreditim pritet të instalojë zbatimin e praktikave evropiane të sigurimit të cilësisë në fushën e arsimit të lartë. Ndërkaq, mbështetja nga MASH në procesin e rishikimit të programeve në fushën e arsimit të lartë konform kërkesave të tregut pritet do adresojë hendekun mes shkathtësive në nevojë dhe kuadrove që aktualisht prodhohen nga sistemi i arsimit të lartë. </w:t>
      </w:r>
      <w:r w:rsidRPr="0068706C">
        <w:rPr>
          <w:rFonts w:ascii="Times New Roman" w:hAnsi="Times New Roman" w:cs="Times New Roman"/>
          <w:iCs/>
          <w:lang w:val="sq-AL"/>
        </w:rPr>
        <w:t>Ndikimi i pritur në konkurrueshmëri pritet përmes: uljes së normës së papunësisë, përmes përmirësimit të konkurreshmërisë së sektorit privat duke u bazuar në krijimin e shkathtësive relevante nga sektori i arsimit.</w:t>
      </w:r>
      <w:r w:rsidRPr="0068706C">
        <w:rPr>
          <w:rFonts w:ascii="Times New Roman" w:hAnsi="Times New Roman" w:cs="Times New Roman"/>
          <w:i/>
          <w:iCs/>
          <w:lang w:val="sq-AL"/>
        </w:rPr>
        <w:t xml:space="preserve"> </w:t>
      </w:r>
    </w:p>
    <w:p w14:paraId="16940C00" w14:textId="77777777" w:rsidR="00CE4035" w:rsidRPr="0068706C" w:rsidRDefault="00CE4035" w:rsidP="00CE4035">
      <w:pPr>
        <w:pStyle w:val="Default"/>
        <w:jc w:val="both"/>
        <w:rPr>
          <w:rFonts w:ascii="Times New Roman" w:hAnsi="Times New Roman" w:cs="Times New Roman"/>
          <w:b/>
          <w:bCs/>
          <w:lang w:val="sq-AL"/>
        </w:rPr>
      </w:pPr>
    </w:p>
    <w:p w14:paraId="489D0C07" w14:textId="77777777" w:rsidR="00CE4035" w:rsidRPr="0068706C" w:rsidRDefault="00CE4035" w:rsidP="00CE4035">
      <w:pPr>
        <w:pStyle w:val="Default"/>
        <w:jc w:val="both"/>
        <w:rPr>
          <w:rFonts w:ascii="Times New Roman" w:hAnsi="Times New Roman" w:cs="Times New Roman"/>
          <w:bCs/>
          <w:lang w:val="sq-AL"/>
        </w:rPr>
      </w:pPr>
      <w:r w:rsidRPr="0068706C">
        <w:rPr>
          <w:rFonts w:ascii="Times New Roman" w:hAnsi="Times New Roman" w:cs="Times New Roman"/>
          <w:b/>
          <w:bCs/>
          <w:lang w:val="sq-AL"/>
        </w:rPr>
        <w:t xml:space="preserve">Vlerësimi i kostos së aktiviteteve dhe burimet e financimit: </w:t>
      </w:r>
      <w:r w:rsidRPr="0068706C">
        <w:rPr>
          <w:rFonts w:ascii="Times New Roman" w:hAnsi="Times New Roman" w:cs="Times New Roman"/>
          <w:color w:val="auto"/>
          <w:lang w:val="sq-AL"/>
        </w:rPr>
        <w:t xml:space="preserve">Kostoja e përgjithshme për zbatim të kësaj mase gjatë viteve 2021-2023 nga kategoria e pagave si dhe kategoria e mallerave dhe shërbimeve vlerësohet të jetë  </w:t>
      </w:r>
      <w:r w:rsidRPr="0068706C">
        <w:rPr>
          <w:rFonts w:ascii="Times New Roman" w:hAnsi="Times New Roman" w:cs="Times New Roman"/>
          <w:b/>
          <w:color w:val="auto"/>
          <w:lang w:val="sq-AL"/>
        </w:rPr>
        <w:t>1,020,252.00€</w:t>
      </w:r>
      <w:r w:rsidRPr="0068706C">
        <w:rPr>
          <w:rFonts w:ascii="Times New Roman" w:hAnsi="Times New Roman" w:cs="Times New Roman"/>
          <w:color w:val="auto"/>
          <w:lang w:val="sq-AL"/>
        </w:rPr>
        <w:t xml:space="preserve">. Vlera totale për vitin 2021 është </w:t>
      </w:r>
      <w:r w:rsidRPr="0068706C">
        <w:rPr>
          <w:rFonts w:ascii="Times New Roman" w:hAnsi="Times New Roman" w:cs="Times New Roman"/>
          <w:b/>
          <w:color w:val="auto"/>
          <w:lang w:val="sq-AL"/>
        </w:rPr>
        <w:t xml:space="preserve">355,313.00 </w:t>
      </w:r>
      <w:r w:rsidRPr="0068706C">
        <w:rPr>
          <w:rFonts w:ascii="Times New Roman" w:hAnsi="Times New Roman" w:cs="Times New Roman"/>
          <w:b/>
          <w:bCs/>
          <w:lang w:val="sq-AL"/>
        </w:rPr>
        <w:t>€.</w:t>
      </w:r>
      <w:r w:rsidRPr="0068706C">
        <w:rPr>
          <w:rFonts w:ascii="Times New Roman" w:hAnsi="Times New Roman" w:cs="Times New Roman"/>
          <w:bCs/>
          <w:lang w:val="sq-AL"/>
        </w:rPr>
        <w:t xml:space="preserve"> Nga kjo vlerë do të financohen nga </w:t>
      </w:r>
      <w:r w:rsidRPr="0068706C">
        <w:rPr>
          <w:rFonts w:ascii="Times New Roman" w:hAnsi="Times New Roman" w:cs="Times New Roman"/>
          <w:color w:val="auto"/>
          <w:lang w:val="sq-AL"/>
        </w:rPr>
        <w:t xml:space="preserve">buxheti i Kosovës  315,313.00€, ndërsa nga donatoret do te financohen 40,000.00€.  Për vitin 2022 vlera totale është </w:t>
      </w:r>
      <w:r w:rsidRPr="0068706C">
        <w:rPr>
          <w:rFonts w:ascii="Times New Roman" w:hAnsi="Times New Roman" w:cs="Times New Roman"/>
          <w:b/>
          <w:color w:val="auto"/>
          <w:lang w:val="sq-AL"/>
        </w:rPr>
        <w:t xml:space="preserve">325,313.00 </w:t>
      </w:r>
      <w:r w:rsidRPr="0068706C">
        <w:rPr>
          <w:rFonts w:ascii="Times New Roman" w:hAnsi="Times New Roman" w:cs="Times New Roman"/>
          <w:b/>
          <w:bCs/>
          <w:lang w:val="sq-AL"/>
        </w:rPr>
        <w:t>€</w:t>
      </w:r>
      <w:r w:rsidRPr="0068706C">
        <w:rPr>
          <w:rFonts w:ascii="Times New Roman" w:hAnsi="Times New Roman" w:cs="Times New Roman"/>
          <w:b/>
          <w:color w:val="auto"/>
          <w:lang w:val="sq-AL"/>
        </w:rPr>
        <w:t>,</w:t>
      </w:r>
      <w:r w:rsidRPr="0068706C">
        <w:rPr>
          <w:rFonts w:ascii="Times New Roman" w:hAnsi="Times New Roman" w:cs="Times New Roman"/>
          <w:color w:val="auto"/>
          <w:lang w:val="sq-AL"/>
        </w:rPr>
        <w:t xml:space="preserve"> nga të cilat 295,313.00 </w:t>
      </w:r>
      <w:r w:rsidRPr="0068706C">
        <w:rPr>
          <w:rFonts w:ascii="Times New Roman" w:hAnsi="Times New Roman" w:cs="Times New Roman"/>
          <w:bCs/>
          <w:lang w:val="sq-AL"/>
        </w:rPr>
        <w:t>€</w:t>
      </w:r>
      <w:r w:rsidRPr="0068706C">
        <w:rPr>
          <w:rFonts w:ascii="Times New Roman" w:hAnsi="Times New Roman" w:cs="Times New Roman"/>
          <w:color w:val="auto"/>
          <w:lang w:val="sq-AL"/>
        </w:rPr>
        <w:t xml:space="preserve"> do te financohen nga buxheti i Kosovës, ndërsa 30,000.00€ pritet të financohen nga donatorët. Vlera totale për vitin 2023 është </w:t>
      </w:r>
      <w:r w:rsidRPr="0068706C">
        <w:rPr>
          <w:rFonts w:ascii="Times New Roman" w:hAnsi="Times New Roman" w:cs="Times New Roman"/>
          <w:b/>
          <w:color w:val="auto"/>
          <w:lang w:val="sq-AL"/>
        </w:rPr>
        <w:t>339,626.00 Euro</w:t>
      </w:r>
      <w:r w:rsidRPr="0068706C">
        <w:rPr>
          <w:rFonts w:ascii="Times New Roman" w:hAnsi="Times New Roman" w:cs="Times New Roman"/>
          <w:color w:val="auto"/>
          <w:lang w:val="sq-AL"/>
        </w:rPr>
        <w:t xml:space="preserve">, nga kjo vlere do te financohen nga buxheti i Kosovës 300,313.00 </w:t>
      </w:r>
      <w:r w:rsidRPr="0068706C">
        <w:rPr>
          <w:rFonts w:ascii="Times New Roman" w:hAnsi="Times New Roman" w:cs="Times New Roman"/>
          <w:bCs/>
          <w:lang w:val="sq-AL"/>
        </w:rPr>
        <w:t>€, ndërkaq nga donatoret 39,313.00€.</w:t>
      </w:r>
    </w:p>
    <w:p w14:paraId="4BE352F1" w14:textId="77777777" w:rsidR="00CE4035" w:rsidRPr="0068706C" w:rsidRDefault="00CE4035" w:rsidP="00CE4035">
      <w:pPr>
        <w:pStyle w:val="Default"/>
        <w:jc w:val="both"/>
        <w:rPr>
          <w:rFonts w:ascii="Times New Roman" w:hAnsi="Times New Roman" w:cs="Times New Roman"/>
          <w:bCs/>
          <w:lang w:val="sq-AL"/>
        </w:rPr>
      </w:pPr>
    </w:p>
    <w:p w14:paraId="6AF1BEB1" w14:textId="77777777" w:rsidR="00CE4035" w:rsidRPr="0068706C" w:rsidRDefault="00CE4035" w:rsidP="00CE4035">
      <w:pPr>
        <w:pStyle w:val="Default"/>
        <w:jc w:val="both"/>
        <w:rPr>
          <w:rFonts w:ascii="Times New Roman" w:hAnsi="Times New Roman" w:cs="Times New Roman"/>
          <w:lang w:val="sq-AL"/>
        </w:rPr>
      </w:pPr>
      <w:r w:rsidRPr="0068706C">
        <w:rPr>
          <w:rFonts w:ascii="Times New Roman" w:hAnsi="Times New Roman" w:cs="Times New Roman"/>
          <w:b/>
          <w:bCs/>
          <w:lang w:val="sq-AL"/>
        </w:rPr>
        <w:t xml:space="preserve">Ndikimet e pritshme mbi rezultatet sociale, të tilla si punësimi, reduktimi i varfërisë, barazia gjinore: </w:t>
      </w:r>
      <w:r w:rsidRPr="0068706C">
        <w:rPr>
          <w:rFonts w:ascii="Times New Roman" w:hAnsi="Times New Roman" w:cs="Times New Roman"/>
          <w:lang w:val="sq-AL"/>
        </w:rPr>
        <w:t xml:space="preserve">Masa synon përmirësimin e cilësisë së arsimit të lartë. Aktualisht, ekziston hendek i theksuar mes programeve të IAL-ve dhe nevojave të tregut të punës. Po ashtu, cilësia e programeve të arsimit të lartë nuk sigurohet mjaftueshëm përmes monitorimit rigoroz nga institucionet gjegjëse. Zbatimi i plotë i masës siguron thellimin e reformës në arsimin e lartë duke përmirësuar standardet e cilësisë së programeve të arsimit të lartë dhe të rritjes së përputhshmërisë me nevojat e tregut të punës dhe ekonomisë. Kësisoj, ndikimi pritet të jetë i konsiderueshëm sidomos në aspektin e ngritjes së punësimit dhe punësueshmërisë, marrë parasysh se mospërputhja e shkathtësive me tregun e punës është identifikuar si faktor kyç në mirëmbajtjen e papunësisë strukturore. Arritshmëria arsimore është faktor kyç në gjetjen e një vendi të punës. Tutje, marrë parasysh strukturën demografike në Kosovë, reforma pritet sidomos të ndikojë tek arsimimi i të rinjve, tek të cilët papunësia është në normë alarmante prej mbi 55% për grupmoshën 15 – 24. </w:t>
      </w:r>
    </w:p>
    <w:p w14:paraId="572D6FA8" w14:textId="77777777" w:rsidR="00CE4035" w:rsidRPr="0068706C" w:rsidRDefault="00CE4035" w:rsidP="00CE4035">
      <w:pPr>
        <w:pStyle w:val="Default"/>
        <w:jc w:val="both"/>
        <w:rPr>
          <w:rFonts w:ascii="Times New Roman" w:hAnsi="Times New Roman" w:cs="Times New Roman"/>
          <w:b/>
          <w:bCs/>
          <w:lang w:val="sq-AL"/>
        </w:rPr>
      </w:pPr>
    </w:p>
    <w:p w14:paraId="0521547B" w14:textId="77777777" w:rsidR="00CE4035" w:rsidRPr="0068706C" w:rsidRDefault="00CE4035" w:rsidP="00CE4035">
      <w:pPr>
        <w:pStyle w:val="Default"/>
        <w:jc w:val="both"/>
        <w:rPr>
          <w:rFonts w:ascii="Times New Roman" w:hAnsi="Times New Roman" w:cs="Times New Roman"/>
          <w:lang w:val="sq-AL"/>
        </w:rPr>
      </w:pPr>
      <w:r w:rsidRPr="0068706C">
        <w:rPr>
          <w:rFonts w:ascii="Times New Roman" w:hAnsi="Times New Roman" w:cs="Times New Roman"/>
          <w:b/>
          <w:bCs/>
          <w:lang w:val="sq-AL"/>
        </w:rPr>
        <w:t xml:space="preserve">Ndikimi i pritshëm në mjedis: </w:t>
      </w:r>
      <w:r w:rsidRPr="0068706C">
        <w:rPr>
          <w:rFonts w:ascii="Times New Roman" w:hAnsi="Times New Roman" w:cs="Times New Roman"/>
          <w:lang w:val="sq-AL"/>
        </w:rPr>
        <w:t xml:space="preserve">Kjo masë është neutrale ndaj ndikimit në mjedis. </w:t>
      </w:r>
    </w:p>
    <w:p w14:paraId="6AB29AFE" w14:textId="77777777" w:rsidR="00CE4035" w:rsidRPr="0068706C" w:rsidRDefault="00CE4035" w:rsidP="00CE4035">
      <w:pPr>
        <w:pStyle w:val="Default"/>
        <w:jc w:val="both"/>
        <w:rPr>
          <w:rFonts w:ascii="Times New Roman" w:hAnsi="Times New Roman" w:cs="Times New Roman"/>
          <w:b/>
          <w:bCs/>
          <w:lang w:val="sq-AL"/>
        </w:rPr>
      </w:pPr>
    </w:p>
    <w:p w14:paraId="60F0F7D6" w14:textId="77777777" w:rsidR="00CE4035" w:rsidRPr="0068706C" w:rsidRDefault="00CE4035" w:rsidP="00CE4035">
      <w:pPr>
        <w:pStyle w:val="Default"/>
        <w:jc w:val="both"/>
        <w:rPr>
          <w:rFonts w:ascii="Times New Roman" w:hAnsi="Times New Roman" w:cs="Times New Roman"/>
          <w:b/>
          <w:bCs/>
          <w:lang w:val="sq-AL"/>
        </w:rPr>
      </w:pPr>
      <w:r w:rsidRPr="0068706C">
        <w:rPr>
          <w:rFonts w:ascii="Times New Roman" w:hAnsi="Times New Roman" w:cs="Times New Roman"/>
          <w:b/>
          <w:bCs/>
          <w:lang w:val="sq-AL"/>
        </w:rPr>
        <w:t>Rreziqet potenciale: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1620"/>
        <w:gridCol w:w="4145"/>
      </w:tblGrid>
      <w:tr w:rsidR="00CE4035" w:rsidRPr="0068706C" w14:paraId="0C1EF40E" w14:textId="77777777" w:rsidTr="009B753C">
        <w:tc>
          <w:tcPr>
            <w:tcW w:w="3595" w:type="dxa"/>
            <w:tcBorders>
              <w:top w:val="single" w:sz="4" w:space="0" w:color="auto"/>
              <w:left w:val="single" w:sz="4" w:space="0" w:color="auto"/>
              <w:bottom w:val="single" w:sz="4" w:space="0" w:color="auto"/>
              <w:right w:val="single" w:sz="4" w:space="0" w:color="auto"/>
            </w:tcBorders>
          </w:tcPr>
          <w:p w14:paraId="1760A65C" w14:textId="77777777" w:rsidR="00CE4035" w:rsidRPr="0068706C" w:rsidRDefault="00CE4035" w:rsidP="009B753C">
            <w:pPr>
              <w:pStyle w:val="Default"/>
              <w:jc w:val="both"/>
              <w:rPr>
                <w:rFonts w:ascii="Times New Roman" w:hAnsi="Times New Roman" w:cs="Times New Roman"/>
                <w:lang w:val="sq-AL"/>
              </w:rPr>
            </w:pPr>
            <w:r w:rsidRPr="0068706C">
              <w:rPr>
                <w:rFonts w:ascii="Times New Roman" w:hAnsi="Times New Roman" w:cs="Times New Roman"/>
                <w:b/>
                <w:bCs/>
                <w:lang w:val="sq-AL"/>
              </w:rPr>
              <w:t xml:space="preserve">Rreziku </w:t>
            </w:r>
          </w:p>
        </w:tc>
        <w:tc>
          <w:tcPr>
            <w:tcW w:w="1620" w:type="dxa"/>
            <w:tcBorders>
              <w:top w:val="single" w:sz="4" w:space="0" w:color="auto"/>
              <w:left w:val="single" w:sz="4" w:space="0" w:color="auto"/>
              <w:bottom w:val="single" w:sz="4" w:space="0" w:color="auto"/>
              <w:right w:val="single" w:sz="4" w:space="0" w:color="auto"/>
            </w:tcBorders>
          </w:tcPr>
          <w:p w14:paraId="71DAD430" w14:textId="77777777" w:rsidR="00CE4035" w:rsidRPr="0068706C" w:rsidRDefault="00CE4035" w:rsidP="009B753C">
            <w:pPr>
              <w:pStyle w:val="Default"/>
              <w:ind w:right="-122"/>
              <w:jc w:val="both"/>
              <w:rPr>
                <w:rFonts w:ascii="Times New Roman" w:hAnsi="Times New Roman" w:cs="Times New Roman"/>
                <w:lang w:val="sq-AL"/>
              </w:rPr>
            </w:pPr>
            <w:r w:rsidRPr="0068706C">
              <w:rPr>
                <w:rFonts w:ascii="Times New Roman" w:hAnsi="Times New Roman" w:cs="Times New Roman"/>
                <w:b/>
                <w:bCs/>
                <w:lang w:val="sq-AL"/>
              </w:rPr>
              <w:t xml:space="preserve">Probabiliteti </w:t>
            </w:r>
          </w:p>
        </w:tc>
        <w:tc>
          <w:tcPr>
            <w:tcW w:w="4145" w:type="dxa"/>
            <w:tcBorders>
              <w:top w:val="single" w:sz="4" w:space="0" w:color="auto"/>
              <w:left w:val="single" w:sz="4" w:space="0" w:color="auto"/>
              <w:bottom w:val="single" w:sz="4" w:space="0" w:color="auto"/>
              <w:right w:val="single" w:sz="4" w:space="0" w:color="auto"/>
            </w:tcBorders>
            <w:hideMark/>
          </w:tcPr>
          <w:p w14:paraId="730B1B30" w14:textId="77777777" w:rsidR="00CE4035" w:rsidRPr="0068706C" w:rsidRDefault="00CE4035" w:rsidP="009B753C">
            <w:pPr>
              <w:pStyle w:val="Default"/>
              <w:jc w:val="both"/>
              <w:rPr>
                <w:rFonts w:ascii="Times New Roman" w:hAnsi="Times New Roman" w:cs="Times New Roman"/>
                <w:lang w:val="sq-AL"/>
              </w:rPr>
            </w:pPr>
            <w:r w:rsidRPr="0068706C">
              <w:rPr>
                <w:rFonts w:ascii="Times New Roman" w:hAnsi="Times New Roman" w:cs="Times New Roman"/>
                <w:b/>
                <w:bCs/>
                <w:lang w:val="sq-AL"/>
              </w:rPr>
              <w:t xml:space="preserve">Veprimi lehtësues i planifikuar </w:t>
            </w:r>
          </w:p>
        </w:tc>
      </w:tr>
      <w:tr w:rsidR="00CE4035" w:rsidRPr="0068706C" w14:paraId="6F24CACC" w14:textId="77777777" w:rsidTr="009B753C">
        <w:tc>
          <w:tcPr>
            <w:tcW w:w="3595" w:type="dxa"/>
            <w:tcBorders>
              <w:top w:val="single" w:sz="4" w:space="0" w:color="auto"/>
              <w:left w:val="single" w:sz="4" w:space="0" w:color="auto"/>
              <w:bottom w:val="single" w:sz="4" w:space="0" w:color="auto"/>
              <w:right w:val="single" w:sz="4" w:space="0" w:color="auto"/>
            </w:tcBorders>
          </w:tcPr>
          <w:p w14:paraId="1A857B0E" w14:textId="77777777" w:rsidR="00CE4035" w:rsidRPr="0068706C" w:rsidRDefault="00CE4035" w:rsidP="009B753C">
            <w:pPr>
              <w:pStyle w:val="Default"/>
              <w:jc w:val="both"/>
              <w:rPr>
                <w:rFonts w:ascii="Times New Roman" w:hAnsi="Times New Roman" w:cs="Times New Roman"/>
                <w:lang w:val="sq-AL"/>
              </w:rPr>
            </w:pPr>
            <w:r w:rsidRPr="0068706C">
              <w:rPr>
                <w:rFonts w:ascii="Times New Roman" w:hAnsi="Times New Roman" w:cs="Times New Roman"/>
                <w:lang w:val="sq-AL"/>
              </w:rPr>
              <w:t xml:space="preserve">1. Mosmiratimi i ligjeve prioritare në fushën e arsimit të lartë (sidomos Ligji për Arsimin e Lartë dhe Ligji për AKA). </w:t>
            </w:r>
          </w:p>
        </w:tc>
        <w:tc>
          <w:tcPr>
            <w:tcW w:w="1620" w:type="dxa"/>
            <w:tcBorders>
              <w:top w:val="single" w:sz="4" w:space="0" w:color="auto"/>
              <w:left w:val="single" w:sz="4" w:space="0" w:color="auto"/>
              <w:bottom w:val="single" w:sz="4" w:space="0" w:color="auto"/>
              <w:right w:val="single" w:sz="4" w:space="0" w:color="auto"/>
            </w:tcBorders>
            <w:hideMark/>
          </w:tcPr>
          <w:p w14:paraId="0DCE83E2" w14:textId="77777777" w:rsidR="00CE4035" w:rsidRPr="0068706C" w:rsidRDefault="00CE4035" w:rsidP="009B753C">
            <w:pPr>
              <w:pStyle w:val="Default"/>
              <w:jc w:val="both"/>
              <w:rPr>
                <w:rFonts w:ascii="Times New Roman" w:hAnsi="Times New Roman" w:cs="Times New Roman"/>
                <w:lang w:val="sq-AL"/>
              </w:rPr>
            </w:pPr>
            <w:r w:rsidRPr="0068706C">
              <w:rPr>
                <w:rFonts w:ascii="Times New Roman" w:hAnsi="Times New Roman" w:cs="Times New Roman"/>
                <w:lang w:val="sq-AL"/>
              </w:rPr>
              <w:t>I mesëm</w:t>
            </w:r>
          </w:p>
        </w:tc>
        <w:tc>
          <w:tcPr>
            <w:tcW w:w="4145" w:type="dxa"/>
            <w:tcBorders>
              <w:top w:val="single" w:sz="4" w:space="0" w:color="auto"/>
              <w:left w:val="single" w:sz="4" w:space="0" w:color="auto"/>
              <w:bottom w:val="single" w:sz="4" w:space="0" w:color="auto"/>
              <w:right w:val="single" w:sz="4" w:space="0" w:color="auto"/>
            </w:tcBorders>
            <w:hideMark/>
          </w:tcPr>
          <w:p w14:paraId="46A626A1" w14:textId="77777777" w:rsidR="00CE4035" w:rsidRPr="0068706C" w:rsidRDefault="00CE4035" w:rsidP="009B753C">
            <w:pPr>
              <w:pStyle w:val="Default"/>
              <w:jc w:val="both"/>
              <w:rPr>
                <w:rFonts w:ascii="Times New Roman" w:hAnsi="Times New Roman" w:cs="Times New Roman"/>
                <w:lang w:val="sq-AL"/>
              </w:rPr>
            </w:pPr>
            <w:r w:rsidRPr="0068706C">
              <w:rPr>
                <w:rFonts w:ascii="Times New Roman" w:hAnsi="Times New Roman" w:cs="Times New Roman"/>
                <w:lang w:val="sq-AL"/>
              </w:rPr>
              <w:t>MASH të finalizojë Ligjin për AKA dhe ta procedojë në Kuvend.</w:t>
            </w:r>
          </w:p>
        </w:tc>
      </w:tr>
      <w:tr w:rsidR="00CE4035" w:rsidRPr="0068706C" w14:paraId="096074C8" w14:textId="77777777" w:rsidTr="009B753C">
        <w:tc>
          <w:tcPr>
            <w:tcW w:w="3595" w:type="dxa"/>
            <w:tcBorders>
              <w:top w:val="single" w:sz="4" w:space="0" w:color="auto"/>
              <w:left w:val="single" w:sz="4" w:space="0" w:color="auto"/>
              <w:bottom w:val="single" w:sz="4" w:space="0" w:color="auto"/>
              <w:right w:val="single" w:sz="4" w:space="0" w:color="auto"/>
            </w:tcBorders>
          </w:tcPr>
          <w:p w14:paraId="7184EBEB" w14:textId="77777777" w:rsidR="00CE4035" w:rsidRPr="0068706C" w:rsidRDefault="00CE4035" w:rsidP="009B753C">
            <w:pPr>
              <w:pStyle w:val="Default"/>
              <w:jc w:val="both"/>
              <w:rPr>
                <w:rFonts w:ascii="Times New Roman" w:hAnsi="Times New Roman" w:cs="Times New Roman"/>
                <w:lang w:val="sq-AL"/>
              </w:rPr>
            </w:pPr>
            <w:r w:rsidRPr="0068706C">
              <w:rPr>
                <w:rFonts w:ascii="Times New Roman" w:hAnsi="Times New Roman" w:cs="Times New Roman"/>
                <w:lang w:val="sq-AL"/>
              </w:rPr>
              <w:t xml:space="preserve">2. Moszbatimi i standardeve të cilësisë në fushën e arsimit të lartë </w:t>
            </w:r>
          </w:p>
          <w:p w14:paraId="135B814C" w14:textId="77777777" w:rsidR="00CE4035" w:rsidRPr="0068706C" w:rsidRDefault="00CE4035" w:rsidP="009B753C">
            <w:pPr>
              <w:pStyle w:val="Default"/>
              <w:jc w:val="both"/>
              <w:rPr>
                <w:rFonts w:ascii="Times New Roman" w:hAnsi="Times New Roman" w:cs="Times New Roman"/>
                <w:lang w:val="sq-AL"/>
              </w:rPr>
            </w:pPr>
          </w:p>
        </w:tc>
        <w:tc>
          <w:tcPr>
            <w:tcW w:w="1620" w:type="dxa"/>
            <w:tcBorders>
              <w:top w:val="single" w:sz="4" w:space="0" w:color="auto"/>
              <w:left w:val="single" w:sz="4" w:space="0" w:color="auto"/>
              <w:bottom w:val="single" w:sz="4" w:space="0" w:color="auto"/>
              <w:right w:val="single" w:sz="4" w:space="0" w:color="auto"/>
            </w:tcBorders>
            <w:hideMark/>
          </w:tcPr>
          <w:p w14:paraId="387BFBE1" w14:textId="77777777" w:rsidR="00CE4035" w:rsidRPr="0068706C" w:rsidRDefault="00CE4035" w:rsidP="009B753C">
            <w:pPr>
              <w:pStyle w:val="Default"/>
              <w:jc w:val="both"/>
              <w:rPr>
                <w:rFonts w:ascii="Times New Roman" w:hAnsi="Times New Roman" w:cs="Times New Roman"/>
                <w:lang w:val="sq-AL"/>
              </w:rPr>
            </w:pPr>
            <w:r w:rsidRPr="0068706C">
              <w:rPr>
                <w:rFonts w:ascii="Times New Roman" w:hAnsi="Times New Roman" w:cs="Times New Roman"/>
                <w:lang w:val="sq-AL"/>
              </w:rPr>
              <w:t>I lartë</w:t>
            </w:r>
          </w:p>
        </w:tc>
        <w:tc>
          <w:tcPr>
            <w:tcW w:w="4145" w:type="dxa"/>
            <w:tcBorders>
              <w:top w:val="single" w:sz="4" w:space="0" w:color="auto"/>
              <w:left w:val="single" w:sz="4" w:space="0" w:color="auto"/>
              <w:bottom w:val="single" w:sz="4" w:space="0" w:color="auto"/>
              <w:right w:val="single" w:sz="4" w:space="0" w:color="auto"/>
            </w:tcBorders>
            <w:hideMark/>
          </w:tcPr>
          <w:p w14:paraId="077AB438" w14:textId="77777777" w:rsidR="00CE4035" w:rsidRPr="0068706C" w:rsidRDefault="00CE4035" w:rsidP="009B753C">
            <w:pPr>
              <w:pStyle w:val="Default"/>
              <w:jc w:val="both"/>
              <w:rPr>
                <w:rFonts w:ascii="Times New Roman" w:hAnsi="Times New Roman" w:cs="Times New Roman"/>
                <w:lang w:val="sq-AL"/>
              </w:rPr>
            </w:pPr>
            <w:r w:rsidRPr="0068706C">
              <w:rPr>
                <w:rFonts w:ascii="Times New Roman" w:hAnsi="Times New Roman" w:cs="Times New Roman"/>
                <w:lang w:val="sq-AL"/>
              </w:rPr>
              <w:t>Miratimit të Ligjit të AKA dhe plotësimi i stafit të AKA për ushtrimin e plotë dhe efektive të përgjegjësive.</w:t>
            </w:r>
          </w:p>
        </w:tc>
      </w:tr>
      <w:tr w:rsidR="00CE4035" w:rsidRPr="0068706C" w14:paraId="3E1BCE9C" w14:textId="77777777" w:rsidTr="009B753C">
        <w:tc>
          <w:tcPr>
            <w:tcW w:w="3595" w:type="dxa"/>
            <w:tcBorders>
              <w:top w:val="single" w:sz="4" w:space="0" w:color="auto"/>
              <w:left w:val="single" w:sz="4" w:space="0" w:color="auto"/>
              <w:bottom w:val="single" w:sz="4" w:space="0" w:color="auto"/>
              <w:right w:val="single" w:sz="4" w:space="0" w:color="auto"/>
            </w:tcBorders>
            <w:hideMark/>
          </w:tcPr>
          <w:p w14:paraId="546CC51E" w14:textId="77777777" w:rsidR="00CE4035" w:rsidRPr="0068706C" w:rsidRDefault="00CE4035" w:rsidP="009B753C">
            <w:pPr>
              <w:pStyle w:val="Default"/>
              <w:jc w:val="both"/>
              <w:rPr>
                <w:rFonts w:ascii="Times New Roman" w:hAnsi="Times New Roman" w:cs="Times New Roman"/>
                <w:lang w:val="sq-AL"/>
              </w:rPr>
            </w:pPr>
            <w:r w:rsidRPr="0068706C">
              <w:rPr>
                <w:rFonts w:ascii="Times New Roman" w:hAnsi="Times New Roman" w:cs="Times New Roman"/>
                <w:lang w:val="sq-AL"/>
              </w:rPr>
              <w:t>3. Rezistenca nga IAL-të lidhur me ripërshtatjen e programeve të arsimit të lartë konform kërkesave të ekonomisë</w:t>
            </w:r>
          </w:p>
        </w:tc>
        <w:tc>
          <w:tcPr>
            <w:tcW w:w="1620" w:type="dxa"/>
            <w:tcBorders>
              <w:top w:val="single" w:sz="4" w:space="0" w:color="auto"/>
              <w:left w:val="single" w:sz="4" w:space="0" w:color="auto"/>
              <w:bottom w:val="single" w:sz="4" w:space="0" w:color="auto"/>
              <w:right w:val="single" w:sz="4" w:space="0" w:color="auto"/>
            </w:tcBorders>
            <w:hideMark/>
          </w:tcPr>
          <w:p w14:paraId="6BD2ED08" w14:textId="77777777" w:rsidR="00CE4035" w:rsidRPr="0068706C" w:rsidRDefault="00CE4035" w:rsidP="009B753C">
            <w:pPr>
              <w:pStyle w:val="Default"/>
              <w:jc w:val="both"/>
              <w:rPr>
                <w:rFonts w:ascii="Times New Roman" w:hAnsi="Times New Roman" w:cs="Times New Roman"/>
                <w:lang w:val="sq-AL"/>
              </w:rPr>
            </w:pPr>
            <w:r w:rsidRPr="0068706C">
              <w:rPr>
                <w:rFonts w:ascii="Times New Roman" w:hAnsi="Times New Roman" w:cs="Times New Roman"/>
                <w:lang w:val="sq-AL"/>
              </w:rPr>
              <w:t xml:space="preserve">I lartë </w:t>
            </w:r>
          </w:p>
        </w:tc>
        <w:tc>
          <w:tcPr>
            <w:tcW w:w="4145" w:type="dxa"/>
            <w:tcBorders>
              <w:top w:val="single" w:sz="4" w:space="0" w:color="auto"/>
              <w:left w:val="single" w:sz="4" w:space="0" w:color="auto"/>
              <w:bottom w:val="single" w:sz="4" w:space="0" w:color="auto"/>
              <w:right w:val="single" w:sz="4" w:space="0" w:color="auto"/>
            </w:tcBorders>
            <w:hideMark/>
          </w:tcPr>
          <w:p w14:paraId="15DC43A5" w14:textId="77777777" w:rsidR="00CE4035" w:rsidRPr="0068706C" w:rsidRDefault="00CE4035" w:rsidP="009B753C">
            <w:pPr>
              <w:pStyle w:val="Default"/>
              <w:jc w:val="both"/>
              <w:rPr>
                <w:rFonts w:ascii="Times New Roman" w:hAnsi="Times New Roman" w:cs="Times New Roman"/>
                <w:b/>
                <w:bCs/>
                <w:lang w:val="sq-AL"/>
              </w:rPr>
            </w:pPr>
            <w:r w:rsidRPr="0068706C">
              <w:rPr>
                <w:rFonts w:ascii="Times New Roman" w:hAnsi="Times New Roman" w:cs="Times New Roman"/>
                <w:lang w:val="sq-AL"/>
              </w:rPr>
              <w:t xml:space="preserve">Plotësimi i analizave të duhura për identifikimin e profileve të arsimit të lartë të cilat janë deficitare apo të cilat duhet të ripërshtaten. Krijimi i kanaleve institucionale të dialogimit dhe bashkëpunimit me IAL-të lidhur me hapat për përmirësimin gradual të përputhshmërisë së programeve në arsimin e lartë me kërkesat e tregut të punës. </w:t>
            </w:r>
          </w:p>
        </w:tc>
      </w:tr>
    </w:tbl>
    <w:p w14:paraId="4BD1FCF4" w14:textId="77777777" w:rsidR="00CE4035" w:rsidRPr="0068706C" w:rsidRDefault="00CE4035" w:rsidP="00CE4035"/>
    <w:p w14:paraId="51E20504" w14:textId="77777777" w:rsidR="00CE4035" w:rsidRPr="0068706C" w:rsidRDefault="00CE4035" w:rsidP="00CE4035">
      <w:pPr>
        <w:keepNext/>
        <w:numPr>
          <w:ilvl w:val="2"/>
          <w:numId w:val="0"/>
        </w:numPr>
        <w:spacing w:before="100" w:after="100" w:line="276" w:lineRule="auto"/>
        <w:jc w:val="both"/>
        <w:outlineLvl w:val="0"/>
        <w:rPr>
          <w:b/>
          <w:i/>
          <w:kern w:val="28"/>
        </w:rPr>
      </w:pPr>
      <w:r w:rsidRPr="0068706C">
        <w:rPr>
          <w:b/>
          <w:i/>
          <w:kern w:val="28"/>
        </w:rPr>
        <w:t>4.3.7 Punësimi dhe tregu i punës</w:t>
      </w:r>
    </w:p>
    <w:p w14:paraId="66E74544" w14:textId="77777777" w:rsidR="00CE4035" w:rsidRPr="0068706C" w:rsidRDefault="00CE4035" w:rsidP="00CE4035">
      <w:pPr>
        <w:spacing w:after="60"/>
        <w:jc w:val="both"/>
      </w:pPr>
      <w:r w:rsidRPr="0068706C">
        <w:rPr>
          <w:b/>
        </w:rPr>
        <w:t xml:space="preserve">Gjendja aktuale: </w:t>
      </w:r>
      <w:r w:rsidRPr="0068706C">
        <w:t>Pjesëmarrja e fuqisë punëtore në tregun e punës në Kosovë vazhdon të mbetet e ulët. Ndikimi afatshkurtër dhe afatmesëm i COVID-19 ka rritur cenueshmërinë e vendeve të punës dhe rrezikon të thelloj ndarjet socio-ekonomike. Shkalla e papunësisë tashmë shumë e lartë edhe para COVID-19 ka të ngjarë të rritet edhe më tej nën efektin  e krizës aktuale ekonomike dhe shëndetësore. Sipas Agjensionit të Statistikave të Kosovës(ASK), nga numri i popullsisë prej 1.79 milion në vitin 2019, mbi dy të tretat, ose 1.2 milion kosovarë, konsiderohet se janë në moshë pune, nga të cilët afërsisht 605,000 janë burra dhe 601,000 janë gra.</w:t>
      </w:r>
      <w:r w:rsidRPr="0068706C">
        <w:rPr>
          <w:b/>
        </w:rPr>
        <w:t xml:space="preserve"> </w:t>
      </w:r>
      <w:r w:rsidRPr="0068706C">
        <w:rPr>
          <w:bCs/>
        </w:rPr>
        <w:t xml:space="preserve">Vetëm </w:t>
      </w:r>
      <w:r w:rsidRPr="0068706C">
        <w:t xml:space="preserve">40.5% e kosovarëve në moshë pune ishin </w:t>
      </w:r>
      <w:r w:rsidRPr="0068706C">
        <w:rPr>
          <w:b/>
          <w:bCs/>
        </w:rPr>
        <w:t>ekonomikisht aktivë</w:t>
      </w:r>
      <w:r w:rsidRPr="0068706C">
        <w:t xml:space="preserve"> në 2019, 78% e </w:t>
      </w:r>
      <w:r w:rsidRPr="0068706C">
        <w:rPr>
          <w:b/>
          <w:bCs/>
        </w:rPr>
        <w:t>fuqisë punëtore</w:t>
      </w:r>
      <w:r w:rsidRPr="0068706C">
        <w:t xml:space="preserve"> përbëhet nga meshkujt e 22% nga femrat</w:t>
      </w:r>
      <w:r w:rsidRPr="0068706C">
        <w:rPr>
          <w:bCs/>
        </w:rPr>
        <w:t>, përderisa</w:t>
      </w:r>
      <w:r w:rsidRPr="0068706C">
        <w:rPr>
          <w:b/>
          <w:bCs/>
        </w:rPr>
        <w:t xml:space="preserve"> </w:t>
      </w:r>
      <w:r w:rsidRPr="0068706C">
        <w:t xml:space="preserve">59.5 % e popullsisë në moshë pune në 2019 ishte </w:t>
      </w:r>
      <w:r w:rsidRPr="0068706C">
        <w:rPr>
          <w:b/>
          <w:bCs/>
        </w:rPr>
        <w:t>ekonomikisht joaktive</w:t>
      </w:r>
      <w:r w:rsidRPr="0068706C">
        <w:t xml:space="preserve">. Joaktiviteti në tregun e punës ka karakter të theksuar gjinor: 40.3% e personave ekonomikisht joaktiv janë meshkuj, ndërsa 80.50% janë femra. </w:t>
      </w:r>
      <w:r w:rsidRPr="0068706C">
        <w:rPr>
          <w:b/>
          <w:bCs/>
        </w:rPr>
        <w:t>Shkalla e joaktivitetit</w:t>
      </w:r>
      <w:r w:rsidRPr="0068706C">
        <w:t xml:space="preserve"> është rritur nga 59.1% në 2018 në 59. 5% në vitin 2019. </w:t>
      </w:r>
    </w:p>
    <w:p w14:paraId="5159213C" w14:textId="77777777" w:rsidR="00CE4035" w:rsidRPr="0068706C" w:rsidRDefault="00CE4035" w:rsidP="00CE4035">
      <w:pPr>
        <w:spacing w:after="60"/>
        <w:jc w:val="both"/>
      </w:pPr>
      <w:r w:rsidRPr="0068706C">
        <w:rPr>
          <w:b/>
          <w:bCs/>
        </w:rPr>
        <w:t>Shkalla e papunësisë</w:t>
      </w:r>
      <w:r w:rsidRPr="0068706C">
        <w:t xml:space="preserve"> është ulur nga 29.6% në 2018 në 25.7% në vitin 2019. Mirëpo, ulja e shkallës së papunësisë lidhet më tepër me largimin e fuqisë punëtore nga tregu joformal si pasojë e masave në kuadër të Pakos Fiskale Emergjente për bizneset për uljen e ndikimit të COVID 19 se sa me krijimin e vendeve të reja të punës. Në vitin 2019 krahasuar me vitin paraprak të Anketës së Fuqisë Punëtore (AFP) të vitit 2018 në Kosovë ka rritje të shkallës së punësimit me 1.3 %, ku kjo rritje te meshkujt ishte 0.9 % derisa te femrat kjo rritje ishte 1.6 %. Dallime të mëdha</w:t>
      </w:r>
      <w:r w:rsidRPr="0068706C">
        <w:rPr>
          <w:b/>
        </w:rPr>
        <w:t xml:space="preserve"> gjinore</w:t>
      </w:r>
      <w:r w:rsidRPr="0068706C">
        <w:t xml:space="preserve"> qëndrojnë në tregun e punës. 21.1 % e femrave në moshë pune ishin aktive në tregun e punës në vitin 2019 (18.4% në 2018), krahasuar me 59.7% të meshkujve (63.3% në 2018). Papunësia është më e lartë për femrat se sa për meshkujt (34.3% për femra, 22.6% për meshkuj në 2019). Në 2019, 53%e femrave ishin të punësuara në sektorët e arsimit,  tregtisë dhe kujdesit shëndetësorë, ndërsa 46.3% e meshkujve në sektorët e ndërtimtarisë, prodhimit dhe tregtisë.</w:t>
      </w:r>
    </w:p>
    <w:p w14:paraId="635CEB56" w14:textId="77777777" w:rsidR="00CE4035" w:rsidRPr="0068706C" w:rsidRDefault="00CE4035" w:rsidP="00CE4035">
      <w:pPr>
        <w:spacing w:after="60"/>
        <w:jc w:val="both"/>
      </w:pPr>
      <w:r w:rsidRPr="0068706C">
        <w:t>Shkalla e papunësisë</w:t>
      </w:r>
      <w:r w:rsidRPr="0068706C">
        <w:rPr>
          <w:b/>
          <w:bCs/>
        </w:rPr>
        <w:t xml:space="preserve"> </w:t>
      </w:r>
      <w:r w:rsidRPr="0068706C">
        <w:t>tek të</w:t>
      </w:r>
      <w:r w:rsidRPr="0068706C">
        <w:rPr>
          <w:b/>
          <w:bCs/>
        </w:rPr>
        <w:t xml:space="preserve"> rinjtë</w:t>
      </w:r>
      <w:r w:rsidRPr="0068706C">
        <w:t xml:space="preserve"> e moshës 15-24 është ulur nga 55.4% në 2018 në 49.4% në 2019. Rreth  37.4% e të rinjve të moshës 15-19 ishin të papunë afatgjatë (12 muaj). Bazuar në AFP e vitit 2019, 34.7% e të papunëve  ishin të rinj (të moshës 15-24 vjeç) me 7.2 pikë diferencë midis meshkujve dhe femrave. Një pjesë e konsiderueshme e popullsisë së re është e papunë (49.4%) dhe shkalla e papunësisë tek rinia e gjinisë femërore është më e lartë (60.3%) krahasuar me meshkujt (44.1%). Sipas AFP-së, rreth 67% e të papunëve të </w:t>
      </w:r>
      <w:r w:rsidRPr="0068706C">
        <w:rPr>
          <w:i/>
          <w:iCs/>
        </w:rPr>
        <w:t>regjistruar</w:t>
      </w:r>
      <w:r w:rsidRPr="0068706C">
        <w:t xml:space="preserve"> konsiderohen të </w:t>
      </w:r>
      <w:r w:rsidRPr="0068706C">
        <w:rPr>
          <w:b/>
          <w:bCs/>
        </w:rPr>
        <w:t>papunë afatgjatë.</w:t>
      </w:r>
      <w:r w:rsidRPr="0068706C">
        <w:t>, ndërsa, përqindja e të rinjve në</w:t>
      </w:r>
      <w:r w:rsidRPr="0068706C">
        <w:rPr>
          <w:b/>
          <w:bCs/>
        </w:rPr>
        <w:t xml:space="preserve"> </w:t>
      </w:r>
      <w:r w:rsidRPr="0068706C">
        <w:t>kategorinë</w:t>
      </w:r>
      <w:r w:rsidRPr="0068706C">
        <w:rPr>
          <w:b/>
          <w:bCs/>
        </w:rPr>
        <w:t xml:space="preserve"> NEET</w:t>
      </w:r>
      <w:r w:rsidRPr="0068706C">
        <w:t xml:space="preserve"> është rritur nga 30.1% në 2018 në 32.7% në 2019 (34.2% tek femrat e reja dhe 31.4% tek meshkujt).</w:t>
      </w:r>
    </w:p>
    <w:p w14:paraId="7EBD3BB3" w14:textId="77777777" w:rsidR="00CE4035" w:rsidRPr="0068706C" w:rsidRDefault="00CE4035" w:rsidP="00CE4035">
      <w:pPr>
        <w:spacing w:after="60"/>
        <w:jc w:val="both"/>
      </w:pPr>
      <w:r w:rsidRPr="0068706C">
        <w:rPr>
          <w:b/>
          <w:bCs/>
        </w:rPr>
        <w:t>Mospërputhja e shkathtësive</w:t>
      </w:r>
      <w:r w:rsidRPr="0068706C">
        <w:t xml:space="preserve"> me nevojat e tregut të punës mbetet pengesë kryesore. Nga ana e punëdhënësit, midis rreth 50% e firmave raportojnë se edukimi i përgjithshëm nuk i përgatit studentët në mënyrë adekuate për vendin e punës - qoftë në drejtim të njohurive të përditësuara apo shkathtësive të buta (Banka Botërore, 2019). Një mungesë e aftësive themelore të biznesit është përmendur si pengesë e dukshme për zhvillimin e sektorit privat. Sipas sondazhit STEP, 75% e kompanive kanë hasur në vështirësi në punësimin e menaxherëve, profesionistëve dhe teknikëve. </w:t>
      </w:r>
    </w:p>
    <w:p w14:paraId="3CA82CBA" w14:textId="77777777" w:rsidR="00CE4035" w:rsidRPr="0068706C" w:rsidRDefault="00CE4035" w:rsidP="00CE4035">
      <w:pPr>
        <w:spacing w:after="60"/>
        <w:jc w:val="both"/>
      </w:pPr>
      <w:r w:rsidRPr="0068706C">
        <w:t>Sidoqoftë ekziston një bashkëpunim ndërmjet përfaqësuesve te bizneseve, Ministrisë së Arsimit dhe Agjencisë së Punësimit në identifikimin e profesioneve të reja për zhvillimin e standardeve, kurrikulave dhe paketave mësimore. Ky bashkëpunim bëhet përmes këshillit për arsim dhe aftësim profesional dhe Autoriteti Kombëtarë i Kualifikimeve. Çdo vit bëhen analiza te tregut të punës ku definohen se cilat janë profesionet më të kërkuara ne tregun e Punës. Në konsultim me përfaqësuesit e Bizneseve dhe përfaqësuesit e MASHT-it fillohet zhvillimi i standardit të profesionit dhe bazuar në këtë hartohet kurrikula, ku kurrikulat hartohen në bashkëpunim edhe me grupet e ekspertëve të fushave përkatëse. Ky proces kalon nëpër organe të ngritura të institucioneve për verifikim dhe validim. Në anën tjetër, fondet publike për programet aktive të tregut të punës përbëjnë vetëm rreth 2 milion EUR në vit, ose 0.03% të PBB-së, krahasuar me një mesatare të OECD prej 0.42%</w:t>
      </w:r>
    </w:p>
    <w:p w14:paraId="1AC8A839" w14:textId="77777777" w:rsidR="00CE4035" w:rsidRPr="0068706C" w:rsidRDefault="00CE4035" w:rsidP="00CE4035">
      <w:pPr>
        <w:spacing w:after="60"/>
        <w:jc w:val="both"/>
      </w:pPr>
      <w:r w:rsidRPr="0068706C">
        <w:rPr>
          <w:b/>
        </w:rPr>
        <w:t>Punësimi joformal/i padeklaruar</w:t>
      </w:r>
      <w:r w:rsidRPr="0068706C">
        <w:t xml:space="preserve"> mbetet sfidë për Kosovën. Sipas AFP, në vitin 2019, 13.4% e të punësuarve nuk kishin kontratë pune. Shkallë më e lartë e punës joformale është gjetur nga  Studimi i Shfrytëzimit të Kohës, të mbështetur nga Korporata e Sfidës së Mijëvjeçarit (MCC), e realizuar në vitin 2017. Sipas këtij studimi, në vitin 2017, 40.8% e punëtorëve nuk kishin kontratë pune, dukshëm më e lartë sesa norma e raportuar nga AFP. Faktori kryesor i këtij dallimi mund të lidhet me numrin më të madhë të punëtorëve në bujqësi dhe familjarëve të papaguar të identifikuar nga studimi i MCC-së. Në vitin 2018, studimi i Odës Ekonomike e Kosovës (OEK) për identifikimin e pengesave të të Bërit Biznes anketoi 437 ndërmarrje konstatoi se gjysma e ndërmarrjeve të anketuara deklaruan se kompanitë nuk i raportojnë të gjithë të punësuarit. Shumica e studimeve kanë gjetur se sektorët që prijnë me normë më të lartë të punës joformale janë sektori i ndërtimtarisë dhe bujqësisë. Të dhënat ekzistuese tregojnë që burrat, të rinjtë, punëtorët me nivel të ulët të shkollimit dhe ata që jetojnë në zona rurale kanë më shumë gjasa të punojnë pa kontratë. </w:t>
      </w:r>
    </w:p>
    <w:p w14:paraId="1EEA6594" w14:textId="77777777" w:rsidR="00CE4035" w:rsidRPr="0068706C" w:rsidRDefault="00CE4035" w:rsidP="00CE4035">
      <w:pPr>
        <w:spacing w:after="60"/>
        <w:jc w:val="both"/>
      </w:pPr>
      <w:r w:rsidRPr="0068706C">
        <w:rPr>
          <w:b/>
          <w:bCs/>
        </w:rPr>
        <w:t xml:space="preserve">Pandemia ka pasur ndikimin negativ në tregun e punës në Kosovë. </w:t>
      </w:r>
      <w:r w:rsidRPr="0068706C">
        <w:rPr>
          <w:bCs/>
        </w:rPr>
        <w:t xml:space="preserve">ASK ende nuk ka publikuar AFP për tremujorin e parë të vitit 2020 për të parë ndikimin e pandemisë në indikatorët kryesorë të tregut të punës në Kosovë. Të dhënat e Agjencisë së Punësimit flasin për rritje të numrit të punëkërkuesve të regjistruar në Zyrat e Punësimit (ZP), e cila rritje ka ardhur për shkak të masave të pakos emergjente ku njëri prej kritereve për të përfituar nga masat ka qenë regjistrimi si i papunë dhe punëkërkues në ZP. Kështu, </w:t>
      </w:r>
      <w:r w:rsidRPr="0068706C">
        <w:rPr>
          <w:b/>
          <w:bCs/>
        </w:rPr>
        <w:t>numri i punëkërkuesve</w:t>
      </w:r>
      <w:r w:rsidRPr="0068706C">
        <w:rPr>
          <w:bCs/>
        </w:rPr>
        <w:t xml:space="preserve"> të regjistruar deri më qershor 2020 është 185, 442 prej tyre femra janë 83,613, ndërsa meshkuj janë 101,829. Ndërsa  gjatë vitit 2020 </w:t>
      </w:r>
      <w:r w:rsidRPr="0068706C">
        <w:rPr>
          <w:b/>
          <w:bCs/>
        </w:rPr>
        <w:t>numri i punëkërkuesve të rinj</w:t>
      </w:r>
      <w:r w:rsidRPr="0068706C">
        <w:rPr>
          <w:bCs/>
        </w:rPr>
        <w:t xml:space="preserve"> të regjistruar në ZP është 75 939, prej tyre 35,246 femra, ndërsa 40,693 meshkuj. Kjo përbën një rritje të theksuar në pjesëmarrjen në fuqinë punëtore, por ka ardhur si rezultat i përfitimit nga masat e pakos emergjente. Ndërsa, ndërmjetësimet në punësim të rregullt për shkak të pandemisë kanë qenë të ulëta, me çrast, në periudhën janar – qershor të ndërmjetësuar në punësim të rregullt  janë 897 persona, prej tyre 366 femra, ndërsa 531 meshkuj. Sektori më i goditur nga pandemia sa i përket punësimit është sektori i tregtisë me shumicë dhe pakicë me që rast numri i të punësuarve në këtë sektorë nga 80 mijë në fillim të pandemisë ka zbritur në 43 mijë. Megjithatë përmasat e ndikimit të pandemisë në tregun e punës do të shihen pasi të përfundon pandemia sepse tani shumë punëdhënës janë duke i mbajtur punëtorët në pritje. </w:t>
      </w:r>
    </w:p>
    <w:p w14:paraId="2147B490" w14:textId="77777777" w:rsidR="00CE4035" w:rsidRPr="0068706C" w:rsidRDefault="00CE4035" w:rsidP="00CE4035">
      <w:pPr>
        <w:spacing w:after="60"/>
        <w:jc w:val="both"/>
      </w:pPr>
      <w:r w:rsidRPr="0068706C">
        <w:t>Të</w:t>
      </w:r>
      <w:r w:rsidRPr="0068706C">
        <w:rPr>
          <w:b/>
          <w:bCs/>
        </w:rPr>
        <w:t xml:space="preserve"> drejtat e punëtorëve </w:t>
      </w:r>
      <w:r w:rsidRPr="0068706C">
        <w:t>përcaktohen kryesisht përmes Ligjit të Punës. Legjislacioni që rregullon marrëdhëniet e punës konsiderohet jo pengues ndaj lirisë së punëdhënësve sa i përket largimit të punëtorëve nga puna. Mirëpo, ligji u mundëson përfaqësimin punëtorëve përmes sindikatave, të cilat mund të ndërmarrin protesta dhe të hyjnë në grevë pa pasur frikë nga ndëshkimi nga punëdhënësit. Përmirësimi i kushteve të punës së punëtorëve, është kërkesë e vazhdueshme të organizatave sindikale. Në kohë pandemie, problemet janë theksuar në rregullimin ligjor të ”Puna nga Shtëpia”, pasi që kjo çështje, nuk është e rregulluar me Ligjin në fuqi të Punës. Sa i përket Dialogut Social, në nivelin triparite, në kontekst të pandemisë, temë e diskutimit në Këshillin Ekonomiko Social ka qenë rritja e pagës minimale dhe përfitimi nga Pakoja e Rimëkëmbjes Ekonomike, si dhe miratimi i Ligjit të Punës.</w:t>
      </w:r>
    </w:p>
    <w:p w14:paraId="56E6AAF7" w14:textId="77777777" w:rsidR="00CE4035" w:rsidRPr="0068706C" w:rsidRDefault="00CE4035" w:rsidP="00CE4035">
      <w:pPr>
        <w:spacing w:after="60"/>
        <w:jc w:val="both"/>
      </w:pPr>
      <w:r w:rsidRPr="0068706C">
        <w:rPr>
          <w:b/>
        </w:rPr>
        <w:t>M</w:t>
      </w:r>
      <w:r w:rsidRPr="0068706C">
        <w:rPr>
          <w:b/>
          <w:bCs/>
        </w:rPr>
        <w:t xml:space="preserve">igrimi </w:t>
      </w:r>
      <w:r w:rsidRPr="0068706C">
        <w:t>paraqet sfidë serioze, Kosova ka humbur 15.4% të popullsisë së saj në periudhën 2007-2018. Shifrat tregojnë se numri i emigrantëve ka rënë krahasuar me vitet e kaluara.</w:t>
      </w:r>
      <w:r w:rsidRPr="0068706C">
        <w:rPr>
          <w:vertAlign w:val="superscript"/>
        </w:rPr>
        <w:footnoteReference w:id="23"/>
      </w:r>
      <w:r w:rsidRPr="0068706C">
        <w:t xml:space="preserve"> </w:t>
      </w:r>
    </w:p>
    <w:p w14:paraId="6A39977A" w14:textId="77777777" w:rsidR="00CE4035" w:rsidRPr="0068706C" w:rsidRDefault="00CE4035" w:rsidP="00CE4035">
      <w:pPr>
        <w:spacing w:after="60"/>
        <w:jc w:val="both"/>
      </w:pPr>
      <w:r w:rsidRPr="0068706C">
        <w:rPr>
          <w:b/>
          <w:bCs/>
        </w:rPr>
        <w:t>Pengesat kryesore strukturore: Mospërputhja e shkathtësive</w:t>
      </w:r>
      <w:r w:rsidRPr="0068706C">
        <w:t xml:space="preserve"> me nevojat e tregut të punës është pengesa kryesore. Pengesë tjetër është </w:t>
      </w:r>
      <w:r w:rsidRPr="0068706C">
        <w:rPr>
          <w:b/>
          <w:bCs/>
        </w:rPr>
        <w:t>punësimi joformal</w:t>
      </w:r>
      <w:r w:rsidRPr="0068706C">
        <w:t xml:space="preserve">, për shkak se ajo zvogëlon produktivitetin nga mungesa e mbrojtjes së të drejtave të punëtorëve, humbjen e të ardhurave buxhetore dhe forcimin e përparësive të kompanive që operojnë në sektorin joformal. Sfidë  tjetër janë </w:t>
      </w:r>
      <w:r w:rsidRPr="0068706C">
        <w:rPr>
          <w:b/>
          <w:bCs/>
        </w:rPr>
        <w:t>shërbimet publike të punësimit</w:t>
      </w:r>
      <w:r w:rsidRPr="0068706C">
        <w:t xml:space="preserve">.  Pengesë tjetër konsiderohet buxheti i pamjaftueshme në zgjerimin dhe rritjen e cilësisë së shërbimeve të punësimit dhe aftësimit profesional në tregun e punës. Buxheti publik për masat aktive të tregut të punës është i ultë duke pasur parasysh se numri i të papunëve të regjistruar në Zyrat e Punësimit është shumë i madhë. Tjetër pengesë është mosha e këshilltarëve në Zyrat e Punësimit , ku mosha mesatare është mbi 55 vjet, rekrutimi i stafit të ri si dhe kufizimet e numrit të stafit me Ligjin e Buxhetit të vitit 2020 nga numri i lejuar sipas Rregullores se Brendshme nga 294, në 260 staf. </w:t>
      </w:r>
    </w:p>
    <w:p w14:paraId="3E7503AE" w14:textId="3B5F5D7E" w:rsidR="00CE4035" w:rsidRDefault="00CE4035" w:rsidP="00CE4035">
      <w:pPr>
        <w:spacing w:after="60"/>
        <w:jc w:val="both"/>
      </w:pPr>
      <w:r w:rsidRPr="0068706C">
        <w:t xml:space="preserve">Vetëm 20% e kompanive mbështeten tek shërbimet e tilla për identifikimin e kuadrove të kualifikuara. Lidhja e kufizuar e punëkërkuesve me sektorin privat ngritë papunësinë afatgjate, ndërkaq brishtësia e institucioneve siç është Inspektorati i Punës, nuk sanksionon mjaftueshëm sektorin joformal, duke ushqyer punësimin joformal pa mbrojtje sociale të duhur dhe duke zvogëluar bazën tatimore. Në Kosovë, ekziston </w:t>
      </w:r>
      <w:r w:rsidRPr="0068706C">
        <w:rPr>
          <w:b/>
          <w:bCs/>
        </w:rPr>
        <w:t>mobiliteti në punë</w:t>
      </w:r>
      <w:r w:rsidRPr="0068706C">
        <w:t>, mirëpo migrimi i jashtëm dhe dalja e trurit, sidomos e kuadrove të shkolluara, paraqet sfidë serioze për konsolidimin e tregut të punës.</w:t>
      </w:r>
    </w:p>
    <w:p w14:paraId="549281EA" w14:textId="77777777" w:rsidR="0068706C" w:rsidRPr="0068706C" w:rsidRDefault="0068706C" w:rsidP="00CE4035">
      <w:pPr>
        <w:spacing w:after="60"/>
        <w:jc w:val="both"/>
      </w:pPr>
    </w:p>
    <w:p w14:paraId="2A1AF451" w14:textId="77777777" w:rsidR="00CE4035" w:rsidRPr="0068706C" w:rsidRDefault="00CE4035" w:rsidP="00CE4035">
      <w:pPr>
        <w:pStyle w:val="Default"/>
        <w:shd w:val="clear" w:color="auto" w:fill="9CC2E5" w:themeFill="accent1" w:themeFillTint="99"/>
        <w:jc w:val="both"/>
        <w:rPr>
          <w:rFonts w:ascii="Times New Roman" w:hAnsi="Times New Roman" w:cs="Times New Roman"/>
          <w:b/>
          <w:bCs/>
          <w:lang w:val="sq-AL"/>
        </w:rPr>
      </w:pPr>
      <w:r w:rsidRPr="0068706C">
        <w:rPr>
          <w:rFonts w:ascii="Times New Roman" w:hAnsi="Times New Roman" w:cs="Times New Roman"/>
          <w:b/>
          <w:bCs/>
          <w:lang w:val="sq-AL"/>
        </w:rPr>
        <w:t xml:space="preserve">Masa e reformës #20: Përmirësimi dhe zgjerimi i shërbimeve publike të punësimit dhe </w:t>
      </w:r>
      <w:r w:rsidRPr="0068706C">
        <w:rPr>
          <w:rFonts w:ascii="Times New Roman" w:hAnsi="Times New Roman" w:cs="Times New Roman"/>
          <w:b/>
          <w:bCs/>
          <w:color w:val="auto"/>
          <w:lang w:val="sq-AL"/>
        </w:rPr>
        <w:t xml:space="preserve">aftësimit profesional, </w:t>
      </w:r>
      <w:r w:rsidRPr="0068706C">
        <w:rPr>
          <w:rFonts w:ascii="Times New Roman" w:hAnsi="Times New Roman" w:cs="Times New Roman"/>
          <w:b/>
          <w:bCs/>
          <w:lang w:val="sq-AL"/>
        </w:rPr>
        <w:t>rritja e punësimit të të papunëve afatgjatë, të rinjve, grave dhe grupeve tjera të cenueshme.</w:t>
      </w:r>
    </w:p>
    <w:p w14:paraId="671B938D" w14:textId="77777777" w:rsidR="00CE4035" w:rsidRPr="0068706C" w:rsidRDefault="00CE4035" w:rsidP="00CE4035">
      <w:pPr>
        <w:autoSpaceDE w:val="0"/>
        <w:autoSpaceDN w:val="0"/>
        <w:adjustRightInd w:val="0"/>
        <w:spacing w:before="70"/>
        <w:ind w:right="58"/>
        <w:jc w:val="both"/>
      </w:pPr>
      <w:r w:rsidRPr="0068706C">
        <w:rPr>
          <w:b/>
        </w:rPr>
        <w:t>Përshkrimi i masës:</w:t>
      </w:r>
      <w:r w:rsidRPr="0068706C">
        <w:t xml:space="preserve"> M</w:t>
      </w:r>
      <w:r w:rsidRPr="0068706C">
        <w:rPr>
          <w:spacing w:val="-1"/>
        </w:rPr>
        <w:t>a</w:t>
      </w:r>
      <w:r w:rsidRPr="0068706C">
        <w:t>sa</w:t>
      </w:r>
      <w:r w:rsidRPr="0068706C">
        <w:rPr>
          <w:spacing w:val="1"/>
        </w:rPr>
        <w:t xml:space="preserve"> </w:t>
      </w:r>
      <w:r w:rsidRPr="0068706C">
        <w:rPr>
          <w:spacing w:val="-1"/>
        </w:rPr>
        <w:t>s</w:t>
      </w:r>
      <w:r w:rsidRPr="0068706C">
        <w:rPr>
          <w:spacing w:val="2"/>
        </w:rPr>
        <w:t>y</w:t>
      </w:r>
      <w:r w:rsidRPr="0068706C">
        <w:t>n</w:t>
      </w:r>
      <w:r w:rsidRPr="0068706C">
        <w:rPr>
          <w:spacing w:val="-1"/>
        </w:rPr>
        <w:t>o</w:t>
      </w:r>
      <w:r w:rsidRPr="0068706C">
        <w:t>n</w:t>
      </w:r>
      <w:r w:rsidRPr="0068706C">
        <w:rPr>
          <w:spacing w:val="1"/>
        </w:rPr>
        <w:t xml:space="preserve"> </w:t>
      </w:r>
      <w:r w:rsidRPr="0068706C">
        <w:t>ngri</w:t>
      </w:r>
      <w:r w:rsidRPr="0068706C">
        <w:rPr>
          <w:spacing w:val="-1"/>
        </w:rPr>
        <w:t>t</w:t>
      </w:r>
      <w:r w:rsidRPr="0068706C">
        <w:t>jen</w:t>
      </w:r>
      <w:r w:rsidRPr="0068706C">
        <w:rPr>
          <w:spacing w:val="1"/>
        </w:rPr>
        <w:t xml:space="preserve"> </w:t>
      </w:r>
      <w:r w:rsidRPr="0068706C">
        <w:t>e</w:t>
      </w:r>
      <w:r w:rsidRPr="0068706C">
        <w:rPr>
          <w:spacing w:val="2"/>
        </w:rPr>
        <w:t xml:space="preserve"> </w:t>
      </w:r>
      <w:r w:rsidRPr="0068706C">
        <w:t>pun</w:t>
      </w:r>
      <w:r w:rsidRPr="0068706C">
        <w:rPr>
          <w:spacing w:val="-1"/>
        </w:rPr>
        <w:t>ë</w:t>
      </w:r>
      <w:r w:rsidRPr="0068706C">
        <w:t>su</w:t>
      </w:r>
      <w:r w:rsidRPr="0068706C">
        <w:rPr>
          <w:spacing w:val="-1"/>
        </w:rPr>
        <w:t>e</w:t>
      </w:r>
      <w:r w:rsidRPr="0068706C">
        <w:t>s</w:t>
      </w:r>
      <w:r w:rsidRPr="0068706C">
        <w:rPr>
          <w:spacing w:val="2"/>
        </w:rPr>
        <w:t>h</w:t>
      </w:r>
      <w:r w:rsidRPr="0068706C">
        <w:rPr>
          <w:spacing w:val="-1"/>
        </w:rPr>
        <w:t>më</w:t>
      </w:r>
      <w:r w:rsidRPr="0068706C">
        <w:t>ri</w:t>
      </w:r>
      <w:r w:rsidRPr="0068706C">
        <w:rPr>
          <w:spacing w:val="1"/>
        </w:rPr>
        <w:t>s</w:t>
      </w:r>
      <w:r w:rsidRPr="0068706C">
        <w:t xml:space="preserve">ë dhe ngritjen e shkathtësive për të papunët afatgjatë, të rinjtë, gratë dhe grupet tjera të cenueshme të regjistruar në zyrat e punësimit dhe përgatitjen e tyre për tregun e punës. </w:t>
      </w:r>
      <w:r w:rsidRPr="0068706C">
        <w:rPr>
          <w:spacing w:val="1"/>
        </w:rPr>
        <w:t>M</w:t>
      </w:r>
      <w:r w:rsidRPr="0068706C">
        <w:rPr>
          <w:spacing w:val="-1"/>
        </w:rPr>
        <w:t>a</w:t>
      </w:r>
      <w:r w:rsidRPr="0068706C">
        <w:t>sa</w:t>
      </w:r>
      <w:r w:rsidRPr="0068706C">
        <w:rPr>
          <w:spacing w:val="2"/>
        </w:rPr>
        <w:t xml:space="preserve"> </w:t>
      </w:r>
      <w:r w:rsidRPr="0068706C">
        <w:t>konsi</w:t>
      </w:r>
      <w:r w:rsidRPr="0068706C">
        <w:rPr>
          <w:spacing w:val="1"/>
        </w:rPr>
        <w:t>s</w:t>
      </w:r>
      <w:r w:rsidRPr="0068706C">
        <w:t>ton</w:t>
      </w:r>
      <w:r w:rsidRPr="0068706C">
        <w:rPr>
          <w:spacing w:val="3"/>
        </w:rPr>
        <w:t xml:space="preserve"> </w:t>
      </w:r>
      <w:r w:rsidRPr="0068706C">
        <w:t>kr</w:t>
      </w:r>
      <w:r w:rsidRPr="0068706C">
        <w:rPr>
          <w:spacing w:val="1"/>
        </w:rPr>
        <w:t>y</w:t>
      </w:r>
      <w:r w:rsidRPr="0068706C">
        <w:rPr>
          <w:spacing w:val="-1"/>
        </w:rPr>
        <w:t>e</w:t>
      </w:r>
      <w:r w:rsidRPr="0068706C">
        <w:t>sisht</w:t>
      </w:r>
      <w:r w:rsidRPr="0068706C">
        <w:rPr>
          <w:spacing w:val="1"/>
        </w:rPr>
        <w:t xml:space="preserve"> </w:t>
      </w:r>
      <w:r w:rsidRPr="0068706C">
        <w:t>në</w:t>
      </w:r>
      <w:r w:rsidRPr="0068706C">
        <w:rPr>
          <w:spacing w:val="2"/>
        </w:rPr>
        <w:t xml:space="preserve"> </w:t>
      </w:r>
      <w:r w:rsidRPr="0068706C">
        <w:t>p</w:t>
      </w:r>
      <w:r w:rsidRPr="0068706C">
        <w:rPr>
          <w:spacing w:val="-1"/>
        </w:rPr>
        <w:t>ë</w:t>
      </w:r>
      <w:r w:rsidRPr="0068706C">
        <w:rPr>
          <w:spacing w:val="3"/>
        </w:rPr>
        <w:t>r</w:t>
      </w:r>
      <w:r w:rsidRPr="0068706C">
        <w:rPr>
          <w:spacing w:val="-3"/>
        </w:rPr>
        <w:t>m</w:t>
      </w:r>
      <w:r w:rsidRPr="0068706C">
        <w:t>i</w:t>
      </w:r>
      <w:r w:rsidRPr="0068706C">
        <w:rPr>
          <w:spacing w:val="1"/>
        </w:rPr>
        <w:t>r</w:t>
      </w:r>
      <w:r w:rsidRPr="0068706C">
        <w:rPr>
          <w:spacing w:val="-1"/>
        </w:rPr>
        <w:t>ë</w:t>
      </w:r>
      <w:r w:rsidRPr="0068706C">
        <w:rPr>
          <w:spacing w:val="1"/>
        </w:rPr>
        <w:t>si</w:t>
      </w:r>
      <w:r w:rsidRPr="0068706C">
        <w:rPr>
          <w:spacing w:val="-3"/>
        </w:rPr>
        <w:t>m</w:t>
      </w:r>
      <w:r w:rsidRPr="0068706C">
        <w:t>in</w:t>
      </w:r>
      <w:r w:rsidRPr="0068706C">
        <w:rPr>
          <w:spacing w:val="3"/>
        </w:rPr>
        <w:t xml:space="preserve"> </w:t>
      </w:r>
      <w:r w:rsidRPr="0068706C">
        <w:t>e</w:t>
      </w:r>
      <w:r w:rsidRPr="0068706C">
        <w:rPr>
          <w:spacing w:val="2"/>
        </w:rPr>
        <w:t xml:space="preserve"> </w:t>
      </w:r>
      <w:r w:rsidRPr="0068706C">
        <w:t>sh</w:t>
      </w:r>
      <w:r w:rsidRPr="0068706C">
        <w:rPr>
          <w:spacing w:val="-1"/>
        </w:rPr>
        <w:t>ë</w:t>
      </w:r>
      <w:r w:rsidRPr="0068706C">
        <w:rPr>
          <w:spacing w:val="1"/>
        </w:rPr>
        <w:t>r</w:t>
      </w:r>
      <w:r w:rsidRPr="0068706C">
        <w:t>b</w:t>
      </w:r>
      <w:r w:rsidRPr="0068706C">
        <w:rPr>
          <w:spacing w:val="1"/>
        </w:rPr>
        <w:t>i</w:t>
      </w:r>
      <w:r w:rsidRPr="0068706C">
        <w:rPr>
          <w:spacing w:val="-3"/>
        </w:rPr>
        <w:t>m</w:t>
      </w:r>
      <w:r w:rsidRPr="0068706C">
        <w:t>e</w:t>
      </w:r>
      <w:r w:rsidRPr="0068706C">
        <w:rPr>
          <w:spacing w:val="1"/>
        </w:rPr>
        <w:t>v</w:t>
      </w:r>
      <w:r w:rsidRPr="0068706C">
        <w:t>e</w:t>
      </w:r>
      <w:r w:rsidRPr="0068706C">
        <w:rPr>
          <w:spacing w:val="2"/>
        </w:rPr>
        <w:t xml:space="preserve"> </w:t>
      </w:r>
      <w:r w:rsidRPr="0068706C">
        <w:t>pub</w:t>
      </w:r>
      <w:r w:rsidRPr="0068706C">
        <w:rPr>
          <w:spacing w:val="-1"/>
        </w:rPr>
        <w:t>l</w:t>
      </w:r>
      <w:r w:rsidRPr="0068706C">
        <w:t>ike</w:t>
      </w:r>
      <w:r w:rsidRPr="0068706C">
        <w:rPr>
          <w:spacing w:val="2"/>
        </w:rPr>
        <w:t xml:space="preserve"> </w:t>
      </w:r>
      <w:r w:rsidRPr="0068706C">
        <w:t>të pun</w:t>
      </w:r>
      <w:r w:rsidRPr="0068706C">
        <w:rPr>
          <w:spacing w:val="-1"/>
        </w:rPr>
        <w:t>ë</w:t>
      </w:r>
      <w:r w:rsidRPr="0068706C">
        <w:t>s</w:t>
      </w:r>
      <w:r w:rsidRPr="0068706C">
        <w:rPr>
          <w:spacing w:val="2"/>
        </w:rPr>
        <w:t>i</w:t>
      </w:r>
      <w:r w:rsidRPr="0068706C">
        <w:rPr>
          <w:spacing w:val="-3"/>
        </w:rPr>
        <w:t>m</w:t>
      </w:r>
      <w:r w:rsidRPr="0068706C">
        <w:t xml:space="preserve">it dhe aftësimit profesional </w:t>
      </w:r>
      <w:r w:rsidRPr="0068706C">
        <w:rPr>
          <w:spacing w:val="3"/>
        </w:rPr>
        <w:t xml:space="preserve"> </w:t>
      </w:r>
      <w:r w:rsidRPr="0068706C">
        <w:rPr>
          <w:spacing w:val="1"/>
        </w:rPr>
        <w:t>p</w:t>
      </w:r>
      <w:r w:rsidRPr="0068706C">
        <w:rPr>
          <w:spacing w:val="-1"/>
        </w:rPr>
        <w:t>ë</w:t>
      </w:r>
      <w:r w:rsidRPr="0068706C">
        <w:rPr>
          <w:spacing w:val="3"/>
        </w:rPr>
        <w:t>r</w:t>
      </w:r>
      <w:r w:rsidRPr="0068706C">
        <w:rPr>
          <w:spacing w:val="-3"/>
        </w:rPr>
        <w:t>m</w:t>
      </w:r>
      <w:r w:rsidRPr="0068706C">
        <w:t>es</w:t>
      </w:r>
      <w:r w:rsidRPr="0068706C">
        <w:rPr>
          <w:spacing w:val="3"/>
        </w:rPr>
        <w:t xml:space="preserve"> </w:t>
      </w:r>
      <w:r w:rsidRPr="0068706C">
        <w:t>rish</w:t>
      </w:r>
      <w:r w:rsidRPr="0068706C">
        <w:rPr>
          <w:spacing w:val="-1"/>
        </w:rPr>
        <w:t>i</w:t>
      </w:r>
      <w:r w:rsidRPr="0068706C">
        <w:rPr>
          <w:spacing w:val="1"/>
        </w:rPr>
        <w:t>ki</w:t>
      </w:r>
      <w:r w:rsidRPr="0068706C">
        <w:rPr>
          <w:spacing w:val="-3"/>
        </w:rPr>
        <w:t>m</w:t>
      </w:r>
      <w:r w:rsidRPr="0068706C">
        <w:t>it</w:t>
      </w:r>
      <w:r w:rsidRPr="0068706C">
        <w:rPr>
          <w:spacing w:val="3"/>
        </w:rPr>
        <w:t xml:space="preserve"> </w:t>
      </w:r>
      <w:r w:rsidRPr="0068706C">
        <w:t>të</w:t>
      </w:r>
      <w:r w:rsidRPr="0068706C">
        <w:rPr>
          <w:spacing w:val="2"/>
        </w:rPr>
        <w:t xml:space="preserve"> </w:t>
      </w:r>
      <w:r w:rsidRPr="0068706C">
        <w:t>p</w:t>
      </w:r>
      <w:r w:rsidRPr="0068706C">
        <w:rPr>
          <w:spacing w:val="1"/>
        </w:rPr>
        <w:t>o</w:t>
      </w:r>
      <w:r w:rsidRPr="0068706C">
        <w:t>li</w:t>
      </w:r>
      <w:r w:rsidRPr="0068706C">
        <w:rPr>
          <w:spacing w:val="-1"/>
        </w:rPr>
        <w:t>t</w:t>
      </w:r>
      <w:r w:rsidRPr="0068706C">
        <w:t>ikave</w:t>
      </w:r>
      <w:r w:rsidRPr="0068706C">
        <w:rPr>
          <w:spacing w:val="2"/>
        </w:rPr>
        <w:t xml:space="preserve"> </w:t>
      </w:r>
      <w:r w:rsidRPr="0068706C">
        <w:t>të</w:t>
      </w:r>
      <w:r w:rsidRPr="0068706C">
        <w:rPr>
          <w:spacing w:val="2"/>
        </w:rPr>
        <w:t xml:space="preserve"> </w:t>
      </w:r>
      <w:r w:rsidRPr="0068706C">
        <w:t>pu</w:t>
      </w:r>
      <w:r w:rsidRPr="0068706C">
        <w:rPr>
          <w:spacing w:val="1"/>
        </w:rPr>
        <w:t>n</w:t>
      </w:r>
      <w:r w:rsidRPr="0068706C">
        <w:t>ës</w:t>
      </w:r>
      <w:r w:rsidRPr="0068706C">
        <w:rPr>
          <w:spacing w:val="2"/>
        </w:rPr>
        <w:t>i</w:t>
      </w:r>
      <w:r w:rsidRPr="0068706C">
        <w:rPr>
          <w:spacing w:val="-3"/>
        </w:rPr>
        <w:t>m</w:t>
      </w:r>
      <w:r w:rsidRPr="0068706C">
        <w:t xml:space="preserve">it </w:t>
      </w:r>
      <w:r w:rsidRPr="0068706C">
        <w:rPr>
          <w:spacing w:val="8"/>
        </w:rPr>
        <w:t xml:space="preserve"> </w:t>
      </w:r>
      <w:r w:rsidRPr="0068706C">
        <w:rPr>
          <w:spacing w:val="-3"/>
        </w:rPr>
        <w:t>m</w:t>
      </w:r>
      <w:r w:rsidRPr="0068706C">
        <w:t>e</w:t>
      </w:r>
      <w:r w:rsidRPr="0068706C">
        <w:rPr>
          <w:spacing w:val="2"/>
        </w:rPr>
        <w:t xml:space="preserve"> </w:t>
      </w:r>
      <w:r w:rsidRPr="0068706C">
        <w:t>s</w:t>
      </w:r>
      <w:r w:rsidRPr="0068706C">
        <w:rPr>
          <w:spacing w:val="1"/>
        </w:rPr>
        <w:t>y</w:t>
      </w:r>
      <w:r w:rsidRPr="0068706C">
        <w:t>n</w:t>
      </w:r>
      <w:r w:rsidRPr="0068706C">
        <w:rPr>
          <w:spacing w:val="1"/>
        </w:rPr>
        <w:t>i</w:t>
      </w:r>
      <w:r w:rsidRPr="0068706C">
        <w:t>m</w:t>
      </w:r>
      <w:r w:rsidRPr="0068706C">
        <w:rPr>
          <w:spacing w:val="-1"/>
        </w:rPr>
        <w:t xml:space="preserve"> </w:t>
      </w:r>
      <w:r w:rsidRPr="0068706C">
        <w:t>ng</w:t>
      </w:r>
      <w:r w:rsidRPr="0068706C">
        <w:rPr>
          <w:spacing w:val="1"/>
        </w:rPr>
        <w:t>r</w:t>
      </w:r>
      <w:r w:rsidRPr="0068706C">
        <w:t>it</w:t>
      </w:r>
      <w:r w:rsidRPr="0068706C">
        <w:rPr>
          <w:spacing w:val="-1"/>
        </w:rPr>
        <w:t>je</w:t>
      </w:r>
      <w:r w:rsidRPr="0068706C">
        <w:t>n</w:t>
      </w:r>
      <w:r w:rsidRPr="0068706C">
        <w:rPr>
          <w:spacing w:val="3"/>
        </w:rPr>
        <w:t xml:space="preserve"> </w:t>
      </w:r>
      <w:r w:rsidRPr="0068706C">
        <w:t>e</w:t>
      </w:r>
      <w:r w:rsidRPr="0068706C">
        <w:rPr>
          <w:spacing w:val="2"/>
        </w:rPr>
        <w:t xml:space="preserve"> </w:t>
      </w:r>
      <w:r w:rsidRPr="0068706C">
        <w:rPr>
          <w:spacing w:val="-1"/>
        </w:rPr>
        <w:t>e</w:t>
      </w:r>
      <w:r w:rsidRPr="0068706C">
        <w:t>fekts</w:t>
      </w:r>
      <w:r w:rsidRPr="0068706C">
        <w:rPr>
          <w:spacing w:val="2"/>
        </w:rPr>
        <w:t>h</w:t>
      </w:r>
      <w:r w:rsidRPr="0068706C">
        <w:rPr>
          <w:spacing w:val="-3"/>
        </w:rPr>
        <w:t>m</w:t>
      </w:r>
      <w:r w:rsidRPr="0068706C">
        <w:rPr>
          <w:spacing w:val="1"/>
        </w:rPr>
        <w:t>ë</w:t>
      </w:r>
      <w:r w:rsidRPr="0068706C">
        <w:t>risë</w:t>
      </w:r>
      <w:r w:rsidRPr="0068706C">
        <w:rPr>
          <w:spacing w:val="10"/>
        </w:rPr>
        <w:t xml:space="preserve"> </w:t>
      </w:r>
      <w:r w:rsidRPr="0068706C">
        <w:rPr>
          <w:spacing w:val="2"/>
        </w:rPr>
        <w:t>s</w:t>
      </w:r>
      <w:r w:rsidRPr="0068706C">
        <w:t xml:space="preserve">ë </w:t>
      </w:r>
      <w:r w:rsidRPr="0068706C">
        <w:rPr>
          <w:spacing w:val="-2"/>
        </w:rPr>
        <w:t>m</w:t>
      </w:r>
      <w:r w:rsidRPr="0068706C">
        <w:t>a</w:t>
      </w:r>
      <w:r w:rsidRPr="0068706C">
        <w:rPr>
          <w:spacing w:val="1"/>
        </w:rPr>
        <w:t>s</w:t>
      </w:r>
      <w:r w:rsidRPr="0068706C">
        <w:rPr>
          <w:spacing w:val="-1"/>
        </w:rPr>
        <w:t>a</w:t>
      </w:r>
      <w:r w:rsidRPr="0068706C">
        <w:rPr>
          <w:spacing w:val="1"/>
        </w:rPr>
        <w:t>v</w:t>
      </w:r>
      <w:r w:rsidRPr="0068706C">
        <w:t>e</w:t>
      </w:r>
      <w:r w:rsidRPr="0068706C">
        <w:rPr>
          <w:spacing w:val="1"/>
        </w:rPr>
        <w:t xml:space="preserve"> </w:t>
      </w:r>
      <w:r w:rsidRPr="0068706C">
        <w:rPr>
          <w:spacing w:val="-1"/>
        </w:rPr>
        <w:t>a</w:t>
      </w:r>
      <w:r w:rsidRPr="0068706C">
        <w:rPr>
          <w:spacing w:val="1"/>
        </w:rPr>
        <w:t>k</w:t>
      </w:r>
      <w:r w:rsidRPr="0068706C">
        <w:t>tive</w:t>
      </w:r>
      <w:r w:rsidRPr="0068706C">
        <w:rPr>
          <w:spacing w:val="1"/>
        </w:rPr>
        <w:t xml:space="preserve"> </w:t>
      </w:r>
      <w:r w:rsidRPr="0068706C">
        <w:t>të</w:t>
      </w:r>
      <w:r w:rsidRPr="0068706C">
        <w:rPr>
          <w:spacing w:val="1"/>
        </w:rPr>
        <w:t xml:space="preserve"> </w:t>
      </w:r>
      <w:r w:rsidRPr="0068706C">
        <w:t>tr</w:t>
      </w:r>
      <w:r w:rsidRPr="0068706C">
        <w:rPr>
          <w:spacing w:val="-1"/>
        </w:rPr>
        <w:t>e</w:t>
      </w:r>
      <w:r w:rsidRPr="0068706C">
        <w:t>g</w:t>
      </w:r>
      <w:r w:rsidRPr="0068706C">
        <w:rPr>
          <w:spacing w:val="1"/>
        </w:rPr>
        <w:t>u</w:t>
      </w:r>
      <w:r w:rsidRPr="0068706C">
        <w:t>t</w:t>
      </w:r>
      <w:r w:rsidRPr="0068706C">
        <w:rPr>
          <w:spacing w:val="1"/>
        </w:rPr>
        <w:t xml:space="preserve"> </w:t>
      </w:r>
      <w:r w:rsidRPr="0068706C">
        <w:t>të</w:t>
      </w:r>
      <w:r w:rsidRPr="0068706C">
        <w:rPr>
          <w:spacing w:val="1"/>
        </w:rPr>
        <w:t xml:space="preserve"> </w:t>
      </w:r>
      <w:r w:rsidRPr="0068706C">
        <w:t>pun</w:t>
      </w:r>
      <w:r w:rsidRPr="0068706C">
        <w:rPr>
          <w:spacing w:val="-1"/>
        </w:rPr>
        <w:t>ë</w:t>
      </w:r>
      <w:r w:rsidRPr="0068706C">
        <w:t>s</w:t>
      </w:r>
      <w:r w:rsidRPr="0068706C">
        <w:rPr>
          <w:spacing w:val="2"/>
        </w:rPr>
        <w:t xml:space="preserve"> </w:t>
      </w:r>
      <w:r w:rsidRPr="0068706C">
        <w:t>d</w:t>
      </w:r>
      <w:r w:rsidRPr="0068706C">
        <w:rPr>
          <w:spacing w:val="1"/>
        </w:rPr>
        <w:t>h</w:t>
      </w:r>
      <w:r w:rsidRPr="0068706C">
        <w:t>e</w:t>
      </w:r>
      <w:r w:rsidRPr="0068706C">
        <w:rPr>
          <w:spacing w:val="1"/>
        </w:rPr>
        <w:t xml:space="preserve"> </w:t>
      </w:r>
      <w:r w:rsidRPr="0068706C">
        <w:t>p</w:t>
      </w:r>
      <w:r w:rsidRPr="0068706C">
        <w:rPr>
          <w:spacing w:val="-1"/>
        </w:rPr>
        <w:t>i</w:t>
      </w:r>
      <w:r w:rsidRPr="0068706C">
        <w:t>lot</w:t>
      </w:r>
      <w:r w:rsidRPr="0068706C">
        <w:rPr>
          <w:spacing w:val="1"/>
        </w:rPr>
        <w:t>i</w:t>
      </w:r>
      <w:r w:rsidRPr="0068706C">
        <w:rPr>
          <w:spacing w:val="-3"/>
        </w:rPr>
        <w:t>m</w:t>
      </w:r>
      <w:r w:rsidRPr="0068706C">
        <w:t>in</w:t>
      </w:r>
      <w:r w:rsidRPr="0068706C">
        <w:rPr>
          <w:spacing w:val="4"/>
        </w:rPr>
        <w:t xml:space="preserve"> </w:t>
      </w:r>
      <w:r w:rsidRPr="0068706C">
        <w:t>e</w:t>
      </w:r>
      <w:r w:rsidRPr="0068706C">
        <w:rPr>
          <w:spacing w:val="2"/>
        </w:rPr>
        <w:t xml:space="preserve"> </w:t>
      </w:r>
      <w:r w:rsidRPr="0068706C">
        <w:t>n</w:t>
      </w:r>
      <w:r w:rsidRPr="0068706C">
        <w:rPr>
          <w:spacing w:val="-1"/>
        </w:rPr>
        <w:t>ë</w:t>
      </w:r>
      <w:r w:rsidRPr="0068706C">
        <w:t>n</w:t>
      </w:r>
      <w:r w:rsidRPr="0068706C">
        <w:rPr>
          <w:spacing w:val="2"/>
        </w:rPr>
        <w:t xml:space="preserve"> </w:t>
      </w:r>
      <w:r w:rsidRPr="0068706C">
        <w:t>kon</w:t>
      </w:r>
      <w:r w:rsidRPr="0068706C">
        <w:rPr>
          <w:spacing w:val="-1"/>
        </w:rPr>
        <w:t>t</w:t>
      </w:r>
      <w:r w:rsidRPr="0068706C">
        <w:t>rakt</w:t>
      </w:r>
      <w:r w:rsidRPr="0068706C">
        <w:rPr>
          <w:spacing w:val="2"/>
        </w:rPr>
        <w:t>i</w:t>
      </w:r>
      <w:r w:rsidRPr="0068706C">
        <w:rPr>
          <w:spacing w:val="-3"/>
        </w:rPr>
        <w:t>m</w:t>
      </w:r>
      <w:r w:rsidRPr="0068706C">
        <w:t>it</w:t>
      </w:r>
      <w:r w:rsidRPr="0068706C">
        <w:rPr>
          <w:spacing w:val="3"/>
        </w:rPr>
        <w:t xml:space="preserve"> </w:t>
      </w:r>
      <w:r w:rsidRPr="0068706C">
        <w:t>të prog</w:t>
      </w:r>
      <w:r w:rsidRPr="0068706C">
        <w:rPr>
          <w:spacing w:val="1"/>
        </w:rPr>
        <w:t>ra</w:t>
      </w:r>
      <w:r w:rsidRPr="0068706C">
        <w:rPr>
          <w:spacing w:val="-3"/>
        </w:rPr>
        <w:t>m</w:t>
      </w:r>
      <w:r w:rsidRPr="0068706C">
        <w:t>e</w:t>
      </w:r>
      <w:r w:rsidRPr="0068706C">
        <w:rPr>
          <w:spacing w:val="1"/>
        </w:rPr>
        <w:t>v</w:t>
      </w:r>
      <w:r w:rsidRPr="0068706C">
        <w:t>e</w:t>
      </w:r>
      <w:r w:rsidRPr="0068706C">
        <w:rPr>
          <w:spacing w:val="1"/>
        </w:rPr>
        <w:t xml:space="preserve"> </w:t>
      </w:r>
      <w:r w:rsidRPr="0068706C">
        <w:t>të</w:t>
      </w:r>
      <w:r w:rsidRPr="0068706C">
        <w:rPr>
          <w:spacing w:val="1"/>
        </w:rPr>
        <w:t xml:space="preserve"> </w:t>
      </w:r>
      <w:r w:rsidRPr="0068706C">
        <w:rPr>
          <w:spacing w:val="-1"/>
        </w:rPr>
        <w:t>a</w:t>
      </w:r>
      <w:r w:rsidRPr="0068706C">
        <w:rPr>
          <w:spacing w:val="1"/>
        </w:rPr>
        <w:t>f</w:t>
      </w:r>
      <w:r w:rsidRPr="0068706C">
        <w:t>tës</w:t>
      </w:r>
      <w:r w:rsidRPr="0068706C">
        <w:rPr>
          <w:spacing w:val="1"/>
        </w:rPr>
        <w:t>i</w:t>
      </w:r>
      <w:r w:rsidRPr="0068706C">
        <w:rPr>
          <w:spacing w:val="-3"/>
        </w:rPr>
        <w:t>m</w:t>
      </w:r>
      <w:r w:rsidRPr="0068706C">
        <w:rPr>
          <w:spacing w:val="1"/>
        </w:rPr>
        <w:t>i</w:t>
      </w:r>
      <w:r w:rsidRPr="0068706C">
        <w:t>t pro</w:t>
      </w:r>
      <w:r w:rsidRPr="0068706C">
        <w:rPr>
          <w:spacing w:val="1"/>
        </w:rPr>
        <w:t>f</w:t>
      </w:r>
      <w:r w:rsidRPr="0068706C">
        <w:rPr>
          <w:spacing w:val="-1"/>
        </w:rPr>
        <w:t>e</w:t>
      </w:r>
      <w:r w:rsidRPr="0068706C">
        <w:t>sional</w:t>
      </w:r>
      <w:r w:rsidRPr="0068706C">
        <w:rPr>
          <w:spacing w:val="1"/>
        </w:rPr>
        <w:t xml:space="preserve"> </w:t>
      </w:r>
      <w:r w:rsidRPr="0068706C">
        <w:t>p</w:t>
      </w:r>
      <w:r w:rsidRPr="0068706C">
        <w:rPr>
          <w:spacing w:val="-1"/>
        </w:rPr>
        <w:t>ë</w:t>
      </w:r>
      <w:r w:rsidRPr="0068706C">
        <w:rPr>
          <w:spacing w:val="3"/>
        </w:rPr>
        <w:t>r</w:t>
      </w:r>
      <w:r w:rsidRPr="0068706C">
        <w:rPr>
          <w:spacing w:val="-3"/>
        </w:rPr>
        <w:t>m</w:t>
      </w:r>
      <w:r w:rsidRPr="0068706C">
        <w:t>es</w:t>
      </w:r>
      <w:r w:rsidRPr="0068706C">
        <w:rPr>
          <w:spacing w:val="2"/>
        </w:rPr>
        <w:t xml:space="preserve"> </w:t>
      </w:r>
      <w:r w:rsidRPr="0068706C">
        <w:t>of</w:t>
      </w:r>
      <w:r w:rsidRPr="0068706C">
        <w:rPr>
          <w:spacing w:val="1"/>
        </w:rPr>
        <w:t>r</w:t>
      </w:r>
      <w:r w:rsidRPr="0068706C">
        <w:rPr>
          <w:spacing w:val="-1"/>
        </w:rPr>
        <w:t>ue</w:t>
      </w:r>
      <w:r w:rsidRPr="0068706C">
        <w:t>sve</w:t>
      </w:r>
      <w:r w:rsidRPr="0068706C">
        <w:rPr>
          <w:spacing w:val="1"/>
        </w:rPr>
        <w:t xml:space="preserve"> </w:t>
      </w:r>
      <w:r w:rsidRPr="0068706C">
        <w:t>pri</w:t>
      </w:r>
      <w:r w:rsidRPr="0068706C">
        <w:rPr>
          <w:spacing w:val="1"/>
        </w:rPr>
        <w:t>v</w:t>
      </w:r>
      <w:r w:rsidRPr="0068706C">
        <w:rPr>
          <w:spacing w:val="-1"/>
        </w:rPr>
        <w:t>a</w:t>
      </w:r>
      <w:r w:rsidRPr="0068706C">
        <w:t xml:space="preserve">të dhe hapjen e profileve të reja në harmoni me kërkesat e tregut të punës. Dizajnimi i masës është bërë në kontekstin e situatës me pandeminë Covid 19. </w:t>
      </w:r>
    </w:p>
    <w:p w14:paraId="27F8770B" w14:textId="6D5F667C" w:rsidR="00CE4035" w:rsidRDefault="00CE4035" w:rsidP="00CE4035">
      <w:pPr>
        <w:autoSpaceDE w:val="0"/>
        <w:autoSpaceDN w:val="0"/>
        <w:adjustRightInd w:val="0"/>
        <w:spacing w:before="70"/>
        <w:ind w:right="58"/>
        <w:jc w:val="both"/>
      </w:pPr>
      <w:r w:rsidRPr="0068706C">
        <w:t>M</w:t>
      </w:r>
      <w:r w:rsidRPr="0068706C">
        <w:rPr>
          <w:spacing w:val="-1"/>
        </w:rPr>
        <w:t>a</w:t>
      </w:r>
      <w:r w:rsidRPr="0068706C">
        <w:t>sa</w:t>
      </w:r>
      <w:r w:rsidRPr="0068706C">
        <w:rPr>
          <w:spacing w:val="3"/>
        </w:rPr>
        <w:t xml:space="preserve"> </w:t>
      </w:r>
      <w:r w:rsidRPr="0068706C">
        <w:rPr>
          <w:spacing w:val="-3"/>
        </w:rPr>
        <w:t>m</w:t>
      </w:r>
      <w:r w:rsidRPr="0068706C">
        <w:rPr>
          <w:spacing w:val="1"/>
        </w:rPr>
        <w:t>b</w:t>
      </w:r>
      <w:r w:rsidRPr="0068706C">
        <w:t>ështetet në</w:t>
      </w:r>
      <w:r w:rsidRPr="0068706C">
        <w:rPr>
          <w:spacing w:val="1"/>
        </w:rPr>
        <w:t xml:space="preserve"> d</w:t>
      </w:r>
      <w:r w:rsidRPr="0068706C">
        <w:t>isa dok</w:t>
      </w:r>
      <w:r w:rsidRPr="0068706C">
        <w:rPr>
          <w:spacing w:val="2"/>
        </w:rPr>
        <w:t>u</w:t>
      </w:r>
      <w:r w:rsidRPr="0068706C">
        <w:rPr>
          <w:spacing w:val="-3"/>
        </w:rPr>
        <w:t>m</w:t>
      </w:r>
      <w:r w:rsidRPr="0068706C">
        <w:rPr>
          <w:spacing w:val="1"/>
        </w:rPr>
        <w:t>e</w:t>
      </w:r>
      <w:r w:rsidRPr="0068706C">
        <w:t>n</w:t>
      </w:r>
      <w:r w:rsidRPr="0068706C">
        <w:rPr>
          <w:spacing w:val="-1"/>
        </w:rPr>
        <w:t>t</w:t>
      </w:r>
      <w:r w:rsidRPr="0068706C">
        <w:t>e</w:t>
      </w:r>
      <w:r w:rsidRPr="0068706C">
        <w:rPr>
          <w:spacing w:val="1"/>
        </w:rPr>
        <w:t xml:space="preserve"> </w:t>
      </w:r>
      <w:r w:rsidRPr="0068706C">
        <w:t>st</w:t>
      </w:r>
      <w:r w:rsidRPr="0068706C">
        <w:rPr>
          <w:spacing w:val="1"/>
        </w:rPr>
        <w:t>r</w:t>
      </w:r>
      <w:r w:rsidRPr="0068706C">
        <w:rPr>
          <w:spacing w:val="-1"/>
        </w:rPr>
        <w:t>a</w:t>
      </w:r>
      <w:r w:rsidRPr="0068706C">
        <w:t>tegjike,</w:t>
      </w:r>
      <w:r w:rsidRPr="0068706C">
        <w:rPr>
          <w:spacing w:val="1"/>
        </w:rPr>
        <w:t xml:space="preserve"> s</w:t>
      </w:r>
      <w:r w:rsidRPr="0068706C">
        <w:t xml:space="preserve">i </w:t>
      </w:r>
      <w:r w:rsidRPr="0068706C">
        <w:rPr>
          <w:spacing w:val="-15"/>
        </w:rPr>
        <w:t xml:space="preserve">Programin e Qeverisë, </w:t>
      </w:r>
      <w:r w:rsidRPr="0068706C">
        <w:rPr>
          <w:spacing w:val="1"/>
        </w:rPr>
        <w:t>S</w:t>
      </w:r>
      <w:r w:rsidRPr="0068706C">
        <w:t>tr</w:t>
      </w:r>
      <w:r w:rsidRPr="0068706C">
        <w:rPr>
          <w:spacing w:val="-1"/>
        </w:rPr>
        <w:t>a</w:t>
      </w:r>
      <w:r w:rsidRPr="0068706C">
        <w:t>t</w:t>
      </w:r>
      <w:r w:rsidRPr="0068706C">
        <w:rPr>
          <w:spacing w:val="-2"/>
        </w:rPr>
        <w:t>e</w:t>
      </w:r>
      <w:r w:rsidRPr="0068706C">
        <w:rPr>
          <w:spacing w:val="1"/>
        </w:rPr>
        <w:t>g</w:t>
      </w:r>
      <w:r w:rsidRPr="0068706C">
        <w:t>jinë</w:t>
      </w:r>
      <w:r w:rsidRPr="0068706C">
        <w:rPr>
          <w:spacing w:val="-14"/>
        </w:rPr>
        <w:t xml:space="preserve"> </w:t>
      </w:r>
      <w:r w:rsidRPr="0068706C">
        <w:t>K</w:t>
      </w:r>
      <w:r w:rsidRPr="0068706C">
        <w:rPr>
          <w:spacing w:val="2"/>
        </w:rPr>
        <w:t>o</w:t>
      </w:r>
      <w:r w:rsidRPr="0068706C">
        <w:rPr>
          <w:spacing w:val="-3"/>
        </w:rPr>
        <w:t>m</w:t>
      </w:r>
      <w:r w:rsidRPr="0068706C">
        <w:rPr>
          <w:spacing w:val="1"/>
        </w:rPr>
        <w:t>b</w:t>
      </w:r>
      <w:r w:rsidRPr="0068706C">
        <w:rPr>
          <w:spacing w:val="-1"/>
        </w:rPr>
        <w:t>ë</w:t>
      </w:r>
      <w:r w:rsidRPr="0068706C">
        <w:t>tare</w:t>
      </w:r>
      <w:r w:rsidRPr="0068706C">
        <w:rPr>
          <w:spacing w:val="-14"/>
        </w:rPr>
        <w:t xml:space="preserve"> </w:t>
      </w:r>
      <w:r w:rsidRPr="0068706C">
        <w:t>për</w:t>
      </w:r>
      <w:r w:rsidRPr="0068706C">
        <w:rPr>
          <w:spacing w:val="-15"/>
        </w:rPr>
        <w:t xml:space="preserve"> </w:t>
      </w:r>
      <w:r w:rsidRPr="0068706C">
        <w:t>Zh</w:t>
      </w:r>
      <w:r w:rsidRPr="0068706C">
        <w:rPr>
          <w:spacing w:val="1"/>
        </w:rPr>
        <w:t>v</w:t>
      </w:r>
      <w:r w:rsidRPr="0068706C">
        <w:t>il</w:t>
      </w:r>
      <w:r w:rsidRPr="0068706C">
        <w:rPr>
          <w:spacing w:val="-1"/>
        </w:rPr>
        <w:t>l</w:t>
      </w:r>
      <w:r w:rsidRPr="0068706C">
        <w:rPr>
          <w:spacing w:val="1"/>
        </w:rPr>
        <w:t>i</w:t>
      </w:r>
      <w:r w:rsidRPr="0068706C">
        <w:rPr>
          <w:spacing w:val="-3"/>
        </w:rPr>
        <w:t>m</w:t>
      </w:r>
      <w:r w:rsidRPr="0068706C">
        <w:t>,</w:t>
      </w:r>
      <w:r w:rsidRPr="0068706C">
        <w:rPr>
          <w:spacing w:val="-13"/>
        </w:rPr>
        <w:t xml:space="preserve"> </w:t>
      </w:r>
      <w:r w:rsidRPr="0068706C">
        <w:rPr>
          <w:spacing w:val="1"/>
        </w:rPr>
        <w:t>S</w:t>
      </w:r>
      <w:r w:rsidRPr="0068706C">
        <w:t>tr</w:t>
      </w:r>
      <w:r w:rsidRPr="0068706C">
        <w:rPr>
          <w:spacing w:val="-1"/>
        </w:rPr>
        <w:t>a</w:t>
      </w:r>
      <w:r w:rsidRPr="0068706C">
        <w:t>tegj</w:t>
      </w:r>
      <w:r w:rsidRPr="0068706C">
        <w:rPr>
          <w:spacing w:val="-1"/>
        </w:rPr>
        <w:t>i</w:t>
      </w:r>
      <w:r w:rsidRPr="0068706C">
        <w:rPr>
          <w:spacing w:val="3"/>
        </w:rPr>
        <w:t>n</w:t>
      </w:r>
      <w:r w:rsidRPr="0068706C">
        <w:t>ë</w:t>
      </w:r>
      <w:r w:rsidRPr="0068706C">
        <w:rPr>
          <w:spacing w:val="-14"/>
        </w:rPr>
        <w:t xml:space="preserve"> </w:t>
      </w:r>
      <w:r w:rsidRPr="0068706C">
        <w:rPr>
          <w:spacing w:val="1"/>
        </w:rPr>
        <w:t>S</w:t>
      </w:r>
      <w:r w:rsidRPr="0068706C">
        <w:rPr>
          <w:spacing w:val="-1"/>
        </w:rPr>
        <w:t>e</w:t>
      </w:r>
      <w:r w:rsidRPr="0068706C">
        <w:t>k</w:t>
      </w:r>
      <w:r w:rsidRPr="0068706C">
        <w:rPr>
          <w:spacing w:val="-1"/>
        </w:rPr>
        <w:t>t</w:t>
      </w:r>
      <w:r w:rsidRPr="0068706C">
        <w:t>oriale</w:t>
      </w:r>
      <w:r w:rsidRPr="0068706C">
        <w:rPr>
          <w:spacing w:val="-15"/>
        </w:rPr>
        <w:t xml:space="preserve"> </w:t>
      </w:r>
      <w:r w:rsidRPr="0068706C">
        <w:rPr>
          <w:spacing w:val="1"/>
        </w:rPr>
        <w:t>t</w:t>
      </w:r>
      <w:r w:rsidRPr="0068706C">
        <w:t>ë</w:t>
      </w:r>
      <w:r w:rsidRPr="0068706C">
        <w:rPr>
          <w:spacing w:val="-14"/>
        </w:rPr>
        <w:t xml:space="preserve"> </w:t>
      </w:r>
      <w:r w:rsidRPr="0068706C">
        <w:t>M</w:t>
      </w:r>
      <w:r w:rsidRPr="0068706C">
        <w:rPr>
          <w:spacing w:val="1"/>
        </w:rPr>
        <w:t>P</w:t>
      </w:r>
      <w:r w:rsidRPr="0068706C">
        <w:rPr>
          <w:spacing w:val="-1"/>
        </w:rPr>
        <w:t>M</w:t>
      </w:r>
      <w:r w:rsidRPr="0068706C">
        <w:rPr>
          <w:spacing w:val="2"/>
        </w:rPr>
        <w:t>S</w:t>
      </w:r>
      <w:r w:rsidRPr="0068706C">
        <w:t>-së</w:t>
      </w:r>
      <w:r w:rsidRPr="0068706C">
        <w:rPr>
          <w:spacing w:val="-15"/>
        </w:rPr>
        <w:t xml:space="preserve">  dhe </w:t>
      </w:r>
      <w:r w:rsidRPr="0068706C">
        <w:t>Planin e Veprimit për Punësimin e të Rinjve. M</w:t>
      </w:r>
      <w:r w:rsidRPr="0068706C">
        <w:rPr>
          <w:spacing w:val="-1"/>
        </w:rPr>
        <w:t>a</w:t>
      </w:r>
      <w:r w:rsidRPr="0068706C">
        <w:rPr>
          <w:spacing w:val="1"/>
        </w:rPr>
        <w:t>s</w:t>
      </w:r>
      <w:r w:rsidRPr="0068706C">
        <w:t xml:space="preserve">a </w:t>
      </w:r>
      <w:r w:rsidRPr="0068706C">
        <w:rPr>
          <w:spacing w:val="-1"/>
        </w:rPr>
        <w:t>ë</w:t>
      </w:r>
      <w:r w:rsidRPr="0068706C">
        <w:t>shtë</w:t>
      </w:r>
      <w:r w:rsidRPr="0068706C">
        <w:rPr>
          <w:spacing w:val="1"/>
        </w:rPr>
        <w:t xml:space="preserve"> </w:t>
      </w:r>
      <w:r w:rsidRPr="0068706C">
        <w:t>fo</w:t>
      </w:r>
      <w:r w:rsidRPr="0068706C">
        <w:rPr>
          <w:spacing w:val="2"/>
        </w:rPr>
        <w:t>r</w:t>
      </w:r>
      <w:r w:rsidRPr="0068706C">
        <w:rPr>
          <w:spacing w:val="-3"/>
        </w:rPr>
        <w:t>m</w:t>
      </w:r>
      <w:r w:rsidRPr="0068706C">
        <w:rPr>
          <w:spacing w:val="1"/>
        </w:rPr>
        <w:t>u</w:t>
      </w:r>
      <w:r w:rsidRPr="0068706C">
        <w:t>l</w:t>
      </w:r>
      <w:r w:rsidRPr="0068706C">
        <w:rPr>
          <w:spacing w:val="-1"/>
        </w:rPr>
        <w:t>ua</w:t>
      </w:r>
      <w:r w:rsidRPr="0068706C">
        <w:t>r</w:t>
      </w:r>
      <w:r w:rsidRPr="0068706C">
        <w:rPr>
          <w:spacing w:val="2"/>
        </w:rPr>
        <w:t xml:space="preserve"> </w:t>
      </w:r>
      <w:r w:rsidRPr="0068706C">
        <w:t>si p</w:t>
      </w:r>
      <w:r w:rsidRPr="0068706C">
        <w:rPr>
          <w:spacing w:val="-1"/>
        </w:rPr>
        <w:t>ë</w:t>
      </w:r>
      <w:r w:rsidRPr="0068706C">
        <w:t>rgj</w:t>
      </w:r>
      <w:r w:rsidRPr="0068706C">
        <w:rPr>
          <w:spacing w:val="-1"/>
        </w:rPr>
        <w:t>i</w:t>
      </w:r>
      <w:r w:rsidRPr="0068706C">
        <w:rPr>
          <w:spacing w:val="1"/>
        </w:rPr>
        <w:t>g</w:t>
      </w:r>
      <w:r w:rsidRPr="0068706C">
        <w:t>je nd</w:t>
      </w:r>
      <w:r w:rsidRPr="0068706C">
        <w:rPr>
          <w:spacing w:val="-1"/>
        </w:rPr>
        <w:t>a</w:t>
      </w:r>
      <w:r w:rsidRPr="0068706C">
        <w:t xml:space="preserve">j </w:t>
      </w:r>
      <w:r w:rsidRPr="0068706C">
        <w:rPr>
          <w:spacing w:val="1"/>
        </w:rPr>
        <w:t>p</w:t>
      </w:r>
      <w:r w:rsidRPr="0068706C">
        <w:rPr>
          <w:spacing w:val="-1"/>
        </w:rPr>
        <w:t>e</w:t>
      </w:r>
      <w:r w:rsidRPr="0068706C">
        <w:t>ng</w:t>
      </w:r>
      <w:r w:rsidRPr="0068706C">
        <w:rPr>
          <w:spacing w:val="-1"/>
        </w:rPr>
        <w:t>e</w:t>
      </w:r>
      <w:r w:rsidRPr="0068706C">
        <w:rPr>
          <w:spacing w:val="1"/>
        </w:rPr>
        <w:t>s</w:t>
      </w:r>
      <w:r w:rsidRPr="0068706C">
        <w:rPr>
          <w:spacing w:val="-1"/>
        </w:rPr>
        <w:t>a</w:t>
      </w:r>
      <w:r w:rsidRPr="0068706C">
        <w:rPr>
          <w:spacing w:val="1"/>
        </w:rPr>
        <w:t>v</w:t>
      </w:r>
      <w:r w:rsidRPr="0068706C">
        <w:t xml:space="preserve">e strukturore </w:t>
      </w:r>
      <w:r w:rsidRPr="0068706C">
        <w:rPr>
          <w:spacing w:val="1"/>
        </w:rPr>
        <w:t>q</w:t>
      </w:r>
      <w:r w:rsidRPr="0068706C">
        <w:t>ë l</w:t>
      </w:r>
      <w:r w:rsidRPr="0068706C">
        <w:rPr>
          <w:spacing w:val="-1"/>
        </w:rPr>
        <w:t>i</w:t>
      </w:r>
      <w:r w:rsidRPr="0068706C">
        <w:t>d</w:t>
      </w:r>
      <w:r w:rsidRPr="0068706C">
        <w:rPr>
          <w:spacing w:val="1"/>
        </w:rPr>
        <w:t>h</w:t>
      </w:r>
      <w:r w:rsidRPr="0068706C">
        <w:rPr>
          <w:spacing w:val="-1"/>
        </w:rPr>
        <w:t>e</w:t>
      </w:r>
      <w:r w:rsidRPr="0068706C">
        <w:t>n</w:t>
      </w:r>
      <w:r w:rsidRPr="0068706C">
        <w:rPr>
          <w:spacing w:val="4"/>
        </w:rPr>
        <w:t xml:space="preserve"> </w:t>
      </w:r>
      <w:r w:rsidRPr="0068706C">
        <w:rPr>
          <w:spacing w:val="-3"/>
        </w:rPr>
        <w:t>m</w:t>
      </w:r>
      <w:r w:rsidRPr="0068706C">
        <w:t>e</w:t>
      </w:r>
      <w:r w:rsidRPr="0068706C">
        <w:rPr>
          <w:spacing w:val="1"/>
        </w:rPr>
        <w:t xml:space="preserve"> b</w:t>
      </w:r>
      <w:r w:rsidRPr="0068706C">
        <w:t>rish</w:t>
      </w:r>
      <w:r w:rsidRPr="0068706C">
        <w:rPr>
          <w:spacing w:val="-1"/>
        </w:rPr>
        <w:t>të</w:t>
      </w:r>
      <w:r w:rsidRPr="0068706C">
        <w:rPr>
          <w:spacing w:val="1"/>
        </w:rPr>
        <w:t>s</w:t>
      </w:r>
      <w:r w:rsidRPr="0068706C">
        <w:t>i</w:t>
      </w:r>
      <w:r w:rsidRPr="0068706C">
        <w:rPr>
          <w:spacing w:val="-1"/>
        </w:rPr>
        <w:t>n</w:t>
      </w:r>
      <w:r w:rsidRPr="0068706C">
        <w:t>ë</w:t>
      </w:r>
      <w:r w:rsidRPr="0068706C">
        <w:rPr>
          <w:spacing w:val="1"/>
        </w:rPr>
        <w:t xml:space="preserve"> d</w:t>
      </w:r>
      <w:r w:rsidRPr="0068706C">
        <w:t xml:space="preserve">he </w:t>
      </w:r>
      <w:r w:rsidRPr="0068706C">
        <w:rPr>
          <w:spacing w:val="1"/>
        </w:rPr>
        <w:t>k</w:t>
      </w:r>
      <w:r w:rsidRPr="0068706C">
        <w:rPr>
          <w:spacing w:val="-1"/>
        </w:rPr>
        <w:t>a</w:t>
      </w:r>
      <w:r w:rsidRPr="0068706C">
        <w:t>pacite</w:t>
      </w:r>
      <w:r w:rsidRPr="0068706C">
        <w:rPr>
          <w:spacing w:val="1"/>
        </w:rPr>
        <w:t>t</w:t>
      </w:r>
      <w:r w:rsidRPr="0068706C">
        <w:rPr>
          <w:spacing w:val="-1"/>
        </w:rPr>
        <w:t>e</w:t>
      </w:r>
      <w:r w:rsidRPr="0068706C">
        <w:t>t</w:t>
      </w:r>
      <w:r w:rsidRPr="0068706C">
        <w:rPr>
          <w:spacing w:val="2"/>
        </w:rPr>
        <w:t xml:space="preserve"> </w:t>
      </w:r>
      <w:r w:rsidRPr="0068706C">
        <w:t>e kuf</w:t>
      </w:r>
      <w:r w:rsidRPr="0068706C">
        <w:rPr>
          <w:spacing w:val="1"/>
        </w:rPr>
        <w:t>i</w:t>
      </w:r>
      <w:r w:rsidRPr="0068706C">
        <w:rPr>
          <w:spacing w:val="-1"/>
        </w:rPr>
        <w:t>z</w:t>
      </w:r>
      <w:r w:rsidRPr="0068706C">
        <w:rPr>
          <w:spacing w:val="1"/>
        </w:rPr>
        <w:t>u</w:t>
      </w:r>
      <w:r w:rsidRPr="0068706C">
        <w:t>ara</w:t>
      </w:r>
      <w:r w:rsidRPr="0068706C">
        <w:rPr>
          <w:spacing w:val="1"/>
        </w:rPr>
        <w:t xml:space="preserve"> </w:t>
      </w:r>
      <w:r w:rsidRPr="0068706C">
        <w:t>të</w:t>
      </w:r>
      <w:r w:rsidRPr="0068706C">
        <w:rPr>
          <w:spacing w:val="1"/>
        </w:rPr>
        <w:t xml:space="preserve"> </w:t>
      </w:r>
      <w:r w:rsidRPr="0068706C">
        <w:t>sh</w:t>
      </w:r>
      <w:r w:rsidRPr="0068706C">
        <w:rPr>
          <w:spacing w:val="-1"/>
        </w:rPr>
        <w:t>ë</w:t>
      </w:r>
      <w:r w:rsidRPr="0068706C">
        <w:t>r</w:t>
      </w:r>
      <w:r w:rsidRPr="0068706C">
        <w:rPr>
          <w:spacing w:val="1"/>
        </w:rPr>
        <w:t>b</w:t>
      </w:r>
      <w:r w:rsidRPr="0068706C">
        <w:t>i</w:t>
      </w:r>
      <w:r w:rsidRPr="0068706C">
        <w:rPr>
          <w:spacing w:val="-1"/>
        </w:rPr>
        <w:t>m</w:t>
      </w:r>
      <w:r w:rsidRPr="0068706C">
        <w:t>e</w:t>
      </w:r>
      <w:r w:rsidRPr="0068706C">
        <w:rPr>
          <w:spacing w:val="1"/>
        </w:rPr>
        <w:t>v</w:t>
      </w:r>
      <w:r w:rsidRPr="0068706C">
        <w:t>e pu</w:t>
      </w:r>
      <w:r w:rsidRPr="0068706C">
        <w:rPr>
          <w:spacing w:val="1"/>
        </w:rPr>
        <w:t>b</w:t>
      </w:r>
      <w:r w:rsidRPr="0068706C">
        <w:t>l</w:t>
      </w:r>
      <w:r w:rsidRPr="0068706C">
        <w:rPr>
          <w:spacing w:val="-1"/>
        </w:rPr>
        <w:t>i</w:t>
      </w:r>
      <w:r w:rsidRPr="0068706C">
        <w:rPr>
          <w:spacing w:val="1"/>
        </w:rPr>
        <w:t>k</w:t>
      </w:r>
      <w:r w:rsidRPr="0068706C">
        <w:t>e të</w:t>
      </w:r>
      <w:r w:rsidRPr="0068706C">
        <w:rPr>
          <w:spacing w:val="1"/>
        </w:rPr>
        <w:t xml:space="preserve"> </w:t>
      </w:r>
      <w:r w:rsidRPr="0068706C">
        <w:t>pu</w:t>
      </w:r>
      <w:r w:rsidRPr="0068706C">
        <w:rPr>
          <w:spacing w:val="1"/>
        </w:rPr>
        <w:t>n</w:t>
      </w:r>
      <w:r w:rsidRPr="0068706C">
        <w:rPr>
          <w:spacing w:val="-1"/>
        </w:rPr>
        <w:t>ë</w:t>
      </w:r>
      <w:r w:rsidRPr="0068706C">
        <w:t>si</w:t>
      </w:r>
      <w:r w:rsidRPr="0068706C">
        <w:rPr>
          <w:spacing w:val="-1"/>
        </w:rPr>
        <w:t>m</w:t>
      </w:r>
      <w:r w:rsidRPr="0068706C">
        <w:t>it</w:t>
      </w:r>
      <w:r w:rsidRPr="0068706C">
        <w:rPr>
          <w:spacing w:val="2"/>
        </w:rPr>
        <w:t xml:space="preserve"> </w:t>
      </w:r>
      <w:r w:rsidRPr="0068706C">
        <w:t>d</w:t>
      </w:r>
      <w:r w:rsidRPr="0068706C">
        <w:rPr>
          <w:spacing w:val="1"/>
        </w:rPr>
        <w:t>h</w:t>
      </w:r>
      <w:r w:rsidRPr="0068706C">
        <w:t>e shp</w:t>
      </w:r>
      <w:r w:rsidRPr="0068706C">
        <w:rPr>
          <w:spacing w:val="-1"/>
        </w:rPr>
        <w:t>ë</w:t>
      </w:r>
      <w:r w:rsidRPr="0068706C">
        <w:t>rputhjen</w:t>
      </w:r>
      <w:r w:rsidRPr="0068706C">
        <w:rPr>
          <w:spacing w:val="2"/>
        </w:rPr>
        <w:t xml:space="preserve"> </w:t>
      </w:r>
      <w:r w:rsidRPr="0068706C">
        <w:t>e shkathtësi</w:t>
      </w:r>
      <w:r w:rsidRPr="0068706C">
        <w:rPr>
          <w:spacing w:val="-1"/>
        </w:rPr>
        <w:t>v</w:t>
      </w:r>
      <w:r w:rsidRPr="0068706C">
        <w:t>e</w:t>
      </w:r>
      <w:r w:rsidRPr="0068706C">
        <w:rPr>
          <w:spacing w:val="2"/>
        </w:rPr>
        <w:t xml:space="preserve"> </w:t>
      </w:r>
      <w:r w:rsidRPr="0068706C">
        <w:t>të</w:t>
      </w:r>
      <w:r w:rsidRPr="0068706C">
        <w:rPr>
          <w:spacing w:val="1"/>
        </w:rPr>
        <w:t xml:space="preserve"> </w:t>
      </w:r>
      <w:r w:rsidRPr="0068706C">
        <w:t>fuqisë pu</w:t>
      </w:r>
      <w:r w:rsidRPr="0068706C">
        <w:rPr>
          <w:spacing w:val="1"/>
        </w:rPr>
        <w:t>n</w:t>
      </w:r>
      <w:r w:rsidRPr="0068706C">
        <w:rPr>
          <w:spacing w:val="-1"/>
        </w:rPr>
        <w:t>ë</w:t>
      </w:r>
      <w:r w:rsidRPr="0068706C">
        <w:t>t</w:t>
      </w:r>
      <w:r w:rsidRPr="0068706C">
        <w:rPr>
          <w:spacing w:val="-1"/>
        </w:rPr>
        <w:t>o</w:t>
      </w:r>
      <w:r w:rsidRPr="0068706C">
        <w:t>re</w:t>
      </w:r>
      <w:r w:rsidRPr="0068706C">
        <w:rPr>
          <w:spacing w:val="2"/>
        </w:rPr>
        <w:t xml:space="preserve"> </w:t>
      </w:r>
      <w:r w:rsidRPr="0068706C">
        <w:rPr>
          <w:spacing w:val="-2"/>
        </w:rPr>
        <w:t>m</w:t>
      </w:r>
      <w:r w:rsidRPr="0068706C">
        <w:t>e</w:t>
      </w:r>
      <w:r w:rsidRPr="0068706C">
        <w:rPr>
          <w:spacing w:val="2"/>
        </w:rPr>
        <w:t xml:space="preserve"> </w:t>
      </w:r>
      <w:r w:rsidRPr="0068706C">
        <w:rPr>
          <w:spacing w:val="1"/>
        </w:rPr>
        <w:t>kërkesat</w:t>
      </w:r>
      <w:r w:rsidRPr="0068706C">
        <w:rPr>
          <w:spacing w:val="2"/>
        </w:rPr>
        <w:t xml:space="preserve"> </w:t>
      </w:r>
      <w:r w:rsidRPr="0068706C">
        <w:t>e t</w:t>
      </w:r>
      <w:r w:rsidRPr="0068706C">
        <w:rPr>
          <w:spacing w:val="1"/>
        </w:rPr>
        <w:t>r</w:t>
      </w:r>
      <w:r w:rsidRPr="0068706C">
        <w:rPr>
          <w:spacing w:val="-1"/>
        </w:rPr>
        <w:t>e</w:t>
      </w:r>
      <w:r w:rsidRPr="0068706C">
        <w:t>gut</w:t>
      </w:r>
      <w:r w:rsidRPr="0068706C">
        <w:rPr>
          <w:spacing w:val="2"/>
        </w:rPr>
        <w:t xml:space="preserve"> </w:t>
      </w:r>
      <w:r w:rsidRPr="0068706C">
        <w:t>të</w:t>
      </w:r>
      <w:r w:rsidRPr="0068706C">
        <w:rPr>
          <w:spacing w:val="1"/>
        </w:rPr>
        <w:t xml:space="preserve"> p</w:t>
      </w:r>
      <w:r w:rsidRPr="0068706C">
        <w:t>un</w:t>
      </w:r>
      <w:r w:rsidRPr="0068706C">
        <w:rPr>
          <w:spacing w:val="-1"/>
        </w:rPr>
        <w:t>ë</w:t>
      </w:r>
      <w:r w:rsidRPr="0068706C">
        <w:t>s.</w:t>
      </w:r>
      <w:r w:rsidRPr="0068706C">
        <w:rPr>
          <w:spacing w:val="2"/>
        </w:rPr>
        <w:t xml:space="preserve"> </w:t>
      </w:r>
      <w:r w:rsidRPr="0068706C">
        <w:t>M</w:t>
      </w:r>
      <w:r w:rsidRPr="0068706C">
        <w:rPr>
          <w:spacing w:val="-1"/>
        </w:rPr>
        <w:t>a</w:t>
      </w:r>
      <w:r w:rsidRPr="0068706C">
        <w:rPr>
          <w:spacing w:val="1"/>
        </w:rPr>
        <w:t>s</w:t>
      </w:r>
      <w:r w:rsidRPr="0068706C">
        <w:t>a</w:t>
      </w:r>
      <w:r w:rsidRPr="0068706C">
        <w:rPr>
          <w:spacing w:val="2"/>
        </w:rPr>
        <w:t xml:space="preserve"> </w:t>
      </w:r>
      <w:r w:rsidRPr="0068706C">
        <w:t>va</w:t>
      </w:r>
      <w:r w:rsidRPr="0068706C">
        <w:rPr>
          <w:spacing w:val="-1"/>
        </w:rPr>
        <w:t>z</w:t>
      </w:r>
      <w:r w:rsidRPr="0068706C">
        <w:t>hd</w:t>
      </w:r>
      <w:r w:rsidRPr="0068706C">
        <w:rPr>
          <w:spacing w:val="1"/>
        </w:rPr>
        <w:t>o</w:t>
      </w:r>
      <w:r w:rsidRPr="0068706C">
        <w:t>n nga</w:t>
      </w:r>
      <w:r w:rsidRPr="0068706C">
        <w:rPr>
          <w:spacing w:val="1"/>
        </w:rPr>
        <w:t xml:space="preserve"> </w:t>
      </w:r>
      <w:r w:rsidRPr="0068706C">
        <w:rPr>
          <w:spacing w:val="-1"/>
        </w:rPr>
        <w:t>c</w:t>
      </w:r>
      <w:r w:rsidRPr="0068706C">
        <w:t>ikli</w:t>
      </w:r>
      <w:r w:rsidRPr="0068706C">
        <w:rPr>
          <w:spacing w:val="1"/>
        </w:rPr>
        <w:t xml:space="preserve"> </w:t>
      </w:r>
      <w:r w:rsidRPr="0068706C">
        <w:t>i</w:t>
      </w:r>
      <w:r w:rsidRPr="0068706C">
        <w:rPr>
          <w:spacing w:val="3"/>
        </w:rPr>
        <w:t xml:space="preserve"> </w:t>
      </w:r>
      <w:r w:rsidRPr="0068706C">
        <w:rPr>
          <w:spacing w:val="-1"/>
        </w:rPr>
        <w:t>më</w:t>
      </w:r>
      <w:r w:rsidRPr="0068706C">
        <w:rPr>
          <w:spacing w:val="1"/>
        </w:rPr>
        <w:t>h</w:t>
      </w:r>
      <w:r w:rsidRPr="0068706C">
        <w:rPr>
          <w:spacing w:val="-1"/>
        </w:rPr>
        <w:t>e</w:t>
      </w:r>
      <w:r w:rsidRPr="0068706C">
        <w:t>rsh</w:t>
      </w:r>
      <w:r w:rsidRPr="0068706C">
        <w:rPr>
          <w:spacing w:val="1"/>
        </w:rPr>
        <w:t>ë</w:t>
      </w:r>
      <w:r w:rsidRPr="0068706C">
        <w:t>m</w:t>
      </w:r>
      <w:r w:rsidRPr="0068706C">
        <w:rPr>
          <w:spacing w:val="-2"/>
        </w:rPr>
        <w:t xml:space="preserve"> </w:t>
      </w:r>
      <w:r w:rsidRPr="0068706C">
        <w:rPr>
          <w:spacing w:val="1"/>
        </w:rPr>
        <w:t>g</w:t>
      </w:r>
      <w:r w:rsidRPr="0068706C">
        <w:t xml:space="preserve">jatë </w:t>
      </w:r>
      <w:r w:rsidRPr="0068706C">
        <w:rPr>
          <w:spacing w:val="1"/>
        </w:rPr>
        <w:t>s</w:t>
      </w:r>
      <w:r w:rsidRPr="0068706C">
        <w:t>ë</w:t>
      </w:r>
      <w:r w:rsidRPr="0068706C">
        <w:rPr>
          <w:spacing w:val="1"/>
        </w:rPr>
        <w:t xml:space="preserve"> </w:t>
      </w:r>
      <w:r w:rsidRPr="0068706C">
        <w:rPr>
          <w:spacing w:val="-1"/>
        </w:rPr>
        <w:t>c</w:t>
      </w:r>
      <w:r w:rsidRPr="0068706C">
        <w:t>i</w:t>
      </w:r>
      <w:r w:rsidRPr="0068706C">
        <w:rPr>
          <w:spacing w:val="1"/>
        </w:rPr>
        <w:t>l</w:t>
      </w:r>
      <w:r w:rsidRPr="0068706C">
        <w:rPr>
          <w:spacing w:val="-1"/>
        </w:rPr>
        <w:t>ë</w:t>
      </w:r>
      <w:r w:rsidRPr="0068706C">
        <w:t>s</w:t>
      </w:r>
      <w:r w:rsidRPr="0068706C">
        <w:rPr>
          <w:spacing w:val="1"/>
        </w:rPr>
        <w:t xml:space="preserve"> </w:t>
      </w:r>
      <w:r w:rsidRPr="0068706C">
        <w:t>janë</w:t>
      </w:r>
      <w:r w:rsidRPr="0068706C">
        <w:rPr>
          <w:spacing w:val="3"/>
        </w:rPr>
        <w:t xml:space="preserve"> </w:t>
      </w:r>
      <w:r w:rsidRPr="0068706C">
        <w:rPr>
          <w:spacing w:val="-3"/>
        </w:rPr>
        <w:t>m</w:t>
      </w:r>
      <w:r w:rsidRPr="0068706C">
        <w:rPr>
          <w:spacing w:val="1"/>
        </w:rPr>
        <w:t>b</w:t>
      </w:r>
      <w:r w:rsidRPr="0068706C">
        <w:rPr>
          <w:spacing w:val="-1"/>
        </w:rPr>
        <w:t>ë</w:t>
      </w:r>
      <w:r w:rsidRPr="0068706C">
        <w:t>sht</w:t>
      </w:r>
      <w:r w:rsidRPr="0068706C">
        <w:rPr>
          <w:spacing w:val="1"/>
        </w:rPr>
        <w:t>e</w:t>
      </w:r>
      <w:r w:rsidRPr="0068706C">
        <w:t>t</w:t>
      </w:r>
      <w:r w:rsidRPr="0068706C">
        <w:rPr>
          <w:spacing w:val="-1"/>
        </w:rPr>
        <w:t>u</w:t>
      </w:r>
      <w:r w:rsidRPr="0068706C">
        <w:t>r</w:t>
      </w:r>
      <w:r w:rsidRPr="0068706C">
        <w:rPr>
          <w:spacing w:val="1"/>
        </w:rPr>
        <w:t xml:space="preserve"> </w:t>
      </w:r>
      <w:r w:rsidRPr="0068706C">
        <w:t>r</w:t>
      </w:r>
      <w:r w:rsidRPr="0068706C">
        <w:rPr>
          <w:spacing w:val="1"/>
        </w:rPr>
        <w:t>r</w:t>
      </w:r>
      <w:r w:rsidRPr="0068706C">
        <w:rPr>
          <w:spacing w:val="-1"/>
        </w:rPr>
        <w:t>e</w:t>
      </w:r>
      <w:r w:rsidRPr="0068706C">
        <w:t>th 3,</w:t>
      </w:r>
      <w:r w:rsidRPr="0068706C">
        <w:rPr>
          <w:spacing w:val="1"/>
        </w:rPr>
        <w:t>0</w:t>
      </w:r>
      <w:r w:rsidRPr="0068706C">
        <w:t>00</w:t>
      </w:r>
      <w:r w:rsidRPr="0068706C">
        <w:rPr>
          <w:spacing w:val="1"/>
        </w:rPr>
        <w:t xml:space="preserve"> </w:t>
      </w:r>
      <w:r w:rsidRPr="0068706C">
        <w:t xml:space="preserve">të </w:t>
      </w:r>
      <w:r w:rsidRPr="0068706C">
        <w:rPr>
          <w:spacing w:val="2"/>
        </w:rPr>
        <w:t>p</w:t>
      </w:r>
      <w:r w:rsidRPr="0068706C">
        <w:rPr>
          <w:spacing w:val="-1"/>
        </w:rPr>
        <w:t>a</w:t>
      </w:r>
      <w:r w:rsidRPr="0068706C">
        <w:t>pu</w:t>
      </w:r>
      <w:r w:rsidRPr="0068706C">
        <w:rPr>
          <w:spacing w:val="1"/>
        </w:rPr>
        <w:t>n</w:t>
      </w:r>
      <w:r w:rsidRPr="0068706C">
        <w:t>ë</w:t>
      </w:r>
      <w:r w:rsidRPr="0068706C">
        <w:rPr>
          <w:spacing w:val="2"/>
        </w:rPr>
        <w:t xml:space="preserve"> </w:t>
      </w:r>
      <w:r w:rsidRPr="0068706C">
        <w:rPr>
          <w:spacing w:val="-3"/>
        </w:rPr>
        <w:t>m</w:t>
      </w:r>
      <w:r w:rsidRPr="0068706C">
        <w:t>e</w:t>
      </w:r>
      <w:r w:rsidRPr="0068706C">
        <w:rPr>
          <w:spacing w:val="4"/>
        </w:rPr>
        <w:t xml:space="preserve"> </w:t>
      </w:r>
      <w:r w:rsidRPr="0068706C">
        <w:rPr>
          <w:spacing w:val="-2"/>
        </w:rPr>
        <w:t>m</w:t>
      </w:r>
      <w:r w:rsidRPr="0068706C">
        <w:t>asa</w:t>
      </w:r>
      <w:r w:rsidRPr="0068706C">
        <w:rPr>
          <w:spacing w:val="2"/>
        </w:rPr>
        <w:t xml:space="preserve"> </w:t>
      </w:r>
      <w:r w:rsidRPr="0068706C">
        <w:t>akt</w:t>
      </w:r>
      <w:r w:rsidRPr="0068706C">
        <w:rPr>
          <w:spacing w:val="-1"/>
        </w:rPr>
        <w:t>i</w:t>
      </w:r>
      <w:r w:rsidRPr="0068706C">
        <w:rPr>
          <w:spacing w:val="1"/>
        </w:rPr>
        <w:t>v</w:t>
      </w:r>
      <w:r w:rsidRPr="0068706C">
        <w:t>e</w:t>
      </w:r>
      <w:r w:rsidRPr="0068706C">
        <w:rPr>
          <w:spacing w:val="2"/>
        </w:rPr>
        <w:t xml:space="preserve"> </w:t>
      </w:r>
      <w:r w:rsidRPr="0068706C">
        <w:t>të pun</w:t>
      </w:r>
      <w:r w:rsidRPr="0068706C">
        <w:rPr>
          <w:spacing w:val="-1"/>
        </w:rPr>
        <w:t>ë</w:t>
      </w:r>
      <w:r w:rsidRPr="0068706C">
        <w:t>s</w:t>
      </w:r>
      <w:r w:rsidRPr="0068706C">
        <w:rPr>
          <w:spacing w:val="2"/>
        </w:rPr>
        <w:t>i</w:t>
      </w:r>
      <w:r w:rsidRPr="0068706C">
        <w:rPr>
          <w:spacing w:val="-3"/>
        </w:rPr>
        <w:t>m</w:t>
      </w:r>
      <w:r w:rsidRPr="0068706C">
        <w:t>i</w:t>
      </w:r>
      <w:r w:rsidRPr="0068706C">
        <w:rPr>
          <w:spacing w:val="1"/>
        </w:rPr>
        <w:t>t</w:t>
      </w:r>
      <w:r w:rsidRPr="0068706C">
        <w:t>,</w:t>
      </w:r>
      <w:r w:rsidRPr="0068706C">
        <w:rPr>
          <w:spacing w:val="1"/>
        </w:rPr>
        <w:t xml:space="preserve"> n</w:t>
      </w:r>
      <w:r w:rsidRPr="0068706C">
        <w:t>d</w:t>
      </w:r>
      <w:r w:rsidRPr="0068706C">
        <w:rPr>
          <w:spacing w:val="-1"/>
        </w:rPr>
        <w:t>ë</w:t>
      </w:r>
      <w:r w:rsidRPr="0068706C">
        <w:t>rkaq</w:t>
      </w:r>
      <w:r w:rsidRPr="0068706C">
        <w:rPr>
          <w:spacing w:val="1"/>
        </w:rPr>
        <w:t xml:space="preserve"> </w:t>
      </w:r>
      <w:r w:rsidRPr="0068706C">
        <w:t>janë</w:t>
      </w:r>
      <w:r w:rsidRPr="0068706C">
        <w:rPr>
          <w:spacing w:val="2"/>
        </w:rPr>
        <w:t xml:space="preserve"> </w:t>
      </w:r>
      <w:r w:rsidRPr="0068706C">
        <w:rPr>
          <w:spacing w:val="-1"/>
        </w:rPr>
        <w:t>z</w:t>
      </w:r>
      <w:r w:rsidRPr="0068706C">
        <w:t>hvil</w:t>
      </w:r>
      <w:r w:rsidRPr="0068706C">
        <w:rPr>
          <w:spacing w:val="-1"/>
        </w:rPr>
        <w:t>l</w:t>
      </w:r>
      <w:r w:rsidRPr="0068706C">
        <w:rPr>
          <w:spacing w:val="1"/>
        </w:rPr>
        <w:t>u</w:t>
      </w:r>
      <w:r w:rsidRPr="0068706C">
        <w:rPr>
          <w:spacing w:val="-1"/>
        </w:rPr>
        <w:t>a</w:t>
      </w:r>
      <w:r w:rsidRPr="0068706C">
        <w:t>r</w:t>
      </w:r>
      <w:r w:rsidRPr="0068706C">
        <w:rPr>
          <w:spacing w:val="2"/>
        </w:rPr>
        <w:t xml:space="preserve"> </w:t>
      </w:r>
      <w:r w:rsidRPr="0068706C">
        <w:t>tra</w:t>
      </w:r>
      <w:r w:rsidRPr="0068706C">
        <w:rPr>
          <w:spacing w:val="-1"/>
        </w:rPr>
        <w:t>j</w:t>
      </w:r>
      <w:r w:rsidRPr="0068706C">
        <w:t>n</w:t>
      </w:r>
      <w:r w:rsidRPr="0068706C">
        <w:rPr>
          <w:spacing w:val="1"/>
        </w:rPr>
        <w:t>i</w:t>
      </w:r>
      <w:r w:rsidRPr="0068706C">
        <w:rPr>
          <w:spacing w:val="-3"/>
        </w:rPr>
        <w:t>m</w:t>
      </w:r>
      <w:r w:rsidRPr="0068706C">
        <w:t>e</w:t>
      </w:r>
      <w:r w:rsidRPr="0068706C">
        <w:rPr>
          <w:spacing w:val="2"/>
        </w:rPr>
        <w:t xml:space="preserve"> </w:t>
      </w:r>
      <w:r w:rsidRPr="0068706C">
        <w:t>të b</w:t>
      </w:r>
      <w:r w:rsidRPr="0068706C">
        <w:rPr>
          <w:spacing w:val="1"/>
        </w:rPr>
        <w:t>r</w:t>
      </w:r>
      <w:r w:rsidRPr="0068706C">
        <w:t>ends</w:t>
      </w:r>
      <w:r w:rsidRPr="0068706C">
        <w:rPr>
          <w:spacing w:val="1"/>
        </w:rPr>
        <w:t>h</w:t>
      </w:r>
      <w:r w:rsidRPr="0068706C">
        <w:rPr>
          <w:spacing w:val="-3"/>
        </w:rPr>
        <w:t>m</w:t>
      </w:r>
      <w:r w:rsidRPr="0068706C">
        <w:t>e</w:t>
      </w:r>
      <w:r w:rsidRPr="0068706C">
        <w:rPr>
          <w:spacing w:val="1"/>
        </w:rPr>
        <w:t xml:space="preserve"> p</w:t>
      </w:r>
      <w:r w:rsidRPr="0068706C">
        <w:rPr>
          <w:spacing w:val="-1"/>
        </w:rPr>
        <w:t>ë</w:t>
      </w:r>
      <w:r w:rsidRPr="0068706C">
        <w:t>r</w:t>
      </w:r>
      <w:r w:rsidRPr="0068706C">
        <w:rPr>
          <w:spacing w:val="2"/>
        </w:rPr>
        <w:t xml:space="preserve"> </w:t>
      </w:r>
      <w:r w:rsidRPr="0068706C">
        <w:t>ngri</w:t>
      </w:r>
      <w:r w:rsidRPr="0068706C">
        <w:rPr>
          <w:spacing w:val="-1"/>
        </w:rPr>
        <w:t>t</w:t>
      </w:r>
      <w:r w:rsidRPr="0068706C">
        <w:t>jen</w:t>
      </w:r>
      <w:r w:rsidRPr="0068706C">
        <w:rPr>
          <w:spacing w:val="1"/>
        </w:rPr>
        <w:t xml:space="preserve"> </w:t>
      </w:r>
      <w:r w:rsidRPr="0068706C">
        <w:t>e</w:t>
      </w:r>
      <w:r w:rsidRPr="0068706C">
        <w:rPr>
          <w:spacing w:val="1"/>
        </w:rPr>
        <w:t xml:space="preserve"> </w:t>
      </w:r>
      <w:r w:rsidRPr="0068706C">
        <w:t>kapaci</w:t>
      </w:r>
      <w:r w:rsidRPr="0068706C">
        <w:rPr>
          <w:spacing w:val="-1"/>
        </w:rPr>
        <w:t>t</w:t>
      </w:r>
      <w:r w:rsidRPr="0068706C">
        <w:t>etit</w:t>
      </w:r>
      <w:r w:rsidRPr="0068706C">
        <w:rPr>
          <w:spacing w:val="1"/>
        </w:rPr>
        <w:t xml:space="preserve"> </w:t>
      </w:r>
      <w:r w:rsidRPr="0068706C">
        <w:t xml:space="preserve">të </w:t>
      </w:r>
      <w:r w:rsidRPr="0068706C">
        <w:rPr>
          <w:spacing w:val="1"/>
        </w:rPr>
        <w:t>s</w:t>
      </w:r>
      <w:r w:rsidRPr="0068706C">
        <w:t>t</w:t>
      </w:r>
      <w:r w:rsidRPr="0068706C">
        <w:rPr>
          <w:spacing w:val="-2"/>
        </w:rPr>
        <w:t>a</w:t>
      </w:r>
      <w:r w:rsidRPr="0068706C">
        <w:t>f</w:t>
      </w:r>
      <w:r w:rsidRPr="0068706C">
        <w:rPr>
          <w:spacing w:val="1"/>
        </w:rPr>
        <w:t>i</w:t>
      </w:r>
      <w:r w:rsidRPr="0068706C">
        <w:t>t</w:t>
      </w:r>
      <w:r w:rsidRPr="0068706C">
        <w:rPr>
          <w:spacing w:val="1"/>
        </w:rPr>
        <w:t xml:space="preserve"> t</w:t>
      </w:r>
      <w:r w:rsidRPr="0068706C">
        <w:t>ë Agj</w:t>
      </w:r>
      <w:r w:rsidRPr="0068706C">
        <w:rPr>
          <w:spacing w:val="-1"/>
        </w:rPr>
        <w:t>e</w:t>
      </w:r>
      <w:r w:rsidRPr="0068706C">
        <w:rPr>
          <w:spacing w:val="1"/>
        </w:rPr>
        <w:t>n</w:t>
      </w:r>
      <w:r w:rsidRPr="0068706C">
        <w:rPr>
          <w:spacing w:val="-1"/>
        </w:rPr>
        <w:t>c</w:t>
      </w:r>
      <w:r w:rsidRPr="0068706C">
        <w:t>isë</w:t>
      </w:r>
      <w:r w:rsidRPr="0068706C">
        <w:rPr>
          <w:spacing w:val="2"/>
        </w:rPr>
        <w:t xml:space="preserve"> </w:t>
      </w:r>
      <w:r w:rsidRPr="0068706C">
        <w:t>së</w:t>
      </w:r>
      <w:r w:rsidRPr="0068706C">
        <w:rPr>
          <w:spacing w:val="3"/>
        </w:rPr>
        <w:t xml:space="preserve"> </w:t>
      </w:r>
      <w:r w:rsidRPr="0068706C">
        <w:rPr>
          <w:spacing w:val="1"/>
        </w:rPr>
        <w:t>P</w:t>
      </w:r>
      <w:r w:rsidRPr="0068706C">
        <w:t>un</w:t>
      </w:r>
      <w:r w:rsidRPr="0068706C">
        <w:rPr>
          <w:spacing w:val="-1"/>
        </w:rPr>
        <w:t>ë</w:t>
      </w:r>
      <w:r w:rsidRPr="0068706C">
        <w:t>s</w:t>
      </w:r>
      <w:r w:rsidRPr="0068706C">
        <w:rPr>
          <w:spacing w:val="2"/>
        </w:rPr>
        <w:t>i</w:t>
      </w:r>
      <w:r w:rsidRPr="0068706C">
        <w:rPr>
          <w:spacing w:val="-3"/>
        </w:rPr>
        <w:t>m</w:t>
      </w:r>
      <w:r w:rsidRPr="0068706C">
        <w:t>it,</w:t>
      </w:r>
      <w:r w:rsidRPr="0068706C">
        <w:rPr>
          <w:spacing w:val="3"/>
        </w:rPr>
        <w:t xml:space="preserve"> </w:t>
      </w:r>
      <w:r w:rsidRPr="0068706C">
        <w:t>duke</w:t>
      </w:r>
      <w:r w:rsidRPr="0068706C">
        <w:rPr>
          <w:spacing w:val="1"/>
        </w:rPr>
        <w:t xml:space="preserve"> </w:t>
      </w:r>
      <w:r w:rsidRPr="0068706C">
        <w:t>p</w:t>
      </w:r>
      <w:r w:rsidRPr="0068706C">
        <w:rPr>
          <w:spacing w:val="-1"/>
        </w:rPr>
        <w:t>ë</w:t>
      </w:r>
      <w:r w:rsidRPr="0068706C">
        <w:t>r</w:t>
      </w:r>
      <w:r w:rsidRPr="0068706C">
        <w:rPr>
          <w:spacing w:val="3"/>
        </w:rPr>
        <w:t>f</w:t>
      </w:r>
      <w:r w:rsidRPr="0068706C">
        <w:t>shi</w:t>
      </w:r>
      <w:r w:rsidRPr="0068706C">
        <w:rPr>
          <w:spacing w:val="1"/>
        </w:rPr>
        <w:t>r</w:t>
      </w:r>
      <w:r w:rsidRPr="0068706C">
        <w:t>ë</w:t>
      </w:r>
      <w:r w:rsidRPr="0068706C">
        <w:rPr>
          <w:spacing w:val="1"/>
        </w:rPr>
        <w:t xml:space="preserve"> </w:t>
      </w:r>
      <w:r w:rsidRPr="0068706C">
        <w:rPr>
          <w:spacing w:val="-1"/>
        </w:rPr>
        <w:t>z</w:t>
      </w:r>
      <w:r w:rsidRPr="0068706C">
        <w:t>h</w:t>
      </w:r>
      <w:r w:rsidRPr="0068706C">
        <w:rPr>
          <w:spacing w:val="1"/>
        </w:rPr>
        <w:t>v</w:t>
      </w:r>
      <w:r w:rsidRPr="0068706C">
        <w:t>il</w:t>
      </w:r>
      <w:r w:rsidRPr="0068706C">
        <w:rPr>
          <w:spacing w:val="-1"/>
        </w:rPr>
        <w:t>l</w:t>
      </w:r>
      <w:r w:rsidRPr="0068706C">
        <w:rPr>
          <w:spacing w:val="1"/>
        </w:rPr>
        <w:t>i</w:t>
      </w:r>
      <w:r w:rsidRPr="0068706C">
        <w:rPr>
          <w:spacing w:val="-3"/>
        </w:rPr>
        <w:t>m</w:t>
      </w:r>
      <w:r w:rsidRPr="0068706C">
        <w:rPr>
          <w:spacing w:val="1"/>
        </w:rPr>
        <w:t>i</w:t>
      </w:r>
      <w:r w:rsidRPr="0068706C">
        <w:t>n</w:t>
      </w:r>
      <w:r w:rsidRPr="0068706C">
        <w:rPr>
          <w:spacing w:val="2"/>
        </w:rPr>
        <w:t xml:space="preserve"> </w:t>
      </w:r>
      <w:r w:rsidRPr="0068706C">
        <w:t>e</w:t>
      </w:r>
      <w:r w:rsidRPr="0068706C">
        <w:rPr>
          <w:spacing w:val="4"/>
        </w:rPr>
        <w:t xml:space="preserve"> </w:t>
      </w:r>
      <w:r w:rsidRPr="0068706C">
        <w:rPr>
          <w:spacing w:val="-3"/>
        </w:rPr>
        <w:t>m</w:t>
      </w:r>
      <w:r w:rsidRPr="0068706C">
        <w:t>od</w:t>
      </w:r>
      <w:r w:rsidRPr="0068706C">
        <w:rPr>
          <w:spacing w:val="1"/>
        </w:rPr>
        <w:t>u</w:t>
      </w:r>
      <w:r w:rsidRPr="0068706C">
        <w:t>lit</w:t>
      </w:r>
      <w:r w:rsidRPr="0068706C">
        <w:rPr>
          <w:spacing w:val="1"/>
        </w:rPr>
        <w:t xml:space="preserve"> </w:t>
      </w:r>
      <w:r w:rsidRPr="0068706C">
        <w:t>p</w:t>
      </w:r>
      <w:r w:rsidRPr="0068706C">
        <w:rPr>
          <w:spacing w:val="-1"/>
        </w:rPr>
        <w:t>ë</w:t>
      </w:r>
      <w:r w:rsidRPr="0068706C">
        <w:t>r</w:t>
      </w:r>
      <w:r w:rsidRPr="0068706C">
        <w:rPr>
          <w:spacing w:val="3"/>
        </w:rPr>
        <w:t xml:space="preserve"> </w:t>
      </w:r>
      <w:r w:rsidRPr="0068706C">
        <w:rPr>
          <w:spacing w:val="1"/>
        </w:rPr>
        <w:t>k</w:t>
      </w:r>
      <w:r w:rsidRPr="0068706C">
        <w:rPr>
          <w:spacing w:val="-1"/>
        </w:rPr>
        <w:t>ë</w:t>
      </w:r>
      <w:r w:rsidRPr="0068706C">
        <w:t>shill</w:t>
      </w:r>
      <w:r w:rsidRPr="0068706C">
        <w:rPr>
          <w:spacing w:val="2"/>
        </w:rPr>
        <w:t>i</w:t>
      </w:r>
      <w:r w:rsidRPr="0068706C">
        <w:t>m</w:t>
      </w:r>
      <w:r w:rsidRPr="0068706C">
        <w:rPr>
          <w:spacing w:val="-1"/>
        </w:rPr>
        <w:t xml:space="preserve"> </w:t>
      </w:r>
      <w:r w:rsidRPr="0068706C">
        <w:t>d</w:t>
      </w:r>
      <w:r w:rsidRPr="0068706C">
        <w:rPr>
          <w:spacing w:val="1"/>
        </w:rPr>
        <w:t>h</w:t>
      </w:r>
      <w:r w:rsidRPr="0068706C">
        <w:t>e</w:t>
      </w:r>
      <w:r w:rsidRPr="0068706C">
        <w:rPr>
          <w:spacing w:val="1"/>
        </w:rPr>
        <w:t xml:space="preserve"> </w:t>
      </w:r>
      <w:r w:rsidRPr="0068706C">
        <w:t>or</w:t>
      </w:r>
      <w:r w:rsidRPr="0068706C">
        <w:rPr>
          <w:spacing w:val="1"/>
        </w:rPr>
        <w:t>i</w:t>
      </w:r>
      <w:r w:rsidRPr="0068706C">
        <w:rPr>
          <w:spacing w:val="-1"/>
        </w:rPr>
        <w:t>e</w:t>
      </w:r>
      <w:r w:rsidRPr="0068706C">
        <w:rPr>
          <w:spacing w:val="1"/>
        </w:rPr>
        <w:t>n</w:t>
      </w:r>
      <w:r w:rsidRPr="0068706C">
        <w:t>t</w:t>
      </w:r>
      <w:r w:rsidRPr="0068706C">
        <w:rPr>
          <w:spacing w:val="1"/>
        </w:rPr>
        <w:t>i</w:t>
      </w:r>
      <w:r w:rsidRPr="0068706C">
        <w:t xml:space="preserve">m </w:t>
      </w:r>
      <w:r w:rsidRPr="0068706C">
        <w:rPr>
          <w:spacing w:val="1"/>
        </w:rPr>
        <w:t>n</w:t>
      </w:r>
      <w:r w:rsidRPr="0068706C">
        <w:t>ë k</w:t>
      </w:r>
      <w:r w:rsidRPr="0068706C">
        <w:rPr>
          <w:spacing w:val="-1"/>
        </w:rPr>
        <w:t>a</w:t>
      </w:r>
      <w:r w:rsidRPr="0068706C">
        <w:t>r</w:t>
      </w:r>
      <w:r w:rsidRPr="0068706C">
        <w:rPr>
          <w:spacing w:val="1"/>
        </w:rPr>
        <w:t>r</w:t>
      </w:r>
      <w:r w:rsidRPr="0068706C">
        <w:t>i</w:t>
      </w:r>
      <w:r w:rsidRPr="0068706C">
        <w:rPr>
          <w:spacing w:val="-2"/>
        </w:rPr>
        <w:t>e</w:t>
      </w:r>
      <w:r w:rsidRPr="0068706C">
        <w:rPr>
          <w:spacing w:val="1"/>
        </w:rPr>
        <w:t>r</w:t>
      </w:r>
      <w:r w:rsidRPr="0068706C">
        <w:rPr>
          <w:spacing w:val="-1"/>
        </w:rPr>
        <w:t>ë</w:t>
      </w:r>
      <w:r w:rsidRPr="0068706C">
        <w:t>. Ndonëse raporti këshilltar i punësimit me numrin e të papunëve mbetet në disproporcion të lartë  ku shkalla e papunësisë me staf është 2000 të papunë me 1 këshilltar. Ësh</w:t>
      </w:r>
      <w:r w:rsidRPr="0068706C">
        <w:rPr>
          <w:spacing w:val="-1"/>
        </w:rPr>
        <w:t>t</w:t>
      </w:r>
      <w:r w:rsidRPr="0068706C">
        <w:t>ë</w:t>
      </w:r>
      <w:r w:rsidRPr="0068706C">
        <w:rPr>
          <w:spacing w:val="1"/>
        </w:rPr>
        <w:t xml:space="preserve"> b</w:t>
      </w:r>
      <w:r w:rsidRPr="0068706C">
        <w:rPr>
          <w:spacing w:val="-1"/>
        </w:rPr>
        <w:t>ë</w:t>
      </w:r>
      <w:r w:rsidRPr="0068706C">
        <w:t>rë progres lidhshm</w:t>
      </w:r>
      <w:r w:rsidRPr="0068706C">
        <w:rPr>
          <w:spacing w:val="-3"/>
        </w:rPr>
        <w:t>ë</w:t>
      </w:r>
      <w:r w:rsidRPr="0068706C">
        <w:t>ri-</w:t>
      </w:r>
      <w:r w:rsidRPr="0068706C">
        <w:rPr>
          <w:spacing w:val="-1"/>
        </w:rPr>
        <w:t>a</w:t>
      </w:r>
      <w:r w:rsidRPr="0068706C">
        <w:t>kredit</w:t>
      </w:r>
      <w:r w:rsidRPr="0068706C">
        <w:rPr>
          <w:spacing w:val="1"/>
        </w:rPr>
        <w:t>i</w:t>
      </w:r>
      <w:r w:rsidRPr="0068706C">
        <w:rPr>
          <w:spacing w:val="-3"/>
        </w:rPr>
        <w:t>m</w:t>
      </w:r>
      <w:r w:rsidRPr="0068706C">
        <w:rPr>
          <w:spacing w:val="1"/>
        </w:rPr>
        <w:t>i</w:t>
      </w:r>
      <w:r w:rsidRPr="0068706C">
        <w:t>n dhe ri-</w:t>
      </w:r>
      <w:r w:rsidRPr="0068706C">
        <w:rPr>
          <w:spacing w:val="1"/>
        </w:rPr>
        <w:t>v</w:t>
      </w:r>
      <w:r w:rsidRPr="0068706C">
        <w:rPr>
          <w:spacing w:val="-1"/>
        </w:rPr>
        <w:t>a</w:t>
      </w:r>
      <w:r w:rsidRPr="0068706C">
        <w:t>lid</w:t>
      </w:r>
      <w:r w:rsidRPr="0068706C">
        <w:rPr>
          <w:spacing w:val="1"/>
        </w:rPr>
        <w:t>i</w:t>
      </w:r>
      <w:r w:rsidRPr="0068706C">
        <w:rPr>
          <w:spacing w:val="-3"/>
        </w:rPr>
        <w:t>m</w:t>
      </w:r>
      <w:r w:rsidRPr="0068706C">
        <w:t>in e p</w:t>
      </w:r>
      <w:r w:rsidRPr="0068706C">
        <w:rPr>
          <w:spacing w:val="1"/>
        </w:rPr>
        <w:t>r</w:t>
      </w:r>
      <w:r w:rsidRPr="0068706C">
        <w:t>ofi</w:t>
      </w:r>
      <w:r w:rsidRPr="0068706C">
        <w:rPr>
          <w:spacing w:val="-1"/>
        </w:rPr>
        <w:t>le</w:t>
      </w:r>
      <w:r w:rsidRPr="0068706C">
        <w:rPr>
          <w:spacing w:val="2"/>
        </w:rPr>
        <w:t>v</w:t>
      </w:r>
      <w:r w:rsidRPr="0068706C">
        <w:t>e, st</w:t>
      </w:r>
      <w:r w:rsidRPr="0068706C">
        <w:rPr>
          <w:spacing w:val="-1"/>
        </w:rPr>
        <w:t>a</w:t>
      </w:r>
      <w:r w:rsidRPr="0068706C">
        <w:t>n</w:t>
      </w:r>
      <w:r w:rsidRPr="0068706C">
        <w:rPr>
          <w:spacing w:val="1"/>
        </w:rPr>
        <w:t>d</w:t>
      </w:r>
      <w:r w:rsidRPr="0068706C">
        <w:rPr>
          <w:spacing w:val="-1"/>
        </w:rPr>
        <w:t>a</w:t>
      </w:r>
      <w:r w:rsidRPr="0068706C">
        <w:t xml:space="preserve">rdeve e </w:t>
      </w:r>
      <w:r w:rsidRPr="0068706C">
        <w:rPr>
          <w:spacing w:val="1"/>
        </w:rPr>
        <w:t>pak</w:t>
      </w:r>
      <w:r w:rsidRPr="0068706C">
        <w:rPr>
          <w:spacing w:val="-1"/>
        </w:rPr>
        <w:t>e</w:t>
      </w:r>
      <w:r w:rsidRPr="0068706C">
        <w:t xml:space="preserve">tave </w:t>
      </w:r>
      <w:r w:rsidRPr="0068706C">
        <w:rPr>
          <w:spacing w:val="-2"/>
        </w:rPr>
        <w:t>m</w:t>
      </w:r>
      <w:r w:rsidRPr="0068706C">
        <w:t>ë</w:t>
      </w:r>
      <w:r w:rsidRPr="0068706C">
        <w:rPr>
          <w:spacing w:val="1"/>
        </w:rPr>
        <w:t>si</w:t>
      </w:r>
      <w:r w:rsidRPr="0068706C">
        <w:rPr>
          <w:spacing w:val="-3"/>
        </w:rPr>
        <w:t>m</w:t>
      </w:r>
      <w:r w:rsidRPr="0068706C">
        <w:t>o</w:t>
      </w:r>
      <w:r w:rsidRPr="0068706C">
        <w:rPr>
          <w:spacing w:val="1"/>
        </w:rPr>
        <w:t>r</w:t>
      </w:r>
      <w:r w:rsidRPr="0068706C">
        <w:rPr>
          <w:spacing w:val="-1"/>
        </w:rPr>
        <w:t xml:space="preserve">e </w:t>
      </w:r>
      <w:r w:rsidRPr="0068706C">
        <w:rPr>
          <w:spacing w:val="1"/>
        </w:rPr>
        <w:t>n</w:t>
      </w:r>
      <w:r w:rsidRPr="0068706C">
        <w:t>d</w:t>
      </w:r>
      <w:r w:rsidRPr="0068706C">
        <w:rPr>
          <w:spacing w:val="-1"/>
        </w:rPr>
        <w:t>ë</w:t>
      </w:r>
      <w:r w:rsidRPr="0068706C">
        <w:t>rkaq disa nga</w:t>
      </w:r>
      <w:r w:rsidRPr="0068706C">
        <w:rPr>
          <w:spacing w:val="1"/>
        </w:rPr>
        <w:t xml:space="preserve"> </w:t>
      </w:r>
      <w:r w:rsidRPr="0068706C">
        <w:t>pro</w:t>
      </w:r>
      <w:r w:rsidRPr="0068706C">
        <w:rPr>
          <w:spacing w:val="1"/>
        </w:rPr>
        <w:t>f</w:t>
      </w:r>
      <w:r w:rsidRPr="0068706C">
        <w:t>ilet</w:t>
      </w:r>
      <w:r w:rsidRPr="0068706C">
        <w:rPr>
          <w:spacing w:val="2"/>
        </w:rPr>
        <w:t xml:space="preserve"> </w:t>
      </w:r>
      <w:r w:rsidRPr="0068706C">
        <w:t>e</w:t>
      </w:r>
      <w:r w:rsidRPr="0068706C">
        <w:rPr>
          <w:spacing w:val="1"/>
        </w:rPr>
        <w:t xml:space="preserve"> </w:t>
      </w:r>
      <w:r w:rsidRPr="0068706C">
        <w:t>tra</w:t>
      </w:r>
      <w:r w:rsidRPr="0068706C">
        <w:rPr>
          <w:spacing w:val="-1"/>
        </w:rPr>
        <w:t>j</w:t>
      </w:r>
      <w:r w:rsidRPr="0068706C">
        <w:t>n</w:t>
      </w:r>
      <w:r w:rsidRPr="0068706C">
        <w:rPr>
          <w:spacing w:val="1"/>
        </w:rPr>
        <w:t>i</w:t>
      </w:r>
      <w:r w:rsidRPr="0068706C">
        <w:rPr>
          <w:spacing w:val="-1"/>
        </w:rPr>
        <w:t>me</w:t>
      </w:r>
      <w:r w:rsidRPr="0068706C">
        <w:rPr>
          <w:spacing w:val="1"/>
        </w:rPr>
        <w:t>v</w:t>
      </w:r>
      <w:r w:rsidRPr="0068706C">
        <w:t>e n</w:t>
      </w:r>
      <w:r w:rsidRPr="0068706C">
        <w:rPr>
          <w:spacing w:val="1"/>
        </w:rPr>
        <w:t>g</w:t>
      </w:r>
      <w:r w:rsidRPr="0068706C">
        <w:t>a Q</w:t>
      </w:r>
      <w:r w:rsidRPr="0068706C">
        <w:rPr>
          <w:spacing w:val="1"/>
        </w:rPr>
        <w:t>A</w:t>
      </w:r>
      <w:r w:rsidRPr="0068706C">
        <w:rPr>
          <w:spacing w:val="5"/>
        </w:rPr>
        <w:t>P</w:t>
      </w:r>
      <w:r w:rsidRPr="0068706C">
        <w:t>-të</w:t>
      </w:r>
      <w:r w:rsidRPr="0068706C">
        <w:rPr>
          <w:spacing w:val="2"/>
        </w:rPr>
        <w:t xml:space="preserve"> </w:t>
      </w:r>
      <w:r w:rsidRPr="0068706C">
        <w:rPr>
          <w:spacing w:val="-3"/>
        </w:rPr>
        <w:t>m</w:t>
      </w:r>
      <w:r w:rsidRPr="0068706C">
        <w:rPr>
          <w:spacing w:val="1"/>
        </w:rPr>
        <w:t>b</w:t>
      </w:r>
      <w:r w:rsidRPr="0068706C">
        <w:rPr>
          <w:spacing w:val="-1"/>
        </w:rPr>
        <w:t>e</w:t>
      </w:r>
      <w:r w:rsidRPr="0068706C">
        <w:t>ten</w:t>
      </w:r>
      <w:r w:rsidRPr="0068706C">
        <w:rPr>
          <w:spacing w:val="2"/>
        </w:rPr>
        <w:t xml:space="preserve"> </w:t>
      </w:r>
      <w:r w:rsidRPr="0068706C">
        <w:rPr>
          <w:spacing w:val="-1"/>
        </w:rPr>
        <w:t>a</w:t>
      </w:r>
      <w:r w:rsidRPr="0068706C">
        <w:t>k</w:t>
      </w:r>
      <w:r w:rsidRPr="0068706C">
        <w:rPr>
          <w:spacing w:val="3"/>
        </w:rPr>
        <w:t>o</w:t>
      </w:r>
      <w:r w:rsidRPr="0068706C">
        <w:rPr>
          <w:spacing w:val="-2"/>
        </w:rPr>
        <w:t>m</w:t>
      </w:r>
      <w:r w:rsidRPr="0068706C">
        <w:t>a të</w:t>
      </w:r>
      <w:r w:rsidRPr="0068706C">
        <w:rPr>
          <w:spacing w:val="-2"/>
        </w:rPr>
        <w:t xml:space="preserve"> </w:t>
      </w:r>
      <w:r w:rsidRPr="0068706C">
        <w:rPr>
          <w:spacing w:val="1"/>
        </w:rPr>
        <w:t>p</w:t>
      </w:r>
      <w:r w:rsidRPr="0068706C">
        <w:rPr>
          <w:spacing w:val="-1"/>
        </w:rPr>
        <w:t>a</w:t>
      </w:r>
      <w:r w:rsidRPr="0068706C">
        <w:rPr>
          <w:spacing w:val="1"/>
        </w:rPr>
        <w:t>p</w:t>
      </w:r>
      <w:r w:rsidRPr="0068706C">
        <w:rPr>
          <w:spacing w:val="-1"/>
        </w:rPr>
        <w:t>ë</w:t>
      </w:r>
      <w:r w:rsidRPr="0068706C">
        <w:t>rput</w:t>
      </w:r>
      <w:r w:rsidRPr="0068706C">
        <w:rPr>
          <w:spacing w:val="1"/>
        </w:rPr>
        <w:t>h</w:t>
      </w:r>
      <w:r w:rsidRPr="0068706C">
        <w:t>s</w:t>
      </w:r>
      <w:r w:rsidRPr="0068706C">
        <w:rPr>
          <w:spacing w:val="1"/>
        </w:rPr>
        <w:t>h</w:t>
      </w:r>
      <w:r w:rsidRPr="0068706C">
        <w:rPr>
          <w:spacing w:val="-3"/>
        </w:rPr>
        <w:t>m</w:t>
      </w:r>
      <w:r w:rsidRPr="0068706C">
        <w:t>e</w:t>
      </w:r>
      <w:r w:rsidRPr="0068706C">
        <w:rPr>
          <w:spacing w:val="2"/>
        </w:rPr>
        <w:t xml:space="preserve"> </w:t>
      </w:r>
      <w:r w:rsidRPr="0068706C">
        <w:rPr>
          <w:spacing w:val="-3"/>
        </w:rPr>
        <w:t>m</w:t>
      </w:r>
      <w:r w:rsidRPr="0068706C">
        <w:t xml:space="preserve">e </w:t>
      </w:r>
      <w:r w:rsidRPr="0068706C">
        <w:rPr>
          <w:spacing w:val="1"/>
        </w:rPr>
        <w:t>n</w:t>
      </w:r>
      <w:r w:rsidRPr="0068706C">
        <w:t>evojat e</w:t>
      </w:r>
      <w:r w:rsidRPr="0068706C">
        <w:rPr>
          <w:spacing w:val="-1"/>
        </w:rPr>
        <w:t xml:space="preserve"> t</w:t>
      </w:r>
      <w:r w:rsidRPr="0068706C">
        <w:rPr>
          <w:spacing w:val="1"/>
        </w:rPr>
        <w:t>r</w:t>
      </w:r>
      <w:r w:rsidRPr="0068706C">
        <w:rPr>
          <w:spacing w:val="-1"/>
        </w:rPr>
        <w:t>e</w:t>
      </w:r>
      <w:r w:rsidRPr="0068706C">
        <w:t>g</w:t>
      </w:r>
      <w:r w:rsidRPr="0068706C">
        <w:rPr>
          <w:spacing w:val="1"/>
        </w:rPr>
        <w:t>u</w:t>
      </w:r>
      <w:r w:rsidRPr="0068706C">
        <w:t>t</w:t>
      </w:r>
      <w:r w:rsidRPr="0068706C">
        <w:rPr>
          <w:spacing w:val="-1"/>
        </w:rPr>
        <w:t xml:space="preserve"> </w:t>
      </w:r>
      <w:r w:rsidRPr="0068706C">
        <w:t>të punës për arsye sepse nuk ka standard të zhvilluar të profesionit. Zbatueshmëria e aktiviteteve të planifikuara për vitet e ardhshme varet direkt nga situata epidemiologjike me virusin Covid 19.  Kjo masë është në pajtim me  SZHQ 8 “Promovimi i rritjes së qëndrueshme, gjithëpërfshirëse dhe punësim i plotë, produktiv dhe punë të denjë për të gjithë”.</w:t>
      </w:r>
    </w:p>
    <w:p w14:paraId="7FEB8D5E" w14:textId="77777777" w:rsidR="0068706C" w:rsidRPr="0068706C" w:rsidRDefault="0068706C" w:rsidP="00CE4035">
      <w:pPr>
        <w:autoSpaceDE w:val="0"/>
        <w:autoSpaceDN w:val="0"/>
        <w:adjustRightInd w:val="0"/>
        <w:spacing w:before="70"/>
        <w:ind w:right="58"/>
        <w:jc w:val="both"/>
      </w:pPr>
    </w:p>
    <w:p w14:paraId="01FBAD47" w14:textId="77777777" w:rsidR="00CE4035" w:rsidRPr="0068706C" w:rsidRDefault="00CE4035" w:rsidP="0068706C">
      <w:pPr>
        <w:pStyle w:val="Default"/>
        <w:numPr>
          <w:ilvl w:val="0"/>
          <w:numId w:val="83"/>
        </w:numPr>
        <w:ind w:left="360"/>
        <w:rPr>
          <w:rFonts w:ascii="Times New Roman" w:hAnsi="Times New Roman" w:cs="Times New Roman"/>
          <w:color w:val="auto"/>
          <w:lang w:val="sq-AL"/>
        </w:rPr>
      </w:pPr>
      <w:r w:rsidRPr="0068706C">
        <w:rPr>
          <w:rFonts w:ascii="Times New Roman" w:hAnsi="Times New Roman" w:cs="Times New Roman"/>
          <w:b/>
          <w:bCs/>
          <w:color w:val="auto"/>
          <w:lang w:val="sq-AL"/>
        </w:rPr>
        <w:t xml:space="preserve">Aktivitetet e planifikuara për 2021 </w:t>
      </w:r>
    </w:p>
    <w:p w14:paraId="2F332CD3" w14:textId="77777777" w:rsidR="00CE4035" w:rsidRPr="0068706C" w:rsidRDefault="00CE4035" w:rsidP="0068706C">
      <w:pPr>
        <w:pStyle w:val="Default"/>
        <w:numPr>
          <w:ilvl w:val="0"/>
          <w:numId w:val="84"/>
        </w:numPr>
        <w:ind w:left="360"/>
        <w:jc w:val="both"/>
        <w:rPr>
          <w:rFonts w:ascii="Times New Roman" w:hAnsi="Times New Roman" w:cs="Times New Roman"/>
          <w:color w:val="auto"/>
          <w:lang w:val="sq-AL"/>
        </w:rPr>
      </w:pPr>
      <w:r w:rsidRPr="0068706C">
        <w:rPr>
          <w:rFonts w:ascii="Times New Roman" w:hAnsi="Times New Roman" w:cs="Times New Roman"/>
          <w:color w:val="auto"/>
          <w:lang w:val="sq-AL"/>
        </w:rPr>
        <w:t xml:space="preserve">Hartimi dhe miratimi i ciklit të ri të Politikës së Punësimit 2021 – 2024 </w:t>
      </w:r>
      <w:r w:rsidRPr="0068706C">
        <w:rPr>
          <w:rFonts w:ascii="Times New Roman" w:hAnsi="Times New Roman" w:cs="Times New Roman"/>
          <w:lang w:val="sq-AL"/>
        </w:rPr>
        <w:t>(</w:t>
      </w:r>
      <w:r w:rsidRPr="0068706C">
        <w:rPr>
          <w:rFonts w:ascii="Times New Roman" w:hAnsi="Times New Roman" w:cs="Times New Roman"/>
          <w:color w:val="auto"/>
          <w:lang w:val="sq-AL"/>
        </w:rPr>
        <w:t xml:space="preserve">MPMS); </w:t>
      </w:r>
    </w:p>
    <w:p w14:paraId="594B5EB0" w14:textId="77777777" w:rsidR="00CE4035" w:rsidRPr="0068706C" w:rsidRDefault="00CE4035" w:rsidP="0068706C">
      <w:pPr>
        <w:pStyle w:val="Default"/>
        <w:numPr>
          <w:ilvl w:val="0"/>
          <w:numId w:val="84"/>
        </w:numPr>
        <w:ind w:left="360"/>
        <w:jc w:val="both"/>
        <w:rPr>
          <w:rFonts w:ascii="Times New Roman" w:hAnsi="Times New Roman" w:cs="Times New Roman"/>
          <w:color w:val="auto"/>
          <w:lang w:val="sq-AL"/>
        </w:rPr>
      </w:pPr>
      <w:r w:rsidRPr="0068706C">
        <w:rPr>
          <w:rFonts w:ascii="Times New Roman" w:hAnsi="Times New Roman" w:cs="Times New Roman"/>
          <w:lang w:val="sq-AL"/>
        </w:rPr>
        <w:t>Hartimi dhe miratimi i Projektligjit  të ri të Punës (MPMS)</w:t>
      </w:r>
      <w:r w:rsidRPr="0068706C">
        <w:rPr>
          <w:rFonts w:ascii="Times New Roman" w:hAnsi="Times New Roman" w:cs="Times New Roman"/>
        </w:rPr>
        <w:t>;</w:t>
      </w:r>
    </w:p>
    <w:p w14:paraId="3B7C7415" w14:textId="77777777" w:rsidR="00CE4035" w:rsidRPr="0068706C" w:rsidRDefault="00CE4035" w:rsidP="0068706C">
      <w:pPr>
        <w:pStyle w:val="Default"/>
        <w:numPr>
          <w:ilvl w:val="0"/>
          <w:numId w:val="84"/>
        </w:numPr>
        <w:ind w:left="360"/>
        <w:jc w:val="both"/>
        <w:rPr>
          <w:rFonts w:ascii="Times New Roman" w:hAnsi="Times New Roman" w:cs="Times New Roman"/>
          <w:color w:val="auto"/>
          <w:lang w:val="sq-AL"/>
        </w:rPr>
      </w:pPr>
      <w:r w:rsidRPr="0068706C">
        <w:rPr>
          <w:rFonts w:ascii="Times New Roman" w:hAnsi="Times New Roman" w:cs="Times New Roman"/>
          <w:color w:val="auto"/>
          <w:lang w:val="sq-AL"/>
        </w:rPr>
        <w:t xml:space="preserve">Zgjerimi i shërbimeve të punësimit dhe aftësimit profesional me shërbime të reja (orientimi në karrierë, njohja e mësimit paraprak dhe hapja e një profili të ri në QAP në bazë të kërkesave të tregut të punës) për klientët e Zyrave të Punësimit dhe Qendrat e Aftësimit Profesional (APRK/MPMS); </w:t>
      </w:r>
    </w:p>
    <w:p w14:paraId="307E23EB" w14:textId="77777777" w:rsidR="00CE4035" w:rsidRPr="0068706C" w:rsidRDefault="00CE4035" w:rsidP="0068706C">
      <w:pPr>
        <w:pStyle w:val="Default"/>
        <w:numPr>
          <w:ilvl w:val="0"/>
          <w:numId w:val="84"/>
        </w:numPr>
        <w:ind w:left="360"/>
        <w:jc w:val="both"/>
        <w:rPr>
          <w:rFonts w:ascii="Times New Roman" w:hAnsi="Times New Roman" w:cs="Times New Roman"/>
          <w:color w:val="auto"/>
          <w:lang w:val="sq-AL"/>
        </w:rPr>
      </w:pPr>
      <w:r w:rsidRPr="0068706C">
        <w:rPr>
          <w:rFonts w:ascii="Times New Roman" w:hAnsi="Times New Roman" w:cs="Times New Roman"/>
          <w:color w:val="auto"/>
          <w:lang w:val="sq-AL"/>
        </w:rPr>
        <w:t>Zbatimi i MATP-ve nga pakoja emergjente për periudhën pas Covid 19 për të paktën 3,000 të papunë afatgjatë, me fokus tek grupet e cenueshme si të rinjtë, gratë, personat me aftësi të kufizuara (APRK/MPMS);</w:t>
      </w:r>
    </w:p>
    <w:p w14:paraId="7234C37D" w14:textId="77777777" w:rsidR="00CE4035" w:rsidRPr="0068706C" w:rsidRDefault="00CE4035" w:rsidP="0068706C">
      <w:pPr>
        <w:pStyle w:val="Default"/>
        <w:numPr>
          <w:ilvl w:val="0"/>
          <w:numId w:val="84"/>
        </w:numPr>
        <w:ind w:left="360"/>
        <w:jc w:val="both"/>
        <w:rPr>
          <w:rFonts w:ascii="Times New Roman" w:hAnsi="Times New Roman" w:cs="Times New Roman"/>
          <w:color w:val="auto"/>
          <w:lang w:val="sq-AL"/>
        </w:rPr>
      </w:pPr>
      <w:r w:rsidRPr="0068706C">
        <w:rPr>
          <w:rFonts w:ascii="Times New Roman" w:hAnsi="Times New Roman" w:cs="Times New Roman"/>
          <w:color w:val="auto"/>
          <w:lang w:val="sq-AL"/>
        </w:rPr>
        <w:t xml:space="preserve">Rishikimi dhe zhvillimi i 5 Kurrikulave, paketave mësimore duke u bazuar në standardet e profesionit, botimi i teksteve për 5 Kualifikime dhe validimi i 5 profileve të aftësimit profesional (APRK/MPMS); </w:t>
      </w:r>
    </w:p>
    <w:p w14:paraId="6D3C796F" w14:textId="77777777" w:rsidR="00CE4035" w:rsidRPr="0068706C" w:rsidRDefault="00CE4035" w:rsidP="0068706C">
      <w:pPr>
        <w:pStyle w:val="Default"/>
        <w:numPr>
          <w:ilvl w:val="0"/>
          <w:numId w:val="84"/>
        </w:numPr>
        <w:ind w:left="360"/>
        <w:jc w:val="both"/>
        <w:rPr>
          <w:rFonts w:ascii="Times New Roman" w:hAnsi="Times New Roman" w:cs="Times New Roman"/>
          <w:color w:val="auto"/>
          <w:lang w:val="sq-AL"/>
        </w:rPr>
      </w:pPr>
      <w:r w:rsidRPr="0068706C">
        <w:rPr>
          <w:rFonts w:ascii="Times New Roman" w:hAnsi="Times New Roman" w:cs="Times New Roman"/>
          <w:color w:val="auto"/>
          <w:lang w:val="sq-AL"/>
        </w:rPr>
        <w:t xml:space="preserve">Zhvillimi i një (1) studimi gjurmues të përfituesve të shërbimeve të punësimit (APRK/MPMS); </w:t>
      </w:r>
    </w:p>
    <w:p w14:paraId="440B8E3C" w14:textId="77777777" w:rsidR="00CE4035" w:rsidRPr="0068706C" w:rsidRDefault="00CE4035" w:rsidP="0068706C">
      <w:pPr>
        <w:pStyle w:val="Default"/>
        <w:numPr>
          <w:ilvl w:val="0"/>
          <w:numId w:val="84"/>
        </w:numPr>
        <w:ind w:left="360"/>
        <w:jc w:val="both"/>
        <w:rPr>
          <w:rFonts w:ascii="Times New Roman" w:hAnsi="Times New Roman" w:cs="Times New Roman"/>
          <w:color w:val="auto"/>
          <w:lang w:val="sq-AL"/>
        </w:rPr>
      </w:pPr>
      <w:r w:rsidRPr="0068706C">
        <w:rPr>
          <w:rFonts w:ascii="Times New Roman" w:hAnsi="Times New Roman" w:cs="Times New Roman"/>
          <w:color w:val="auto"/>
          <w:lang w:val="sq-AL"/>
        </w:rPr>
        <w:t xml:space="preserve">Mbështetja e së paku 5 projekteve rinore në fushën e TIK dhe trajnimi i së paku 100 të rinjve në këtë fushë (MKRS); </w:t>
      </w:r>
    </w:p>
    <w:p w14:paraId="0A5C77D4" w14:textId="77777777" w:rsidR="00CE4035" w:rsidRPr="0068706C" w:rsidRDefault="00CE4035" w:rsidP="0068706C">
      <w:pPr>
        <w:pStyle w:val="Default"/>
        <w:numPr>
          <w:ilvl w:val="0"/>
          <w:numId w:val="84"/>
        </w:numPr>
        <w:ind w:left="360"/>
        <w:jc w:val="both"/>
        <w:rPr>
          <w:rFonts w:ascii="Times New Roman" w:hAnsi="Times New Roman" w:cs="Times New Roman"/>
          <w:color w:val="auto"/>
          <w:lang w:val="sq-AL"/>
        </w:rPr>
      </w:pPr>
      <w:r w:rsidRPr="0068706C">
        <w:rPr>
          <w:rFonts w:ascii="Times New Roman" w:hAnsi="Times New Roman" w:cs="Times New Roman"/>
          <w:color w:val="auto"/>
          <w:lang w:val="sq-AL"/>
        </w:rPr>
        <w:t xml:space="preserve">Realizimi i studimit të fizibilitetit për Skemën Kreditore të të Rinjve (Youth Guarantee Schemme). </w:t>
      </w:r>
    </w:p>
    <w:p w14:paraId="186DC64D" w14:textId="77777777" w:rsidR="00CE4035" w:rsidRPr="0068706C" w:rsidRDefault="00CE4035" w:rsidP="00CE4035">
      <w:pPr>
        <w:pStyle w:val="Default"/>
        <w:ind w:left="360"/>
        <w:jc w:val="both"/>
        <w:rPr>
          <w:rFonts w:ascii="Times New Roman" w:hAnsi="Times New Roman" w:cs="Times New Roman"/>
          <w:color w:val="auto"/>
          <w:lang w:val="sq-AL"/>
        </w:rPr>
      </w:pPr>
    </w:p>
    <w:p w14:paraId="465D39FC" w14:textId="77777777" w:rsidR="00CE4035" w:rsidRPr="0068706C" w:rsidRDefault="00CE4035" w:rsidP="0068706C">
      <w:pPr>
        <w:pStyle w:val="Default"/>
        <w:numPr>
          <w:ilvl w:val="0"/>
          <w:numId w:val="83"/>
        </w:numPr>
        <w:ind w:left="360"/>
        <w:rPr>
          <w:rFonts w:ascii="Times New Roman" w:hAnsi="Times New Roman" w:cs="Times New Roman"/>
          <w:color w:val="auto"/>
          <w:lang w:val="sq-AL"/>
        </w:rPr>
      </w:pPr>
      <w:r w:rsidRPr="0068706C">
        <w:rPr>
          <w:rFonts w:ascii="Times New Roman" w:hAnsi="Times New Roman" w:cs="Times New Roman"/>
          <w:b/>
          <w:bCs/>
          <w:color w:val="auto"/>
          <w:lang w:val="sq-AL"/>
        </w:rPr>
        <w:t xml:space="preserve">Aktivitetet e planifikuara për 2022 </w:t>
      </w:r>
    </w:p>
    <w:p w14:paraId="0186535D" w14:textId="77777777" w:rsidR="00CE4035" w:rsidRPr="0068706C" w:rsidRDefault="00CE4035" w:rsidP="0068706C">
      <w:pPr>
        <w:pStyle w:val="Default"/>
        <w:numPr>
          <w:ilvl w:val="0"/>
          <w:numId w:val="85"/>
        </w:numPr>
        <w:ind w:left="360"/>
        <w:jc w:val="both"/>
        <w:rPr>
          <w:rFonts w:ascii="Times New Roman" w:hAnsi="Times New Roman" w:cs="Times New Roman"/>
          <w:color w:val="auto"/>
          <w:lang w:val="sq-AL"/>
        </w:rPr>
      </w:pPr>
      <w:r w:rsidRPr="0068706C">
        <w:rPr>
          <w:rFonts w:ascii="Times New Roman" w:hAnsi="Times New Roman" w:cs="Times New Roman"/>
          <w:color w:val="auto"/>
          <w:lang w:val="sq-AL"/>
        </w:rPr>
        <w:t xml:space="preserve">Hartimi dhe miratimi i Ligjit të ri për APRK-në (APRK/MPMS) dhe </w:t>
      </w:r>
      <w:r w:rsidRPr="0068706C">
        <w:rPr>
          <w:rFonts w:ascii="Times New Roman" w:hAnsi="Times New Roman" w:cs="Times New Roman"/>
          <w:lang w:val="sq-AL"/>
        </w:rPr>
        <w:t>akteve nën ligjore nga fusha e punësimit (APRK/MPMS);</w:t>
      </w:r>
    </w:p>
    <w:p w14:paraId="1938CFF5" w14:textId="77777777" w:rsidR="00CE4035" w:rsidRPr="0068706C" w:rsidRDefault="00CE4035" w:rsidP="0068706C">
      <w:pPr>
        <w:pStyle w:val="Default"/>
        <w:numPr>
          <w:ilvl w:val="0"/>
          <w:numId w:val="85"/>
        </w:numPr>
        <w:ind w:left="360"/>
        <w:jc w:val="both"/>
        <w:rPr>
          <w:rFonts w:ascii="Times New Roman" w:hAnsi="Times New Roman" w:cs="Times New Roman"/>
          <w:color w:val="auto"/>
          <w:lang w:val="sq-AL"/>
        </w:rPr>
      </w:pPr>
      <w:r w:rsidRPr="0068706C">
        <w:rPr>
          <w:rFonts w:ascii="Times New Roman" w:hAnsi="Times New Roman" w:cs="Times New Roman"/>
          <w:color w:val="auto"/>
          <w:lang w:val="sq-AL"/>
        </w:rPr>
        <w:t xml:space="preserve">Realizimi i vlerësimit ex post të Ligjit për ofrimin e shërbimeve për të papunët, punëdhënësit dhe punëkërkuesit (APRK/MPMS); </w:t>
      </w:r>
    </w:p>
    <w:p w14:paraId="338EB42F" w14:textId="77777777" w:rsidR="00CE4035" w:rsidRPr="0068706C" w:rsidRDefault="00CE4035" w:rsidP="0068706C">
      <w:pPr>
        <w:pStyle w:val="Default"/>
        <w:numPr>
          <w:ilvl w:val="0"/>
          <w:numId w:val="85"/>
        </w:numPr>
        <w:ind w:left="360"/>
        <w:jc w:val="both"/>
        <w:rPr>
          <w:rFonts w:ascii="Times New Roman" w:hAnsi="Times New Roman" w:cs="Times New Roman"/>
          <w:color w:val="auto"/>
          <w:lang w:val="sq-AL"/>
        </w:rPr>
      </w:pPr>
      <w:r w:rsidRPr="0068706C">
        <w:rPr>
          <w:rFonts w:ascii="Times New Roman" w:hAnsi="Times New Roman" w:cs="Times New Roman"/>
          <w:color w:val="auto"/>
          <w:lang w:val="sq-AL"/>
        </w:rPr>
        <w:t>Zbatimi i MATP-ve nga pakoja emergjente për periudhën pas Covid 19 për të paktën 3,500 të papunë afatgjatë, me fokus tek grupet e cenueshme si të rinjtë, gratë, personat me aftësi të kufizuara (APRK/MPMS);</w:t>
      </w:r>
    </w:p>
    <w:p w14:paraId="04A34DAD" w14:textId="77777777" w:rsidR="00CE4035" w:rsidRPr="0068706C" w:rsidRDefault="00CE4035" w:rsidP="0068706C">
      <w:pPr>
        <w:pStyle w:val="Default"/>
        <w:numPr>
          <w:ilvl w:val="0"/>
          <w:numId w:val="85"/>
        </w:numPr>
        <w:ind w:left="360"/>
        <w:jc w:val="both"/>
        <w:rPr>
          <w:rFonts w:ascii="Times New Roman" w:hAnsi="Times New Roman" w:cs="Times New Roman"/>
          <w:color w:val="auto"/>
          <w:lang w:val="sq-AL"/>
        </w:rPr>
      </w:pPr>
      <w:r w:rsidRPr="0068706C">
        <w:rPr>
          <w:rFonts w:ascii="Times New Roman" w:hAnsi="Times New Roman" w:cs="Times New Roman"/>
          <w:color w:val="auto"/>
          <w:lang w:val="sq-AL"/>
        </w:rPr>
        <w:t xml:space="preserve">Rishikimi dhe zhvillimi i 5 Kurrikulave, paketave mësimore duke u bazuar në standardet e profesionit, botimi i teksteve për 5 Kualifikime dhe validimi i 5 profileve të aftësimit profesional (APRK/MPMS); </w:t>
      </w:r>
    </w:p>
    <w:p w14:paraId="07E79279" w14:textId="77777777" w:rsidR="00CE4035" w:rsidRPr="0068706C" w:rsidRDefault="00CE4035" w:rsidP="0068706C">
      <w:pPr>
        <w:pStyle w:val="Default"/>
        <w:numPr>
          <w:ilvl w:val="0"/>
          <w:numId w:val="85"/>
        </w:numPr>
        <w:ind w:left="360"/>
        <w:jc w:val="both"/>
        <w:rPr>
          <w:rFonts w:ascii="Times New Roman" w:hAnsi="Times New Roman" w:cs="Times New Roman"/>
          <w:color w:val="auto"/>
          <w:lang w:val="sq-AL"/>
        </w:rPr>
      </w:pPr>
      <w:r w:rsidRPr="0068706C">
        <w:rPr>
          <w:rFonts w:ascii="Times New Roman" w:hAnsi="Times New Roman" w:cs="Times New Roman"/>
          <w:color w:val="auto"/>
          <w:lang w:val="sq-AL"/>
        </w:rPr>
        <w:t>Nën-kontraktimi i të paktën dy (2) profileve deficitare të aftësimit profesional tek ofruesit privat (APRK/MPMS);</w:t>
      </w:r>
    </w:p>
    <w:p w14:paraId="59EAD2A8" w14:textId="77777777" w:rsidR="00CE4035" w:rsidRPr="0068706C" w:rsidRDefault="00CE4035" w:rsidP="0068706C">
      <w:pPr>
        <w:pStyle w:val="Default"/>
        <w:numPr>
          <w:ilvl w:val="0"/>
          <w:numId w:val="85"/>
        </w:numPr>
        <w:ind w:left="360"/>
        <w:jc w:val="both"/>
        <w:rPr>
          <w:rFonts w:ascii="Times New Roman" w:hAnsi="Times New Roman" w:cs="Times New Roman"/>
          <w:color w:val="auto"/>
          <w:lang w:val="sq-AL"/>
        </w:rPr>
      </w:pPr>
      <w:r w:rsidRPr="0068706C">
        <w:rPr>
          <w:rFonts w:ascii="Times New Roman" w:hAnsi="Times New Roman" w:cs="Times New Roman"/>
          <w:lang w:val="sq-AL"/>
        </w:rPr>
        <w:t xml:space="preserve">Funksionalizimi i plotë i modulit të SIMP për monitorimin e përfituesve të MATP-ve (APRK/MPMS) dhe rritja </w:t>
      </w:r>
      <w:r w:rsidRPr="0068706C">
        <w:rPr>
          <w:rFonts w:ascii="Times New Roman" w:hAnsi="Times New Roman" w:cs="Times New Roman"/>
          <w:bCs/>
          <w:iCs/>
          <w:lang w:val="sq-AL"/>
        </w:rPr>
        <w:t>e shpalljeve të vendeve të punës përmes platformës së SIMP për të gjithë sektorët ekonomik (APRK/MPMS);</w:t>
      </w:r>
    </w:p>
    <w:p w14:paraId="20A05D0C" w14:textId="77777777" w:rsidR="00CE4035" w:rsidRPr="0068706C" w:rsidRDefault="00CE4035" w:rsidP="0068706C">
      <w:pPr>
        <w:pStyle w:val="Default"/>
        <w:numPr>
          <w:ilvl w:val="0"/>
          <w:numId w:val="85"/>
        </w:numPr>
        <w:ind w:left="360"/>
        <w:jc w:val="both"/>
        <w:rPr>
          <w:rFonts w:ascii="Times New Roman" w:hAnsi="Times New Roman" w:cs="Times New Roman"/>
          <w:color w:val="auto"/>
          <w:lang w:val="sq-AL"/>
        </w:rPr>
      </w:pPr>
      <w:r w:rsidRPr="0068706C">
        <w:rPr>
          <w:rFonts w:ascii="Times New Roman" w:hAnsi="Times New Roman" w:cs="Times New Roman"/>
          <w:color w:val="auto"/>
          <w:lang w:val="sq-AL"/>
        </w:rPr>
        <w:t>Mbështetja e së paku 5 projekteve rinore në vit në fushën e TIK dhe trajnimi i së paku 100 të rinjve në këtë fushë (MKRS).</w:t>
      </w:r>
    </w:p>
    <w:p w14:paraId="431E67A1" w14:textId="77777777" w:rsidR="00CE4035" w:rsidRPr="0068706C" w:rsidRDefault="00CE4035" w:rsidP="00CE4035">
      <w:pPr>
        <w:pStyle w:val="Default"/>
        <w:ind w:left="360"/>
        <w:jc w:val="both"/>
        <w:rPr>
          <w:rFonts w:ascii="Times New Roman" w:hAnsi="Times New Roman" w:cs="Times New Roman"/>
          <w:color w:val="auto"/>
          <w:lang w:val="sq-AL"/>
        </w:rPr>
      </w:pPr>
    </w:p>
    <w:p w14:paraId="007A7644" w14:textId="77777777" w:rsidR="00CE4035" w:rsidRPr="0068706C" w:rsidRDefault="00CE4035" w:rsidP="0068706C">
      <w:pPr>
        <w:pStyle w:val="Default"/>
        <w:numPr>
          <w:ilvl w:val="0"/>
          <w:numId w:val="83"/>
        </w:numPr>
        <w:ind w:left="360"/>
        <w:rPr>
          <w:rFonts w:ascii="Times New Roman" w:hAnsi="Times New Roman" w:cs="Times New Roman"/>
          <w:color w:val="auto"/>
          <w:lang w:val="sq-AL"/>
        </w:rPr>
      </w:pPr>
      <w:r w:rsidRPr="0068706C">
        <w:rPr>
          <w:rFonts w:ascii="Times New Roman" w:hAnsi="Times New Roman" w:cs="Times New Roman"/>
          <w:b/>
          <w:bCs/>
          <w:color w:val="auto"/>
          <w:lang w:val="sq-AL"/>
        </w:rPr>
        <w:t xml:space="preserve">Aktivitetet e planifikuara për 2023 </w:t>
      </w:r>
    </w:p>
    <w:p w14:paraId="7517BBF5" w14:textId="77777777" w:rsidR="00CE4035" w:rsidRPr="0068706C" w:rsidRDefault="00CE4035" w:rsidP="0068706C">
      <w:pPr>
        <w:pStyle w:val="Default"/>
        <w:numPr>
          <w:ilvl w:val="0"/>
          <w:numId w:val="86"/>
        </w:numPr>
        <w:ind w:left="360"/>
        <w:jc w:val="both"/>
        <w:rPr>
          <w:rFonts w:ascii="Times New Roman" w:hAnsi="Times New Roman" w:cs="Times New Roman"/>
          <w:color w:val="auto"/>
          <w:lang w:val="sq-AL"/>
        </w:rPr>
      </w:pPr>
      <w:r w:rsidRPr="0068706C">
        <w:rPr>
          <w:rFonts w:ascii="Times New Roman" w:hAnsi="Times New Roman" w:cs="Times New Roman"/>
          <w:color w:val="auto"/>
          <w:lang w:val="sq-AL"/>
        </w:rPr>
        <w:t xml:space="preserve">Zbatimi i MATP-ve për të paktën 4,000 të papunë afatgjatë, me fokus tek grupet e cenueshme si të rinjtë, gratë, personat me aftësi të kufizuara (APRK/MPMS);  </w:t>
      </w:r>
    </w:p>
    <w:p w14:paraId="2A929B1F" w14:textId="77777777" w:rsidR="00CE4035" w:rsidRPr="0068706C" w:rsidRDefault="00CE4035" w:rsidP="0068706C">
      <w:pPr>
        <w:pStyle w:val="Default"/>
        <w:numPr>
          <w:ilvl w:val="0"/>
          <w:numId w:val="86"/>
        </w:numPr>
        <w:ind w:left="360"/>
        <w:jc w:val="both"/>
        <w:rPr>
          <w:rFonts w:ascii="Times New Roman" w:hAnsi="Times New Roman" w:cs="Times New Roman"/>
          <w:color w:val="auto"/>
          <w:lang w:val="sq-AL"/>
        </w:rPr>
      </w:pPr>
      <w:r w:rsidRPr="0068706C">
        <w:rPr>
          <w:rFonts w:ascii="Times New Roman" w:hAnsi="Times New Roman" w:cs="Times New Roman"/>
          <w:color w:val="auto"/>
          <w:lang w:val="sq-AL"/>
        </w:rPr>
        <w:t>Identifikimi i shkathtësive profesionale për të ardhmen përmes hulumtimit të tregut të punës (APRK/MPMS);</w:t>
      </w:r>
    </w:p>
    <w:p w14:paraId="5555AFAE" w14:textId="77777777" w:rsidR="00CE4035" w:rsidRPr="0068706C" w:rsidRDefault="00CE4035" w:rsidP="0068706C">
      <w:pPr>
        <w:pStyle w:val="Default"/>
        <w:numPr>
          <w:ilvl w:val="0"/>
          <w:numId w:val="86"/>
        </w:numPr>
        <w:ind w:left="360"/>
        <w:jc w:val="both"/>
        <w:rPr>
          <w:rFonts w:ascii="Times New Roman" w:hAnsi="Times New Roman" w:cs="Times New Roman"/>
          <w:color w:val="auto"/>
          <w:lang w:val="sq-AL"/>
        </w:rPr>
      </w:pPr>
      <w:r w:rsidRPr="0068706C">
        <w:rPr>
          <w:rFonts w:ascii="Times New Roman" w:hAnsi="Times New Roman" w:cs="Times New Roman"/>
          <w:color w:val="auto"/>
          <w:lang w:val="sq-AL"/>
        </w:rPr>
        <w:t>Rishikimi dhe zhvillimi i 7 Kurrikulave, paketave mësimore duke u bazuar në standardet të profesionit, botimi i teksteve për 7 Kualifikime dhe validimi/rivalidimi 7 profileve të aftësimit profesional (APRK/MPMS);</w:t>
      </w:r>
    </w:p>
    <w:p w14:paraId="5341819F" w14:textId="77777777" w:rsidR="00CE4035" w:rsidRPr="0068706C" w:rsidRDefault="00CE4035" w:rsidP="0068706C">
      <w:pPr>
        <w:pStyle w:val="Default"/>
        <w:numPr>
          <w:ilvl w:val="0"/>
          <w:numId w:val="86"/>
        </w:numPr>
        <w:ind w:left="360"/>
        <w:jc w:val="both"/>
        <w:rPr>
          <w:rFonts w:ascii="Times New Roman" w:hAnsi="Times New Roman" w:cs="Times New Roman"/>
          <w:color w:val="auto"/>
          <w:lang w:val="sq-AL"/>
        </w:rPr>
      </w:pPr>
      <w:r w:rsidRPr="0068706C">
        <w:rPr>
          <w:rFonts w:ascii="Times New Roman" w:hAnsi="Times New Roman" w:cs="Times New Roman"/>
          <w:color w:val="auto"/>
          <w:lang w:val="sq-AL"/>
        </w:rPr>
        <w:t>Nën kontraktimi i të paktën dy (2) profileve deficitare të aftësimit profesional tek ofruesit privatë (APRK/MPMS);</w:t>
      </w:r>
    </w:p>
    <w:p w14:paraId="1316A1AF" w14:textId="77777777" w:rsidR="00CE4035" w:rsidRPr="0068706C" w:rsidRDefault="00CE4035" w:rsidP="0068706C">
      <w:pPr>
        <w:pStyle w:val="Default"/>
        <w:numPr>
          <w:ilvl w:val="0"/>
          <w:numId w:val="86"/>
        </w:numPr>
        <w:ind w:left="360"/>
        <w:jc w:val="both"/>
        <w:rPr>
          <w:rFonts w:ascii="Times New Roman" w:hAnsi="Times New Roman" w:cs="Times New Roman"/>
          <w:color w:val="auto"/>
          <w:lang w:val="sq-AL"/>
        </w:rPr>
      </w:pPr>
      <w:r w:rsidRPr="0068706C">
        <w:rPr>
          <w:rFonts w:ascii="Times New Roman" w:hAnsi="Times New Roman" w:cs="Times New Roman"/>
          <w:color w:val="auto"/>
          <w:lang w:val="sq-AL"/>
        </w:rPr>
        <w:t>Mbështetja e së paku 5 projekteve rinore në vit në fushën e TIK dhe trajnimi i së paku 100 të rinjve në këtë fushë (MKRS).</w:t>
      </w:r>
    </w:p>
    <w:p w14:paraId="66455FC8" w14:textId="77777777" w:rsidR="00CE4035" w:rsidRPr="0068706C" w:rsidRDefault="00CE4035" w:rsidP="00CE4035">
      <w:pPr>
        <w:pStyle w:val="Default"/>
        <w:ind w:left="360"/>
        <w:jc w:val="both"/>
        <w:rPr>
          <w:rFonts w:ascii="Times New Roman" w:hAnsi="Times New Roman" w:cs="Times New Roman"/>
          <w:color w:val="auto"/>
          <w:lang w:val="sq-AL"/>
        </w:rPr>
      </w:pPr>
    </w:p>
    <w:p w14:paraId="0E78781E" w14:textId="77777777" w:rsidR="00CE4035" w:rsidRPr="0068706C" w:rsidRDefault="00CE4035" w:rsidP="00CE4035">
      <w:pPr>
        <w:pStyle w:val="Default"/>
        <w:jc w:val="both"/>
        <w:rPr>
          <w:rFonts w:ascii="Times New Roman" w:hAnsi="Times New Roman" w:cs="Times New Roman"/>
          <w:color w:val="auto"/>
          <w:lang w:val="sq-AL"/>
        </w:rPr>
      </w:pPr>
      <w:r w:rsidRPr="0068706C">
        <w:rPr>
          <w:rFonts w:ascii="Times New Roman" w:hAnsi="Times New Roman" w:cs="Times New Roman"/>
          <w:b/>
          <w:bCs/>
          <w:lang w:val="sq-AL"/>
        </w:rPr>
        <w:t>Treguesit e re</w:t>
      </w:r>
      <w:r w:rsidRPr="0068706C">
        <w:rPr>
          <w:rFonts w:ascii="Times New Roman" w:hAnsi="Times New Roman" w:cs="Times New Roman"/>
          <w:b/>
          <w:bCs/>
          <w:spacing w:val="-1"/>
          <w:lang w:val="sq-AL"/>
        </w:rPr>
        <w:t>z</w:t>
      </w:r>
      <w:r w:rsidRPr="0068706C">
        <w:rPr>
          <w:rFonts w:ascii="Times New Roman" w:hAnsi="Times New Roman" w:cs="Times New Roman"/>
          <w:b/>
          <w:bCs/>
          <w:lang w:val="sq-AL"/>
        </w:rPr>
        <w:t>ultateve:</w:t>
      </w:r>
    </w:p>
    <w:tbl>
      <w:tblPr>
        <w:tblW w:w="9360" w:type="dxa"/>
        <w:tblInd w:w="-5" w:type="dxa"/>
        <w:tblLayout w:type="fixed"/>
        <w:tblCellMar>
          <w:left w:w="0" w:type="dxa"/>
          <w:right w:w="0" w:type="dxa"/>
        </w:tblCellMar>
        <w:tblLook w:val="0000" w:firstRow="0" w:lastRow="0" w:firstColumn="0" w:lastColumn="0" w:noHBand="0" w:noVBand="0"/>
      </w:tblPr>
      <w:tblGrid>
        <w:gridCol w:w="5310"/>
        <w:gridCol w:w="1170"/>
        <w:gridCol w:w="1350"/>
        <w:gridCol w:w="1530"/>
      </w:tblGrid>
      <w:tr w:rsidR="00CE4035" w:rsidRPr="0068706C" w14:paraId="256B1E5C" w14:textId="77777777" w:rsidTr="009B753C">
        <w:trPr>
          <w:trHeight w:hRule="exact" w:val="343"/>
        </w:trPr>
        <w:tc>
          <w:tcPr>
            <w:tcW w:w="5310" w:type="dxa"/>
            <w:tcBorders>
              <w:top w:val="single" w:sz="4" w:space="0" w:color="000000"/>
              <w:left w:val="single" w:sz="4" w:space="0" w:color="000000"/>
              <w:bottom w:val="single" w:sz="4" w:space="0" w:color="000000"/>
              <w:right w:val="single" w:sz="4" w:space="0" w:color="000000"/>
            </w:tcBorders>
          </w:tcPr>
          <w:p w14:paraId="3EA4BF0F" w14:textId="77777777" w:rsidR="00CE4035" w:rsidRPr="0068706C" w:rsidRDefault="00CE4035" w:rsidP="009B753C">
            <w:pPr>
              <w:autoSpaceDE w:val="0"/>
              <w:autoSpaceDN w:val="0"/>
              <w:adjustRightInd w:val="0"/>
              <w:spacing w:line="252" w:lineRule="exact"/>
              <w:ind w:right="1954"/>
            </w:pPr>
            <w:r w:rsidRPr="0068706C">
              <w:rPr>
                <w:b/>
                <w:bCs/>
              </w:rPr>
              <w:t>Tr</w:t>
            </w:r>
            <w:r w:rsidRPr="0068706C">
              <w:rPr>
                <w:b/>
                <w:bCs/>
                <w:spacing w:val="-1"/>
              </w:rPr>
              <w:t>e</w:t>
            </w:r>
            <w:r w:rsidRPr="0068706C">
              <w:rPr>
                <w:b/>
                <w:bCs/>
                <w:w w:val="99"/>
              </w:rPr>
              <w:t>g</w:t>
            </w:r>
            <w:r w:rsidRPr="0068706C">
              <w:rPr>
                <w:b/>
                <w:bCs/>
                <w:spacing w:val="1"/>
                <w:w w:val="99"/>
              </w:rPr>
              <w:t>ues</w:t>
            </w:r>
            <w:r w:rsidRPr="0068706C">
              <w:rPr>
                <w:b/>
                <w:bCs/>
                <w:w w:val="99"/>
              </w:rPr>
              <w:t>it:</w:t>
            </w:r>
          </w:p>
        </w:tc>
        <w:tc>
          <w:tcPr>
            <w:tcW w:w="1170" w:type="dxa"/>
            <w:tcBorders>
              <w:top w:val="single" w:sz="4" w:space="0" w:color="000000"/>
              <w:left w:val="single" w:sz="4" w:space="0" w:color="000000"/>
              <w:bottom w:val="single" w:sz="4" w:space="0" w:color="000000"/>
              <w:right w:val="single" w:sz="4" w:space="0" w:color="000000"/>
            </w:tcBorders>
          </w:tcPr>
          <w:p w14:paraId="51428A13" w14:textId="77777777" w:rsidR="00CE4035" w:rsidRPr="0068706C" w:rsidRDefault="00CE4035" w:rsidP="009B753C">
            <w:pPr>
              <w:autoSpaceDE w:val="0"/>
              <w:autoSpaceDN w:val="0"/>
              <w:adjustRightInd w:val="0"/>
              <w:spacing w:line="252" w:lineRule="exact"/>
              <w:ind w:right="-20"/>
            </w:pPr>
            <w:r w:rsidRPr="0068706C">
              <w:rPr>
                <w:b/>
                <w:bCs/>
              </w:rPr>
              <w:t>Ba</w:t>
            </w:r>
            <w:r w:rsidRPr="0068706C">
              <w:rPr>
                <w:b/>
                <w:bCs/>
                <w:spacing w:val="-1"/>
              </w:rPr>
              <w:t>z</w:t>
            </w:r>
            <w:r w:rsidRPr="0068706C">
              <w:rPr>
                <w:b/>
                <w:bCs/>
              </w:rPr>
              <w:t>a</w:t>
            </w:r>
            <w:r w:rsidRPr="0068706C">
              <w:t xml:space="preserve"> </w:t>
            </w:r>
            <w:r w:rsidRPr="0068706C">
              <w:rPr>
                <w:b/>
                <w:bCs/>
                <w:spacing w:val="1"/>
              </w:rPr>
              <w:t>2019</w:t>
            </w:r>
          </w:p>
        </w:tc>
        <w:tc>
          <w:tcPr>
            <w:tcW w:w="1350" w:type="dxa"/>
            <w:tcBorders>
              <w:top w:val="single" w:sz="4" w:space="0" w:color="000000"/>
              <w:left w:val="single" w:sz="4" w:space="0" w:color="000000"/>
              <w:bottom w:val="single" w:sz="4" w:space="0" w:color="000000"/>
              <w:right w:val="single" w:sz="4" w:space="0" w:color="000000"/>
            </w:tcBorders>
          </w:tcPr>
          <w:p w14:paraId="00B7DCC3" w14:textId="77777777" w:rsidR="00CE4035" w:rsidRPr="0068706C" w:rsidRDefault="00CE4035" w:rsidP="009B753C">
            <w:pPr>
              <w:autoSpaceDE w:val="0"/>
              <w:autoSpaceDN w:val="0"/>
              <w:adjustRightInd w:val="0"/>
              <w:spacing w:line="252" w:lineRule="exact"/>
              <w:ind w:right="-20"/>
              <w:jc w:val="center"/>
            </w:pPr>
            <w:r w:rsidRPr="0068706C">
              <w:rPr>
                <w:b/>
                <w:bCs/>
              </w:rPr>
              <w:t>S</w:t>
            </w:r>
            <w:r w:rsidRPr="0068706C">
              <w:rPr>
                <w:b/>
                <w:bCs/>
                <w:spacing w:val="1"/>
              </w:rPr>
              <w:t>y</w:t>
            </w:r>
            <w:r w:rsidRPr="0068706C">
              <w:rPr>
                <w:b/>
                <w:bCs/>
              </w:rPr>
              <w:t xml:space="preserve">nimi </w:t>
            </w:r>
            <w:r w:rsidRPr="0068706C">
              <w:rPr>
                <w:b/>
                <w:bCs/>
                <w:spacing w:val="1"/>
              </w:rPr>
              <w:t>2</w:t>
            </w:r>
            <w:r w:rsidRPr="0068706C">
              <w:rPr>
                <w:b/>
                <w:bCs/>
              </w:rPr>
              <w:t>0</w:t>
            </w:r>
            <w:r w:rsidRPr="0068706C">
              <w:rPr>
                <w:b/>
                <w:bCs/>
                <w:spacing w:val="1"/>
              </w:rPr>
              <w:t>2</w:t>
            </w:r>
            <w:r w:rsidRPr="0068706C">
              <w:rPr>
                <w:b/>
                <w:bCs/>
              </w:rPr>
              <w:t>1</w:t>
            </w:r>
          </w:p>
        </w:tc>
        <w:tc>
          <w:tcPr>
            <w:tcW w:w="1530" w:type="dxa"/>
            <w:tcBorders>
              <w:top w:val="single" w:sz="4" w:space="0" w:color="000000"/>
              <w:left w:val="single" w:sz="4" w:space="0" w:color="000000"/>
              <w:bottom w:val="single" w:sz="4" w:space="0" w:color="000000"/>
              <w:right w:val="single" w:sz="4" w:space="0" w:color="000000"/>
            </w:tcBorders>
          </w:tcPr>
          <w:p w14:paraId="289CE0DC" w14:textId="77777777" w:rsidR="00CE4035" w:rsidRPr="0068706C" w:rsidRDefault="00CE4035" w:rsidP="009B753C">
            <w:pPr>
              <w:autoSpaceDE w:val="0"/>
              <w:autoSpaceDN w:val="0"/>
              <w:adjustRightInd w:val="0"/>
              <w:spacing w:line="252" w:lineRule="exact"/>
              <w:ind w:right="-20"/>
              <w:jc w:val="center"/>
              <w:rPr>
                <w:b/>
                <w:bCs/>
              </w:rPr>
            </w:pPr>
            <w:r w:rsidRPr="0068706C">
              <w:rPr>
                <w:b/>
                <w:bCs/>
              </w:rPr>
              <w:t>Synimi 2023</w:t>
            </w:r>
          </w:p>
        </w:tc>
      </w:tr>
      <w:tr w:rsidR="00CE4035" w:rsidRPr="0068706C" w14:paraId="49AB1CD7" w14:textId="77777777" w:rsidTr="009B753C">
        <w:trPr>
          <w:trHeight w:hRule="exact" w:val="892"/>
        </w:trPr>
        <w:tc>
          <w:tcPr>
            <w:tcW w:w="5310" w:type="dxa"/>
            <w:tcBorders>
              <w:top w:val="single" w:sz="4" w:space="0" w:color="000000"/>
              <w:left w:val="single" w:sz="4" w:space="0" w:color="000000"/>
              <w:bottom w:val="single" w:sz="4" w:space="0" w:color="000000"/>
              <w:right w:val="single" w:sz="4" w:space="0" w:color="000000"/>
            </w:tcBorders>
          </w:tcPr>
          <w:p w14:paraId="19786483" w14:textId="77777777" w:rsidR="00CE4035" w:rsidRPr="0068706C" w:rsidRDefault="00CE4035" w:rsidP="009B753C">
            <w:pPr>
              <w:autoSpaceDE w:val="0"/>
              <w:autoSpaceDN w:val="0"/>
              <w:adjustRightInd w:val="0"/>
              <w:spacing w:before="1" w:line="252" w:lineRule="exact"/>
              <w:ind w:left="102" w:right="45"/>
            </w:pPr>
            <w:r w:rsidRPr="0068706C">
              <w:t>%</w:t>
            </w:r>
            <w:r w:rsidRPr="0068706C">
              <w:rPr>
                <w:spacing w:val="-14"/>
              </w:rPr>
              <w:t xml:space="preserve"> </w:t>
            </w:r>
            <w:r w:rsidRPr="0068706C">
              <w:t>e</w:t>
            </w:r>
            <w:r w:rsidRPr="0068706C">
              <w:rPr>
                <w:spacing w:val="-12"/>
              </w:rPr>
              <w:t xml:space="preserve"> </w:t>
            </w:r>
            <w:r w:rsidRPr="0068706C">
              <w:rPr>
                <w:spacing w:val="1"/>
              </w:rPr>
              <w:t>t</w:t>
            </w:r>
            <w:r w:rsidRPr="0068706C">
              <w:t>ë</w:t>
            </w:r>
            <w:r w:rsidRPr="0068706C">
              <w:rPr>
                <w:spacing w:val="-12"/>
              </w:rPr>
              <w:t xml:space="preserve"> </w:t>
            </w:r>
            <w:r w:rsidRPr="0068706C">
              <w:t>ri</w:t>
            </w:r>
            <w:r w:rsidRPr="0068706C">
              <w:rPr>
                <w:spacing w:val="1"/>
              </w:rPr>
              <w:t>n</w:t>
            </w:r>
            <w:r w:rsidRPr="0068706C">
              <w:t>jve</w:t>
            </w:r>
            <w:r w:rsidRPr="0068706C">
              <w:rPr>
                <w:spacing w:val="-16"/>
              </w:rPr>
              <w:t xml:space="preserve"> </w:t>
            </w:r>
            <w:r w:rsidRPr="0068706C">
              <w:t>që</w:t>
            </w:r>
            <w:r w:rsidRPr="0068706C">
              <w:rPr>
                <w:spacing w:val="-14"/>
              </w:rPr>
              <w:t xml:space="preserve"> </w:t>
            </w:r>
            <w:r w:rsidRPr="0068706C">
              <w:t>përfitojnë</w:t>
            </w:r>
            <w:r w:rsidRPr="0068706C">
              <w:rPr>
                <w:spacing w:val="-21"/>
              </w:rPr>
              <w:t xml:space="preserve"> </w:t>
            </w:r>
            <w:r w:rsidRPr="0068706C">
              <w:rPr>
                <w:w w:val="99"/>
              </w:rPr>
              <w:t>pjesëmarrje</w:t>
            </w:r>
            <w:r w:rsidRPr="0068706C">
              <w:rPr>
                <w:spacing w:val="-11"/>
                <w:w w:val="99"/>
              </w:rPr>
              <w:t xml:space="preserve"> </w:t>
            </w:r>
            <w:r w:rsidRPr="0068706C">
              <w:rPr>
                <w:spacing w:val="2"/>
              </w:rPr>
              <w:t>n</w:t>
            </w:r>
            <w:r w:rsidRPr="0068706C">
              <w:t>ë</w:t>
            </w:r>
            <w:r w:rsidRPr="0068706C">
              <w:rPr>
                <w:spacing w:val="-12"/>
              </w:rPr>
              <w:t xml:space="preserve"> </w:t>
            </w:r>
            <w:r w:rsidRPr="0068706C">
              <w:rPr>
                <w:spacing w:val="-2"/>
              </w:rPr>
              <w:t>m</w:t>
            </w:r>
            <w:r w:rsidRPr="0068706C">
              <w:rPr>
                <w:spacing w:val="1"/>
              </w:rPr>
              <w:t>a</w:t>
            </w:r>
            <w:r w:rsidRPr="0068706C">
              <w:t>sa</w:t>
            </w:r>
            <w:r w:rsidRPr="0068706C">
              <w:rPr>
                <w:spacing w:val="-15"/>
              </w:rPr>
              <w:t xml:space="preserve"> </w:t>
            </w:r>
            <w:r w:rsidRPr="0068706C">
              <w:t>akti</w:t>
            </w:r>
            <w:r w:rsidRPr="0068706C">
              <w:rPr>
                <w:spacing w:val="1"/>
              </w:rPr>
              <w:t>v</w:t>
            </w:r>
            <w:r w:rsidRPr="0068706C">
              <w:t>e të</w:t>
            </w:r>
            <w:r w:rsidRPr="0068706C">
              <w:rPr>
                <w:spacing w:val="49"/>
              </w:rPr>
              <w:t xml:space="preserve"> </w:t>
            </w:r>
            <w:r w:rsidRPr="0068706C">
              <w:t>treg</w:t>
            </w:r>
            <w:r w:rsidRPr="0068706C">
              <w:rPr>
                <w:spacing w:val="1"/>
              </w:rPr>
              <w:t>u</w:t>
            </w:r>
            <w:r w:rsidRPr="0068706C">
              <w:t>t</w:t>
            </w:r>
            <w:r w:rsidRPr="0068706C">
              <w:rPr>
                <w:spacing w:val="44"/>
              </w:rPr>
              <w:t xml:space="preserve"> </w:t>
            </w:r>
            <w:r w:rsidRPr="0068706C">
              <w:t>të</w:t>
            </w:r>
            <w:r w:rsidRPr="0068706C">
              <w:rPr>
                <w:spacing w:val="49"/>
              </w:rPr>
              <w:t xml:space="preserve"> </w:t>
            </w:r>
            <w:r w:rsidRPr="0068706C">
              <w:t>p</w:t>
            </w:r>
            <w:r w:rsidRPr="0068706C">
              <w:rPr>
                <w:spacing w:val="1"/>
              </w:rPr>
              <w:t>u</w:t>
            </w:r>
            <w:r w:rsidRPr="0068706C">
              <w:t>nës</w:t>
            </w:r>
            <w:r w:rsidRPr="0068706C">
              <w:rPr>
                <w:spacing w:val="44"/>
              </w:rPr>
              <w:t xml:space="preserve"> </w:t>
            </w:r>
            <w:r w:rsidRPr="0068706C">
              <w:t>n</w:t>
            </w:r>
            <w:r w:rsidRPr="0068706C">
              <w:rPr>
                <w:spacing w:val="1"/>
              </w:rPr>
              <w:t>g</w:t>
            </w:r>
            <w:r w:rsidRPr="0068706C">
              <w:t>a</w:t>
            </w:r>
            <w:r w:rsidRPr="0068706C">
              <w:rPr>
                <w:spacing w:val="47"/>
              </w:rPr>
              <w:t xml:space="preserve"> </w:t>
            </w:r>
            <w:r w:rsidRPr="0068706C">
              <w:t>nu</w:t>
            </w:r>
            <w:r w:rsidRPr="0068706C">
              <w:rPr>
                <w:spacing w:val="-2"/>
              </w:rPr>
              <w:t>m</w:t>
            </w:r>
            <w:r w:rsidRPr="0068706C">
              <w:t>ri</w:t>
            </w:r>
            <w:r w:rsidRPr="0068706C">
              <w:rPr>
                <w:spacing w:val="44"/>
              </w:rPr>
              <w:t xml:space="preserve"> </w:t>
            </w:r>
            <w:r w:rsidRPr="0068706C">
              <w:t>total</w:t>
            </w:r>
            <w:r w:rsidRPr="0068706C">
              <w:rPr>
                <w:spacing w:val="47"/>
              </w:rPr>
              <w:t xml:space="preserve"> </w:t>
            </w:r>
            <w:r w:rsidRPr="0068706C">
              <w:t>i</w:t>
            </w:r>
            <w:r w:rsidRPr="0068706C">
              <w:rPr>
                <w:spacing w:val="51"/>
              </w:rPr>
              <w:t xml:space="preserve"> </w:t>
            </w:r>
            <w:r w:rsidRPr="0068706C">
              <w:t>MAT</w:t>
            </w:r>
            <w:r w:rsidRPr="0068706C">
              <w:rPr>
                <w:spacing w:val="4"/>
              </w:rPr>
              <w:t>P</w:t>
            </w:r>
            <w:r w:rsidRPr="0068706C">
              <w:t>-ve</w:t>
            </w:r>
            <w:r w:rsidRPr="0068706C">
              <w:rPr>
                <w:spacing w:val="41"/>
              </w:rPr>
              <w:t xml:space="preserve"> </w:t>
            </w:r>
            <w:r w:rsidRPr="0068706C">
              <w:t>të ofruar</w:t>
            </w:r>
            <w:r w:rsidRPr="0068706C">
              <w:rPr>
                <w:spacing w:val="-5"/>
              </w:rPr>
              <w:t xml:space="preserve"> </w:t>
            </w:r>
            <w:r w:rsidRPr="0068706C">
              <w:t>në</w:t>
            </w:r>
            <w:r w:rsidRPr="0068706C">
              <w:rPr>
                <w:spacing w:val="-1"/>
              </w:rPr>
              <w:t xml:space="preserve"> </w:t>
            </w:r>
            <w:r w:rsidRPr="0068706C">
              <w:t>vit</w:t>
            </w:r>
            <w:r w:rsidRPr="0068706C">
              <w:rPr>
                <w:spacing w:val="-3"/>
              </w:rPr>
              <w:t xml:space="preserve"> </w:t>
            </w:r>
            <w:r w:rsidRPr="0068706C">
              <w:t>kalendarik.</w:t>
            </w:r>
          </w:p>
        </w:tc>
        <w:tc>
          <w:tcPr>
            <w:tcW w:w="1170" w:type="dxa"/>
            <w:tcBorders>
              <w:top w:val="single" w:sz="4" w:space="0" w:color="000000"/>
              <w:left w:val="single" w:sz="4" w:space="0" w:color="000000"/>
              <w:bottom w:val="single" w:sz="4" w:space="0" w:color="000000"/>
              <w:right w:val="single" w:sz="4" w:space="0" w:color="000000"/>
            </w:tcBorders>
            <w:vAlign w:val="center"/>
          </w:tcPr>
          <w:p w14:paraId="3AB4B072" w14:textId="77777777" w:rsidR="00CE4035" w:rsidRPr="0068706C" w:rsidRDefault="00CE4035" w:rsidP="009B753C">
            <w:pPr>
              <w:autoSpaceDE w:val="0"/>
              <w:autoSpaceDN w:val="0"/>
              <w:adjustRightInd w:val="0"/>
              <w:spacing w:line="251" w:lineRule="exact"/>
              <w:ind w:left="102" w:right="-20"/>
              <w:jc w:val="center"/>
            </w:pPr>
            <w:r w:rsidRPr="0068706C">
              <w:rPr>
                <w:spacing w:val="1"/>
              </w:rPr>
              <w:t>33%</w:t>
            </w:r>
          </w:p>
        </w:tc>
        <w:tc>
          <w:tcPr>
            <w:tcW w:w="1350" w:type="dxa"/>
            <w:tcBorders>
              <w:top w:val="single" w:sz="4" w:space="0" w:color="000000"/>
              <w:left w:val="single" w:sz="4" w:space="0" w:color="000000"/>
              <w:bottom w:val="single" w:sz="4" w:space="0" w:color="000000"/>
              <w:right w:val="single" w:sz="4" w:space="0" w:color="000000"/>
            </w:tcBorders>
            <w:vAlign w:val="center"/>
          </w:tcPr>
          <w:p w14:paraId="40E1E61C" w14:textId="77777777" w:rsidR="00CE4035" w:rsidRPr="0068706C" w:rsidRDefault="00CE4035" w:rsidP="009B753C">
            <w:pPr>
              <w:autoSpaceDE w:val="0"/>
              <w:autoSpaceDN w:val="0"/>
              <w:adjustRightInd w:val="0"/>
              <w:spacing w:line="251" w:lineRule="exact"/>
              <w:ind w:left="102" w:right="-20"/>
              <w:jc w:val="center"/>
            </w:pPr>
            <w:r w:rsidRPr="0068706C">
              <w:rPr>
                <w:spacing w:val="1"/>
              </w:rPr>
              <w:t>34%</w:t>
            </w:r>
          </w:p>
        </w:tc>
        <w:tc>
          <w:tcPr>
            <w:tcW w:w="1530" w:type="dxa"/>
            <w:tcBorders>
              <w:top w:val="single" w:sz="4" w:space="0" w:color="000000"/>
              <w:left w:val="single" w:sz="4" w:space="0" w:color="000000"/>
              <w:bottom w:val="single" w:sz="4" w:space="0" w:color="000000"/>
              <w:right w:val="single" w:sz="4" w:space="0" w:color="000000"/>
            </w:tcBorders>
            <w:vAlign w:val="center"/>
          </w:tcPr>
          <w:p w14:paraId="3545967E" w14:textId="77777777" w:rsidR="00CE4035" w:rsidRPr="0068706C" w:rsidRDefault="00CE4035" w:rsidP="009B753C">
            <w:pPr>
              <w:autoSpaceDE w:val="0"/>
              <w:autoSpaceDN w:val="0"/>
              <w:adjustRightInd w:val="0"/>
              <w:spacing w:line="251" w:lineRule="exact"/>
              <w:ind w:left="102" w:right="-20"/>
              <w:jc w:val="center"/>
              <w:rPr>
                <w:spacing w:val="1"/>
              </w:rPr>
            </w:pPr>
            <w:r w:rsidRPr="0068706C">
              <w:rPr>
                <w:spacing w:val="1"/>
              </w:rPr>
              <w:t>36%</w:t>
            </w:r>
          </w:p>
        </w:tc>
      </w:tr>
      <w:tr w:rsidR="00CE4035" w:rsidRPr="0068706C" w14:paraId="3B813B5B" w14:textId="77777777" w:rsidTr="009B753C">
        <w:trPr>
          <w:trHeight w:hRule="exact" w:val="874"/>
        </w:trPr>
        <w:tc>
          <w:tcPr>
            <w:tcW w:w="5310" w:type="dxa"/>
            <w:tcBorders>
              <w:top w:val="single" w:sz="4" w:space="0" w:color="000000"/>
              <w:left w:val="single" w:sz="4" w:space="0" w:color="000000"/>
              <w:bottom w:val="single" w:sz="4" w:space="0" w:color="000000"/>
              <w:right w:val="single" w:sz="4" w:space="0" w:color="000000"/>
            </w:tcBorders>
          </w:tcPr>
          <w:p w14:paraId="447E3F5E" w14:textId="77777777" w:rsidR="00CE4035" w:rsidRPr="0068706C" w:rsidRDefault="00CE4035" w:rsidP="009B753C">
            <w:pPr>
              <w:autoSpaceDE w:val="0"/>
              <w:autoSpaceDN w:val="0"/>
              <w:adjustRightInd w:val="0"/>
              <w:spacing w:before="1" w:line="252" w:lineRule="exact"/>
              <w:ind w:left="102" w:right="45"/>
            </w:pPr>
            <w:r w:rsidRPr="0068706C">
              <w:t>% e grave që përfitojnë pjesëmarrje në masa aktive të tregut të punës nga numri total i MATP-ve të ofruar në vit kalendarik.</w:t>
            </w:r>
          </w:p>
        </w:tc>
        <w:tc>
          <w:tcPr>
            <w:tcW w:w="1170" w:type="dxa"/>
            <w:tcBorders>
              <w:top w:val="single" w:sz="4" w:space="0" w:color="000000"/>
              <w:left w:val="single" w:sz="4" w:space="0" w:color="000000"/>
              <w:bottom w:val="single" w:sz="4" w:space="0" w:color="000000"/>
              <w:right w:val="single" w:sz="4" w:space="0" w:color="000000"/>
            </w:tcBorders>
            <w:vAlign w:val="center"/>
          </w:tcPr>
          <w:p w14:paraId="3A51DC21" w14:textId="77777777" w:rsidR="00CE4035" w:rsidRPr="0068706C" w:rsidRDefault="00CE4035" w:rsidP="009B753C">
            <w:pPr>
              <w:autoSpaceDE w:val="0"/>
              <w:autoSpaceDN w:val="0"/>
              <w:adjustRightInd w:val="0"/>
              <w:spacing w:line="251" w:lineRule="exact"/>
              <w:ind w:left="102" w:right="-20"/>
              <w:jc w:val="center"/>
            </w:pPr>
            <w:r w:rsidRPr="0068706C">
              <w:rPr>
                <w:spacing w:val="1"/>
              </w:rPr>
              <w:t>33%</w:t>
            </w:r>
          </w:p>
        </w:tc>
        <w:tc>
          <w:tcPr>
            <w:tcW w:w="1350" w:type="dxa"/>
            <w:tcBorders>
              <w:top w:val="single" w:sz="4" w:space="0" w:color="000000"/>
              <w:left w:val="single" w:sz="4" w:space="0" w:color="000000"/>
              <w:bottom w:val="single" w:sz="4" w:space="0" w:color="000000"/>
              <w:right w:val="single" w:sz="4" w:space="0" w:color="000000"/>
            </w:tcBorders>
            <w:vAlign w:val="center"/>
          </w:tcPr>
          <w:p w14:paraId="7176B5CD" w14:textId="77777777" w:rsidR="00CE4035" w:rsidRPr="0068706C" w:rsidRDefault="00CE4035" w:rsidP="009B753C">
            <w:pPr>
              <w:autoSpaceDE w:val="0"/>
              <w:autoSpaceDN w:val="0"/>
              <w:adjustRightInd w:val="0"/>
              <w:spacing w:line="251" w:lineRule="exact"/>
              <w:ind w:left="102" w:right="-20"/>
              <w:jc w:val="center"/>
            </w:pPr>
            <w:r w:rsidRPr="0068706C">
              <w:rPr>
                <w:spacing w:val="1"/>
              </w:rPr>
              <w:t>34%</w:t>
            </w:r>
          </w:p>
        </w:tc>
        <w:tc>
          <w:tcPr>
            <w:tcW w:w="1530" w:type="dxa"/>
            <w:tcBorders>
              <w:top w:val="single" w:sz="4" w:space="0" w:color="000000"/>
              <w:left w:val="single" w:sz="4" w:space="0" w:color="000000"/>
              <w:bottom w:val="single" w:sz="4" w:space="0" w:color="000000"/>
              <w:right w:val="single" w:sz="4" w:space="0" w:color="000000"/>
            </w:tcBorders>
            <w:vAlign w:val="center"/>
          </w:tcPr>
          <w:p w14:paraId="7229752D" w14:textId="77777777" w:rsidR="00CE4035" w:rsidRPr="0068706C" w:rsidRDefault="00CE4035" w:rsidP="009B753C">
            <w:pPr>
              <w:autoSpaceDE w:val="0"/>
              <w:autoSpaceDN w:val="0"/>
              <w:adjustRightInd w:val="0"/>
              <w:spacing w:line="251" w:lineRule="exact"/>
              <w:ind w:left="102" w:right="-20"/>
              <w:jc w:val="center"/>
              <w:rPr>
                <w:spacing w:val="1"/>
              </w:rPr>
            </w:pPr>
            <w:r w:rsidRPr="0068706C">
              <w:rPr>
                <w:spacing w:val="1"/>
              </w:rPr>
              <w:t>36%</w:t>
            </w:r>
          </w:p>
        </w:tc>
      </w:tr>
      <w:tr w:rsidR="00CE4035" w:rsidRPr="0068706C" w14:paraId="0DC78B27" w14:textId="77777777" w:rsidTr="009B753C">
        <w:trPr>
          <w:trHeight w:hRule="exact" w:val="361"/>
        </w:trPr>
        <w:tc>
          <w:tcPr>
            <w:tcW w:w="5310" w:type="dxa"/>
            <w:tcBorders>
              <w:top w:val="single" w:sz="4" w:space="0" w:color="000000"/>
              <w:left w:val="single" w:sz="4" w:space="0" w:color="000000"/>
              <w:bottom w:val="single" w:sz="4" w:space="0" w:color="000000"/>
              <w:right w:val="single" w:sz="4" w:space="0" w:color="000000"/>
            </w:tcBorders>
          </w:tcPr>
          <w:p w14:paraId="67CEDD36" w14:textId="77777777" w:rsidR="00CE4035" w:rsidRPr="0068706C" w:rsidRDefault="00CE4035" w:rsidP="009B753C">
            <w:pPr>
              <w:autoSpaceDE w:val="0"/>
              <w:autoSpaceDN w:val="0"/>
              <w:adjustRightInd w:val="0"/>
              <w:spacing w:line="252" w:lineRule="exact"/>
              <w:ind w:left="102" w:right="45"/>
            </w:pPr>
            <w:r w:rsidRPr="0068706C">
              <w:t>% e të rinjve NEET në popullsinë e të rinjve 15 – 24.</w:t>
            </w:r>
          </w:p>
        </w:tc>
        <w:tc>
          <w:tcPr>
            <w:tcW w:w="1170" w:type="dxa"/>
            <w:tcBorders>
              <w:top w:val="nil"/>
              <w:left w:val="nil"/>
              <w:bottom w:val="single" w:sz="8" w:space="0" w:color="000000"/>
              <w:right w:val="single" w:sz="8" w:space="0" w:color="000000"/>
            </w:tcBorders>
            <w:vAlign w:val="center"/>
          </w:tcPr>
          <w:p w14:paraId="06094194" w14:textId="77777777" w:rsidR="00CE4035" w:rsidRPr="0068706C" w:rsidRDefault="00CE4035" w:rsidP="009B753C">
            <w:pPr>
              <w:autoSpaceDE w:val="0"/>
              <w:autoSpaceDN w:val="0"/>
              <w:adjustRightInd w:val="0"/>
              <w:spacing w:line="251" w:lineRule="exact"/>
              <w:ind w:left="102" w:right="-20"/>
              <w:jc w:val="center"/>
              <w:rPr>
                <w:spacing w:val="1"/>
              </w:rPr>
            </w:pPr>
            <w:r w:rsidRPr="0068706C">
              <w:rPr>
                <w:spacing w:val="1"/>
              </w:rPr>
              <w:t>32.7%</w:t>
            </w:r>
          </w:p>
        </w:tc>
        <w:tc>
          <w:tcPr>
            <w:tcW w:w="1350" w:type="dxa"/>
            <w:tcBorders>
              <w:top w:val="nil"/>
              <w:left w:val="nil"/>
              <w:bottom w:val="single" w:sz="8" w:space="0" w:color="000000"/>
              <w:right w:val="single" w:sz="8" w:space="0" w:color="000000"/>
            </w:tcBorders>
            <w:vAlign w:val="center"/>
          </w:tcPr>
          <w:p w14:paraId="2C257FE4" w14:textId="77777777" w:rsidR="00CE4035" w:rsidRPr="0068706C" w:rsidRDefault="00CE4035" w:rsidP="009B753C">
            <w:pPr>
              <w:autoSpaceDE w:val="0"/>
              <w:autoSpaceDN w:val="0"/>
              <w:adjustRightInd w:val="0"/>
              <w:spacing w:line="251" w:lineRule="exact"/>
              <w:ind w:left="102" w:right="-20"/>
              <w:jc w:val="center"/>
              <w:rPr>
                <w:spacing w:val="1"/>
              </w:rPr>
            </w:pPr>
            <w:r w:rsidRPr="0068706C">
              <w:rPr>
                <w:spacing w:val="1"/>
              </w:rPr>
              <w:t>31.7%</w:t>
            </w:r>
          </w:p>
        </w:tc>
        <w:tc>
          <w:tcPr>
            <w:tcW w:w="1530" w:type="dxa"/>
            <w:tcBorders>
              <w:top w:val="nil"/>
              <w:left w:val="nil"/>
              <w:bottom w:val="single" w:sz="8" w:space="0" w:color="000000"/>
              <w:right w:val="single" w:sz="8" w:space="0" w:color="000000"/>
            </w:tcBorders>
            <w:vAlign w:val="center"/>
          </w:tcPr>
          <w:p w14:paraId="35A81F5A" w14:textId="77777777" w:rsidR="00CE4035" w:rsidRPr="0068706C" w:rsidRDefault="00CE4035" w:rsidP="009B753C">
            <w:pPr>
              <w:autoSpaceDE w:val="0"/>
              <w:autoSpaceDN w:val="0"/>
              <w:adjustRightInd w:val="0"/>
              <w:spacing w:line="251" w:lineRule="exact"/>
              <w:ind w:left="102" w:right="-20"/>
              <w:jc w:val="center"/>
              <w:rPr>
                <w:spacing w:val="1"/>
              </w:rPr>
            </w:pPr>
            <w:r w:rsidRPr="0068706C">
              <w:rPr>
                <w:spacing w:val="1"/>
              </w:rPr>
              <w:t>30.7%</w:t>
            </w:r>
          </w:p>
        </w:tc>
      </w:tr>
    </w:tbl>
    <w:p w14:paraId="3B320746" w14:textId="77777777" w:rsidR="00CE4035" w:rsidRPr="0068706C" w:rsidRDefault="00CE4035" w:rsidP="00CE4035">
      <w:pPr>
        <w:autoSpaceDE w:val="0"/>
        <w:autoSpaceDN w:val="0"/>
        <w:adjustRightInd w:val="0"/>
        <w:spacing w:line="130" w:lineRule="exact"/>
      </w:pPr>
    </w:p>
    <w:p w14:paraId="094DD370" w14:textId="2D8CB9A8" w:rsidR="00CE4035" w:rsidRDefault="00CE4035" w:rsidP="00CE4035">
      <w:pPr>
        <w:autoSpaceDE w:val="0"/>
        <w:autoSpaceDN w:val="0"/>
        <w:adjustRightInd w:val="0"/>
        <w:ind w:right="61"/>
        <w:jc w:val="both"/>
        <w:rPr>
          <w:bCs/>
          <w:i/>
        </w:rPr>
      </w:pPr>
      <w:r w:rsidRPr="0068706C">
        <w:rPr>
          <w:bCs/>
          <w:i/>
        </w:rPr>
        <w:t>Treguesi që e mat përqindjen (%) e të rinjve në NEET në popullsinë e moshës 15-24 vjeç është gjithashtu edhe tregues që matet në kuadër të SZHQ 8 "Promovimi i një rritje të qëndrueshme, gjithëpërfshirëse dhe punësim të plotë, produktiv dhe punë të denjë për të gjithë".</w:t>
      </w:r>
    </w:p>
    <w:p w14:paraId="0ABB3B80" w14:textId="77777777" w:rsidR="0068706C" w:rsidRPr="0068706C" w:rsidRDefault="0068706C" w:rsidP="00CE4035">
      <w:pPr>
        <w:autoSpaceDE w:val="0"/>
        <w:autoSpaceDN w:val="0"/>
        <w:adjustRightInd w:val="0"/>
        <w:ind w:right="61"/>
        <w:jc w:val="both"/>
        <w:rPr>
          <w:bCs/>
          <w:i/>
        </w:rPr>
      </w:pPr>
    </w:p>
    <w:p w14:paraId="09B51C59" w14:textId="6327EE2D" w:rsidR="00CE4035" w:rsidRDefault="00CE4035" w:rsidP="00CE4035">
      <w:pPr>
        <w:autoSpaceDE w:val="0"/>
        <w:autoSpaceDN w:val="0"/>
        <w:adjustRightInd w:val="0"/>
        <w:ind w:right="61"/>
        <w:jc w:val="both"/>
        <w:rPr>
          <w:i/>
          <w:iCs/>
        </w:rPr>
      </w:pPr>
      <w:r w:rsidRPr="0068706C">
        <w:rPr>
          <w:b/>
          <w:bCs/>
        </w:rPr>
        <w:t>N</w:t>
      </w:r>
      <w:r w:rsidRPr="0068706C">
        <w:rPr>
          <w:b/>
          <w:bCs/>
          <w:spacing w:val="-1"/>
        </w:rPr>
        <w:t>d</w:t>
      </w:r>
      <w:r w:rsidRPr="0068706C">
        <w:rPr>
          <w:b/>
          <w:bCs/>
        </w:rPr>
        <w:t>i</w:t>
      </w:r>
      <w:r w:rsidRPr="0068706C">
        <w:rPr>
          <w:b/>
          <w:bCs/>
          <w:spacing w:val="1"/>
        </w:rPr>
        <w:t>k</w:t>
      </w:r>
      <w:r w:rsidRPr="0068706C">
        <w:rPr>
          <w:b/>
          <w:bCs/>
        </w:rPr>
        <w:t>imi i</w:t>
      </w:r>
      <w:r w:rsidRPr="0068706C">
        <w:rPr>
          <w:b/>
          <w:bCs/>
          <w:spacing w:val="1"/>
        </w:rPr>
        <w:t xml:space="preserve"> </w:t>
      </w:r>
      <w:r w:rsidRPr="0068706C">
        <w:rPr>
          <w:b/>
          <w:bCs/>
        </w:rPr>
        <w:t>pri</w:t>
      </w:r>
      <w:r w:rsidRPr="0068706C">
        <w:rPr>
          <w:b/>
          <w:bCs/>
          <w:spacing w:val="1"/>
        </w:rPr>
        <w:t>t</w:t>
      </w:r>
      <w:r w:rsidRPr="0068706C">
        <w:rPr>
          <w:b/>
          <w:bCs/>
        </w:rPr>
        <w:t xml:space="preserve">ur në </w:t>
      </w:r>
      <w:r w:rsidRPr="0068706C">
        <w:rPr>
          <w:b/>
          <w:bCs/>
          <w:spacing w:val="1"/>
        </w:rPr>
        <w:t>k</w:t>
      </w:r>
      <w:r w:rsidRPr="0068706C">
        <w:rPr>
          <w:b/>
          <w:bCs/>
        </w:rPr>
        <w:t>onku</w:t>
      </w:r>
      <w:r w:rsidRPr="0068706C">
        <w:rPr>
          <w:b/>
          <w:bCs/>
          <w:spacing w:val="-1"/>
        </w:rPr>
        <w:t>r</w:t>
      </w:r>
      <w:r w:rsidRPr="0068706C">
        <w:rPr>
          <w:b/>
          <w:bCs/>
        </w:rPr>
        <w:t>rue</w:t>
      </w:r>
      <w:r w:rsidRPr="0068706C">
        <w:rPr>
          <w:b/>
          <w:bCs/>
          <w:spacing w:val="-1"/>
        </w:rPr>
        <w:t>s</w:t>
      </w:r>
      <w:r w:rsidRPr="0068706C">
        <w:rPr>
          <w:b/>
          <w:bCs/>
        </w:rPr>
        <w:t>hmëri:</w:t>
      </w:r>
      <w:r w:rsidRPr="0068706C">
        <w:rPr>
          <w:b/>
          <w:bCs/>
          <w:spacing w:val="4"/>
        </w:rPr>
        <w:t xml:space="preserve"> </w:t>
      </w:r>
      <w:r w:rsidRPr="0068706C">
        <w:rPr>
          <w:spacing w:val="1"/>
        </w:rPr>
        <w:t>F</w:t>
      </w:r>
      <w:r w:rsidRPr="0068706C">
        <w:rPr>
          <w:spacing w:val="-1"/>
        </w:rPr>
        <w:t>o</w:t>
      </w:r>
      <w:r w:rsidRPr="0068706C">
        <w:t>rc</w:t>
      </w:r>
      <w:r w:rsidRPr="0068706C">
        <w:rPr>
          <w:spacing w:val="1"/>
        </w:rPr>
        <w:t>i</w:t>
      </w:r>
      <w:r w:rsidRPr="0068706C">
        <w:rPr>
          <w:spacing w:val="-3"/>
        </w:rPr>
        <w:t>m</w:t>
      </w:r>
      <w:r w:rsidRPr="0068706C">
        <w:t>i</w:t>
      </w:r>
      <w:r w:rsidRPr="0068706C">
        <w:rPr>
          <w:spacing w:val="1"/>
        </w:rPr>
        <w:t xml:space="preserve"> </w:t>
      </w:r>
      <w:r w:rsidRPr="0068706C">
        <w:t xml:space="preserve">i </w:t>
      </w:r>
      <w:r w:rsidRPr="0068706C">
        <w:rPr>
          <w:spacing w:val="1"/>
        </w:rPr>
        <w:t>k</w:t>
      </w:r>
      <w:r w:rsidRPr="0068706C">
        <w:rPr>
          <w:spacing w:val="-1"/>
        </w:rPr>
        <w:t>a</w:t>
      </w:r>
      <w:r w:rsidRPr="0068706C">
        <w:t>pacit</w:t>
      </w:r>
      <w:r w:rsidRPr="0068706C">
        <w:rPr>
          <w:spacing w:val="-1"/>
        </w:rPr>
        <w:t>e</w:t>
      </w:r>
      <w:r w:rsidRPr="0068706C">
        <w:t>teve</w:t>
      </w:r>
      <w:r w:rsidRPr="0068706C">
        <w:rPr>
          <w:spacing w:val="1"/>
        </w:rPr>
        <w:t xml:space="preserve"> </w:t>
      </w:r>
      <w:r w:rsidRPr="0068706C">
        <w:t>të sh</w:t>
      </w:r>
      <w:r w:rsidRPr="0068706C">
        <w:rPr>
          <w:spacing w:val="-1"/>
        </w:rPr>
        <w:t>ë</w:t>
      </w:r>
      <w:r w:rsidRPr="0068706C">
        <w:rPr>
          <w:spacing w:val="1"/>
        </w:rPr>
        <w:t>r</w:t>
      </w:r>
      <w:r w:rsidRPr="0068706C">
        <w:t>b</w:t>
      </w:r>
      <w:r w:rsidRPr="0068706C">
        <w:rPr>
          <w:spacing w:val="1"/>
        </w:rPr>
        <w:t>i</w:t>
      </w:r>
      <w:r w:rsidRPr="0068706C">
        <w:rPr>
          <w:spacing w:val="-3"/>
        </w:rPr>
        <w:t>m</w:t>
      </w:r>
      <w:r w:rsidRPr="0068706C">
        <w:t>e</w:t>
      </w:r>
      <w:r w:rsidRPr="0068706C">
        <w:rPr>
          <w:spacing w:val="1"/>
        </w:rPr>
        <w:t>v</w:t>
      </w:r>
      <w:r w:rsidRPr="0068706C">
        <w:t>e publike</w:t>
      </w:r>
      <w:r w:rsidRPr="0068706C">
        <w:rPr>
          <w:spacing w:val="2"/>
        </w:rPr>
        <w:t xml:space="preserve"> </w:t>
      </w:r>
      <w:r w:rsidRPr="0068706C">
        <w:t>të pun</w:t>
      </w:r>
      <w:r w:rsidRPr="0068706C">
        <w:rPr>
          <w:spacing w:val="-1"/>
        </w:rPr>
        <w:t>ë</w:t>
      </w:r>
      <w:r w:rsidRPr="0068706C">
        <w:t>s</w:t>
      </w:r>
      <w:r w:rsidRPr="0068706C">
        <w:rPr>
          <w:spacing w:val="2"/>
        </w:rPr>
        <w:t>i</w:t>
      </w:r>
      <w:r w:rsidRPr="0068706C">
        <w:rPr>
          <w:spacing w:val="-3"/>
        </w:rPr>
        <w:t>m</w:t>
      </w:r>
      <w:r w:rsidRPr="0068706C">
        <w:t>it</w:t>
      </w:r>
      <w:r w:rsidRPr="0068706C">
        <w:rPr>
          <w:spacing w:val="-4"/>
        </w:rPr>
        <w:t xml:space="preserve"> dhe aftësimit profesional </w:t>
      </w:r>
      <w:r w:rsidRPr="0068706C">
        <w:t>p</w:t>
      </w:r>
      <w:r w:rsidRPr="0068706C">
        <w:rPr>
          <w:spacing w:val="1"/>
        </w:rPr>
        <w:t>r</w:t>
      </w:r>
      <w:r w:rsidRPr="0068706C">
        <w:t>it</w:t>
      </w:r>
      <w:r w:rsidRPr="0068706C">
        <w:rPr>
          <w:spacing w:val="-1"/>
        </w:rPr>
        <w:t>e</w:t>
      </w:r>
      <w:r w:rsidRPr="0068706C">
        <w:t>t</w:t>
      </w:r>
      <w:r w:rsidRPr="0068706C">
        <w:rPr>
          <w:spacing w:val="-3"/>
        </w:rPr>
        <w:t xml:space="preserve"> </w:t>
      </w:r>
      <w:r w:rsidRPr="0068706C">
        <w:t>të</w:t>
      </w:r>
      <w:r w:rsidRPr="0068706C">
        <w:rPr>
          <w:spacing w:val="-5"/>
        </w:rPr>
        <w:t xml:space="preserve"> </w:t>
      </w:r>
      <w:r w:rsidRPr="0068706C">
        <w:rPr>
          <w:spacing w:val="1"/>
        </w:rPr>
        <w:t>k</w:t>
      </w:r>
      <w:r w:rsidRPr="0068706C">
        <w:rPr>
          <w:spacing w:val="-1"/>
        </w:rPr>
        <w:t>ë</w:t>
      </w:r>
      <w:r w:rsidRPr="0068706C">
        <w:t>të</w:t>
      </w:r>
      <w:r w:rsidRPr="0068706C">
        <w:rPr>
          <w:spacing w:val="-4"/>
        </w:rPr>
        <w:t xml:space="preserve"> </w:t>
      </w:r>
      <w:r w:rsidRPr="0068706C">
        <w:rPr>
          <w:spacing w:val="1"/>
        </w:rPr>
        <w:t>e</w:t>
      </w:r>
      <w:r w:rsidRPr="0068706C">
        <w:t>fekte</w:t>
      </w:r>
      <w:r w:rsidRPr="0068706C">
        <w:rPr>
          <w:spacing w:val="-5"/>
        </w:rPr>
        <w:t xml:space="preserve"> </w:t>
      </w:r>
      <w:r w:rsidRPr="0068706C">
        <w:t>pozit</w:t>
      </w:r>
      <w:r w:rsidRPr="0068706C">
        <w:rPr>
          <w:spacing w:val="-1"/>
        </w:rPr>
        <w:t>i</w:t>
      </w:r>
      <w:r w:rsidRPr="0068706C">
        <w:rPr>
          <w:spacing w:val="1"/>
        </w:rPr>
        <w:t>v</w:t>
      </w:r>
      <w:r w:rsidRPr="0068706C">
        <w:t>e</w:t>
      </w:r>
      <w:r w:rsidRPr="0068706C">
        <w:rPr>
          <w:spacing w:val="-5"/>
        </w:rPr>
        <w:t xml:space="preserve"> </w:t>
      </w:r>
      <w:r w:rsidRPr="0068706C">
        <w:t>në</w:t>
      </w:r>
      <w:r w:rsidRPr="0068706C">
        <w:rPr>
          <w:spacing w:val="-5"/>
        </w:rPr>
        <w:t xml:space="preserve"> </w:t>
      </w:r>
      <w:r w:rsidRPr="0068706C">
        <w:t>r</w:t>
      </w:r>
      <w:r w:rsidRPr="0068706C">
        <w:rPr>
          <w:spacing w:val="1"/>
        </w:rPr>
        <w:t>r</w:t>
      </w:r>
      <w:r w:rsidRPr="0068706C">
        <w:t>i</w:t>
      </w:r>
      <w:r w:rsidRPr="0068706C">
        <w:rPr>
          <w:spacing w:val="-1"/>
        </w:rPr>
        <w:t>t</w:t>
      </w:r>
      <w:r w:rsidRPr="0068706C">
        <w:t>jen</w:t>
      </w:r>
      <w:r w:rsidRPr="0068706C">
        <w:rPr>
          <w:spacing w:val="-3"/>
        </w:rPr>
        <w:t xml:space="preserve"> </w:t>
      </w:r>
      <w:r w:rsidRPr="0068706C">
        <w:t>e</w:t>
      </w:r>
      <w:r w:rsidRPr="0068706C">
        <w:rPr>
          <w:spacing w:val="-3"/>
        </w:rPr>
        <w:t xml:space="preserve"> </w:t>
      </w:r>
      <w:r w:rsidRPr="0068706C">
        <w:t>konkur</w:t>
      </w:r>
      <w:r w:rsidRPr="0068706C">
        <w:rPr>
          <w:spacing w:val="1"/>
        </w:rPr>
        <w:t>r</w:t>
      </w:r>
      <w:r w:rsidRPr="0068706C">
        <w:t>u</w:t>
      </w:r>
      <w:r w:rsidRPr="0068706C">
        <w:rPr>
          <w:spacing w:val="-1"/>
        </w:rPr>
        <w:t>es</w:t>
      </w:r>
      <w:r w:rsidRPr="0068706C">
        <w:rPr>
          <w:spacing w:val="2"/>
        </w:rPr>
        <w:t>h</w:t>
      </w:r>
      <w:r w:rsidRPr="0068706C">
        <w:rPr>
          <w:spacing w:val="-3"/>
        </w:rPr>
        <w:t>m</w:t>
      </w:r>
      <w:r w:rsidRPr="0068706C">
        <w:rPr>
          <w:spacing w:val="-1"/>
        </w:rPr>
        <w:t>ë</w:t>
      </w:r>
      <w:r w:rsidRPr="0068706C">
        <w:t>ri</w:t>
      </w:r>
      <w:r w:rsidRPr="0068706C">
        <w:rPr>
          <w:spacing w:val="1"/>
        </w:rPr>
        <w:t>s</w:t>
      </w:r>
      <w:r w:rsidRPr="0068706C">
        <w:t>ë</w:t>
      </w:r>
      <w:r w:rsidRPr="0068706C">
        <w:rPr>
          <w:spacing w:val="-5"/>
        </w:rPr>
        <w:t xml:space="preserve"> </w:t>
      </w:r>
      <w:r w:rsidRPr="0068706C">
        <w:t>p</w:t>
      </w:r>
      <w:r w:rsidRPr="0068706C">
        <w:rPr>
          <w:spacing w:val="-1"/>
        </w:rPr>
        <w:t>ë</w:t>
      </w:r>
      <w:r w:rsidRPr="0068706C">
        <w:rPr>
          <w:spacing w:val="1"/>
        </w:rPr>
        <w:t>r</w:t>
      </w:r>
      <w:r w:rsidRPr="0068706C">
        <w:rPr>
          <w:spacing w:val="-2"/>
        </w:rPr>
        <w:t>m</w:t>
      </w:r>
      <w:r w:rsidRPr="0068706C">
        <w:t>es</w:t>
      </w:r>
      <w:r w:rsidRPr="0068706C">
        <w:rPr>
          <w:spacing w:val="-3"/>
        </w:rPr>
        <w:t xml:space="preserve"> </w:t>
      </w:r>
      <w:r w:rsidRPr="0068706C">
        <w:t>p</w:t>
      </w:r>
      <w:r w:rsidRPr="0068706C">
        <w:rPr>
          <w:spacing w:val="-1"/>
        </w:rPr>
        <w:t>ë</w:t>
      </w:r>
      <w:r w:rsidRPr="0068706C">
        <w:rPr>
          <w:spacing w:val="3"/>
        </w:rPr>
        <w:t>r</w:t>
      </w:r>
      <w:r w:rsidRPr="0068706C">
        <w:rPr>
          <w:spacing w:val="-3"/>
        </w:rPr>
        <w:t>m</w:t>
      </w:r>
      <w:r w:rsidRPr="0068706C">
        <w:t>i</w:t>
      </w:r>
      <w:r w:rsidRPr="0068706C">
        <w:rPr>
          <w:spacing w:val="2"/>
        </w:rPr>
        <w:t>r</w:t>
      </w:r>
      <w:r w:rsidRPr="0068706C">
        <w:t>ës</w:t>
      </w:r>
      <w:r w:rsidRPr="0068706C">
        <w:rPr>
          <w:spacing w:val="2"/>
        </w:rPr>
        <w:t>i</w:t>
      </w:r>
      <w:r w:rsidRPr="0068706C">
        <w:rPr>
          <w:spacing w:val="-3"/>
        </w:rPr>
        <w:t>m</w:t>
      </w:r>
      <w:r w:rsidRPr="0068706C">
        <w:t>it</w:t>
      </w:r>
      <w:r w:rsidRPr="0068706C">
        <w:rPr>
          <w:spacing w:val="-4"/>
        </w:rPr>
        <w:t xml:space="preserve"> </w:t>
      </w:r>
      <w:r w:rsidRPr="0068706C">
        <w:t xml:space="preserve">të </w:t>
      </w:r>
      <w:r w:rsidRPr="0068706C">
        <w:rPr>
          <w:spacing w:val="-1"/>
        </w:rPr>
        <w:t>c</w:t>
      </w:r>
      <w:r w:rsidRPr="0068706C">
        <w:t>i</w:t>
      </w:r>
      <w:r w:rsidRPr="0068706C">
        <w:rPr>
          <w:spacing w:val="1"/>
        </w:rPr>
        <w:t>l</w:t>
      </w:r>
      <w:r w:rsidRPr="0068706C">
        <w:rPr>
          <w:spacing w:val="-1"/>
        </w:rPr>
        <w:t>ë</w:t>
      </w:r>
      <w:r w:rsidRPr="0068706C">
        <w:t>si</w:t>
      </w:r>
      <w:r w:rsidRPr="0068706C">
        <w:rPr>
          <w:spacing w:val="1"/>
        </w:rPr>
        <w:t>s</w:t>
      </w:r>
      <w:r w:rsidRPr="0068706C">
        <w:t>ë</w:t>
      </w:r>
      <w:r w:rsidRPr="0068706C">
        <w:rPr>
          <w:spacing w:val="-3"/>
        </w:rPr>
        <w:t xml:space="preserve"> </w:t>
      </w:r>
      <w:r w:rsidRPr="0068706C">
        <w:rPr>
          <w:spacing w:val="1"/>
        </w:rPr>
        <w:t>s</w:t>
      </w:r>
      <w:r w:rsidRPr="0068706C">
        <w:t>ë</w:t>
      </w:r>
      <w:r w:rsidRPr="0068706C">
        <w:rPr>
          <w:spacing w:val="-3"/>
        </w:rPr>
        <w:t xml:space="preserve"> </w:t>
      </w:r>
      <w:r w:rsidRPr="0068706C">
        <w:rPr>
          <w:spacing w:val="1"/>
        </w:rPr>
        <w:t>s</w:t>
      </w:r>
      <w:r w:rsidRPr="0068706C">
        <w:t>hk</w:t>
      </w:r>
      <w:r w:rsidRPr="0068706C">
        <w:rPr>
          <w:spacing w:val="-1"/>
        </w:rPr>
        <w:t>a</w:t>
      </w:r>
      <w:r w:rsidRPr="0068706C">
        <w:t>th</w:t>
      </w:r>
      <w:r w:rsidRPr="0068706C">
        <w:rPr>
          <w:spacing w:val="1"/>
        </w:rPr>
        <w:t>t</w:t>
      </w:r>
      <w:r w:rsidRPr="0068706C">
        <w:rPr>
          <w:spacing w:val="-1"/>
        </w:rPr>
        <w:t>ë</w:t>
      </w:r>
      <w:r w:rsidRPr="0068706C">
        <w:t>sive</w:t>
      </w:r>
      <w:r w:rsidRPr="0068706C">
        <w:rPr>
          <w:spacing w:val="-1"/>
        </w:rPr>
        <w:t xml:space="preserve"> </w:t>
      </w:r>
      <w:r w:rsidRPr="0068706C">
        <w:t>të</w:t>
      </w:r>
      <w:r w:rsidRPr="0068706C">
        <w:rPr>
          <w:spacing w:val="-3"/>
        </w:rPr>
        <w:t xml:space="preserve"> </w:t>
      </w:r>
      <w:r w:rsidRPr="0068706C">
        <w:t>pu</w:t>
      </w:r>
      <w:r w:rsidRPr="0068706C">
        <w:rPr>
          <w:spacing w:val="1"/>
        </w:rPr>
        <w:t>n</w:t>
      </w:r>
      <w:r w:rsidRPr="0068706C">
        <w:rPr>
          <w:spacing w:val="-1"/>
        </w:rPr>
        <w:t>ë</w:t>
      </w:r>
      <w:r w:rsidRPr="0068706C">
        <w:rPr>
          <w:spacing w:val="1"/>
        </w:rPr>
        <w:t>k</w:t>
      </w:r>
      <w:r w:rsidRPr="0068706C">
        <w:rPr>
          <w:spacing w:val="-1"/>
        </w:rPr>
        <w:t>ë</w:t>
      </w:r>
      <w:r w:rsidRPr="0068706C">
        <w:t>rkuesv</w:t>
      </w:r>
      <w:r w:rsidRPr="0068706C">
        <w:rPr>
          <w:spacing w:val="-1"/>
        </w:rPr>
        <w:t>e</w:t>
      </w:r>
      <w:r w:rsidRPr="0068706C">
        <w:t>.</w:t>
      </w:r>
      <w:r w:rsidRPr="0068706C">
        <w:rPr>
          <w:spacing w:val="-1"/>
        </w:rPr>
        <w:t xml:space="preserve"> </w:t>
      </w:r>
      <w:r w:rsidRPr="0068706C">
        <w:t>Në</w:t>
      </w:r>
      <w:r w:rsidRPr="0068706C">
        <w:rPr>
          <w:spacing w:val="-3"/>
        </w:rPr>
        <w:t xml:space="preserve"> </w:t>
      </w:r>
      <w:r w:rsidRPr="0068706C">
        <w:rPr>
          <w:spacing w:val="1"/>
        </w:rPr>
        <w:t>p</w:t>
      </w:r>
      <w:r w:rsidRPr="0068706C">
        <w:rPr>
          <w:spacing w:val="-1"/>
        </w:rPr>
        <w:t>e</w:t>
      </w:r>
      <w:r w:rsidRPr="0068706C">
        <w:rPr>
          <w:spacing w:val="1"/>
        </w:rPr>
        <w:t>r</w:t>
      </w:r>
      <w:r w:rsidRPr="0068706C">
        <w:t>i</w:t>
      </w:r>
      <w:r w:rsidRPr="0068706C">
        <w:rPr>
          <w:spacing w:val="-1"/>
        </w:rPr>
        <w:t>u</w:t>
      </w:r>
      <w:r w:rsidRPr="0068706C">
        <w:t>dh</w:t>
      </w:r>
      <w:r w:rsidRPr="0068706C">
        <w:rPr>
          <w:spacing w:val="-1"/>
        </w:rPr>
        <w:t>ë</w:t>
      </w:r>
      <w:r w:rsidRPr="0068706C">
        <w:t xml:space="preserve">n </w:t>
      </w:r>
      <w:r w:rsidRPr="0068706C">
        <w:rPr>
          <w:spacing w:val="-1"/>
        </w:rPr>
        <w:t>a</w:t>
      </w:r>
      <w:r w:rsidRPr="0068706C">
        <w:t>fat</w:t>
      </w:r>
      <w:r w:rsidRPr="0068706C">
        <w:rPr>
          <w:spacing w:val="-2"/>
        </w:rPr>
        <w:t>m</w:t>
      </w:r>
      <w:r w:rsidRPr="0068706C">
        <w:t>e</w:t>
      </w:r>
      <w:r w:rsidRPr="0068706C">
        <w:rPr>
          <w:spacing w:val="3"/>
        </w:rPr>
        <w:t>s</w:t>
      </w:r>
      <w:r w:rsidRPr="0068706C">
        <w:rPr>
          <w:spacing w:val="-3"/>
        </w:rPr>
        <w:t>m</w:t>
      </w:r>
      <w:r w:rsidRPr="0068706C">
        <w:t>e</w:t>
      </w:r>
      <w:r w:rsidRPr="0068706C">
        <w:rPr>
          <w:spacing w:val="-1"/>
        </w:rPr>
        <w:t xml:space="preserve"> </w:t>
      </w:r>
      <w:r w:rsidRPr="0068706C">
        <w:t>e</w:t>
      </w:r>
      <w:r w:rsidRPr="0068706C">
        <w:rPr>
          <w:spacing w:val="-1"/>
        </w:rPr>
        <w:t xml:space="preserve"> a</w:t>
      </w:r>
      <w:r w:rsidRPr="0068706C">
        <w:t>fatgjat</w:t>
      </w:r>
      <w:r w:rsidRPr="0068706C">
        <w:rPr>
          <w:spacing w:val="-1"/>
        </w:rPr>
        <w:t>ë</w:t>
      </w:r>
      <w:r w:rsidRPr="0068706C">
        <w:t>,</w:t>
      </w:r>
      <w:r w:rsidRPr="0068706C">
        <w:rPr>
          <w:spacing w:val="1"/>
        </w:rPr>
        <w:t xml:space="preserve"> </w:t>
      </w:r>
      <w:r w:rsidRPr="0068706C">
        <w:rPr>
          <w:spacing w:val="-3"/>
        </w:rPr>
        <w:t>m</w:t>
      </w:r>
      <w:r w:rsidRPr="0068706C">
        <w:t>a</w:t>
      </w:r>
      <w:r w:rsidRPr="0068706C">
        <w:rPr>
          <w:spacing w:val="1"/>
        </w:rPr>
        <w:t>s</w:t>
      </w:r>
      <w:r w:rsidRPr="0068706C">
        <w:t>a</w:t>
      </w:r>
      <w:r w:rsidRPr="0068706C">
        <w:rPr>
          <w:spacing w:val="-2"/>
        </w:rPr>
        <w:t xml:space="preserve"> </w:t>
      </w:r>
      <w:r w:rsidRPr="0068706C">
        <w:t>pri</w:t>
      </w:r>
      <w:r w:rsidRPr="0068706C">
        <w:rPr>
          <w:spacing w:val="-1"/>
        </w:rPr>
        <w:t>t</w:t>
      </w:r>
      <w:r w:rsidRPr="0068706C">
        <w:t>et</w:t>
      </w:r>
      <w:r w:rsidRPr="0068706C">
        <w:rPr>
          <w:spacing w:val="-2"/>
        </w:rPr>
        <w:t xml:space="preserve"> </w:t>
      </w:r>
      <w:r w:rsidRPr="0068706C">
        <w:rPr>
          <w:spacing w:val="1"/>
        </w:rPr>
        <w:t>t</w:t>
      </w:r>
      <w:r w:rsidRPr="0068706C">
        <w:t>ë r</w:t>
      </w:r>
      <w:r w:rsidRPr="0068706C">
        <w:rPr>
          <w:spacing w:val="1"/>
        </w:rPr>
        <w:t>r</w:t>
      </w:r>
      <w:r w:rsidRPr="0068706C">
        <w:t>isë</w:t>
      </w:r>
      <w:r w:rsidRPr="0068706C">
        <w:rPr>
          <w:spacing w:val="-1"/>
        </w:rPr>
        <w:t xml:space="preserve"> </w:t>
      </w:r>
      <w:r w:rsidRPr="0068706C">
        <w:t>konkur</w:t>
      </w:r>
      <w:r w:rsidRPr="0068706C">
        <w:rPr>
          <w:spacing w:val="1"/>
        </w:rPr>
        <w:t>r</w:t>
      </w:r>
      <w:r w:rsidRPr="0068706C">
        <w:rPr>
          <w:spacing w:val="-1"/>
        </w:rPr>
        <w:t>e</w:t>
      </w:r>
      <w:r w:rsidRPr="0068706C">
        <w:t>s</w:t>
      </w:r>
      <w:r w:rsidRPr="0068706C">
        <w:rPr>
          <w:spacing w:val="2"/>
        </w:rPr>
        <w:t>h</w:t>
      </w:r>
      <w:r w:rsidRPr="0068706C">
        <w:rPr>
          <w:spacing w:val="-3"/>
        </w:rPr>
        <w:t>m</w:t>
      </w:r>
      <w:r w:rsidRPr="0068706C">
        <w:rPr>
          <w:spacing w:val="-1"/>
        </w:rPr>
        <w:t>ë</w:t>
      </w:r>
      <w:r w:rsidRPr="0068706C">
        <w:rPr>
          <w:spacing w:val="1"/>
        </w:rPr>
        <w:t>r</w:t>
      </w:r>
      <w:r w:rsidRPr="0068706C">
        <w:t>i</w:t>
      </w:r>
      <w:r w:rsidRPr="0068706C">
        <w:rPr>
          <w:spacing w:val="-1"/>
        </w:rPr>
        <w:t>n</w:t>
      </w:r>
      <w:r w:rsidRPr="0068706C">
        <w:t>ë p</w:t>
      </w:r>
      <w:r w:rsidRPr="0068706C">
        <w:rPr>
          <w:spacing w:val="-1"/>
        </w:rPr>
        <w:t>ë</w:t>
      </w:r>
      <w:r w:rsidRPr="0068706C">
        <w:rPr>
          <w:spacing w:val="3"/>
        </w:rPr>
        <w:t>r</w:t>
      </w:r>
      <w:r w:rsidRPr="0068706C">
        <w:rPr>
          <w:spacing w:val="-3"/>
        </w:rPr>
        <w:t>m</w:t>
      </w:r>
      <w:r w:rsidRPr="0068706C">
        <w:t>es pë</w:t>
      </w:r>
      <w:r w:rsidRPr="0068706C">
        <w:rPr>
          <w:spacing w:val="1"/>
        </w:rPr>
        <w:t>r</w:t>
      </w:r>
      <w:r w:rsidRPr="0068706C">
        <w:rPr>
          <w:spacing w:val="-2"/>
        </w:rPr>
        <w:t>m</w:t>
      </w:r>
      <w:r w:rsidRPr="0068706C">
        <w:t>i</w:t>
      </w:r>
      <w:r w:rsidRPr="0068706C">
        <w:rPr>
          <w:spacing w:val="1"/>
        </w:rPr>
        <w:t>r</w:t>
      </w:r>
      <w:r w:rsidRPr="0068706C">
        <w:rPr>
          <w:spacing w:val="-1"/>
        </w:rPr>
        <w:t>ë</w:t>
      </w:r>
      <w:r w:rsidRPr="0068706C">
        <w:rPr>
          <w:spacing w:val="1"/>
        </w:rPr>
        <w:t>si</w:t>
      </w:r>
      <w:r w:rsidRPr="0068706C">
        <w:rPr>
          <w:spacing w:val="-3"/>
        </w:rPr>
        <w:t>m</w:t>
      </w:r>
      <w:r w:rsidRPr="0068706C">
        <w:t>it</w:t>
      </w:r>
      <w:r w:rsidRPr="0068706C">
        <w:rPr>
          <w:spacing w:val="1"/>
        </w:rPr>
        <w:t xml:space="preserve"> </w:t>
      </w:r>
      <w:r w:rsidRPr="0068706C">
        <w:t>të</w:t>
      </w:r>
      <w:r w:rsidRPr="0068706C">
        <w:rPr>
          <w:spacing w:val="4"/>
        </w:rPr>
        <w:t xml:space="preserve"> </w:t>
      </w:r>
      <w:r w:rsidRPr="0068706C">
        <w:rPr>
          <w:i/>
          <w:iCs/>
        </w:rPr>
        <w:t>bi</w:t>
      </w:r>
      <w:r w:rsidRPr="0068706C">
        <w:rPr>
          <w:i/>
          <w:iCs/>
          <w:spacing w:val="1"/>
        </w:rPr>
        <w:t>l</w:t>
      </w:r>
      <w:r w:rsidRPr="0068706C">
        <w:rPr>
          <w:i/>
          <w:iCs/>
        </w:rPr>
        <w:t>an</w:t>
      </w:r>
      <w:r w:rsidRPr="0068706C">
        <w:rPr>
          <w:i/>
          <w:iCs/>
          <w:spacing w:val="-1"/>
        </w:rPr>
        <w:t>c</w:t>
      </w:r>
      <w:r w:rsidRPr="0068706C">
        <w:rPr>
          <w:i/>
          <w:iCs/>
        </w:rPr>
        <w:t>it</w:t>
      </w:r>
      <w:r w:rsidRPr="0068706C">
        <w:rPr>
          <w:i/>
          <w:iCs/>
          <w:spacing w:val="1"/>
        </w:rPr>
        <w:t xml:space="preserve"> </w:t>
      </w:r>
      <w:r w:rsidRPr="0068706C">
        <w:rPr>
          <w:i/>
          <w:iCs/>
          <w:spacing w:val="-1"/>
        </w:rPr>
        <w:t>t</w:t>
      </w:r>
      <w:r w:rsidRPr="0068706C">
        <w:rPr>
          <w:i/>
          <w:iCs/>
        </w:rPr>
        <w:t>re</w:t>
      </w:r>
      <w:r w:rsidRPr="0068706C">
        <w:rPr>
          <w:i/>
          <w:iCs/>
          <w:spacing w:val="-1"/>
        </w:rPr>
        <w:t>g</w:t>
      </w:r>
      <w:r w:rsidRPr="0068706C">
        <w:rPr>
          <w:i/>
          <w:iCs/>
        </w:rPr>
        <w:t>tar.</w:t>
      </w:r>
    </w:p>
    <w:p w14:paraId="0DE9280B" w14:textId="77777777" w:rsidR="0068706C" w:rsidRPr="0068706C" w:rsidRDefault="0068706C" w:rsidP="00CE4035">
      <w:pPr>
        <w:autoSpaceDE w:val="0"/>
        <w:autoSpaceDN w:val="0"/>
        <w:adjustRightInd w:val="0"/>
        <w:ind w:right="61"/>
        <w:jc w:val="both"/>
        <w:rPr>
          <w:i/>
          <w:iCs/>
        </w:rPr>
      </w:pPr>
    </w:p>
    <w:p w14:paraId="040D3FB4" w14:textId="4B85C96B" w:rsidR="00CE4035" w:rsidRDefault="00CE4035" w:rsidP="00CE4035">
      <w:pPr>
        <w:autoSpaceDE w:val="0"/>
        <w:autoSpaceDN w:val="0"/>
        <w:adjustRightInd w:val="0"/>
        <w:spacing w:before="60"/>
        <w:ind w:right="60"/>
        <w:jc w:val="both"/>
      </w:pPr>
      <w:r w:rsidRPr="0068706C">
        <w:rPr>
          <w:b/>
          <w:bCs/>
        </w:rPr>
        <w:t>Kos</w:t>
      </w:r>
      <w:r w:rsidRPr="0068706C">
        <w:rPr>
          <w:b/>
          <w:bCs/>
          <w:spacing w:val="1"/>
        </w:rPr>
        <w:t>t</w:t>
      </w:r>
      <w:r w:rsidRPr="0068706C">
        <w:rPr>
          <w:b/>
          <w:bCs/>
        </w:rPr>
        <w:t>oja</w:t>
      </w:r>
      <w:r w:rsidRPr="0068706C">
        <w:rPr>
          <w:b/>
          <w:bCs/>
          <w:spacing w:val="1"/>
        </w:rPr>
        <w:t xml:space="preserve"> </w:t>
      </w:r>
      <w:r w:rsidRPr="0068706C">
        <w:rPr>
          <w:b/>
          <w:bCs/>
        </w:rPr>
        <w:t>e vle</w:t>
      </w:r>
      <w:r w:rsidRPr="0068706C">
        <w:rPr>
          <w:b/>
          <w:bCs/>
          <w:spacing w:val="1"/>
        </w:rPr>
        <w:t>r</w:t>
      </w:r>
      <w:r w:rsidRPr="0068706C">
        <w:rPr>
          <w:b/>
          <w:bCs/>
        </w:rPr>
        <w:t>ësuar</w:t>
      </w:r>
      <w:r w:rsidRPr="0068706C">
        <w:rPr>
          <w:b/>
          <w:bCs/>
          <w:spacing w:val="1"/>
        </w:rPr>
        <w:t xml:space="preserve"> </w:t>
      </w:r>
      <w:r w:rsidRPr="0068706C">
        <w:rPr>
          <w:b/>
          <w:bCs/>
        </w:rPr>
        <w:t>e a</w:t>
      </w:r>
      <w:r w:rsidRPr="0068706C">
        <w:rPr>
          <w:b/>
          <w:bCs/>
          <w:spacing w:val="1"/>
        </w:rPr>
        <w:t>k</w:t>
      </w:r>
      <w:r w:rsidRPr="0068706C">
        <w:rPr>
          <w:b/>
          <w:bCs/>
          <w:spacing w:val="2"/>
        </w:rPr>
        <w:t>t</w:t>
      </w:r>
      <w:r w:rsidRPr="0068706C">
        <w:rPr>
          <w:b/>
          <w:bCs/>
        </w:rPr>
        <w:t>iv</w:t>
      </w:r>
      <w:r w:rsidRPr="0068706C">
        <w:rPr>
          <w:b/>
          <w:bCs/>
          <w:spacing w:val="1"/>
        </w:rPr>
        <w:t>i</w:t>
      </w:r>
      <w:r w:rsidRPr="0068706C">
        <w:rPr>
          <w:b/>
          <w:bCs/>
        </w:rPr>
        <w:t>tete</w:t>
      </w:r>
      <w:r w:rsidRPr="0068706C">
        <w:rPr>
          <w:b/>
          <w:bCs/>
          <w:spacing w:val="-1"/>
        </w:rPr>
        <w:t>v</w:t>
      </w:r>
      <w:r w:rsidRPr="0068706C">
        <w:rPr>
          <w:b/>
          <w:bCs/>
        </w:rPr>
        <w:t>e</w:t>
      </w:r>
      <w:r w:rsidRPr="0068706C">
        <w:rPr>
          <w:b/>
          <w:bCs/>
          <w:spacing w:val="1"/>
        </w:rPr>
        <w:t xml:space="preserve"> </w:t>
      </w:r>
      <w:r w:rsidRPr="0068706C">
        <w:rPr>
          <w:b/>
          <w:bCs/>
        </w:rPr>
        <w:t>dhe</w:t>
      </w:r>
      <w:r w:rsidRPr="0068706C">
        <w:rPr>
          <w:b/>
          <w:bCs/>
          <w:spacing w:val="1"/>
        </w:rPr>
        <w:t xml:space="preserve"> </w:t>
      </w:r>
      <w:r w:rsidRPr="0068706C">
        <w:rPr>
          <w:b/>
          <w:bCs/>
        </w:rPr>
        <w:t>burimi</w:t>
      </w:r>
      <w:r w:rsidRPr="0068706C">
        <w:rPr>
          <w:b/>
          <w:bCs/>
          <w:spacing w:val="1"/>
        </w:rPr>
        <w:t xml:space="preserve"> </w:t>
      </w:r>
      <w:r w:rsidRPr="0068706C">
        <w:rPr>
          <w:b/>
          <w:bCs/>
        </w:rPr>
        <w:t>i</w:t>
      </w:r>
      <w:r w:rsidRPr="0068706C">
        <w:rPr>
          <w:b/>
          <w:bCs/>
          <w:spacing w:val="1"/>
        </w:rPr>
        <w:t xml:space="preserve"> </w:t>
      </w:r>
      <w:r w:rsidRPr="0068706C">
        <w:rPr>
          <w:b/>
          <w:bCs/>
        </w:rPr>
        <w:t>fina</w:t>
      </w:r>
      <w:r w:rsidRPr="0068706C">
        <w:rPr>
          <w:b/>
          <w:bCs/>
          <w:spacing w:val="-1"/>
        </w:rPr>
        <w:t>n</w:t>
      </w:r>
      <w:r w:rsidRPr="0068706C">
        <w:rPr>
          <w:b/>
          <w:bCs/>
        </w:rPr>
        <w:t>cimit:</w:t>
      </w:r>
      <w:r w:rsidRPr="0068706C">
        <w:rPr>
          <w:b/>
          <w:bCs/>
          <w:spacing w:val="3"/>
        </w:rPr>
        <w:t xml:space="preserve"> </w:t>
      </w:r>
      <w:r w:rsidRPr="0068706C">
        <w:t>Ko</w:t>
      </w:r>
      <w:r w:rsidRPr="0068706C">
        <w:rPr>
          <w:spacing w:val="1"/>
        </w:rPr>
        <w:t>s</w:t>
      </w:r>
      <w:r w:rsidRPr="0068706C">
        <w:t>t</w:t>
      </w:r>
      <w:r w:rsidRPr="0068706C">
        <w:rPr>
          <w:spacing w:val="-1"/>
        </w:rPr>
        <w:t>o</w:t>
      </w:r>
      <w:r w:rsidRPr="0068706C">
        <w:t xml:space="preserve">ja e </w:t>
      </w:r>
      <w:r w:rsidRPr="0068706C">
        <w:rPr>
          <w:spacing w:val="1"/>
        </w:rPr>
        <w:t>p</w:t>
      </w:r>
      <w:r w:rsidRPr="0068706C">
        <w:rPr>
          <w:spacing w:val="-1"/>
        </w:rPr>
        <w:t>ë</w:t>
      </w:r>
      <w:r w:rsidRPr="0068706C">
        <w:t>rgjith</w:t>
      </w:r>
      <w:r w:rsidRPr="0068706C">
        <w:rPr>
          <w:spacing w:val="1"/>
        </w:rPr>
        <w:t>s</w:t>
      </w:r>
      <w:r w:rsidRPr="0068706C">
        <w:rPr>
          <w:spacing w:val="2"/>
        </w:rPr>
        <w:t>h</w:t>
      </w:r>
      <w:r w:rsidRPr="0068706C">
        <w:rPr>
          <w:spacing w:val="-3"/>
        </w:rPr>
        <w:t>m</w:t>
      </w:r>
      <w:r w:rsidRPr="0068706C">
        <w:t xml:space="preserve">e </w:t>
      </w:r>
      <w:r w:rsidRPr="0068706C">
        <w:rPr>
          <w:spacing w:val="1"/>
        </w:rPr>
        <w:t>p</w:t>
      </w:r>
      <w:r w:rsidRPr="0068706C">
        <w:rPr>
          <w:spacing w:val="-1"/>
        </w:rPr>
        <w:t>ë</w:t>
      </w:r>
      <w:r w:rsidRPr="0068706C">
        <w:t xml:space="preserve">r </w:t>
      </w:r>
      <w:r w:rsidRPr="0068706C">
        <w:rPr>
          <w:spacing w:val="-1"/>
        </w:rPr>
        <w:t>z</w:t>
      </w:r>
      <w:r w:rsidRPr="0068706C">
        <w:rPr>
          <w:spacing w:val="1"/>
        </w:rPr>
        <w:t>b</w:t>
      </w:r>
      <w:r w:rsidRPr="0068706C">
        <w:rPr>
          <w:spacing w:val="-1"/>
        </w:rPr>
        <w:t>a</w:t>
      </w:r>
      <w:r w:rsidRPr="0068706C">
        <w:t>t</w:t>
      </w:r>
      <w:r w:rsidRPr="0068706C">
        <w:rPr>
          <w:spacing w:val="2"/>
        </w:rPr>
        <w:t>i</w:t>
      </w:r>
      <w:r w:rsidRPr="0068706C">
        <w:rPr>
          <w:spacing w:val="-3"/>
        </w:rPr>
        <w:t>m</w:t>
      </w:r>
      <w:r w:rsidRPr="0068706C">
        <w:t>in</w:t>
      </w:r>
      <w:r w:rsidRPr="0068706C">
        <w:rPr>
          <w:spacing w:val="12"/>
        </w:rPr>
        <w:t xml:space="preserve"> </w:t>
      </w:r>
      <w:r w:rsidRPr="0068706C">
        <w:t>e</w:t>
      </w:r>
      <w:r w:rsidRPr="0068706C">
        <w:rPr>
          <w:spacing w:val="11"/>
        </w:rPr>
        <w:t xml:space="preserve"> </w:t>
      </w:r>
      <w:r w:rsidRPr="0068706C">
        <w:rPr>
          <w:spacing w:val="1"/>
        </w:rPr>
        <w:t>k</w:t>
      </w:r>
      <w:r w:rsidRPr="0068706C">
        <w:rPr>
          <w:spacing w:val="-1"/>
        </w:rPr>
        <w:t>ë</w:t>
      </w:r>
      <w:r w:rsidRPr="0068706C">
        <w:t>saj</w:t>
      </w:r>
      <w:r w:rsidRPr="0068706C">
        <w:rPr>
          <w:spacing w:val="14"/>
        </w:rPr>
        <w:t xml:space="preserve"> </w:t>
      </w:r>
      <w:r w:rsidRPr="0068706C">
        <w:rPr>
          <w:spacing w:val="-3"/>
        </w:rPr>
        <w:t>m</w:t>
      </w:r>
      <w:r w:rsidRPr="0068706C">
        <w:t>a</w:t>
      </w:r>
      <w:r w:rsidRPr="0068706C">
        <w:rPr>
          <w:spacing w:val="1"/>
        </w:rPr>
        <w:t>s</w:t>
      </w:r>
      <w:r w:rsidRPr="0068706C">
        <w:t>e</w:t>
      </w:r>
      <w:r w:rsidRPr="0068706C">
        <w:rPr>
          <w:spacing w:val="11"/>
        </w:rPr>
        <w:t xml:space="preserve"> </w:t>
      </w:r>
      <w:r w:rsidRPr="0068706C">
        <w:t>vler</w:t>
      </w:r>
      <w:r w:rsidRPr="0068706C">
        <w:rPr>
          <w:spacing w:val="-1"/>
        </w:rPr>
        <w:t>ë</w:t>
      </w:r>
      <w:r w:rsidRPr="0068706C">
        <w:t>so</w:t>
      </w:r>
      <w:r w:rsidRPr="0068706C">
        <w:rPr>
          <w:spacing w:val="1"/>
        </w:rPr>
        <w:t>h</w:t>
      </w:r>
      <w:r w:rsidRPr="0068706C">
        <w:rPr>
          <w:spacing w:val="-1"/>
        </w:rPr>
        <w:t>e</w:t>
      </w:r>
      <w:r w:rsidRPr="0068706C">
        <w:t>t</w:t>
      </w:r>
      <w:r w:rsidRPr="0068706C">
        <w:rPr>
          <w:spacing w:val="12"/>
        </w:rPr>
        <w:t xml:space="preserve"> </w:t>
      </w:r>
      <w:r w:rsidRPr="0068706C">
        <w:t>të</w:t>
      </w:r>
      <w:r w:rsidRPr="0068706C">
        <w:rPr>
          <w:spacing w:val="11"/>
        </w:rPr>
        <w:t xml:space="preserve"> </w:t>
      </w:r>
      <w:r w:rsidRPr="0068706C">
        <w:t>jetë</w:t>
      </w:r>
      <w:r w:rsidRPr="0068706C">
        <w:rPr>
          <w:spacing w:val="11"/>
        </w:rPr>
        <w:t xml:space="preserve"> </w:t>
      </w:r>
      <w:r w:rsidRPr="0068706C">
        <w:t>€ 30,330,000 për vit. Në total për 3 vite rreth € 29,130,000 prej të</w:t>
      </w:r>
      <w:r w:rsidRPr="0068706C">
        <w:rPr>
          <w:spacing w:val="2"/>
        </w:rPr>
        <w:t xml:space="preserve"> </w:t>
      </w:r>
      <w:r w:rsidRPr="0068706C">
        <w:rPr>
          <w:spacing w:val="-1"/>
        </w:rPr>
        <w:t>c</w:t>
      </w:r>
      <w:r w:rsidRPr="0068706C">
        <w:t>i</w:t>
      </w:r>
      <w:r w:rsidRPr="0068706C">
        <w:rPr>
          <w:spacing w:val="1"/>
        </w:rPr>
        <w:t>l</w:t>
      </w:r>
      <w:r w:rsidRPr="0068706C">
        <w:rPr>
          <w:spacing w:val="-1"/>
        </w:rPr>
        <w:t>a</w:t>
      </w:r>
      <w:r w:rsidRPr="0068706C">
        <w:rPr>
          <w:spacing w:val="1"/>
        </w:rPr>
        <w:t>v</w:t>
      </w:r>
      <w:r w:rsidRPr="0068706C">
        <w:t>e</w:t>
      </w:r>
      <w:r w:rsidRPr="0068706C">
        <w:rPr>
          <w:spacing w:val="2"/>
        </w:rPr>
        <w:t xml:space="preserve"> </w:t>
      </w:r>
      <w:r w:rsidRPr="0068706C">
        <w:t>do</w:t>
      </w:r>
      <w:r w:rsidRPr="0068706C">
        <w:rPr>
          <w:spacing w:val="1"/>
        </w:rPr>
        <w:t xml:space="preserve"> </w:t>
      </w:r>
      <w:r w:rsidRPr="0068706C">
        <w:t>të fi</w:t>
      </w:r>
      <w:r w:rsidRPr="0068706C">
        <w:rPr>
          <w:spacing w:val="1"/>
        </w:rPr>
        <w:t>n</w:t>
      </w:r>
      <w:r w:rsidRPr="0068706C">
        <w:rPr>
          <w:spacing w:val="-1"/>
        </w:rPr>
        <w:t>a</w:t>
      </w:r>
      <w:r w:rsidRPr="0068706C">
        <w:rPr>
          <w:spacing w:val="1"/>
        </w:rPr>
        <w:t>n</w:t>
      </w:r>
      <w:r w:rsidRPr="0068706C">
        <w:rPr>
          <w:spacing w:val="-1"/>
        </w:rPr>
        <w:t>c</w:t>
      </w:r>
      <w:r w:rsidRPr="0068706C">
        <w:t>o</w:t>
      </w:r>
      <w:r w:rsidRPr="0068706C">
        <w:rPr>
          <w:spacing w:val="1"/>
        </w:rPr>
        <w:t>h</w:t>
      </w:r>
      <w:r w:rsidRPr="0068706C">
        <w:rPr>
          <w:spacing w:val="-1"/>
        </w:rPr>
        <w:t>e</w:t>
      </w:r>
      <w:r w:rsidRPr="0068706C">
        <w:t>n</w:t>
      </w:r>
      <w:r w:rsidRPr="0068706C">
        <w:rPr>
          <w:spacing w:val="1"/>
        </w:rPr>
        <w:t xml:space="preserve"> </w:t>
      </w:r>
      <w:r w:rsidRPr="0068706C">
        <w:t xml:space="preserve">nga </w:t>
      </w:r>
      <w:r w:rsidRPr="0068706C">
        <w:rPr>
          <w:spacing w:val="1"/>
        </w:rPr>
        <w:t>b</w:t>
      </w:r>
      <w:r w:rsidRPr="0068706C">
        <w:t>uxh</w:t>
      </w:r>
      <w:r w:rsidRPr="0068706C">
        <w:rPr>
          <w:spacing w:val="-1"/>
        </w:rPr>
        <w:t>e</w:t>
      </w:r>
      <w:r w:rsidRPr="0068706C">
        <w:t>ti</w:t>
      </w:r>
      <w:r w:rsidRPr="0068706C">
        <w:rPr>
          <w:spacing w:val="1"/>
        </w:rPr>
        <w:t xml:space="preserve"> </w:t>
      </w:r>
      <w:r w:rsidRPr="0068706C">
        <w:t>i</w:t>
      </w:r>
      <w:r w:rsidRPr="0068706C">
        <w:rPr>
          <w:spacing w:val="1"/>
        </w:rPr>
        <w:t xml:space="preserve"> </w:t>
      </w:r>
      <w:r w:rsidRPr="0068706C">
        <w:t>K</w:t>
      </w:r>
      <w:r w:rsidRPr="0068706C">
        <w:rPr>
          <w:spacing w:val="2"/>
        </w:rPr>
        <w:t>o</w:t>
      </w:r>
      <w:r w:rsidRPr="0068706C">
        <w:t>sov</w:t>
      </w:r>
      <w:r w:rsidRPr="0068706C">
        <w:rPr>
          <w:spacing w:val="-1"/>
        </w:rPr>
        <w:t>ë</w:t>
      </w:r>
      <w:r w:rsidRPr="0068706C">
        <w:t>s ndërsa €1,200,000 nga donatorët (ALLED, GIZ, DVV,EYE, Lux Development).</w:t>
      </w:r>
    </w:p>
    <w:p w14:paraId="668CF3EC" w14:textId="77777777" w:rsidR="0068706C" w:rsidRPr="0068706C" w:rsidRDefault="0068706C" w:rsidP="00CE4035">
      <w:pPr>
        <w:autoSpaceDE w:val="0"/>
        <w:autoSpaceDN w:val="0"/>
        <w:adjustRightInd w:val="0"/>
        <w:spacing w:before="60"/>
        <w:ind w:right="60"/>
        <w:jc w:val="both"/>
      </w:pPr>
    </w:p>
    <w:p w14:paraId="0B5186CE" w14:textId="0AC7B4A2" w:rsidR="00CE4035" w:rsidRDefault="00CE4035" w:rsidP="00CE4035">
      <w:pPr>
        <w:autoSpaceDE w:val="0"/>
        <w:autoSpaceDN w:val="0"/>
        <w:adjustRightInd w:val="0"/>
        <w:spacing w:before="60"/>
        <w:ind w:right="60"/>
        <w:jc w:val="both"/>
      </w:pPr>
      <w:r w:rsidRPr="0068706C">
        <w:rPr>
          <w:b/>
          <w:bCs/>
        </w:rPr>
        <w:t>Ndikimet e pritshme mbi rezultatet sociale, të tilla si punësimi, reduktimi i varfërisë, barazia gjinore:</w:t>
      </w:r>
      <w:r w:rsidRPr="0068706C">
        <w:t xml:space="preserve"> Masa synon përmirësimin e efektshmërisë së shërbimeve publike të punësimit duke u bazuar në ndërtimin e kapaciteteve sipas procesit të rishikimit institucional dhe të shënjëstrimit më të mirë të MATP-ve tek të papunët. Po ashtu, masa synon krijimin e shkathtësive në profilet deficitare përmes fillimit të zbatimit të modelit të nën kontraktimit të programeve të aftësimit profesional te ofruesit privatë. Si tërësi, masa pritet të reduktojë përqindjen e lartë të NEET në mesin e të rinjve të moshës 15 – 24. Po ashtu, masa synon ngritjen e veprimeve afirmative në shënjëstrimin e personave nga zonat rurale, duke synuar uljen e pabarazive shoqërore. </w:t>
      </w:r>
    </w:p>
    <w:p w14:paraId="2A6965BF" w14:textId="77777777" w:rsidR="0068706C" w:rsidRPr="0068706C" w:rsidRDefault="0068706C" w:rsidP="00CE4035">
      <w:pPr>
        <w:autoSpaceDE w:val="0"/>
        <w:autoSpaceDN w:val="0"/>
        <w:adjustRightInd w:val="0"/>
        <w:spacing w:before="60"/>
        <w:ind w:right="60"/>
        <w:jc w:val="both"/>
      </w:pPr>
    </w:p>
    <w:p w14:paraId="51AD38F8" w14:textId="236EE0D3" w:rsidR="00CE4035" w:rsidRDefault="00CE4035" w:rsidP="00CE4035">
      <w:pPr>
        <w:autoSpaceDE w:val="0"/>
        <w:autoSpaceDN w:val="0"/>
        <w:adjustRightInd w:val="0"/>
        <w:spacing w:before="60"/>
        <w:ind w:right="60"/>
        <w:jc w:val="both"/>
      </w:pPr>
      <w:r w:rsidRPr="0068706C">
        <w:rPr>
          <w:b/>
          <w:bCs/>
        </w:rPr>
        <w:t>Ndikimi i pritshëm në mjedis:</w:t>
      </w:r>
      <w:r w:rsidRPr="0068706C">
        <w:t xml:space="preserve"> </w:t>
      </w:r>
      <w:r w:rsidRPr="0068706C">
        <w:rPr>
          <w:spacing w:val="-1"/>
        </w:rPr>
        <w:t xml:space="preserve"> Ma</w:t>
      </w:r>
      <w:r w:rsidRPr="0068706C">
        <w:t>sa</w:t>
      </w:r>
      <w:r w:rsidRPr="0068706C">
        <w:rPr>
          <w:spacing w:val="-1"/>
        </w:rPr>
        <w:t xml:space="preserve"> </w:t>
      </w:r>
      <w:r w:rsidRPr="0068706C">
        <w:t>do</w:t>
      </w:r>
      <w:r w:rsidRPr="0068706C">
        <w:rPr>
          <w:spacing w:val="1"/>
        </w:rPr>
        <w:t xml:space="preserve"> </w:t>
      </w:r>
      <w:r w:rsidRPr="0068706C">
        <w:t xml:space="preserve">të jetë </w:t>
      </w:r>
      <w:r w:rsidRPr="0068706C">
        <w:rPr>
          <w:spacing w:val="1"/>
        </w:rPr>
        <w:t>n</w:t>
      </w:r>
      <w:r w:rsidRPr="0068706C">
        <w:rPr>
          <w:spacing w:val="-1"/>
        </w:rPr>
        <w:t>e</w:t>
      </w:r>
      <w:r w:rsidRPr="0068706C">
        <w:t>u</w:t>
      </w:r>
      <w:r w:rsidRPr="0068706C">
        <w:rPr>
          <w:spacing w:val="-1"/>
        </w:rPr>
        <w:t>t</w:t>
      </w:r>
      <w:r w:rsidRPr="0068706C">
        <w:t>ra</w:t>
      </w:r>
      <w:r w:rsidRPr="0068706C">
        <w:rPr>
          <w:spacing w:val="1"/>
        </w:rPr>
        <w:t>l</w:t>
      </w:r>
      <w:r w:rsidRPr="0068706C">
        <w:t>e</w:t>
      </w:r>
      <w:r w:rsidRPr="0068706C">
        <w:rPr>
          <w:spacing w:val="-1"/>
        </w:rPr>
        <w:t xml:space="preserve"> </w:t>
      </w:r>
      <w:r w:rsidRPr="0068706C">
        <w:rPr>
          <w:spacing w:val="1"/>
        </w:rPr>
        <w:t>n</w:t>
      </w:r>
      <w:r w:rsidRPr="0068706C">
        <w:t>d</w:t>
      </w:r>
      <w:r w:rsidRPr="0068706C">
        <w:rPr>
          <w:spacing w:val="-1"/>
        </w:rPr>
        <w:t>a</w:t>
      </w:r>
      <w:r w:rsidRPr="0068706C">
        <w:t>j</w:t>
      </w:r>
      <w:r w:rsidRPr="0068706C">
        <w:rPr>
          <w:spacing w:val="1"/>
        </w:rPr>
        <w:t xml:space="preserve"> </w:t>
      </w:r>
      <w:r w:rsidRPr="0068706C">
        <w:rPr>
          <w:spacing w:val="-3"/>
        </w:rPr>
        <w:t>m</w:t>
      </w:r>
      <w:r w:rsidRPr="0068706C">
        <w:t>je</w:t>
      </w:r>
      <w:r w:rsidRPr="0068706C">
        <w:rPr>
          <w:spacing w:val="2"/>
        </w:rPr>
        <w:t>d</w:t>
      </w:r>
      <w:r w:rsidRPr="0068706C">
        <w:t>isi</w:t>
      </w:r>
      <w:r w:rsidRPr="0068706C">
        <w:rPr>
          <w:spacing w:val="-1"/>
        </w:rPr>
        <w:t>t</w:t>
      </w:r>
      <w:r w:rsidRPr="0068706C">
        <w:t xml:space="preserve">. </w:t>
      </w:r>
    </w:p>
    <w:p w14:paraId="6FB3C8C1" w14:textId="77777777" w:rsidR="0068706C" w:rsidRPr="0068706C" w:rsidRDefault="0068706C" w:rsidP="00CE4035">
      <w:pPr>
        <w:autoSpaceDE w:val="0"/>
        <w:autoSpaceDN w:val="0"/>
        <w:adjustRightInd w:val="0"/>
        <w:spacing w:before="60"/>
        <w:ind w:right="60"/>
        <w:jc w:val="both"/>
      </w:pPr>
    </w:p>
    <w:p w14:paraId="7D6F5B68" w14:textId="77777777" w:rsidR="00CE4035" w:rsidRPr="0068706C" w:rsidRDefault="00CE4035" w:rsidP="00CE4035">
      <w:pPr>
        <w:autoSpaceDE w:val="0"/>
        <w:autoSpaceDN w:val="0"/>
        <w:adjustRightInd w:val="0"/>
        <w:spacing w:before="60"/>
        <w:ind w:right="60"/>
        <w:jc w:val="both"/>
        <w:rPr>
          <w:b/>
        </w:rPr>
      </w:pPr>
      <w:r w:rsidRPr="0068706C">
        <w:rPr>
          <w:b/>
        </w:rPr>
        <w:t>Rreziqet potenciale:</w:t>
      </w:r>
    </w:p>
    <w:tbl>
      <w:tblPr>
        <w:tblStyle w:val="TableGrid"/>
        <w:tblW w:w="0" w:type="auto"/>
        <w:tblInd w:w="-5" w:type="dxa"/>
        <w:tblLook w:val="04A0" w:firstRow="1" w:lastRow="0" w:firstColumn="1" w:lastColumn="0" w:noHBand="0" w:noVBand="1"/>
      </w:tblPr>
      <w:tblGrid>
        <w:gridCol w:w="3210"/>
        <w:gridCol w:w="1833"/>
        <w:gridCol w:w="3576"/>
      </w:tblGrid>
      <w:tr w:rsidR="00CE4035" w:rsidRPr="0068706C" w14:paraId="737C0C20" w14:textId="77777777" w:rsidTr="009B753C">
        <w:tc>
          <w:tcPr>
            <w:tcW w:w="3510" w:type="dxa"/>
          </w:tcPr>
          <w:p w14:paraId="34129267" w14:textId="77777777" w:rsidR="00CE4035" w:rsidRPr="0068706C" w:rsidRDefault="00CE4035" w:rsidP="009B753C">
            <w:pPr>
              <w:autoSpaceDE w:val="0"/>
              <w:autoSpaceDN w:val="0"/>
              <w:adjustRightInd w:val="0"/>
              <w:spacing w:before="60"/>
              <w:ind w:right="60"/>
              <w:jc w:val="both"/>
              <w:rPr>
                <w:b/>
              </w:rPr>
            </w:pPr>
            <w:r w:rsidRPr="0068706C">
              <w:rPr>
                <w:b/>
              </w:rPr>
              <w:t xml:space="preserve">Rreziku </w:t>
            </w:r>
          </w:p>
        </w:tc>
        <w:tc>
          <w:tcPr>
            <w:tcW w:w="1890" w:type="dxa"/>
          </w:tcPr>
          <w:p w14:paraId="4787495E" w14:textId="77777777" w:rsidR="00CE4035" w:rsidRPr="0068706C" w:rsidRDefault="00CE4035" w:rsidP="009B753C">
            <w:pPr>
              <w:autoSpaceDE w:val="0"/>
              <w:autoSpaceDN w:val="0"/>
              <w:adjustRightInd w:val="0"/>
              <w:spacing w:before="60"/>
              <w:ind w:right="60"/>
              <w:jc w:val="both"/>
              <w:rPr>
                <w:b/>
              </w:rPr>
            </w:pPr>
            <w:r w:rsidRPr="0068706C">
              <w:rPr>
                <w:b/>
              </w:rPr>
              <w:t xml:space="preserve">Probabiliteti </w:t>
            </w:r>
          </w:p>
        </w:tc>
        <w:tc>
          <w:tcPr>
            <w:tcW w:w="3955" w:type="dxa"/>
          </w:tcPr>
          <w:p w14:paraId="2C166DB9" w14:textId="77777777" w:rsidR="00CE4035" w:rsidRPr="0068706C" w:rsidRDefault="00CE4035" w:rsidP="009B753C">
            <w:pPr>
              <w:autoSpaceDE w:val="0"/>
              <w:autoSpaceDN w:val="0"/>
              <w:adjustRightInd w:val="0"/>
              <w:spacing w:before="60"/>
              <w:ind w:right="60"/>
              <w:jc w:val="both"/>
              <w:rPr>
                <w:b/>
              </w:rPr>
            </w:pPr>
            <w:r w:rsidRPr="0068706C">
              <w:rPr>
                <w:b/>
              </w:rPr>
              <w:t xml:space="preserve">Veprimi lehtësues i planifikuar </w:t>
            </w:r>
          </w:p>
        </w:tc>
      </w:tr>
      <w:tr w:rsidR="00CE4035" w:rsidRPr="0068706C" w14:paraId="7E49952B" w14:textId="77777777" w:rsidTr="009B753C">
        <w:tc>
          <w:tcPr>
            <w:tcW w:w="3510" w:type="dxa"/>
          </w:tcPr>
          <w:p w14:paraId="78EA111F" w14:textId="77777777" w:rsidR="00CE4035" w:rsidRPr="0068706C" w:rsidRDefault="00CE4035" w:rsidP="009B753C">
            <w:pPr>
              <w:autoSpaceDE w:val="0"/>
              <w:autoSpaceDN w:val="0"/>
              <w:adjustRightInd w:val="0"/>
              <w:spacing w:before="60"/>
              <w:ind w:right="60"/>
              <w:jc w:val="both"/>
            </w:pPr>
            <w:r w:rsidRPr="0068706C">
              <w:t>Zbatueshmëria e MATP-ve  të planifikuara për vitet e ardhshme varet nga situata epidemiologjike me virusin Covid 19.</w:t>
            </w:r>
          </w:p>
        </w:tc>
        <w:tc>
          <w:tcPr>
            <w:tcW w:w="1890" w:type="dxa"/>
          </w:tcPr>
          <w:p w14:paraId="469FC8E0" w14:textId="77777777" w:rsidR="00CE4035" w:rsidRPr="0068706C" w:rsidRDefault="00CE4035" w:rsidP="009B753C">
            <w:pPr>
              <w:autoSpaceDE w:val="0"/>
              <w:autoSpaceDN w:val="0"/>
              <w:adjustRightInd w:val="0"/>
              <w:spacing w:before="60"/>
              <w:ind w:right="60"/>
              <w:jc w:val="both"/>
            </w:pPr>
            <w:r w:rsidRPr="0068706C">
              <w:t>I lartë.</w:t>
            </w:r>
          </w:p>
        </w:tc>
        <w:tc>
          <w:tcPr>
            <w:tcW w:w="3955" w:type="dxa"/>
          </w:tcPr>
          <w:p w14:paraId="7AEA0187" w14:textId="77777777" w:rsidR="00CE4035" w:rsidRPr="0068706C" w:rsidRDefault="00CE4035" w:rsidP="009B753C">
            <w:pPr>
              <w:autoSpaceDE w:val="0"/>
              <w:autoSpaceDN w:val="0"/>
              <w:adjustRightInd w:val="0"/>
              <w:spacing w:before="60"/>
              <w:ind w:right="60"/>
              <w:jc w:val="both"/>
            </w:pPr>
            <w:r w:rsidRPr="0068706C">
              <w:t>Masat që ndërmerren nga Qeveria për kapërcimin e pengesave që dalin nga  situata epidemiologjike me virusin Covid 19.</w:t>
            </w:r>
          </w:p>
        </w:tc>
      </w:tr>
      <w:tr w:rsidR="00CE4035" w:rsidRPr="0068706C" w14:paraId="4B277F73" w14:textId="77777777" w:rsidTr="009B753C">
        <w:tc>
          <w:tcPr>
            <w:tcW w:w="3510" w:type="dxa"/>
          </w:tcPr>
          <w:p w14:paraId="67ECA002" w14:textId="77777777" w:rsidR="00CE4035" w:rsidRPr="0068706C" w:rsidRDefault="00CE4035" w:rsidP="009B753C">
            <w:pPr>
              <w:autoSpaceDE w:val="0"/>
              <w:autoSpaceDN w:val="0"/>
              <w:adjustRightInd w:val="0"/>
              <w:spacing w:before="60"/>
              <w:ind w:right="60"/>
              <w:jc w:val="both"/>
            </w:pPr>
            <w:r w:rsidRPr="0068706C">
              <w:t>Pensionimi i stafit në APRK dhe vonesat në rekrutimin e  stafit të ri.</w:t>
            </w:r>
          </w:p>
        </w:tc>
        <w:tc>
          <w:tcPr>
            <w:tcW w:w="1890" w:type="dxa"/>
          </w:tcPr>
          <w:p w14:paraId="7BC363A2" w14:textId="77777777" w:rsidR="00CE4035" w:rsidRPr="0068706C" w:rsidRDefault="00CE4035" w:rsidP="009B753C">
            <w:pPr>
              <w:autoSpaceDE w:val="0"/>
              <w:autoSpaceDN w:val="0"/>
              <w:adjustRightInd w:val="0"/>
              <w:spacing w:before="60"/>
              <w:ind w:right="60"/>
              <w:jc w:val="both"/>
            </w:pPr>
            <w:r w:rsidRPr="0068706C">
              <w:t>I mesëm.</w:t>
            </w:r>
          </w:p>
        </w:tc>
        <w:tc>
          <w:tcPr>
            <w:tcW w:w="3955" w:type="dxa"/>
          </w:tcPr>
          <w:p w14:paraId="11D2482C" w14:textId="77777777" w:rsidR="00CE4035" w:rsidRPr="0068706C" w:rsidRDefault="00CE4035" w:rsidP="009B753C">
            <w:pPr>
              <w:autoSpaceDE w:val="0"/>
              <w:autoSpaceDN w:val="0"/>
              <w:adjustRightInd w:val="0"/>
              <w:spacing w:before="60"/>
              <w:ind w:right="60"/>
              <w:jc w:val="both"/>
            </w:pPr>
            <w:r w:rsidRPr="0068706C">
              <w:t>Zëvendësimi i stafit të APRK me përfitues të MATP-ve mbështetur me buxhet nga donatorët.</w:t>
            </w:r>
          </w:p>
        </w:tc>
      </w:tr>
    </w:tbl>
    <w:p w14:paraId="455132D9" w14:textId="77777777" w:rsidR="00CE4035" w:rsidRPr="0068706C" w:rsidRDefault="00CE4035" w:rsidP="00CE4035">
      <w:pPr>
        <w:jc w:val="both"/>
      </w:pPr>
    </w:p>
    <w:p w14:paraId="57188107" w14:textId="77777777" w:rsidR="00CE4035" w:rsidRPr="0068706C" w:rsidRDefault="00CE4035" w:rsidP="00CE4035">
      <w:pPr>
        <w:rPr>
          <w:b/>
        </w:rPr>
      </w:pPr>
      <w:r w:rsidRPr="0068706C">
        <w:rPr>
          <w:b/>
        </w:rPr>
        <w:t>4.3.8</w:t>
      </w:r>
      <w:r w:rsidRPr="0068706C">
        <w:rPr>
          <w:b/>
          <w:bCs/>
        </w:rPr>
        <w:t xml:space="preserve"> </w:t>
      </w:r>
      <w:r w:rsidRPr="0068706C">
        <w:rPr>
          <w:b/>
        </w:rPr>
        <w:t>Përfshirja sociale, ulja e varfërisë dhe mundësitë e barabarta</w:t>
      </w:r>
    </w:p>
    <w:p w14:paraId="621ACD58" w14:textId="77777777" w:rsidR="00CE4035" w:rsidRPr="0068706C" w:rsidRDefault="00CE4035" w:rsidP="00CE4035">
      <w:pPr>
        <w:jc w:val="both"/>
      </w:pPr>
      <w:r w:rsidRPr="0068706C">
        <w:rPr>
          <w:b/>
        </w:rPr>
        <w:t>Gjendja aktuale:</w:t>
      </w:r>
      <w:r w:rsidRPr="0068706C">
        <w:t xml:space="preserve"> Forcimi i sistemit të kujdesit shëndetësor të Kosovës është një mundësi për të përmirësuar shëndetin e popullatës së Kosovës. Qasja më e mirë dhe më e drejtë në mbrojtjen sociale do të zvogëlojë varfërinë dhe pabarazitë. Sistemi i kujdesit shëndetësor të Kosovës nevojitet të bëj investime të konsiderueshme në infrastrukturë dhe pajisje dhe duhet të vazhdojë të avancoj drejt sigurimit të qasjes universale. Në të njëjtën kohë, duhet të përmirësohet mbulimin, nivelet e përfitimeve dhe modelimin e ndihmës sociale për të siguruar barazinë dhe kohezionin social. Mirëpo, përderisa qëllimi është një shtet i aftë dhe i gatshëm për të përmbushur detyrat dhe obligimet e tij ndaj shtetasve, mbeten ende pengesa të konsiderueshme që lidhen me uljen e varfërisë, reduktimin e pabarazisë dhe ofrimin e mundësive të barabarta nëpërmjet përfshirjes sociale të grupeve të cenueshme. Lidhur, me zhvillimet aktuale në funksion të luftimit të ndikimit të pandemisë për Covid-19, </w:t>
      </w:r>
      <w:r w:rsidRPr="0068706C">
        <w:rPr>
          <w:color w:val="212529"/>
        </w:rPr>
        <w:t>Qeveria e  Republikës së Kosovës ka  miratuar Pakon Fiskale Emergjente, në kuadër të cilës janë të përfshira 15 masa, ndërsa Ministria e Financave ka  aprovuar Planin Operacional për Pakon Fiskale Emergjente. Në kuadër të këtij plani tri(3) prej tyre kanë përfshirë mbështetjen e disa kategorive sociale dhe familjeve që jetojnë në gjendje të rëndë sociale; pagesa e dyfishtë e vlerës së skemës sociale për të gjithë përfituesit të skemave sociale për tre muaj mars-maj 2020, p</w:t>
      </w:r>
      <w:r w:rsidRPr="0068706C">
        <w:t>agesa shtesë në vlerë prej tridhjetë (30 €) euro në muaj për të gjithë përfituesit e skemave sociale dhe pensionale që marrin pagesë mujore në vlerë deri në njëqind (100 €) euro, për tre muaj prill-qershor 2020, p</w:t>
      </w:r>
      <w:r w:rsidRPr="0068706C">
        <w:rPr>
          <w:color w:val="212529"/>
          <w:shd w:val="clear" w:color="auto" w:fill="FFFFFF"/>
        </w:rPr>
        <w:t xml:space="preserve">agesa e asistencës mujore në vlerë prej njëqind e tridhjetë (130 €) euro për qytetarët me kushte të rënda sociale, të lajmëruar si të papunë në institucionin kompetent, që nuk janë përfitues të asnjë të hyre mujore për tre muaj prill-qershor 2020. </w:t>
      </w:r>
    </w:p>
    <w:p w14:paraId="3944A713" w14:textId="77777777" w:rsidR="00CE4035" w:rsidRPr="0068706C" w:rsidRDefault="00CE4035" w:rsidP="00CE4035">
      <w:pPr>
        <w:jc w:val="both"/>
      </w:pPr>
      <w:r w:rsidRPr="0068706C">
        <w:t>Megjithatë, varfëria mbetet një nga problemet më të theksuara në Kosovë. Rezultatet e Anketës së buxhetit të ekonomive familjare (ABEF) të vitit 2017, tregojnë se 18% e popullsisë së Kosovës jeton nën kufirin e varfërisë me më pak se 1.82 EUR në ditë, dhe 5.1% e popullsisë jetojnë nën kufirin e varfërisë ekstreme me më pak se 1.32 EUR në ditë.</w:t>
      </w:r>
      <w:r w:rsidRPr="0068706C">
        <w:rPr>
          <w:vertAlign w:val="superscript"/>
        </w:rPr>
        <w:footnoteReference w:id="24"/>
      </w:r>
      <w:r w:rsidRPr="0068706C">
        <w:t xml:space="preserve"> Sipas ASK-së, thellësia e varfërisë ka shënuar rënie nga viti 2012 në vitin 2013, rritje në vitin 2014 dhe përsëri rënie në vitin 2015. Niveli i varfërisë është më e lartë në vendbanimet rurale ndërsa varfëria e skajshme është më e lartë në zonat urbane. Në vitin 2017, shpërndarja e të varfërve sipas zonave të banimit ishte 64.8% e të varfërve jetonin në zona rurale, dhe 35.2% në zonat urbane. </w:t>
      </w:r>
    </w:p>
    <w:p w14:paraId="19CA5248" w14:textId="77777777" w:rsidR="00CE4035" w:rsidRPr="0068706C" w:rsidRDefault="00CE4035" w:rsidP="00CE4035">
      <w:pPr>
        <w:jc w:val="both"/>
      </w:pPr>
      <w:r w:rsidRPr="0068706C">
        <w:t>Familjet më të prekura nga varfëria janë ato të cilat si burim kryesor të të hyrave kanë ndihmën sociale, pensionet dhe punën me kontratë. Të dhënat e ABEF për vitin 2017 krahasuar me 2016 tregojnë se nuk ka ndryshim të përqindjes së familjeve ku burimi kryesor i të hyrave janë ndihma sociale dhe pensionet. Kështu sa i përket burimit të të hyrave, ndihma sociale është burim per 3% të familjeve të anketuara, ndërsa për 12% të familjeve burimi i të hyrave janë pensionet. Varfëria absolute është e ngjashme midis burrave (17.2%) dhe grave (18.0%) por është më e lartë për familjet me një kryefamiljare femër (23,7%). Varfëria është e lidhur ngushtë me përjashtimin social. Rreth 42 % e familjeve të varfra përballen me mungesa të shërbimeve publike sociale krahasuar me 36 % e familjeve me një nivel më të mirë ekonomik.</w:t>
      </w:r>
    </w:p>
    <w:p w14:paraId="01C3477C" w14:textId="77777777" w:rsidR="00CE4035" w:rsidRPr="0068706C" w:rsidRDefault="00CE4035" w:rsidP="00CE4035">
      <w:pPr>
        <w:jc w:val="both"/>
        <w:rPr>
          <w:color w:val="000000" w:themeColor="text1"/>
        </w:rPr>
      </w:pPr>
      <w:r w:rsidRPr="0068706C">
        <w:t>Shpenzimet publike për mbrojtjen sociale përfshirë pensionet dhe skemën e ndihmës sociale janë rritur nga 3.6% e PBB-së në vitin 2009 në 6.1% në vitin 2016. Si pjesë e shpenzimeve totale publike, shpenzimet e mbrojtjes sociale u rritën nga 12.7% në 2009 në 21.7 % në vitin 2016. Niveli i lartë i varfërisë rrit kostot e sistemit të mirëqenies dhe angazhon kapital financiar dhe njerëzor për funksionalizimin e skemave të mbrojtjes sociale. Po kështu edhe një sistem joefikas shëndetësor ka ndikim negativ në perspektivat e rritjes ekonomike, pasi shpenzimet e larta, krijojnë barra të panevojshme të buxhetit të shtetit. Sipas të dhënave të ASK</w:t>
      </w:r>
      <w:r w:rsidRPr="0068706C">
        <w:rPr>
          <w:vertAlign w:val="superscript"/>
        </w:rPr>
        <w:footnoteReference w:id="25"/>
      </w:r>
      <w:r w:rsidRPr="0068706C">
        <w:t xml:space="preserve">, nga skema e ndihmës sociale kanë përfituar 24,767 familje me gjithsej 100,995 anëtarë. Numri i qytetarëve dhe familjeve që kanë nevojë për mbrojtje sociale, kujdes shëndetësor dhe shërbime sociale, vazhdon të mbetet i lartë. Si sfidë mbetet mirëmbajtja dhe përmirësimi i sistemit të mbrojtjes sociale dhe kujdesit shëndetësor, sinkronizimi i politikave të mbështetjes sociale, përmirësimi i kornizës ligjore dhe ngritja e kapaciteteve njerëzore dhe institucionale për </w:t>
      </w:r>
      <w:r w:rsidRPr="0068706C">
        <w:rPr>
          <w:color w:val="000000" w:themeColor="text1"/>
        </w:rPr>
        <w:t xml:space="preserve">ofrimin e shërbimeve adekuate dhe sipas nevojave të qytetarëve. </w:t>
      </w:r>
    </w:p>
    <w:p w14:paraId="3B9A23C8" w14:textId="77777777" w:rsidR="00CE4035" w:rsidRPr="0068706C" w:rsidRDefault="00CE4035" w:rsidP="00CE4035">
      <w:pPr>
        <w:jc w:val="both"/>
        <w:rPr>
          <w:color w:val="000000" w:themeColor="text1"/>
        </w:rPr>
      </w:pPr>
      <w:r w:rsidRPr="0068706C">
        <w:rPr>
          <w:color w:val="000000" w:themeColor="text1"/>
        </w:rPr>
        <w:t>Kosova aktualisht nuk ofron sigurim shëndetësor universal. Pagesa nga buxheti familjar  për shërbimet shëndetësore është e lartë. Supozohet se pothuajse 1/3 e popullatës nuk kanë qasje të lehtë në kujdesin shëndetësor, ose kanë qasje të kufizuar për shkak të mungesës së aftësisë së ulët paguesve. Vlerësohet se 18% e popullatës nuk kërkon shërbime edhe në rast të sëmundjes, për shkaqe ekonomike. Kosova ka një sistem shëndetësor publik jo të financuar mirë. Bazuar në klasifikimin e shpenzimeve të COFOG, shpenzimet e përgjithshme për shëndetësi arritën në 2.8% të PBB-së në vitin 2015, ndërsa në 2016 kanë rënë në 1.6% të PBB-së e cila është e ulët krahasuar me mesataren e BE prej 7.2% dhe paraqesin vetëm 40% të nevojave totale vjetore për kujdesin shëndetësor publik (Komisioni Evropian, 2018).</w:t>
      </w:r>
    </w:p>
    <w:p w14:paraId="235B914B" w14:textId="77777777" w:rsidR="00CE4035" w:rsidRPr="0068706C" w:rsidRDefault="00CE4035" w:rsidP="00CE4035">
      <w:pPr>
        <w:jc w:val="both"/>
        <w:rPr>
          <w:color w:val="000000" w:themeColor="text1"/>
        </w:rPr>
      </w:pPr>
      <w:r w:rsidRPr="0068706C">
        <w:t>Analiza e të dhënave të shkaqeve të vdekjes gjatë viteve 2006-2011, ka treguar që sëmundjet malinje paraqesin shkakun e dytë të vdekshmërisë dhe kanë shënuar trend të rritjes</w:t>
      </w:r>
      <w:r w:rsidRPr="0068706C">
        <w:footnoteReference w:id="26"/>
      </w:r>
      <w:r w:rsidRPr="0068706C">
        <w:t>. Statistikat e shëndetësisë, tregojnë se rastet e reja të raportuara për sëmundjet malinje dhe beninje në vitin 2018 janë 2,475 raste. Nga këto 1,365 raste janë te grup moshës mbi 60 vjeç. ABEF per vitin 2017, tregon se shpenzimet familjare për shëndetësinë sidomos në zonat urbane në vitin 2017 krahasuar me vitin 2016, kanë pasur një rritje.</w:t>
      </w:r>
    </w:p>
    <w:p w14:paraId="0AE1A85D" w14:textId="77777777" w:rsidR="00CE4035" w:rsidRPr="0068706C" w:rsidRDefault="00CE4035" w:rsidP="00CE4035">
      <w:pPr>
        <w:shd w:val="clear" w:color="auto" w:fill="FFFFFF"/>
        <w:jc w:val="both"/>
        <w:rPr>
          <w:color w:val="000000" w:themeColor="text1"/>
        </w:rPr>
      </w:pPr>
      <w:r w:rsidRPr="0068706C">
        <w:rPr>
          <w:color w:val="000000" w:themeColor="text1"/>
        </w:rPr>
        <w:t xml:space="preserve">Gjatë 2019 </w:t>
      </w:r>
      <w:r w:rsidRPr="0068706C">
        <w:rPr>
          <w:color w:val="000000" w:themeColor="text1"/>
          <w:shd w:val="clear" w:color="auto" w:fill="FFFFFF"/>
        </w:rPr>
        <w:t xml:space="preserve">janë marr hapa të rëndësishëm drejt </w:t>
      </w:r>
      <w:r w:rsidRPr="0068706C">
        <w:rPr>
          <w:color w:val="000000" w:themeColor="text1"/>
        </w:rPr>
        <w:t xml:space="preserve">plotësimit të kornizës ligjore si dhe funksionalizimit të mëtutjeshëm të Fondit të Sigurimeve Shëndetësore, duke finalizuar edhe Udhëzimin Administrativ për </w:t>
      </w:r>
      <w:r w:rsidRPr="0068706C">
        <w:rPr>
          <w:iCs/>
          <w:color w:val="000000" w:themeColor="text1"/>
        </w:rPr>
        <w:t>përcaktimin e kritereve për lirimin nga pagesa e kontributit, bashkë-pagesa dhe pagesave të tjera për sigurim shëndetësor për qytetarët sipas testit të varfërisë,</w:t>
      </w:r>
      <w:r w:rsidRPr="0068706C">
        <w:rPr>
          <w:color w:val="000000" w:themeColor="text1"/>
          <w:spacing w:val="-1"/>
        </w:rPr>
        <w:t xml:space="preserve"> si n</w:t>
      </w:r>
      <w:r w:rsidRPr="0068706C">
        <w:rPr>
          <w:color w:val="000000" w:themeColor="text1"/>
        </w:rPr>
        <w:t>jë nga hapat më të rëndësishëm për të aplikuar skemën e sigurimeve shëndetësore. Përkundër kësaj, procesi i fillimit të mbledhjes së premiumeve shëndetësore mbetet një sfidë e vazhdueshme. Pandemia me Covid 19, ishte dhe vazhdon të jetë një sfidë jashtëzakonisht e vështirë për shëndetësinë kosovare, marr parasysh faktin se edhe ekonomitë familjare gjatë kësaj faze janë të goditura në çdo rrafsh jetësor.</w:t>
      </w:r>
    </w:p>
    <w:p w14:paraId="0E04C185" w14:textId="77777777" w:rsidR="00CE4035" w:rsidRPr="0068706C" w:rsidRDefault="00CE4035" w:rsidP="00CE4035">
      <w:pPr>
        <w:jc w:val="both"/>
      </w:pPr>
      <w:r w:rsidRPr="0068706C">
        <w:rPr>
          <w:b/>
        </w:rPr>
        <w:t>Pengesat dhe problemet kryesore strukturore:</w:t>
      </w:r>
      <w:r w:rsidRPr="0068706C">
        <w:t xml:space="preserve"> Pamjaftueshmëria e skemës se ndihmës sociale që shprehet me mbulimin e ulët për vetëm një të tretën e familjeve që ndodhen në kuintalin e poshtëm  si edhe me  nivelin e ulët të përfitimi. Aktet nënligjore dhe rregulloret shpesh janë në kundërshtim me njëra tjetrën, duke paraqitur dispozita kontradiktore. Mungesa e politikave sociale gjithëpërfshirëse e cila çon në mbivendosje të trajtimeve të individëve nga skemat e ndryshme. Mbrojtja sociale ofron përfitime të përhershme për disa kategori sociale, duke dekurajuar punësimin. Qasje e ulët në shërbime shëndetësore dhe pamundësi e familjeve për të përballuar kostot e këtyre shërbimeve me buxhet familjar.</w:t>
      </w:r>
    </w:p>
    <w:p w14:paraId="6780B49A" w14:textId="77777777" w:rsidR="00CE4035" w:rsidRPr="0068706C" w:rsidRDefault="00CE4035" w:rsidP="00CE4035">
      <w:pPr>
        <w:pStyle w:val="NoSpacing"/>
        <w:jc w:val="both"/>
        <w:rPr>
          <w:rFonts w:ascii="Times New Roman" w:hAnsi="Times New Roman"/>
          <w:sz w:val="24"/>
          <w:szCs w:val="24"/>
        </w:rPr>
      </w:pPr>
      <w:r w:rsidRPr="0068706C">
        <w:rPr>
          <w:rFonts w:ascii="Times New Roman" w:hAnsi="Times New Roman"/>
          <w:sz w:val="24"/>
          <w:szCs w:val="24"/>
        </w:rPr>
        <w:t>Mungesa e plotë e një sistemi të sigurimeve sociale të bazuar në kontributet e të punësuarve dhe punëdhënësve si dhe mungesa e një ligji bazik dhe sistemor (unik) që rregullon dhe menaxhon pensionet dhe beneficionet nga sigurimi social për të gjitha kategoritë vazhdon të ndikojë në ;paqëndrueshmëri financiare dhe pamjaftueshmërinë e të ardhurave pensionale; vazhdon presioni i kërkesave urgjente nga grupet e interesave për përfshirje në skemat e mbrojtjes sociale; krijon vështirësitë në realizimin e të së drejtës në pensionet e jashtme. Procesi i fillimit të mbledhjes së premiumeve shëndetësore mbetet një sfidë e vazhdueshme për shkak se numri i qytetarëve dhe i familjeve që kanë nevojë për mbrojtje sociale, kujdes shëndetësor dhe shërbime tjera të kësaj natyre vazhdon të mbetet i lartë. Mos mbulimi i plotë me barna për të prekurit me Covid-19, ishte dhe mbetet edhe një barrë shtesë për qytetarët e vendit</w:t>
      </w:r>
    </w:p>
    <w:p w14:paraId="4F9D5501" w14:textId="77777777" w:rsidR="00CE4035" w:rsidRPr="0068706C" w:rsidRDefault="00CE4035" w:rsidP="00CE4035">
      <w:pPr>
        <w:rPr>
          <w:b/>
        </w:rPr>
      </w:pPr>
    </w:p>
    <w:p w14:paraId="61D2F821" w14:textId="77777777" w:rsidR="00CE4035" w:rsidRPr="0068706C" w:rsidRDefault="00CE4035" w:rsidP="00CE4035">
      <w:pPr>
        <w:shd w:val="clear" w:color="auto" w:fill="9CC2E5" w:themeFill="accent1" w:themeFillTint="99"/>
        <w:jc w:val="both"/>
        <w:rPr>
          <w:b/>
        </w:rPr>
      </w:pPr>
      <w:r w:rsidRPr="0068706C">
        <w:rPr>
          <w:b/>
        </w:rPr>
        <w:t>Masa e reformës #21: Përmirësimi i shërbimeve sociale, shëndetësore dhe fuqizimi i grupeve të përjashtuara</w:t>
      </w:r>
    </w:p>
    <w:p w14:paraId="7585F1FC" w14:textId="2F137132" w:rsidR="00CE4035" w:rsidRDefault="00CE4035" w:rsidP="00CE4035">
      <w:pPr>
        <w:autoSpaceDE w:val="0"/>
        <w:autoSpaceDN w:val="0"/>
        <w:adjustRightInd w:val="0"/>
        <w:jc w:val="both"/>
        <w:rPr>
          <w:lang w:eastAsia="en-GB"/>
        </w:rPr>
      </w:pPr>
      <w:r w:rsidRPr="0068706C">
        <w:rPr>
          <w:b/>
          <w:lang w:eastAsia="en-GB"/>
        </w:rPr>
        <w:t>Përshkrimi i masës:</w:t>
      </w:r>
      <w:r w:rsidRPr="0068706C">
        <w:rPr>
          <w:lang w:eastAsia="en-GB"/>
        </w:rPr>
        <w:t xml:space="preserve"> Mbrojtja sociale, ulja e varfërisë dhe përfshirja e grupeve të përjashtuara në jetën sociale ekonomike të vendit, mbeten prioritete të Qeverisë. Masa është vazhdim i politikave dhe programeve të mëhershme që synojnë të sigurojnë mirëqenien e qytetarëve, përmes zgjerimit dhe ngritjes së cilësisë së skemave të mbrojtjes, shërbimeve sociale dhe shërbimeve shëndetësore. Ajo ndërlidhet ngushtë me Programin e Qeverisë 2020-2023, Strategjinë Sektoriale të MPMS 2018-2022, Planin e Veprimit 2018-2022, Strategjinë Sektoriale të Shëndetësisë 2017-2021, Programi i Kosovës per Barazi Gjinore 2020-2024, Ligji për Barazi Gjinore 05/020, neni 5 dhe 6, Strategjinë për Romë dhe Ashkali 2017-2021 dhe PKZMSA. Në anën tjetër, përballja me pandeminë COVID 19 ka ndihmuar të identifikohen një numër të problemeve dhe sfidave që ekzistojnë për të ofruar shërbimet e nevojshme dhe të domosdoshme për qytetarët si dhe vazhdon të jetë një sfidë jashtëzakonisht e vështirë për shëndetësinë kosovare dhe mbrojtjen sociale, marr parasysh faktin se edhe ekonomitë familjare gjatë kësaj faze janë të goditura në çdo segment jetësor. Masa ka për qëllim avancimin e shërbimeve sociale, rritjen e mbulueshmërisë së familjeve që jetojnë në varfëri nga skema e ndihmës sociale, reformimin e sistemit pensional</w:t>
      </w:r>
      <w:r w:rsidRPr="0068706C">
        <w:t xml:space="preserve"> </w:t>
      </w:r>
      <w:r w:rsidRPr="0068706C">
        <w:rPr>
          <w:lang w:eastAsia="en-GB"/>
        </w:rPr>
        <w:t>për të realizuar të drejtat në sigurimin pensional dhe invalidor për gjithë qytetarët, gjithpërfshirjen e personave me aftësi të kufizuar në përfitime dhe shërbime, rritjen e cilësisë së shërbimeve sociale</w:t>
      </w:r>
      <w:r w:rsidRPr="0068706C">
        <w:rPr>
          <w:bCs/>
        </w:rPr>
        <w:t xml:space="preserve"> </w:t>
      </w:r>
      <w:r w:rsidRPr="0068706C">
        <w:rPr>
          <w:lang w:eastAsia="en-GB"/>
        </w:rPr>
        <w:t>dhe familjare, rritjen e numrit të individëve të punësuar në ndërmarrjet sociale, ruajtjen dhe përparimin e shëndetit dhe sigurimin e financimit të qëndrueshëm shëndetësor përmes funksionalizimit të Fondit të Sigurimeve Shëndetësore. Aktivitetet e propozuara kanë të bëjnë me hartimin e dokumenteve dhe përmirësimin e kornizës ligjore në fushën shërbimeve sociale, ndihmave sociale, fuqizimin e mekanizmave të financimit dhe decentralizimit të shërbimeve sociale, krijimit të Grantit të Veçantë të Shërbimeve Sociale, reformimin e Skemës së Ndihmës Sociale, mbështetjen e sektorit joqeveritar të licencuar për shërbime sociale, mbështetjen e ndërmarrjeve  sociale të regjistruara, reformën pensionale përmes ndryshimeve legjislative, përmirësimi i kornizës ligjore në fushën e shëndetësisë dhe fillimin e zbatimit të sigurimeve shëndetësore. Kjo masë është në përputhje me SZHQ 3 (Shëndeti dhe Mirëqenia) dhe SZHQ 1 (Eliminimi i Varfërisë), që ndërlidhen me mbulimin e kujdesit shëndetësor universal dhe skemat e mbrojtjes sociale.</w:t>
      </w:r>
    </w:p>
    <w:p w14:paraId="17EA5F50" w14:textId="77777777" w:rsidR="0068706C" w:rsidRPr="0068706C" w:rsidRDefault="0068706C" w:rsidP="00CE4035">
      <w:pPr>
        <w:autoSpaceDE w:val="0"/>
        <w:autoSpaceDN w:val="0"/>
        <w:adjustRightInd w:val="0"/>
        <w:jc w:val="both"/>
        <w:rPr>
          <w:lang w:eastAsia="en-GB"/>
        </w:rPr>
      </w:pPr>
    </w:p>
    <w:p w14:paraId="2EA1553F" w14:textId="77777777" w:rsidR="00CE4035" w:rsidRPr="0068706C" w:rsidRDefault="00CE4035" w:rsidP="00CE4035">
      <w:pPr>
        <w:pStyle w:val="Default"/>
        <w:ind w:left="360" w:hanging="360"/>
        <w:rPr>
          <w:rFonts w:ascii="Times New Roman" w:hAnsi="Times New Roman" w:cs="Times New Roman"/>
          <w:b/>
          <w:bCs/>
          <w:color w:val="auto"/>
          <w:lang w:val="sq-AL"/>
        </w:rPr>
      </w:pPr>
      <w:r w:rsidRPr="0068706C">
        <w:rPr>
          <w:rFonts w:ascii="Times New Roman" w:hAnsi="Times New Roman" w:cs="Times New Roman"/>
          <w:b/>
          <w:bCs/>
          <w:color w:val="auto"/>
          <w:lang w:val="sq-AL"/>
        </w:rPr>
        <w:t xml:space="preserve">a) Aktivitetet e planifikuara për 2021: </w:t>
      </w:r>
    </w:p>
    <w:p w14:paraId="7E501FBC" w14:textId="77777777" w:rsidR="00CE4035" w:rsidRPr="0068706C" w:rsidRDefault="00CE4035" w:rsidP="0068706C">
      <w:pPr>
        <w:pStyle w:val="ListParagraph"/>
        <w:numPr>
          <w:ilvl w:val="0"/>
          <w:numId w:val="79"/>
        </w:numPr>
        <w:spacing w:line="240" w:lineRule="auto"/>
        <w:ind w:left="360"/>
        <w:jc w:val="both"/>
        <w:rPr>
          <w:rFonts w:ascii="Times New Roman" w:eastAsia="Times New Roman" w:hAnsi="Times New Roman"/>
          <w:sz w:val="24"/>
          <w:szCs w:val="24"/>
          <w:lang w:eastAsia="en-GB"/>
        </w:rPr>
      </w:pPr>
      <w:r w:rsidRPr="0068706C">
        <w:rPr>
          <w:rFonts w:ascii="Times New Roman" w:eastAsia="Times New Roman" w:hAnsi="Times New Roman"/>
          <w:sz w:val="24"/>
          <w:szCs w:val="24"/>
          <w:lang w:eastAsia="en-GB"/>
        </w:rPr>
        <w:t>Hartimi dhe miratimi i Ligjit të Shërbimeve Sociale Familjare dhe Ligjit të Skemës së Ndihmës Sociale dhe akteve nënligjore (MPMS);</w:t>
      </w:r>
    </w:p>
    <w:p w14:paraId="62DE64EF" w14:textId="77777777" w:rsidR="00CE4035" w:rsidRPr="0068706C" w:rsidRDefault="00CE4035" w:rsidP="0068706C">
      <w:pPr>
        <w:pStyle w:val="ListParagraph"/>
        <w:numPr>
          <w:ilvl w:val="0"/>
          <w:numId w:val="79"/>
        </w:numPr>
        <w:spacing w:line="240" w:lineRule="auto"/>
        <w:ind w:left="360"/>
        <w:jc w:val="both"/>
        <w:rPr>
          <w:rFonts w:ascii="Times New Roman" w:eastAsia="Times New Roman" w:hAnsi="Times New Roman"/>
          <w:sz w:val="24"/>
          <w:szCs w:val="24"/>
          <w:lang w:eastAsia="en-GB"/>
        </w:rPr>
      </w:pPr>
      <w:r w:rsidRPr="0068706C">
        <w:rPr>
          <w:rFonts w:ascii="Times New Roman" w:eastAsia="Times New Roman" w:hAnsi="Times New Roman"/>
          <w:sz w:val="24"/>
          <w:szCs w:val="24"/>
          <w:lang w:eastAsia="en-GB"/>
        </w:rPr>
        <w:t xml:space="preserve">Miratimi i Ligjit të Financave Lokale dhe hartimi i Udhëzimit Administrativ për formulën e financimit për shërbime sociale dhe familjare (Grantin e veçantë për shërbime sociale) (MPMS); </w:t>
      </w:r>
    </w:p>
    <w:p w14:paraId="08D3058F" w14:textId="77777777" w:rsidR="00CE4035" w:rsidRPr="0068706C" w:rsidRDefault="00CE4035" w:rsidP="0068706C">
      <w:pPr>
        <w:pStyle w:val="ListParagraph"/>
        <w:numPr>
          <w:ilvl w:val="0"/>
          <w:numId w:val="79"/>
        </w:numPr>
        <w:spacing w:line="240" w:lineRule="auto"/>
        <w:ind w:left="360"/>
        <w:jc w:val="both"/>
        <w:rPr>
          <w:rFonts w:ascii="Times New Roman" w:eastAsia="Times New Roman" w:hAnsi="Times New Roman"/>
          <w:sz w:val="24"/>
          <w:szCs w:val="24"/>
          <w:lang w:eastAsia="en-GB"/>
        </w:rPr>
      </w:pPr>
      <w:r w:rsidRPr="0068706C">
        <w:rPr>
          <w:rFonts w:ascii="Times New Roman" w:eastAsia="Times New Roman" w:hAnsi="Times New Roman"/>
          <w:sz w:val="24"/>
          <w:szCs w:val="24"/>
          <w:lang w:eastAsia="en-GB"/>
        </w:rPr>
        <w:t xml:space="preserve">Hartimi i legjislacionit primar dhe sekondar për rregullimin dhe menaxhimin e fushës së pensioneve dhe beneficioneve si dhe për trajtimin e aftësisë së kufizuar (MPMS); </w:t>
      </w:r>
    </w:p>
    <w:p w14:paraId="22890589" w14:textId="77777777" w:rsidR="00CE4035" w:rsidRPr="0068706C" w:rsidRDefault="00CE4035" w:rsidP="0068706C">
      <w:pPr>
        <w:pStyle w:val="ListParagraph"/>
        <w:numPr>
          <w:ilvl w:val="0"/>
          <w:numId w:val="79"/>
        </w:numPr>
        <w:spacing w:line="240" w:lineRule="auto"/>
        <w:ind w:left="360"/>
        <w:jc w:val="both"/>
        <w:rPr>
          <w:rFonts w:ascii="Times New Roman" w:eastAsia="Times New Roman" w:hAnsi="Times New Roman"/>
          <w:sz w:val="24"/>
          <w:szCs w:val="24"/>
          <w:lang w:eastAsia="en-GB"/>
        </w:rPr>
      </w:pPr>
      <w:r w:rsidRPr="0068706C">
        <w:rPr>
          <w:rFonts w:ascii="Times New Roman" w:eastAsia="Times New Roman" w:hAnsi="Times New Roman"/>
          <w:sz w:val="24"/>
          <w:szCs w:val="24"/>
          <w:lang w:eastAsia="en-GB"/>
        </w:rPr>
        <w:t xml:space="preserve">Mbështetja e sektorit joqeveritar të licencuar (50 OJQ) dhe ndërmarrjeve sociale të regjistruara (30 ndërmarrje), me grante dhe subvencione  për ofrimin e shërbimeve sociale dhe punësimin e grupeve të cenueshme (MPMS); </w:t>
      </w:r>
    </w:p>
    <w:p w14:paraId="7DA6104A" w14:textId="77777777" w:rsidR="00CE4035" w:rsidRPr="0068706C" w:rsidRDefault="00CE4035" w:rsidP="0068706C">
      <w:pPr>
        <w:pStyle w:val="ListParagraph"/>
        <w:numPr>
          <w:ilvl w:val="0"/>
          <w:numId w:val="79"/>
        </w:numPr>
        <w:spacing w:line="240" w:lineRule="auto"/>
        <w:ind w:left="360"/>
        <w:jc w:val="both"/>
        <w:rPr>
          <w:rFonts w:ascii="Times New Roman" w:eastAsia="Times New Roman" w:hAnsi="Times New Roman"/>
          <w:sz w:val="24"/>
          <w:szCs w:val="24"/>
          <w:lang w:eastAsia="en-GB"/>
        </w:rPr>
      </w:pPr>
      <w:r w:rsidRPr="0068706C">
        <w:rPr>
          <w:rFonts w:ascii="Times New Roman" w:eastAsia="Times New Roman" w:hAnsi="Times New Roman"/>
          <w:sz w:val="24"/>
          <w:szCs w:val="24"/>
          <w:lang w:eastAsia="en-GB"/>
        </w:rPr>
        <w:t>Nënshkrimi i (3) Marrëveshjeve Bilaterale dhe Multilaterale për Sigurimet Sociale me vende të BE (MPMS);</w:t>
      </w:r>
    </w:p>
    <w:p w14:paraId="66CBD793" w14:textId="77777777" w:rsidR="00CE4035" w:rsidRPr="0068706C" w:rsidRDefault="00CE4035" w:rsidP="0068706C">
      <w:pPr>
        <w:pStyle w:val="ListParagraph"/>
        <w:numPr>
          <w:ilvl w:val="0"/>
          <w:numId w:val="79"/>
        </w:numPr>
        <w:spacing w:line="240" w:lineRule="auto"/>
        <w:ind w:left="360"/>
        <w:jc w:val="both"/>
        <w:rPr>
          <w:rFonts w:ascii="Times New Roman" w:eastAsia="Times New Roman" w:hAnsi="Times New Roman"/>
          <w:sz w:val="24"/>
          <w:szCs w:val="24"/>
          <w:lang w:eastAsia="en-GB"/>
        </w:rPr>
      </w:pPr>
      <w:r w:rsidRPr="0068706C">
        <w:rPr>
          <w:rFonts w:ascii="Times New Roman" w:eastAsia="Times New Roman" w:hAnsi="Times New Roman"/>
          <w:sz w:val="24"/>
          <w:szCs w:val="24"/>
          <w:lang w:eastAsia="en-GB"/>
        </w:rPr>
        <w:t>Pilotimi i Testit të Varfërisë, për kategoritë sociale, bazuar në Manualin Operativ (MPMS);</w:t>
      </w:r>
    </w:p>
    <w:p w14:paraId="351A036F" w14:textId="77777777" w:rsidR="00CE4035" w:rsidRPr="0068706C" w:rsidRDefault="00CE4035" w:rsidP="0068706C">
      <w:pPr>
        <w:pStyle w:val="ListParagraph"/>
        <w:numPr>
          <w:ilvl w:val="0"/>
          <w:numId w:val="79"/>
        </w:numPr>
        <w:spacing w:line="240" w:lineRule="auto"/>
        <w:ind w:left="360"/>
        <w:jc w:val="both"/>
        <w:rPr>
          <w:rFonts w:ascii="Times New Roman" w:eastAsia="Times New Roman" w:hAnsi="Times New Roman"/>
          <w:sz w:val="24"/>
          <w:szCs w:val="24"/>
          <w:lang w:eastAsia="en-GB"/>
        </w:rPr>
      </w:pPr>
      <w:r w:rsidRPr="0068706C">
        <w:rPr>
          <w:rFonts w:ascii="Times New Roman" w:eastAsia="Times New Roman" w:hAnsi="Times New Roman"/>
          <w:sz w:val="24"/>
          <w:szCs w:val="24"/>
          <w:lang w:eastAsia="en-GB"/>
        </w:rPr>
        <w:t>Rritja e kapaciteteve infrastrukturore dhe profesionale në fushën e parandalimit, testimit, trajtimit dhe inspektimit për të luftuar Covid 19 (MSH);</w:t>
      </w:r>
    </w:p>
    <w:p w14:paraId="42029BC8" w14:textId="77777777" w:rsidR="00CE4035" w:rsidRPr="0068706C" w:rsidRDefault="00CE4035" w:rsidP="0068706C">
      <w:pPr>
        <w:pStyle w:val="ListParagraph"/>
        <w:numPr>
          <w:ilvl w:val="0"/>
          <w:numId w:val="79"/>
        </w:numPr>
        <w:spacing w:line="240" w:lineRule="auto"/>
        <w:ind w:left="360"/>
        <w:jc w:val="both"/>
        <w:rPr>
          <w:rFonts w:ascii="Times New Roman" w:eastAsia="Times New Roman" w:hAnsi="Times New Roman"/>
          <w:sz w:val="24"/>
          <w:szCs w:val="24"/>
          <w:lang w:eastAsia="en-GB"/>
        </w:rPr>
      </w:pPr>
      <w:r w:rsidRPr="0068706C">
        <w:rPr>
          <w:rFonts w:ascii="Times New Roman" w:eastAsia="Times New Roman" w:hAnsi="Times New Roman"/>
          <w:sz w:val="24"/>
          <w:szCs w:val="24"/>
          <w:lang w:eastAsia="en-GB"/>
        </w:rPr>
        <w:t>Plotësim ndryshimi i Ligjit për Sigurim Shëndetësor, hartimi i legjislacionit dytësor për përcaktimin e kritereve për lirimin nga pagesa e kontributit (MSH).</w:t>
      </w:r>
    </w:p>
    <w:p w14:paraId="791F150E" w14:textId="77777777" w:rsidR="00CE4035" w:rsidRPr="0068706C" w:rsidRDefault="00CE4035" w:rsidP="00CE4035">
      <w:pPr>
        <w:pStyle w:val="Default"/>
        <w:ind w:left="360" w:hanging="360"/>
        <w:rPr>
          <w:rFonts w:ascii="Times New Roman" w:hAnsi="Times New Roman" w:cs="Times New Roman"/>
          <w:b/>
          <w:bCs/>
          <w:color w:val="auto"/>
          <w:lang w:val="sq-AL"/>
        </w:rPr>
      </w:pPr>
      <w:r w:rsidRPr="0068706C">
        <w:rPr>
          <w:rFonts w:ascii="Times New Roman" w:hAnsi="Times New Roman" w:cs="Times New Roman"/>
          <w:b/>
          <w:bCs/>
          <w:color w:val="auto"/>
          <w:lang w:val="sq-AL"/>
        </w:rPr>
        <w:t>b) Aktivitetet e planifikuara për 2022:</w:t>
      </w:r>
    </w:p>
    <w:p w14:paraId="3877AC47" w14:textId="77777777" w:rsidR="00CE4035" w:rsidRPr="0068706C" w:rsidRDefault="00CE4035" w:rsidP="0068706C">
      <w:pPr>
        <w:pStyle w:val="ListParagraph"/>
        <w:numPr>
          <w:ilvl w:val="0"/>
          <w:numId w:val="81"/>
        </w:numPr>
        <w:spacing w:line="240" w:lineRule="auto"/>
        <w:ind w:left="360"/>
        <w:jc w:val="both"/>
        <w:rPr>
          <w:rFonts w:ascii="Times New Roman" w:eastAsia="Times New Roman" w:hAnsi="Times New Roman"/>
          <w:sz w:val="24"/>
          <w:szCs w:val="24"/>
          <w:lang w:eastAsia="en-GB"/>
        </w:rPr>
      </w:pPr>
      <w:r w:rsidRPr="0068706C">
        <w:rPr>
          <w:rFonts w:ascii="Times New Roman" w:eastAsia="Times New Roman" w:hAnsi="Times New Roman"/>
          <w:sz w:val="24"/>
          <w:szCs w:val="24"/>
          <w:lang w:eastAsia="en-GB"/>
        </w:rPr>
        <w:t xml:space="preserve">Zbatimi i legjislacionit të ri për shërbime sociale, granti i veçantë për shërbime sociale, Testi i Varfërisë  dhe reformës së skemës së ndihmës sociale; </w:t>
      </w:r>
    </w:p>
    <w:p w14:paraId="6218F2BD" w14:textId="77777777" w:rsidR="00CE4035" w:rsidRPr="0068706C" w:rsidRDefault="00CE4035" w:rsidP="0068706C">
      <w:pPr>
        <w:pStyle w:val="ListParagraph"/>
        <w:numPr>
          <w:ilvl w:val="0"/>
          <w:numId w:val="81"/>
        </w:numPr>
        <w:spacing w:line="240" w:lineRule="auto"/>
        <w:ind w:left="360"/>
        <w:jc w:val="both"/>
        <w:rPr>
          <w:rFonts w:ascii="Times New Roman" w:eastAsia="Times New Roman" w:hAnsi="Times New Roman"/>
          <w:sz w:val="24"/>
          <w:szCs w:val="24"/>
          <w:lang w:eastAsia="en-GB"/>
        </w:rPr>
      </w:pPr>
      <w:r w:rsidRPr="0068706C">
        <w:rPr>
          <w:rFonts w:ascii="Times New Roman" w:eastAsia="Times New Roman" w:hAnsi="Times New Roman"/>
          <w:sz w:val="24"/>
          <w:szCs w:val="24"/>
          <w:lang w:eastAsia="en-GB"/>
        </w:rPr>
        <w:t>Krijimi i sistemit informativ të integruar, regjistrit social dhe digjitalizimit të të dhënave për skemat sociale dhe pensionale (MPMS);</w:t>
      </w:r>
    </w:p>
    <w:p w14:paraId="7225196B" w14:textId="77777777" w:rsidR="00CE4035" w:rsidRPr="0068706C" w:rsidRDefault="00CE4035" w:rsidP="0068706C">
      <w:pPr>
        <w:pStyle w:val="ListParagraph"/>
        <w:numPr>
          <w:ilvl w:val="0"/>
          <w:numId w:val="81"/>
        </w:numPr>
        <w:spacing w:line="240" w:lineRule="auto"/>
        <w:ind w:left="360"/>
        <w:jc w:val="both"/>
        <w:rPr>
          <w:rFonts w:ascii="Times New Roman" w:eastAsia="Times New Roman" w:hAnsi="Times New Roman"/>
          <w:sz w:val="24"/>
          <w:szCs w:val="24"/>
          <w:lang w:eastAsia="en-GB"/>
        </w:rPr>
      </w:pPr>
      <w:r w:rsidRPr="0068706C">
        <w:rPr>
          <w:rFonts w:ascii="Times New Roman" w:eastAsia="Times New Roman" w:hAnsi="Times New Roman"/>
          <w:sz w:val="24"/>
          <w:szCs w:val="24"/>
          <w:lang w:eastAsia="en-GB"/>
        </w:rPr>
        <w:t xml:space="preserve">Mbështetja e sektorit joqeveritar të licencuar (60) OJQ dhe ndërmarrjeve sociale të regjistruara (40), me grante dhe subvencione  për ofrimin e shërbimeve sociale dhe punësimin e grupeve të cenueshme (MPMS); </w:t>
      </w:r>
    </w:p>
    <w:p w14:paraId="144D1922" w14:textId="77777777" w:rsidR="00CE4035" w:rsidRPr="0068706C" w:rsidRDefault="00CE4035" w:rsidP="0068706C">
      <w:pPr>
        <w:pStyle w:val="ListParagraph"/>
        <w:numPr>
          <w:ilvl w:val="0"/>
          <w:numId w:val="81"/>
        </w:numPr>
        <w:spacing w:line="240" w:lineRule="auto"/>
        <w:ind w:left="360"/>
        <w:jc w:val="both"/>
        <w:rPr>
          <w:rFonts w:ascii="Times New Roman" w:eastAsia="Times New Roman" w:hAnsi="Times New Roman"/>
          <w:sz w:val="24"/>
          <w:szCs w:val="24"/>
          <w:lang w:eastAsia="en-GB"/>
        </w:rPr>
      </w:pPr>
      <w:r w:rsidRPr="0068706C">
        <w:rPr>
          <w:rFonts w:ascii="Times New Roman" w:eastAsia="Times New Roman" w:hAnsi="Times New Roman"/>
          <w:bCs/>
          <w:color w:val="262626"/>
          <w:sz w:val="24"/>
          <w:szCs w:val="24"/>
          <w:lang w:eastAsia="sq-AL"/>
        </w:rPr>
        <w:t>Përgatitja e institucioneve shëndetësore për kontraktimin e shërbimeve me Fondin</w:t>
      </w:r>
      <w:r w:rsidRPr="0068706C">
        <w:rPr>
          <w:rFonts w:ascii="Times New Roman" w:eastAsia="Times New Roman" w:hAnsi="Times New Roman"/>
          <w:sz w:val="24"/>
          <w:szCs w:val="24"/>
          <w:lang w:eastAsia="en-GB"/>
        </w:rPr>
        <w:t xml:space="preserve"> dhe funksionalizimi i plotë i Fondit për Sigurime Shëndetësore (MSH);</w:t>
      </w:r>
    </w:p>
    <w:p w14:paraId="6CC9D92F" w14:textId="77777777" w:rsidR="00CE4035" w:rsidRPr="0068706C" w:rsidRDefault="00CE4035" w:rsidP="0068706C">
      <w:pPr>
        <w:pStyle w:val="ListParagraph"/>
        <w:numPr>
          <w:ilvl w:val="0"/>
          <w:numId w:val="81"/>
        </w:numPr>
        <w:spacing w:line="240" w:lineRule="auto"/>
        <w:ind w:left="360"/>
        <w:jc w:val="both"/>
        <w:rPr>
          <w:rFonts w:ascii="Times New Roman" w:eastAsia="Times New Roman" w:hAnsi="Times New Roman"/>
          <w:sz w:val="24"/>
          <w:szCs w:val="24"/>
          <w:lang w:eastAsia="en-GB"/>
        </w:rPr>
      </w:pPr>
      <w:r w:rsidRPr="0068706C">
        <w:rPr>
          <w:rFonts w:ascii="Times New Roman" w:eastAsia="Times New Roman" w:hAnsi="Times New Roman"/>
          <w:sz w:val="24"/>
          <w:szCs w:val="24"/>
          <w:lang w:eastAsia="en-GB"/>
        </w:rPr>
        <w:t xml:space="preserve">Krijimi i Fondit të Sigurimeve Sociale dhe ndërtimi i infrastrukturës fizike për shërbime të Fondit të Sigurimeve Sociale (MPMS); </w:t>
      </w:r>
    </w:p>
    <w:p w14:paraId="169DC3E2" w14:textId="77777777" w:rsidR="00CE4035" w:rsidRPr="0068706C" w:rsidRDefault="00CE4035" w:rsidP="0068706C">
      <w:pPr>
        <w:pStyle w:val="ListParagraph"/>
        <w:numPr>
          <w:ilvl w:val="0"/>
          <w:numId w:val="81"/>
        </w:numPr>
        <w:spacing w:line="240" w:lineRule="auto"/>
        <w:ind w:left="360"/>
        <w:jc w:val="both"/>
        <w:rPr>
          <w:rFonts w:ascii="Times New Roman" w:eastAsia="Times New Roman" w:hAnsi="Times New Roman"/>
          <w:sz w:val="24"/>
          <w:szCs w:val="24"/>
          <w:lang w:eastAsia="en-GB"/>
        </w:rPr>
      </w:pPr>
      <w:r w:rsidRPr="0068706C">
        <w:rPr>
          <w:rFonts w:ascii="Times New Roman" w:eastAsia="Times New Roman" w:hAnsi="Times New Roman"/>
          <w:sz w:val="24"/>
          <w:szCs w:val="24"/>
          <w:lang w:eastAsia="en-GB"/>
        </w:rPr>
        <w:t xml:space="preserve">Fillimi i mbledhjes së kontributeve për sigurime shëndetësore(MSH). </w:t>
      </w:r>
    </w:p>
    <w:p w14:paraId="3D70667B" w14:textId="77777777" w:rsidR="00CE4035" w:rsidRPr="0068706C" w:rsidRDefault="00CE4035" w:rsidP="00CE4035">
      <w:pPr>
        <w:pStyle w:val="Default"/>
        <w:ind w:left="360" w:hanging="360"/>
        <w:rPr>
          <w:rFonts w:ascii="Times New Roman" w:hAnsi="Times New Roman" w:cs="Times New Roman"/>
          <w:b/>
          <w:bCs/>
          <w:color w:val="auto"/>
          <w:lang w:val="sq-AL"/>
        </w:rPr>
      </w:pPr>
      <w:r w:rsidRPr="0068706C">
        <w:rPr>
          <w:rFonts w:ascii="Times New Roman" w:hAnsi="Times New Roman" w:cs="Times New Roman"/>
          <w:b/>
          <w:bCs/>
          <w:color w:val="auto"/>
          <w:lang w:val="sq-AL"/>
        </w:rPr>
        <w:t>c) Aktivitetet e planifikuara për vitin 2023</w:t>
      </w:r>
    </w:p>
    <w:p w14:paraId="1C184B10" w14:textId="77777777" w:rsidR="00CE4035" w:rsidRPr="0068706C" w:rsidRDefault="00CE4035" w:rsidP="0068706C">
      <w:pPr>
        <w:pStyle w:val="ListParagraph"/>
        <w:numPr>
          <w:ilvl w:val="0"/>
          <w:numId w:val="80"/>
        </w:numPr>
        <w:spacing w:line="240" w:lineRule="auto"/>
        <w:ind w:left="360"/>
        <w:jc w:val="both"/>
        <w:rPr>
          <w:rFonts w:ascii="Times New Roman" w:eastAsia="Times New Roman" w:hAnsi="Times New Roman"/>
          <w:sz w:val="24"/>
          <w:szCs w:val="24"/>
          <w:lang w:eastAsia="en-GB"/>
        </w:rPr>
      </w:pPr>
      <w:r w:rsidRPr="0068706C">
        <w:rPr>
          <w:rFonts w:ascii="Times New Roman" w:eastAsia="Times New Roman" w:hAnsi="Times New Roman"/>
          <w:sz w:val="24"/>
          <w:szCs w:val="24"/>
          <w:lang w:eastAsia="en-GB"/>
        </w:rPr>
        <w:t xml:space="preserve">Mbështetja e sektorit joqeveritar të licencuar (70 OJQ) dhe ndërmarrjeve sociale të regjistruara (50 ndërmarrje), me grante dhe subvencione  për ofrimin e shërbimeve sociale dhe punësimin e grupeve të cenueshme (MPMS); </w:t>
      </w:r>
    </w:p>
    <w:p w14:paraId="6B045823" w14:textId="77777777" w:rsidR="00CE4035" w:rsidRPr="0068706C" w:rsidRDefault="00CE4035" w:rsidP="0068706C">
      <w:pPr>
        <w:pStyle w:val="ListParagraph"/>
        <w:numPr>
          <w:ilvl w:val="0"/>
          <w:numId w:val="80"/>
        </w:numPr>
        <w:spacing w:line="240" w:lineRule="auto"/>
        <w:ind w:left="360"/>
        <w:rPr>
          <w:rFonts w:ascii="Times New Roman" w:eastAsia="Times New Roman" w:hAnsi="Times New Roman"/>
          <w:sz w:val="24"/>
          <w:szCs w:val="24"/>
          <w:lang w:eastAsia="en-GB"/>
        </w:rPr>
      </w:pPr>
      <w:r w:rsidRPr="0068706C">
        <w:rPr>
          <w:rFonts w:ascii="Times New Roman" w:eastAsia="Times New Roman" w:hAnsi="Times New Roman"/>
          <w:sz w:val="24"/>
          <w:szCs w:val="24"/>
          <w:lang w:eastAsia="en-GB"/>
        </w:rPr>
        <w:t>Mbledhja e kontributeve shëndetësore (MSH) dhe kontraktimi i shërbimeve shëndetësore nga pakoja bazike me institucionet shëndetësore.</w:t>
      </w:r>
    </w:p>
    <w:p w14:paraId="20B620D1" w14:textId="77777777" w:rsidR="00CE4035" w:rsidRPr="0068706C" w:rsidRDefault="00CE4035" w:rsidP="0068706C">
      <w:pPr>
        <w:pStyle w:val="ListParagraph"/>
        <w:numPr>
          <w:ilvl w:val="0"/>
          <w:numId w:val="80"/>
        </w:numPr>
        <w:spacing w:line="240" w:lineRule="auto"/>
        <w:ind w:left="360"/>
        <w:rPr>
          <w:rFonts w:ascii="Times New Roman" w:eastAsia="Times New Roman" w:hAnsi="Times New Roman"/>
          <w:sz w:val="24"/>
          <w:szCs w:val="24"/>
          <w:lang w:eastAsia="en-GB"/>
        </w:rPr>
      </w:pPr>
      <w:r w:rsidRPr="0068706C">
        <w:rPr>
          <w:rFonts w:ascii="Times New Roman" w:eastAsia="Times New Roman" w:hAnsi="Times New Roman"/>
          <w:sz w:val="24"/>
          <w:szCs w:val="24"/>
          <w:lang w:eastAsia="en-GB"/>
        </w:rPr>
        <w:t xml:space="preserve">Fillimi i mbledhjes së kontributeve për sigurime sociale dhe zbatimit të reformës pensionale (MPMS). </w:t>
      </w:r>
    </w:p>
    <w:p w14:paraId="0615AD33" w14:textId="77777777" w:rsidR="00CE4035" w:rsidRPr="0068706C" w:rsidRDefault="00CE4035" w:rsidP="00CE4035">
      <w:pPr>
        <w:jc w:val="both"/>
        <w:rPr>
          <w:strike/>
          <w:color w:val="FF0000"/>
        </w:rPr>
      </w:pPr>
      <w:r w:rsidRPr="0068706C">
        <w:rPr>
          <w:b/>
          <w:bCs/>
        </w:rPr>
        <w:t>Treguesit e rezultateve:</w:t>
      </w:r>
    </w:p>
    <w:tbl>
      <w:tblPr>
        <w:tblStyle w:val="TableGrid"/>
        <w:tblpPr w:leftFromText="180" w:rightFromText="180" w:vertAnchor="text" w:horzAnchor="margin" w:tblpY="198"/>
        <w:tblW w:w="9355" w:type="dxa"/>
        <w:tblLayout w:type="fixed"/>
        <w:tblLook w:val="04A0" w:firstRow="1" w:lastRow="0" w:firstColumn="1" w:lastColumn="0" w:noHBand="0" w:noVBand="1"/>
      </w:tblPr>
      <w:tblGrid>
        <w:gridCol w:w="4585"/>
        <w:gridCol w:w="1710"/>
        <w:gridCol w:w="1530"/>
        <w:gridCol w:w="1530"/>
      </w:tblGrid>
      <w:tr w:rsidR="00CE4035" w:rsidRPr="0068706C" w14:paraId="616AE7A1" w14:textId="77777777" w:rsidTr="009B753C">
        <w:tc>
          <w:tcPr>
            <w:tcW w:w="4585" w:type="dxa"/>
          </w:tcPr>
          <w:p w14:paraId="08A224A5" w14:textId="77777777" w:rsidR="00CE4035" w:rsidRPr="0068706C" w:rsidRDefault="00CE4035" w:rsidP="009B753C">
            <w:pPr>
              <w:autoSpaceDE w:val="0"/>
              <w:autoSpaceDN w:val="0"/>
              <w:adjustRightInd w:val="0"/>
              <w:jc w:val="both"/>
              <w:rPr>
                <w:b/>
              </w:rPr>
            </w:pPr>
            <w:r w:rsidRPr="0068706C">
              <w:rPr>
                <w:b/>
              </w:rPr>
              <w:t xml:space="preserve">Treguesi </w:t>
            </w:r>
          </w:p>
        </w:tc>
        <w:tc>
          <w:tcPr>
            <w:tcW w:w="1710" w:type="dxa"/>
          </w:tcPr>
          <w:p w14:paraId="4F647A60" w14:textId="77777777" w:rsidR="00CE4035" w:rsidRPr="0068706C" w:rsidRDefault="00CE4035" w:rsidP="009B753C">
            <w:pPr>
              <w:autoSpaceDE w:val="0"/>
              <w:autoSpaceDN w:val="0"/>
              <w:adjustRightInd w:val="0"/>
              <w:jc w:val="both"/>
              <w:rPr>
                <w:b/>
              </w:rPr>
            </w:pPr>
            <w:r w:rsidRPr="0068706C">
              <w:rPr>
                <w:b/>
              </w:rPr>
              <w:t xml:space="preserve">Viti bazë  2019 </w:t>
            </w:r>
          </w:p>
        </w:tc>
        <w:tc>
          <w:tcPr>
            <w:tcW w:w="1530" w:type="dxa"/>
          </w:tcPr>
          <w:p w14:paraId="5CB783B3" w14:textId="77777777" w:rsidR="00CE4035" w:rsidRPr="0068706C" w:rsidRDefault="00CE4035" w:rsidP="009B753C">
            <w:pPr>
              <w:autoSpaceDE w:val="0"/>
              <w:autoSpaceDN w:val="0"/>
              <w:adjustRightInd w:val="0"/>
              <w:jc w:val="both"/>
              <w:rPr>
                <w:b/>
              </w:rPr>
            </w:pPr>
            <w:r w:rsidRPr="0068706C">
              <w:rPr>
                <w:b/>
              </w:rPr>
              <w:t>Synimi 2021</w:t>
            </w:r>
          </w:p>
        </w:tc>
        <w:tc>
          <w:tcPr>
            <w:tcW w:w="1530" w:type="dxa"/>
          </w:tcPr>
          <w:p w14:paraId="0744472B" w14:textId="77777777" w:rsidR="00CE4035" w:rsidRPr="0068706C" w:rsidRDefault="00CE4035" w:rsidP="009B753C">
            <w:pPr>
              <w:autoSpaceDE w:val="0"/>
              <w:autoSpaceDN w:val="0"/>
              <w:adjustRightInd w:val="0"/>
              <w:jc w:val="both"/>
              <w:rPr>
                <w:b/>
              </w:rPr>
            </w:pPr>
            <w:r w:rsidRPr="0068706C">
              <w:rPr>
                <w:b/>
              </w:rPr>
              <w:t xml:space="preserve">Synimi 2023 </w:t>
            </w:r>
          </w:p>
        </w:tc>
      </w:tr>
      <w:tr w:rsidR="00CE4035" w:rsidRPr="0068706C" w14:paraId="2A890FB9" w14:textId="77777777" w:rsidTr="009B753C">
        <w:tc>
          <w:tcPr>
            <w:tcW w:w="4585" w:type="dxa"/>
          </w:tcPr>
          <w:p w14:paraId="5D44EF5E" w14:textId="77777777" w:rsidR="00CE4035" w:rsidRPr="0068706C" w:rsidRDefault="00CE4035" w:rsidP="009B753C">
            <w:pPr>
              <w:pStyle w:val="ListParagraph"/>
              <w:jc w:val="both"/>
              <w:rPr>
                <w:rFonts w:ascii="Times New Roman" w:hAnsi="Times New Roman"/>
                <w:sz w:val="24"/>
                <w:szCs w:val="24"/>
              </w:rPr>
            </w:pPr>
            <w:r w:rsidRPr="0068706C">
              <w:rPr>
                <w:rFonts w:ascii="Times New Roman" w:hAnsi="Times New Roman"/>
                <w:sz w:val="24"/>
                <w:szCs w:val="24"/>
              </w:rPr>
              <w:t>Rritja e shkallës së mbulueshmerisë së familjeve që jetojnë në varfëri nga skemat e ndihmës sociale.</w:t>
            </w:r>
          </w:p>
        </w:tc>
        <w:tc>
          <w:tcPr>
            <w:tcW w:w="1710" w:type="dxa"/>
            <w:vAlign w:val="center"/>
          </w:tcPr>
          <w:p w14:paraId="389FC7DC" w14:textId="77777777" w:rsidR="00CE4035" w:rsidRPr="0068706C" w:rsidRDefault="00CE4035" w:rsidP="009B753C">
            <w:pPr>
              <w:pStyle w:val="ListParagraph"/>
              <w:jc w:val="center"/>
              <w:rPr>
                <w:rFonts w:ascii="Times New Roman" w:hAnsi="Times New Roman"/>
                <w:sz w:val="24"/>
                <w:szCs w:val="24"/>
              </w:rPr>
            </w:pPr>
            <w:r w:rsidRPr="0068706C">
              <w:rPr>
                <w:rFonts w:ascii="Times New Roman" w:hAnsi="Times New Roman"/>
                <w:sz w:val="24"/>
                <w:szCs w:val="24"/>
              </w:rPr>
              <w:t>50%</w:t>
            </w:r>
          </w:p>
        </w:tc>
        <w:tc>
          <w:tcPr>
            <w:tcW w:w="1530" w:type="dxa"/>
            <w:vAlign w:val="center"/>
          </w:tcPr>
          <w:p w14:paraId="64C30D2D" w14:textId="77777777" w:rsidR="00CE4035" w:rsidRPr="0068706C" w:rsidRDefault="00CE4035" w:rsidP="009B753C">
            <w:pPr>
              <w:pStyle w:val="ListParagraph"/>
              <w:jc w:val="center"/>
              <w:rPr>
                <w:rFonts w:ascii="Times New Roman" w:hAnsi="Times New Roman"/>
                <w:sz w:val="24"/>
                <w:szCs w:val="24"/>
              </w:rPr>
            </w:pPr>
            <w:r w:rsidRPr="0068706C">
              <w:rPr>
                <w:rFonts w:ascii="Times New Roman" w:hAnsi="Times New Roman"/>
                <w:sz w:val="24"/>
                <w:szCs w:val="24"/>
              </w:rPr>
              <w:t>60%</w:t>
            </w:r>
          </w:p>
        </w:tc>
        <w:tc>
          <w:tcPr>
            <w:tcW w:w="1530" w:type="dxa"/>
            <w:vAlign w:val="center"/>
          </w:tcPr>
          <w:p w14:paraId="29DD516A" w14:textId="77777777" w:rsidR="00CE4035" w:rsidRPr="0068706C" w:rsidRDefault="00CE4035" w:rsidP="009B753C">
            <w:pPr>
              <w:pStyle w:val="ListParagraph"/>
              <w:jc w:val="center"/>
              <w:rPr>
                <w:rFonts w:ascii="Times New Roman" w:hAnsi="Times New Roman"/>
                <w:sz w:val="24"/>
                <w:szCs w:val="24"/>
              </w:rPr>
            </w:pPr>
            <w:r w:rsidRPr="0068706C">
              <w:rPr>
                <w:rFonts w:ascii="Times New Roman" w:hAnsi="Times New Roman"/>
                <w:sz w:val="24"/>
                <w:szCs w:val="24"/>
              </w:rPr>
              <w:t>80%</w:t>
            </w:r>
          </w:p>
        </w:tc>
      </w:tr>
      <w:tr w:rsidR="00CE4035" w:rsidRPr="0068706C" w14:paraId="73953665" w14:textId="77777777" w:rsidTr="009B753C">
        <w:tc>
          <w:tcPr>
            <w:tcW w:w="4585" w:type="dxa"/>
          </w:tcPr>
          <w:p w14:paraId="672CF93B" w14:textId="77777777" w:rsidR="00CE4035" w:rsidRPr="0068706C" w:rsidRDefault="00CE4035" w:rsidP="009B753C">
            <w:pPr>
              <w:jc w:val="both"/>
            </w:pPr>
            <w:r w:rsidRPr="0068706C">
              <w:t>Rritja e mbështetjes dhe financimi i ofrimit të shërbimeve sociale, përmes  sektorit joqeveritar të licencuar dhe ndërmarrjeve sociale.</w:t>
            </w:r>
          </w:p>
        </w:tc>
        <w:tc>
          <w:tcPr>
            <w:tcW w:w="1710" w:type="dxa"/>
            <w:vAlign w:val="center"/>
          </w:tcPr>
          <w:p w14:paraId="43624225" w14:textId="77777777" w:rsidR="00CE4035" w:rsidRPr="0068706C" w:rsidRDefault="00CE4035" w:rsidP="009B753C">
            <w:pPr>
              <w:pStyle w:val="ListParagraph"/>
              <w:jc w:val="center"/>
              <w:rPr>
                <w:rFonts w:ascii="Times New Roman" w:hAnsi="Times New Roman"/>
                <w:sz w:val="24"/>
                <w:szCs w:val="24"/>
              </w:rPr>
            </w:pPr>
            <w:r w:rsidRPr="0068706C">
              <w:rPr>
                <w:rFonts w:ascii="Times New Roman" w:hAnsi="Times New Roman"/>
                <w:sz w:val="24"/>
                <w:szCs w:val="24"/>
              </w:rPr>
              <w:t>50</w:t>
            </w:r>
          </w:p>
        </w:tc>
        <w:tc>
          <w:tcPr>
            <w:tcW w:w="1530" w:type="dxa"/>
            <w:vAlign w:val="center"/>
          </w:tcPr>
          <w:p w14:paraId="2B906CFE" w14:textId="77777777" w:rsidR="00CE4035" w:rsidRPr="0068706C" w:rsidRDefault="00CE4035" w:rsidP="009B753C">
            <w:pPr>
              <w:pStyle w:val="ListParagraph"/>
              <w:jc w:val="center"/>
              <w:rPr>
                <w:rFonts w:ascii="Times New Roman" w:hAnsi="Times New Roman"/>
                <w:sz w:val="24"/>
                <w:szCs w:val="24"/>
              </w:rPr>
            </w:pPr>
            <w:r w:rsidRPr="0068706C">
              <w:rPr>
                <w:rFonts w:ascii="Times New Roman" w:hAnsi="Times New Roman"/>
                <w:sz w:val="24"/>
                <w:szCs w:val="24"/>
              </w:rPr>
              <w:t>80</w:t>
            </w:r>
          </w:p>
        </w:tc>
        <w:tc>
          <w:tcPr>
            <w:tcW w:w="1530" w:type="dxa"/>
            <w:vAlign w:val="center"/>
          </w:tcPr>
          <w:p w14:paraId="5EB22729" w14:textId="77777777" w:rsidR="00CE4035" w:rsidRPr="0068706C" w:rsidRDefault="00CE4035" w:rsidP="009B753C">
            <w:pPr>
              <w:pStyle w:val="ListParagraph"/>
              <w:jc w:val="center"/>
              <w:rPr>
                <w:rFonts w:ascii="Times New Roman" w:hAnsi="Times New Roman"/>
                <w:sz w:val="24"/>
                <w:szCs w:val="24"/>
              </w:rPr>
            </w:pPr>
            <w:r w:rsidRPr="0068706C">
              <w:rPr>
                <w:rFonts w:ascii="Times New Roman" w:hAnsi="Times New Roman"/>
                <w:sz w:val="24"/>
                <w:szCs w:val="24"/>
              </w:rPr>
              <w:t>120</w:t>
            </w:r>
          </w:p>
        </w:tc>
      </w:tr>
      <w:tr w:rsidR="00CE4035" w:rsidRPr="0068706C" w14:paraId="51B02371" w14:textId="77777777" w:rsidTr="009B753C">
        <w:tc>
          <w:tcPr>
            <w:tcW w:w="4585" w:type="dxa"/>
          </w:tcPr>
          <w:p w14:paraId="3E54AD1D" w14:textId="77777777" w:rsidR="00CE4035" w:rsidRPr="0068706C" w:rsidRDefault="00CE4035" w:rsidP="009B753C">
            <w:pPr>
              <w:jc w:val="both"/>
            </w:pPr>
            <w:r w:rsidRPr="0068706C">
              <w:t>% e mbledhjes së kontributeve për sigurim shëndetësor.</w:t>
            </w:r>
          </w:p>
        </w:tc>
        <w:tc>
          <w:tcPr>
            <w:tcW w:w="1710" w:type="dxa"/>
            <w:vAlign w:val="center"/>
          </w:tcPr>
          <w:p w14:paraId="51820514" w14:textId="77777777" w:rsidR="00CE4035" w:rsidRPr="0068706C" w:rsidRDefault="00CE4035" w:rsidP="009B753C">
            <w:pPr>
              <w:pStyle w:val="ListParagraph"/>
              <w:jc w:val="center"/>
              <w:rPr>
                <w:rFonts w:ascii="Times New Roman" w:hAnsi="Times New Roman"/>
                <w:sz w:val="24"/>
                <w:szCs w:val="24"/>
              </w:rPr>
            </w:pPr>
            <w:r w:rsidRPr="0068706C">
              <w:rPr>
                <w:rFonts w:ascii="Times New Roman" w:hAnsi="Times New Roman"/>
                <w:sz w:val="24"/>
                <w:szCs w:val="24"/>
              </w:rPr>
              <w:t>0</w:t>
            </w:r>
          </w:p>
        </w:tc>
        <w:tc>
          <w:tcPr>
            <w:tcW w:w="1530" w:type="dxa"/>
            <w:vAlign w:val="center"/>
          </w:tcPr>
          <w:p w14:paraId="0409BE6A" w14:textId="77777777" w:rsidR="00CE4035" w:rsidRPr="0068706C" w:rsidRDefault="00CE4035" w:rsidP="009B753C">
            <w:pPr>
              <w:jc w:val="center"/>
            </w:pPr>
            <w:r w:rsidRPr="0068706C">
              <w:t>0</w:t>
            </w:r>
          </w:p>
        </w:tc>
        <w:tc>
          <w:tcPr>
            <w:tcW w:w="1530" w:type="dxa"/>
            <w:vAlign w:val="center"/>
          </w:tcPr>
          <w:p w14:paraId="04DA9C70" w14:textId="77777777" w:rsidR="00CE4035" w:rsidRPr="0068706C" w:rsidRDefault="00CE4035" w:rsidP="009B753C">
            <w:pPr>
              <w:jc w:val="center"/>
            </w:pPr>
            <w:r w:rsidRPr="0068706C">
              <w:t xml:space="preserve">60% </w:t>
            </w:r>
          </w:p>
        </w:tc>
      </w:tr>
    </w:tbl>
    <w:p w14:paraId="6D4C8D13" w14:textId="1479982C" w:rsidR="00CE4035" w:rsidRDefault="00CE4035" w:rsidP="00CE4035">
      <w:pPr>
        <w:jc w:val="both"/>
        <w:rPr>
          <w:i/>
        </w:rPr>
      </w:pPr>
      <w:r w:rsidRPr="0068706C">
        <w:rPr>
          <w:i/>
        </w:rPr>
        <w:t>Treguesit e masës në përgjithësi janë në linjë me treguesit e SZHQ 3 (Shëndeti dhe Mirëqenia) dhe SZHQ1 (Eliminimi i Varfërisë), që përfshijnë mbulimin shëndetësor universal dhe skemat e mbrojtjes sociale.</w:t>
      </w:r>
    </w:p>
    <w:p w14:paraId="17CF9512" w14:textId="77777777" w:rsidR="0068706C" w:rsidRPr="0068706C" w:rsidRDefault="0068706C" w:rsidP="00CE4035">
      <w:pPr>
        <w:jc w:val="both"/>
        <w:rPr>
          <w:i/>
        </w:rPr>
      </w:pPr>
    </w:p>
    <w:p w14:paraId="2CCD08BD" w14:textId="2BA7A55B" w:rsidR="00CE4035" w:rsidRDefault="00CE4035" w:rsidP="00CE4035">
      <w:pPr>
        <w:jc w:val="both"/>
      </w:pPr>
      <w:r w:rsidRPr="0068706C">
        <w:rPr>
          <w:b/>
        </w:rPr>
        <w:t xml:space="preserve">Ndikimi i pritshëm në konkurrueshmëri: </w:t>
      </w:r>
      <w:r w:rsidRPr="0068706C">
        <w:t>Përmirësimi i shërbimeve sociale do të ndihmon për të ulur kostot e ushtrimit të këtyre të drejtave për përfituesit. Një nga kushtet për rritjen e konkurrueshmërisë  dhe rritje ekonomike është ngritja dhe funksionalizimi i një sistemi që mund të sigurojë të drejtën për mbrojtje sociale të përshtatshme dhe të aksesueshme për qytetarët e saj. Po ashtu, përmes funksionalizimit të Fondit të Sigurimeve Shëndetësore priten rezultate të mëdha sociale, veçanërisht për kategoritë në bazë të skemës së përfituesve.</w:t>
      </w:r>
    </w:p>
    <w:p w14:paraId="597F6A00" w14:textId="77777777" w:rsidR="0068706C" w:rsidRPr="0068706C" w:rsidRDefault="0068706C" w:rsidP="00CE4035">
      <w:pPr>
        <w:jc w:val="both"/>
      </w:pPr>
    </w:p>
    <w:p w14:paraId="50D517CC" w14:textId="09E0C3E9" w:rsidR="00CE4035" w:rsidRDefault="00CE4035" w:rsidP="00CE4035">
      <w:pPr>
        <w:jc w:val="both"/>
      </w:pPr>
      <w:r w:rsidRPr="0068706C">
        <w:rPr>
          <w:b/>
        </w:rPr>
        <w:t>Vlerësimi i kostos së aktiviteteve dhe burimet e financimit:</w:t>
      </w:r>
      <w:r w:rsidRPr="0068706C">
        <w:t xml:space="preserve"> Kosto totale për zbatim të kësaj mase gjatë viteve 2021-2023 vlerësohet të jetë rreth € 165,100,000. Nga kjo vlerë për vitin 2021 totali është  €25,100,000, €21,500,000 me mbështetje nga buxheti i Kosovës, ndërsa €3,600,000 nga donatorët. Për vitin 2022, totali është €55,000,000, €53,000,000€ me mbështetje nga buxheti i Kosovës, ndërsa donatorët €2,000,000 (fondet e BE-së); ndërsa për vitin 2023 totali është €85,000,000 me financim te €81,000,000 nga buxheti i Kosovës, ndërsa donatorët €2,000,000(fondet e BE-së).</w:t>
      </w:r>
    </w:p>
    <w:p w14:paraId="0EC872F3" w14:textId="77777777" w:rsidR="0068706C" w:rsidRPr="0068706C" w:rsidRDefault="0068706C" w:rsidP="00CE4035">
      <w:pPr>
        <w:jc w:val="both"/>
      </w:pPr>
    </w:p>
    <w:p w14:paraId="19FEBE7C" w14:textId="700A916C" w:rsidR="00CE4035" w:rsidRDefault="00CE4035" w:rsidP="00CE4035">
      <w:pPr>
        <w:jc w:val="both"/>
      </w:pPr>
      <w:r w:rsidRPr="0068706C">
        <w:rPr>
          <w:b/>
        </w:rPr>
        <w:t xml:space="preserve">Ndikimet e pritshme mbi rezultatet sociale, të tilla si punësimi, reduktimi i varfërisë, barazia gjinore: </w:t>
      </w:r>
      <w:r w:rsidRPr="0068706C">
        <w:t>Mundësia e përdorimit të shërbimeve sociale për një numër të madh të përfituesve si rezultat i përmirësimit të skemës së ndihmës sociale dhe nga ana tjetër ngritja e cilësisë së shërbimeve sociale, me krijimin e vendeve të punës si rezultat i punësimit në ndërmarrjet sociale do të ketë në situatën socio-ekonomike të një pjese të qytetarëve. Po ashtu. Fondi për Sigurime Shëndetësore do të ketë ndikim tek kategoritë sociale në bazë të skemës së përfituesve.</w:t>
      </w:r>
    </w:p>
    <w:p w14:paraId="6079D8B0" w14:textId="77777777" w:rsidR="0068706C" w:rsidRPr="0068706C" w:rsidRDefault="0068706C" w:rsidP="00CE4035">
      <w:pPr>
        <w:jc w:val="both"/>
      </w:pPr>
    </w:p>
    <w:p w14:paraId="5CDE5890" w14:textId="42A25661" w:rsidR="00CE4035" w:rsidRDefault="00CE4035" w:rsidP="00CE4035">
      <w:pPr>
        <w:jc w:val="both"/>
      </w:pPr>
      <w:r w:rsidRPr="0068706C">
        <w:rPr>
          <w:b/>
        </w:rPr>
        <w:t xml:space="preserve">Ndikimi i pritshëm në mjedis: </w:t>
      </w:r>
      <w:r w:rsidRPr="0068706C">
        <w:t xml:space="preserve">Kjo masë është neutrale ndaj ndikimit në mjedis. </w:t>
      </w:r>
    </w:p>
    <w:p w14:paraId="68D89D54" w14:textId="77777777" w:rsidR="0068706C" w:rsidRPr="0068706C" w:rsidRDefault="0068706C" w:rsidP="00CE4035">
      <w:pPr>
        <w:jc w:val="both"/>
      </w:pPr>
    </w:p>
    <w:p w14:paraId="58F86B05" w14:textId="77777777" w:rsidR="00CE4035" w:rsidRPr="0068706C" w:rsidRDefault="00CE4035" w:rsidP="00CE4035">
      <w:pPr>
        <w:autoSpaceDE w:val="0"/>
        <w:autoSpaceDN w:val="0"/>
        <w:adjustRightInd w:val="0"/>
        <w:spacing w:before="60"/>
        <w:ind w:right="60"/>
        <w:jc w:val="both"/>
        <w:rPr>
          <w:b/>
        </w:rPr>
      </w:pPr>
      <w:r w:rsidRPr="0068706C">
        <w:rPr>
          <w:b/>
        </w:rPr>
        <w:t>Rreziqet potenciale:</w:t>
      </w:r>
    </w:p>
    <w:tbl>
      <w:tblPr>
        <w:tblStyle w:val="TableGrid"/>
        <w:tblW w:w="0" w:type="auto"/>
        <w:tblInd w:w="-5" w:type="dxa"/>
        <w:tblLook w:val="04A0" w:firstRow="1" w:lastRow="0" w:firstColumn="1" w:lastColumn="0" w:noHBand="0" w:noVBand="1"/>
      </w:tblPr>
      <w:tblGrid>
        <w:gridCol w:w="3273"/>
        <w:gridCol w:w="1612"/>
        <w:gridCol w:w="3734"/>
      </w:tblGrid>
      <w:tr w:rsidR="00CE4035" w:rsidRPr="0068706C" w14:paraId="63701485" w14:textId="77777777" w:rsidTr="009B753C">
        <w:tc>
          <w:tcPr>
            <w:tcW w:w="3600" w:type="dxa"/>
          </w:tcPr>
          <w:p w14:paraId="4D2E8F6F" w14:textId="77777777" w:rsidR="00CE4035" w:rsidRPr="0068706C" w:rsidRDefault="00CE4035" w:rsidP="009B753C">
            <w:pPr>
              <w:autoSpaceDE w:val="0"/>
              <w:autoSpaceDN w:val="0"/>
              <w:adjustRightInd w:val="0"/>
              <w:ind w:right="60"/>
              <w:jc w:val="both"/>
              <w:rPr>
                <w:b/>
              </w:rPr>
            </w:pPr>
            <w:r w:rsidRPr="0068706C">
              <w:rPr>
                <w:b/>
              </w:rPr>
              <w:t xml:space="preserve">Rreziku </w:t>
            </w:r>
          </w:p>
        </w:tc>
        <w:tc>
          <w:tcPr>
            <w:tcW w:w="1620" w:type="dxa"/>
          </w:tcPr>
          <w:p w14:paraId="0E416F64" w14:textId="77777777" w:rsidR="00CE4035" w:rsidRPr="0068706C" w:rsidRDefault="00CE4035" w:rsidP="009B753C">
            <w:pPr>
              <w:autoSpaceDE w:val="0"/>
              <w:autoSpaceDN w:val="0"/>
              <w:adjustRightInd w:val="0"/>
              <w:ind w:right="60"/>
              <w:jc w:val="both"/>
              <w:rPr>
                <w:b/>
              </w:rPr>
            </w:pPr>
            <w:r w:rsidRPr="0068706C">
              <w:rPr>
                <w:b/>
              </w:rPr>
              <w:t xml:space="preserve">Probabiliteti </w:t>
            </w:r>
          </w:p>
        </w:tc>
        <w:tc>
          <w:tcPr>
            <w:tcW w:w="4135" w:type="dxa"/>
          </w:tcPr>
          <w:p w14:paraId="7F5B0F8A" w14:textId="77777777" w:rsidR="00CE4035" w:rsidRPr="0068706C" w:rsidRDefault="00CE4035" w:rsidP="009B753C">
            <w:pPr>
              <w:autoSpaceDE w:val="0"/>
              <w:autoSpaceDN w:val="0"/>
              <w:adjustRightInd w:val="0"/>
              <w:ind w:right="60"/>
              <w:jc w:val="both"/>
              <w:rPr>
                <w:b/>
              </w:rPr>
            </w:pPr>
            <w:r w:rsidRPr="0068706C">
              <w:rPr>
                <w:b/>
              </w:rPr>
              <w:t xml:space="preserve">Veprimi lehtësues i planifikuar </w:t>
            </w:r>
          </w:p>
        </w:tc>
      </w:tr>
      <w:tr w:rsidR="00CE4035" w:rsidRPr="0068706C" w14:paraId="649943CF" w14:textId="77777777" w:rsidTr="009B753C">
        <w:tc>
          <w:tcPr>
            <w:tcW w:w="3600" w:type="dxa"/>
          </w:tcPr>
          <w:p w14:paraId="5DD02807" w14:textId="77777777" w:rsidR="00CE4035" w:rsidRPr="0068706C" w:rsidRDefault="00CE4035" w:rsidP="009B753C">
            <w:pPr>
              <w:autoSpaceDE w:val="0"/>
              <w:autoSpaceDN w:val="0"/>
              <w:adjustRightInd w:val="0"/>
              <w:ind w:right="60"/>
              <w:jc w:val="both"/>
            </w:pPr>
            <w:r w:rsidRPr="0068706C">
              <w:t>Vonesat në miratimin e kornizës ligjore primare dhe sekondare.</w:t>
            </w:r>
          </w:p>
        </w:tc>
        <w:tc>
          <w:tcPr>
            <w:tcW w:w="1620" w:type="dxa"/>
          </w:tcPr>
          <w:p w14:paraId="159C7C19" w14:textId="77777777" w:rsidR="00CE4035" w:rsidRPr="0068706C" w:rsidRDefault="00CE4035" w:rsidP="009B753C">
            <w:pPr>
              <w:autoSpaceDE w:val="0"/>
              <w:autoSpaceDN w:val="0"/>
              <w:adjustRightInd w:val="0"/>
              <w:ind w:right="60"/>
              <w:jc w:val="both"/>
            </w:pPr>
            <w:r w:rsidRPr="0068706C">
              <w:t>I ulët</w:t>
            </w:r>
          </w:p>
        </w:tc>
        <w:tc>
          <w:tcPr>
            <w:tcW w:w="4135" w:type="dxa"/>
          </w:tcPr>
          <w:p w14:paraId="2F517F9C" w14:textId="77777777" w:rsidR="00CE4035" w:rsidRPr="0068706C" w:rsidRDefault="00CE4035" w:rsidP="009B753C">
            <w:pPr>
              <w:autoSpaceDE w:val="0"/>
              <w:autoSpaceDN w:val="0"/>
              <w:adjustRightInd w:val="0"/>
              <w:ind w:right="60"/>
              <w:jc w:val="both"/>
            </w:pPr>
            <w:r w:rsidRPr="0068706C">
              <w:t>Ligjet janë hartuar teknikisht dhe është marrë konsensusi i stafit teknik të MPMS. Ligji është parashikuar edhe në strategjinë sektoriale.</w:t>
            </w:r>
          </w:p>
        </w:tc>
      </w:tr>
      <w:tr w:rsidR="00CE4035" w:rsidRPr="0068706C" w14:paraId="4E88CC15" w14:textId="77777777" w:rsidTr="009B753C">
        <w:tc>
          <w:tcPr>
            <w:tcW w:w="3600" w:type="dxa"/>
          </w:tcPr>
          <w:p w14:paraId="66CB489E" w14:textId="77777777" w:rsidR="00CE4035" w:rsidRPr="0068706C" w:rsidRDefault="00CE4035" w:rsidP="009B753C">
            <w:pPr>
              <w:autoSpaceDE w:val="0"/>
              <w:autoSpaceDN w:val="0"/>
              <w:adjustRightInd w:val="0"/>
              <w:ind w:right="60"/>
              <w:jc w:val="both"/>
            </w:pPr>
            <w:r w:rsidRPr="0068706C">
              <w:t>Mos vendosja me kohë e sistemit të informimit shëndetësorë dhe mbledhja e kontributeve (si pasojë edhe nga kohëzgjatja e pandemisë Covid-19).</w:t>
            </w:r>
          </w:p>
        </w:tc>
        <w:tc>
          <w:tcPr>
            <w:tcW w:w="1620" w:type="dxa"/>
          </w:tcPr>
          <w:p w14:paraId="1FADCF3C" w14:textId="77777777" w:rsidR="00CE4035" w:rsidRPr="0068706C" w:rsidRDefault="00CE4035" w:rsidP="009B753C">
            <w:pPr>
              <w:autoSpaceDE w:val="0"/>
              <w:autoSpaceDN w:val="0"/>
              <w:adjustRightInd w:val="0"/>
              <w:ind w:right="60"/>
              <w:jc w:val="both"/>
            </w:pPr>
            <w:r w:rsidRPr="0068706C">
              <w:t>I mesëm.</w:t>
            </w:r>
          </w:p>
        </w:tc>
        <w:tc>
          <w:tcPr>
            <w:tcW w:w="4135" w:type="dxa"/>
          </w:tcPr>
          <w:p w14:paraId="69F3F19C" w14:textId="77777777" w:rsidR="00CE4035" w:rsidRPr="0068706C" w:rsidRDefault="00CE4035" w:rsidP="009B753C">
            <w:pPr>
              <w:autoSpaceDE w:val="0"/>
              <w:autoSpaceDN w:val="0"/>
              <w:adjustRightInd w:val="0"/>
              <w:ind w:right="60"/>
              <w:jc w:val="both"/>
            </w:pPr>
            <w:r w:rsidRPr="0068706C">
              <w:t>Mbështetja e plotë institucionale dhe teknike në zbatimin e Ligjit të sigurimeve shëndetësore.</w:t>
            </w:r>
          </w:p>
        </w:tc>
      </w:tr>
    </w:tbl>
    <w:p w14:paraId="710A165F" w14:textId="77777777" w:rsidR="00CE4035" w:rsidRPr="0068706C" w:rsidRDefault="00CE4035" w:rsidP="00CE4035">
      <w:pPr>
        <w:jc w:val="both"/>
      </w:pPr>
    </w:p>
    <w:p w14:paraId="2C3DBD43" w14:textId="77777777" w:rsidR="00CE4035" w:rsidRPr="0068706C" w:rsidRDefault="00CE4035" w:rsidP="003B3804">
      <w:pPr>
        <w:rPr>
          <w:lang w:val="sq-AL"/>
        </w:rPr>
      </w:pPr>
    </w:p>
    <w:p w14:paraId="7D96B14D" w14:textId="77777777" w:rsidR="004B5FFD" w:rsidRPr="0068706C" w:rsidRDefault="004B5FFD" w:rsidP="004B5FFD">
      <w:pPr>
        <w:rPr>
          <w:sz w:val="20"/>
          <w:lang w:val="sq-AL"/>
        </w:rPr>
      </w:pPr>
      <w:r w:rsidRPr="0068706C">
        <w:rPr>
          <w:sz w:val="20"/>
          <w:lang w:val="sq-AL"/>
        </w:rPr>
        <w:br w:type="page"/>
      </w:r>
      <w:bookmarkStart w:id="218" w:name="_GoBack"/>
      <w:bookmarkEnd w:id="218"/>
    </w:p>
    <w:p w14:paraId="46A3ED18" w14:textId="2CEBB39D" w:rsidR="004B5FFD" w:rsidRPr="004E5A6E" w:rsidRDefault="003B3804" w:rsidP="004B5FFD">
      <w:pPr>
        <w:rPr>
          <w:b/>
          <w:lang w:val="sq-AL"/>
        </w:rPr>
      </w:pPr>
      <w:r w:rsidRPr="004E5A6E">
        <w:rPr>
          <w:b/>
          <w:lang w:val="sq-AL"/>
        </w:rPr>
        <w:lastRenderedPageBreak/>
        <w:t>|Shtojca 1</w:t>
      </w:r>
    </w:p>
    <w:tbl>
      <w:tblPr>
        <w:tblW w:w="5077" w:type="pct"/>
        <w:tblInd w:w="23" w:type="dxa"/>
        <w:tblLook w:val="04A0" w:firstRow="1" w:lastRow="0" w:firstColumn="1" w:lastColumn="0" w:noHBand="0" w:noVBand="1"/>
      </w:tblPr>
      <w:tblGrid>
        <w:gridCol w:w="3157"/>
        <w:gridCol w:w="972"/>
        <w:gridCol w:w="1037"/>
        <w:gridCol w:w="727"/>
        <w:gridCol w:w="727"/>
        <w:gridCol w:w="727"/>
        <w:gridCol w:w="727"/>
        <w:gridCol w:w="683"/>
      </w:tblGrid>
      <w:tr w:rsidR="000244FF" w:rsidRPr="004E5A6E" w14:paraId="53F91860" w14:textId="77777777" w:rsidTr="003B3804">
        <w:trPr>
          <w:trHeight w:val="302"/>
        </w:trPr>
        <w:tc>
          <w:tcPr>
            <w:tcW w:w="2358" w:type="pct"/>
            <w:gridSpan w:val="2"/>
            <w:tcBorders>
              <w:top w:val="nil"/>
              <w:left w:val="nil"/>
              <w:bottom w:val="nil"/>
              <w:right w:val="nil"/>
            </w:tcBorders>
            <w:shd w:val="clear" w:color="000000" w:fill="FFFFFF"/>
            <w:noWrap/>
            <w:vAlign w:val="bottom"/>
            <w:hideMark/>
          </w:tcPr>
          <w:p w14:paraId="4D0F0CBB" w14:textId="77777777" w:rsidR="000244FF" w:rsidRPr="004E5A6E" w:rsidRDefault="000244FF" w:rsidP="000244FF">
            <w:pPr>
              <w:rPr>
                <w:b/>
                <w:bCs/>
                <w:color w:val="auto"/>
                <w:sz w:val="20"/>
                <w:szCs w:val="20"/>
                <w:lang w:val="sq-AL"/>
              </w:rPr>
            </w:pPr>
            <w:r w:rsidRPr="004E5A6E">
              <w:rPr>
                <w:b/>
                <w:bCs/>
                <w:color w:val="auto"/>
                <w:sz w:val="20"/>
                <w:szCs w:val="20"/>
                <w:lang w:val="sq-AL"/>
              </w:rPr>
              <w:t>Tabela 1a:  Parashikimet makroekonomike</w:t>
            </w:r>
          </w:p>
        </w:tc>
        <w:tc>
          <w:tcPr>
            <w:tcW w:w="592" w:type="pct"/>
            <w:tcBorders>
              <w:top w:val="nil"/>
              <w:left w:val="nil"/>
              <w:bottom w:val="nil"/>
              <w:right w:val="nil"/>
            </w:tcBorders>
            <w:shd w:val="clear" w:color="000000" w:fill="FFFFFF"/>
            <w:noWrap/>
            <w:vAlign w:val="bottom"/>
            <w:hideMark/>
          </w:tcPr>
          <w:p w14:paraId="55684849" w14:textId="77777777" w:rsidR="000244FF" w:rsidRPr="004E5A6E" w:rsidRDefault="000244FF" w:rsidP="000244FF">
            <w:pPr>
              <w:rPr>
                <w:color w:val="auto"/>
                <w:sz w:val="20"/>
                <w:szCs w:val="20"/>
                <w:lang w:val="sq-AL"/>
              </w:rPr>
            </w:pPr>
            <w:r w:rsidRPr="004E5A6E">
              <w:rPr>
                <w:color w:val="auto"/>
                <w:sz w:val="20"/>
                <w:szCs w:val="20"/>
                <w:lang w:val="sq-AL"/>
              </w:rPr>
              <w:t> </w:t>
            </w:r>
          </w:p>
        </w:tc>
        <w:tc>
          <w:tcPr>
            <w:tcW w:w="415" w:type="pct"/>
            <w:tcBorders>
              <w:top w:val="nil"/>
              <w:left w:val="nil"/>
              <w:bottom w:val="nil"/>
              <w:right w:val="nil"/>
            </w:tcBorders>
            <w:shd w:val="clear" w:color="000000" w:fill="FFFFFF"/>
            <w:noWrap/>
            <w:vAlign w:val="bottom"/>
            <w:hideMark/>
          </w:tcPr>
          <w:p w14:paraId="1CA9F702" w14:textId="77777777" w:rsidR="000244FF" w:rsidRPr="004E5A6E" w:rsidRDefault="000244FF" w:rsidP="000244FF">
            <w:pPr>
              <w:rPr>
                <w:color w:val="auto"/>
                <w:sz w:val="20"/>
                <w:szCs w:val="20"/>
                <w:lang w:val="sq-AL"/>
              </w:rPr>
            </w:pPr>
            <w:r w:rsidRPr="004E5A6E">
              <w:rPr>
                <w:color w:val="auto"/>
                <w:sz w:val="20"/>
                <w:szCs w:val="20"/>
                <w:lang w:val="sq-AL"/>
              </w:rPr>
              <w:t> </w:t>
            </w:r>
          </w:p>
        </w:tc>
        <w:tc>
          <w:tcPr>
            <w:tcW w:w="415" w:type="pct"/>
            <w:tcBorders>
              <w:top w:val="nil"/>
              <w:left w:val="nil"/>
              <w:bottom w:val="nil"/>
              <w:right w:val="nil"/>
            </w:tcBorders>
            <w:shd w:val="clear" w:color="000000" w:fill="FFFFFF"/>
            <w:noWrap/>
            <w:vAlign w:val="bottom"/>
            <w:hideMark/>
          </w:tcPr>
          <w:p w14:paraId="3F75BD13" w14:textId="77777777" w:rsidR="000244FF" w:rsidRPr="004E5A6E" w:rsidRDefault="000244FF" w:rsidP="000244FF">
            <w:pPr>
              <w:rPr>
                <w:color w:val="auto"/>
                <w:sz w:val="20"/>
                <w:szCs w:val="20"/>
                <w:lang w:val="sq-AL"/>
              </w:rPr>
            </w:pPr>
            <w:r w:rsidRPr="004E5A6E">
              <w:rPr>
                <w:color w:val="auto"/>
                <w:sz w:val="20"/>
                <w:szCs w:val="20"/>
                <w:lang w:val="sq-AL"/>
              </w:rPr>
              <w:t> </w:t>
            </w:r>
          </w:p>
        </w:tc>
        <w:tc>
          <w:tcPr>
            <w:tcW w:w="415" w:type="pct"/>
            <w:tcBorders>
              <w:top w:val="nil"/>
              <w:left w:val="nil"/>
              <w:bottom w:val="nil"/>
              <w:right w:val="nil"/>
            </w:tcBorders>
            <w:shd w:val="clear" w:color="000000" w:fill="FFFFFF"/>
            <w:noWrap/>
            <w:vAlign w:val="bottom"/>
            <w:hideMark/>
          </w:tcPr>
          <w:p w14:paraId="22E36855" w14:textId="77777777" w:rsidR="000244FF" w:rsidRPr="004E5A6E" w:rsidRDefault="000244FF" w:rsidP="000244FF">
            <w:pPr>
              <w:rPr>
                <w:color w:val="auto"/>
                <w:sz w:val="20"/>
                <w:szCs w:val="20"/>
                <w:lang w:val="sq-AL"/>
              </w:rPr>
            </w:pPr>
            <w:r w:rsidRPr="004E5A6E">
              <w:rPr>
                <w:color w:val="auto"/>
                <w:sz w:val="20"/>
                <w:szCs w:val="20"/>
                <w:lang w:val="sq-AL"/>
              </w:rPr>
              <w:t> </w:t>
            </w:r>
          </w:p>
        </w:tc>
        <w:tc>
          <w:tcPr>
            <w:tcW w:w="415" w:type="pct"/>
            <w:tcBorders>
              <w:top w:val="nil"/>
              <w:left w:val="nil"/>
              <w:bottom w:val="nil"/>
              <w:right w:val="nil"/>
            </w:tcBorders>
            <w:shd w:val="clear" w:color="000000" w:fill="FFFFFF"/>
            <w:noWrap/>
            <w:vAlign w:val="bottom"/>
            <w:hideMark/>
          </w:tcPr>
          <w:p w14:paraId="092643F9" w14:textId="77777777" w:rsidR="000244FF" w:rsidRPr="004E5A6E" w:rsidRDefault="000244FF" w:rsidP="000244FF">
            <w:pPr>
              <w:rPr>
                <w:color w:val="auto"/>
                <w:sz w:val="20"/>
                <w:szCs w:val="20"/>
                <w:lang w:val="sq-AL"/>
              </w:rPr>
            </w:pPr>
            <w:r w:rsidRPr="004E5A6E">
              <w:rPr>
                <w:color w:val="auto"/>
                <w:sz w:val="20"/>
                <w:szCs w:val="20"/>
                <w:lang w:val="sq-AL"/>
              </w:rPr>
              <w:t> </w:t>
            </w:r>
          </w:p>
        </w:tc>
        <w:tc>
          <w:tcPr>
            <w:tcW w:w="387" w:type="pct"/>
            <w:tcBorders>
              <w:top w:val="nil"/>
              <w:left w:val="nil"/>
              <w:bottom w:val="nil"/>
              <w:right w:val="nil"/>
            </w:tcBorders>
            <w:shd w:val="clear" w:color="000000" w:fill="FFFFFF"/>
            <w:noWrap/>
            <w:vAlign w:val="bottom"/>
            <w:hideMark/>
          </w:tcPr>
          <w:p w14:paraId="1C0A58B0" w14:textId="77777777" w:rsidR="000244FF" w:rsidRPr="004E5A6E" w:rsidRDefault="000244FF" w:rsidP="000244FF">
            <w:pPr>
              <w:rPr>
                <w:color w:val="auto"/>
                <w:sz w:val="20"/>
                <w:szCs w:val="20"/>
                <w:lang w:val="sq-AL"/>
              </w:rPr>
            </w:pPr>
            <w:r w:rsidRPr="004E5A6E">
              <w:rPr>
                <w:color w:val="auto"/>
                <w:sz w:val="20"/>
                <w:szCs w:val="20"/>
                <w:lang w:val="sq-AL"/>
              </w:rPr>
              <w:t> </w:t>
            </w:r>
          </w:p>
        </w:tc>
      </w:tr>
      <w:tr w:rsidR="000244FF" w:rsidRPr="004E5A6E" w14:paraId="736355E1" w14:textId="77777777" w:rsidTr="003B3804">
        <w:trPr>
          <w:trHeight w:val="302"/>
        </w:trPr>
        <w:tc>
          <w:tcPr>
            <w:tcW w:w="1803" w:type="pct"/>
            <w:tcBorders>
              <w:top w:val="double" w:sz="6" w:space="0" w:color="auto"/>
              <w:left w:val="double" w:sz="6" w:space="0" w:color="auto"/>
              <w:bottom w:val="nil"/>
              <w:right w:val="nil"/>
            </w:tcBorders>
            <w:shd w:val="clear" w:color="000000" w:fill="FFFFFF"/>
            <w:vAlign w:val="bottom"/>
            <w:hideMark/>
          </w:tcPr>
          <w:p w14:paraId="1628FCCF" w14:textId="77777777" w:rsidR="000244FF" w:rsidRPr="004E5A6E" w:rsidRDefault="000244FF" w:rsidP="000244FF">
            <w:pPr>
              <w:rPr>
                <w:color w:val="auto"/>
                <w:sz w:val="20"/>
                <w:szCs w:val="20"/>
                <w:lang w:val="sq-AL"/>
              </w:rPr>
            </w:pPr>
            <w:r w:rsidRPr="004E5A6E">
              <w:rPr>
                <w:color w:val="auto"/>
                <w:sz w:val="20"/>
                <w:szCs w:val="20"/>
                <w:lang w:val="sq-AL"/>
              </w:rPr>
              <w:t>%, përveç nëse është theksuar ndryshe</w:t>
            </w:r>
          </w:p>
        </w:tc>
        <w:tc>
          <w:tcPr>
            <w:tcW w:w="555" w:type="pct"/>
            <w:tcBorders>
              <w:top w:val="double" w:sz="6" w:space="0" w:color="auto"/>
              <w:left w:val="dotted" w:sz="4" w:space="0" w:color="auto"/>
              <w:bottom w:val="nil"/>
              <w:right w:val="single" w:sz="8" w:space="0" w:color="auto"/>
            </w:tcBorders>
            <w:shd w:val="clear" w:color="000000" w:fill="FFFFFF"/>
            <w:vAlign w:val="bottom"/>
            <w:hideMark/>
          </w:tcPr>
          <w:p w14:paraId="3D775430" w14:textId="77777777" w:rsidR="000244FF" w:rsidRPr="004E5A6E" w:rsidRDefault="000244FF" w:rsidP="000244FF">
            <w:pPr>
              <w:rPr>
                <w:color w:val="auto"/>
                <w:sz w:val="20"/>
                <w:szCs w:val="20"/>
                <w:lang w:val="sq-AL"/>
              </w:rPr>
            </w:pPr>
            <w:r w:rsidRPr="004E5A6E">
              <w:rPr>
                <w:color w:val="auto"/>
                <w:sz w:val="20"/>
                <w:szCs w:val="20"/>
                <w:lang w:val="sq-AL"/>
              </w:rPr>
              <w:t>ESA Code</w:t>
            </w:r>
          </w:p>
        </w:tc>
        <w:tc>
          <w:tcPr>
            <w:tcW w:w="592" w:type="pct"/>
            <w:tcBorders>
              <w:top w:val="double" w:sz="6" w:space="0" w:color="auto"/>
              <w:left w:val="nil"/>
              <w:bottom w:val="double" w:sz="6" w:space="0" w:color="auto"/>
              <w:right w:val="single" w:sz="8" w:space="0" w:color="auto"/>
            </w:tcBorders>
            <w:shd w:val="clear" w:color="000000" w:fill="FFFFFF"/>
            <w:vAlign w:val="bottom"/>
            <w:hideMark/>
          </w:tcPr>
          <w:p w14:paraId="25E577C0" w14:textId="77777777" w:rsidR="000244FF" w:rsidRPr="004E5A6E" w:rsidRDefault="000244FF" w:rsidP="000244FF">
            <w:pPr>
              <w:jc w:val="center"/>
              <w:rPr>
                <w:color w:val="auto"/>
                <w:sz w:val="20"/>
                <w:szCs w:val="20"/>
                <w:lang w:val="sq-AL"/>
              </w:rPr>
            </w:pPr>
            <w:r w:rsidRPr="004E5A6E">
              <w:rPr>
                <w:color w:val="auto"/>
                <w:sz w:val="20"/>
                <w:szCs w:val="20"/>
                <w:lang w:val="sq-AL"/>
              </w:rPr>
              <w:t>2019</w:t>
            </w:r>
          </w:p>
        </w:tc>
        <w:tc>
          <w:tcPr>
            <w:tcW w:w="415" w:type="pct"/>
            <w:tcBorders>
              <w:top w:val="double" w:sz="6" w:space="0" w:color="auto"/>
              <w:left w:val="nil"/>
              <w:bottom w:val="nil"/>
              <w:right w:val="dotted" w:sz="4" w:space="0" w:color="auto"/>
            </w:tcBorders>
            <w:shd w:val="clear" w:color="000000" w:fill="FFFFFF"/>
            <w:hideMark/>
          </w:tcPr>
          <w:p w14:paraId="6F2FD112" w14:textId="77777777" w:rsidR="000244FF" w:rsidRPr="004E5A6E" w:rsidRDefault="000244FF" w:rsidP="000244FF">
            <w:pPr>
              <w:jc w:val="center"/>
              <w:rPr>
                <w:color w:val="auto"/>
                <w:sz w:val="20"/>
                <w:szCs w:val="20"/>
                <w:lang w:val="sq-AL"/>
              </w:rPr>
            </w:pPr>
            <w:r w:rsidRPr="004E5A6E">
              <w:rPr>
                <w:color w:val="auto"/>
                <w:sz w:val="20"/>
                <w:szCs w:val="20"/>
                <w:lang w:val="sq-AL"/>
              </w:rPr>
              <w:t>2019</w:t>
            </w:r>
          </w:p>
        </w:tc>
        <w:tc>
          <w:tcPr>
            <w:tcW w:w="415" w:type="pct"/>
            <w:tcBorders>
              <w:top w:val="double" w:sz="6" w:space="0" w:color="auto"/>
              <w:left w:val="nil"/>
              <w:bottom w:val="nil"/>
              <w:right w:val="dotted" w:sz="4" w:space="0" w:color="auto"/>
            </w:tcBorders>
            <w:shd w:val="clear" w:color="000000" w:fill="FFFFFF"/>
            <w:hideMark/>
          </w:tcPr>
          <w:p w14:paraId="187494F4" w14:textId="77777777" w:rsidR="000244FF" w:rsidRPr="004E5A6E" w:rsidRDefault="000244FF" w:rsidP="000244FF">
            <w:pPr>
              <w:jc w:val="center"/>
              <w:rPr>
                <w:color w:val="auto"/>
                <w:sz w:val="20"/>
                <w:szCs w:val="20"/>
                <w:lang w:val="sq-AL"/>
              </w:rPr>
            </w:pPr>
            <w:r w:rsidRPr="004E5A6E">
              <w:rPr>
                <w:color w:val="auto"/>
                <w:sz w:val="20"/>
                <w:szCs w:val="20"/>
                <w:lang w:val="sq-AL"/>
              </w:rPr>
              <w:t>2020</w:t>
            </w:r>
          </w:p>
        </w:tc>
        <w:tc>
          <w:tcPr>
            <w:tcW w:w="415" w:type="pct"/>
            <w:tcBorders>
              <w:top w:val="double" w:sz="6" w:space="0" w:color="auto"/>
              <w:left w:val="nil"/>
              <w:bottom w:val="nil"/>
              <w:right w:val="dotted" w:sz="4" w:space="0" w:color="auto"/>
            </w:tcBorders>
            <w:shd w:val="clear" w:color="000000" w:fill="FFFFFF"/>
            <w:hideMark/>
          </w:tcPr>
          <w:p w14:paraId="4B832065" w14:textId="77777777" w:rsidR="000244FF" w:rsidRPr="004E5A6E" w:rsidRDefault="000244FF" w:rsidP="000244FF">
            <w:pPr>
              <w:jc w:val="center"/>
              <w:rPr>
                <w:color w:val="auto"/>
                <w:sz w:val="20"/>
                <w:szCs w:val="20"/>
                <w:lang w:val="sq-AL"/>
              </w:rPr>
            </w:pPr>
            <w:r w:rsidRPr="004E5A6E">
              <w:rPr>
                <w:color w:val="auto"/>
                <w:sz w:val="20"/>
                <w:szCs w:val="20"/>
                <w:lang w:val="sq-AL"/>
              </w:rPr>
              <w:t>2021</w:t>
            </w:r>
          </w:p>
        </w:tc>
        <w:tc>
          <w:tcPr>
            <w:tcW w:w="415" w:type="pct"/>
            <w:tcBorders>
              <w:top w:val="double" w:sz="6" w:space="0" w:color="auto"/>
              <w:left w:val="nil"/>
              <w:bottom w:val="nil"/>
              <w:right w:val="dotted" w:sz="4" w:space="0" w:color="auto"/>
            </w:tcBorders>
            <w:shd w:val="clear" w:color="000000" w:fill="FFFFFF"/>
            <w:hideMark/>
          </w:tcPr>
          <w:p w14:paraId="007E8EAC" w14:textId="77777777" w:rsidR="000244FF" w:rsidRPr="004E5A6E" w:rsidRDefault="000244FF" w:rsidP="000244FF">
            <w:pPr>
              <w:jc w:val="center"/>
              <w:rPr>
                <w:color w:val="auto"/>
                <w:sz w:val="20"/>
                <w:szCs w:val="20"/>
                <w:lang w:val="sq-AL"/>
              </w:rPr>
            </w:pPr>
            <w:r w:rsidRPr="004E5A6E">
              <w:rPr>
                <w:color w:val="auto"/>
                <w:sz w:val="20"/>
                <w:szCs w:val="20"/>
                <w:lang w:val="sq-AL"/>
              </w:rPr>
              <w:t>2022</w:t>
            </w:r>
          </w:p>
        </w:tc>
        <w:tc>
          <w:tcPr>
            <w:tcW w:w="387" w:type="pct"/>
            <w:tcBorders>
              <w:top w:val="double" w:sz="6" w:space="0" w:color="auto"/>
              <w:left w:val="nil"/>
              <w:bottom w:val="nil"/>
              <w:right w:val="double" w:sz="6" w:space="0" w:color="auto"/>
            </w:tcBorders>
            <w:shd w:val="clear" w:color="000000" w:fill="FFFFFF"/>
            <w:hideMark/>
          </w:tcPr>
          <w:p w14:paraId="12341702" w14:textId="77777777" w:rsidR="000244FF" w:rsidRPr="004E5A6E" w:rsidRDefault="000244FF" w:rsidP="000244FF">
            <w:pPr>
              <w:jc w:val="center"/>
              <w:rPr>
                <w:color w:val="auto"/>
                <w:sz w:val="20"/>
                <w:szCs w:val="20"/>
                <w:lang w:val="sq-AL"/>
              </w:rPr>
            </w:pPr>
            <w:r w:rsidRPr="004E5A6E">
              <w:rPr>
                <w:color w:val="auto"/>
                <w:sz w:val="20"/>
                <w:szCs w:val="20"/>
                <w:lang w:val="sq-AL"/>
              </w:rPr>
              <w:t>2023</w:t>
            </w:r>
          </w:p>
        </w:tc>
      </w:tr>
      <w:tr w:rsidR="000244FF" w:rsidRPr="004E5A6E" w14:paraId="02B0A13D" w14:textId="77777777" w:rsidTr="003B3804">
        <w:trPr>
          <w:trHeight w:val="457"/>
        </w:trPr>
        <w:tc>
          <w:tcPr>
            <w:tcW w:w="1803" w:type="pct"/>
            <w:tcBorders>
              <w:top w:val="nil"/>
              <w:left w:val="double" w:sz="6" w:space="0" w:color="auto"/>
              <w:bottom w:val="single" w:sz="8" w:space="0" w:color="auto"/>
              <w:right w:val="nil"/>
            </w:tcBorders>
            <w:shd w:val="clear" w:color="000000" w:fill="FFFFFF"/>
            <w:vAlign w:val="bottom"/>
            <w:hideMark/>
          </w:tcPr>
          <w:p w14:paraId="44E2A03F" w14:textId="77777777" w:rsidR="000244FF" w:rsidRPr="004E5A6E" w:rsidRDefault="000244FF" w:rsidP="000244FF">
            <w:pPr>
              <w:ind w:firstLineChars="100" w:firstLine="160"/>
              <w:rPr>
                <w:color w:val="auto"/>
                <w:sz w:val="16"/>
                <w:szCs w:val="16"/>
                <w:lang w:val="sq-AL"/>
              </w:rPr>
            </w:pPr>
            <w:r w:rsidRPr="004E5A6E">
              <w:rPr>
                <w:color w:val="auto"/>
                <w:sz w:val="16"/>
                <w:szCs w:val="16"/>
                <w:lang w:val="sq-AL"/>
              </w:rPr>
              <w:t> </w:t>
            </w:r>
          </w:p>
        </w:tc>
        <w:tc>
          <w:tcPr>
            <w:tcW w:w="555" w:type="pct"/>
            <w:tcBorders>
              <w:top w:val="nil"/>
              <w:left w:val="dotted" w:sz="4" w:space="0" w:color="auto"/>
              <w:bottom w:val="single" w:sz="8" w:space="0" w:color="auto"/>
              <w:right w:val="single" w:sz="8" w:space="0" w:color="auto"/>
            </w:tcBorders>
            <w:shd w:val="clear" w:color="000000" w:fill="FFFFFF"/>
            <w:vAlign w:val="bottom"/>
            <w:hideMark/>
          </w:tcPr>
          <w:p w14:paraId="452A6ABA" w14:textId="77777777" w:rsidR="000244FF" w:rsidRPr="004E5A6E" w:rsidRDefault="000244FF" w:rsidP="000244FF">
            <w:pPr>
              <w:jc w:val="center"/>
              <w:rPr>
                <w:color w:val="auto"/>
                <w:sz w:val="16"/>
                <w:szCs w:val="16"/>
                <w:lang w:val="sq-AL"/>
              </w:rPr>
            </w:pPr>
            <w:r w:rsidRPr="004E5A6E">
              <w:rPr>
                <w:color w:val="auto"/>
                <w:sz w:val="16"/>
                <w:szCs w:val="16"/>
                <w:lang w:val="sq-AL"/>
              </w:rPr>
              <w:t> </w:t>
            </w:r>
          </w:p>
        </w:tc>
        <w:tc>
          <w:tcPr>
            <w:tcW w:w="592" w:type="pct"/>
            <w:tcBorders>
              <w:top w:val="nil"/>
              <w:left w:val="nil"/>
              <w:bottom w:val="single" w:sz="8" w:space="0" w:color="auto"/>
              <w:right w:val="single" w:sz="8" w:space="0" w:color="auto"/>
            </w:tcBorders>
            <w:shd w:val="clear" w:color="000000" w:fill="FFFFFF"/>
            <w:vAlign w:val="bottom"/>
            <w:hideMark/>
          </w:tcPr>
          <w:p w14:paraId="074D333F" w14:textId="77777777" w:rsidR="000244FF" w:rsidRPr="004E5A6E" w:rsidRDefault="000244FF" w:rsidP="000244FF">
            <w:pPr>
              <w:jc w:val="center"/>
              <w:rPr>
                <w:b/>
                <w:bCs/>
                <w:color w:val="auto"/>
                <w:sz w:val="20"/>
                <w:szCs w:val="20"/>
                <w:lang w:val="sq-AL"/>
              </w:rPr>
            </w:pPr>
            <w:r w:rsidRPr="004E5A6E">
              <w:rPr>
                <w:b/>
                <w:bCs/>
                <w:color w:val="auto"/>
                <w:sz w:val="20"/>
                <w:szCs w:val="20"/>
                <w:lang w:val="sq-AL"/>
              </w:rPr>
              <w:t>Level  (mn EUR)</w:t>
            </w:r>
          </w:p>
        </w:tc>
        <w:tc>
          <w:tcPr>
            <w:tcW w:w="2049" w:type="pct"/>
            <w:gridSpan w:val="5"/>
            <w:tcBorders>
              <w:top w:val="single" w:sz="4" w:space="0" w:color="auto"/>
              <w:left w:val="nil"/>
              <w:bottom w:val="single" w:sz="8" w:space="0" w:color="auto"/>
              <w:right w:val="double" w:sz="6" w:space="0" w:color="000000"/>
            </w:tcBorders>
            <w:shd w:val="clear" w:color="000000" w:fill="FFFFFF"/>
            <w:vAlign w:val="center"/>
            <w:hideMark/>
          </w:tcPr>
          <w:p w14:paraId="37B3AAEA" w14:textId="77777777" w:rsidR="000244FF" w:rsidRPr="004E5A6E" w:rsidRDefault="000244FF" w:rsidP="000244FF">
            <w:pPr>
              <w:jc w:val="center"/>
              <w:rPr>
                <w:b/>
                <w:bCs/>
                <w:color w:val="auto"/>
                <w:sz w:val="20"/>
                <w:szCs w:val="20"/>
                <w:lang w:val="sq-AL"/>
              </w:rPr>
            </w:pPr>
            <w:r w:rsidRPr="004E5A6E">
              <w:rPr>
                <w:b/>
                <w:bCs/>
                <w:color w:val="auto"/>
                <w:sz w:val="20"/>
                <w:szCs w:val="20"/>
                <w:lang w:val="sq-AL"/>
              </w:rPr>
              <w:t> </w:t>
            </w:r>
          </w:p>
        </w:tc>
      </w:tr>
      <w:tr w:rsidR="000244FF" w:rsidRPr="004E5A6E" w14:paraId="29E4345D" w14:textId="77777777" w:rsidTr="003B3804">
        <w:trPr>
          <w:trHeight w:val="302"/>
        </w:trPr>
        <w:tc>
          <w:tcPr>
            <w:tcW w:w="1803" w:type="pct"/>
            <w:tcBorders>
              <w:top w:val="nil"/>
              <w:left w:val="double" w:sz="6" w:space="0" w:color="auto"/>
              <w:bottom w:val="dotted" w:sz="4" w:space="0" w:color="auto"/>
              <w:right w:val="nil"/>
            </w:tcBorders>
            <w:shd w:val="clear" w:color="000000" w:fill="FFFFFF"/>
            <w:vAlign w:val="bottom"/>
            <w:hideMark/>
          </w:tcPr>
          <w:p w14:paraId="4D26468D" w14:textId="77777777" w:rsidR="000244FF" w:rsidRPr="004E5A6E" w:rsidRDefault="000244FF" w:rsidP="000244FF">
            <w:pPr>
              <w:rPr>
                <w:color w:val="auto"/>
                <w:sz w:val="20"/>
                <w:szCs w:val="20"/>
                <w:lang w:val="sq-AL"/>
              </w:rPr>
            </w:pPr>
            <w:r w:rsidRPr="004E5A6E">
              <w:rPr>
                <w:color w:val="auto"/>
                <w:sz w:val="20"/>
                <w:szCs w:val="20"/>
                <w:lang w:val="sq-AL"/>
              </w:rPr>
              <w:t>1. BPV reale me çmime konstante</w:t>
            </w:r>
          </w:p>
        </w:tc>
        <w:tc>
          <w:tcPr>
            <w:tcW w:w="555" w:type="pct"/>
            <w:tcBorders>
              <w:top w:val="nil"/>
              <w:left w:val="dotted" w:sz="4" w:space="0" w:color="auto"/>
              <w:bottom w:val="dotted" w:sz="4" w:space="0" w:color="auto"/>
              <w:right w:val="single" w:sz="8" w:space="0" w:color="auto"/>
            </w:tcBorders>
            <w:shd w:val="clear" w:color="000000" w:fill="FFFFFF"/>
            <w:vAlign w:val="bottom"/>
            <w:hideMark/>
          </w:tcPr>
          <w:p w14:paraId="506D5B34" w14:textId="77777777" w:rsidR="000244FF" w:rsidRPr="004E5A6E" w:rsidRDefault="000244FF" w:rsidP="000244FF">
            <w:pPr>
              <w:jc w:val="center"/>
              <w:rPr>
                <w:color w:val="auto"/>
                <w:sz w:val="20"/>
                <w:szCs w:val="20"/>
                <w:lang w:val="sq-AL"/>
              </w:rPr>
            </w:pPr>
            <w:r w:rsidRPr="004E5A6E">
              <w:rPr>
                <w:color w:val="auto"/>
                <w:sz w:val="20"/>
                <w:szCs w:val="20"/>
                <w:lang w:val="sq-AL"/>
              </w:rPr>
              <w:t>B1*g</w:t>
            </w:r>
          </w:p>
        </w:tc>
        <w:tc>
          <w:tcPr>
            <w:tcW w:w="592" w:type="pct"/>
            <w:tcBorders>
              <w:top w:val="nil"/>
              <w:left w:val="nil"/>
              <w:bottom w:val="dotted" w:sz="4" w:space="0" w:color="auto"/>
              <w:right w:val="single" w:sz="8" w:space="0" w:color="auto"/>
            </w:tcBorders>
            <w:shd w:val="clear" w:color="000000" w:fill="FFFFFF"/>
            <w:vAlign w:val="bottom"/>
            <w:hideMark/>
          </w:tcPr>
          <w:p w14:paraId="0E50AB6A" w14:textId="77777777" w:rsidR="000244FF" w:rsidRPr="004E5A6E" w:rsidRDefault="000244FF" w:rsidP="000244FF">
            <w:pPr>
              <w:jc w:val="center"/>
              <w:rPr>
                <w:color w:val="auto"/>
                <w:sz w:val="20"/>
                <w:szCs w:val="20"/>
                <w:lang w:val="sq-AL"/>
              </w:rPr>
            </w:pPr>
            <w:r w:rsidRPr="004E5A6E">
              <w:rPr>
                <w:color w:val="auto"/>
                <w:sz w:val="20"/>
                <w:szCs w:val="20"/>
                <w:lang w:val="sq-AL"/>
              </w:rPr>
              <w:t>7,058.300</w:t>
            </w:r>
          </w:p>
        </w:tc>
        <w:tc>
          <w:tcPr>
            <w:tcW w:w="415" w:type="pct"/>
            <w:tcBorders>
              <w:top w:val="nil"/>
              <w:left w:val="nil"/>
              <w:bottom w:val="dotted" w:sz="4" w:space="0" w:color="auto"/>
              <w:right w:val="dotted" w:sz="4" w:space="0" w:color="auto"/>
            </w:tcBorders>
            <w:shd w:val="clear" w:color="000000" w:fill="FFFFFF"/>
            <w:vAlign w:val="bottom"/>
            <w:hideMark/>
          </w:tcPr>
          <w:p w14:paraId="47CCCCF6" w14:textId="77777777" w:rsidR="000244FF" w:rsidRPr="004E5A6E" w:rsidRDefault="000244FF" w:rsidP="000244FF">
            <w:pPr>
              <w:jc w:val="center"/>
              <w:rPr>
                <w:color w:val="auto"/>
                <w:sz w:val="20"/>
                <w:szCs w:val="20"/>
                <w:lang w:val="sq-AL"/>
              </w:rPr>
            </w:pPr>
            <w:r w:rsidRPr="004E5A6E">
              <w:rPr>
                <w:color w:val="auto"/>
                <w:sz w:val="20"/>
                <w:szCs w:val="20"/>
                <w:lang w:val="sq-AL"/>
              </w:rPr>
              <w:t>4.9</w:t>
            </w:r>
          </w:p>
        </w:tc>
        <w:tc>
          <w:tcPr>
            <w:tcW w:w="415" w:type="pct"/>
            <w:tcBorders>
              <w:top w:val="nil"/>
              <w:left w:val="nil"/>
              <w:bottom w:val="dotted" w:sz="4" w:space="0" w:color="auto"/>
              <w:right w:val="dotted" w:sz="4" w:space="0" w:color="auto"/>
            </w:tcBorders>
            <w:shd w:val="clear" w:color="000000" w:fill="FFFFFF"/>
            <w:vAlign w:val="bottom"/>
            <w:hideMark/>
          </w:tcPr>
          <w:p w14:paraId="16DFCFD6" w14:textId="77777777" w:rsidR="000244FF" w:rsidRPr="004E5A6E" w:rsidRDefault="000244FF" w:rsidP="000244FF">
            <w:pPr>
              <w:jc w:val="center"/>
              <w:rPr>
                <w:color w:val="auto"/>
                <w:sz w:val="20"/>
                <w:szCs w:val="20"/>
                <w:lang w:val="sq-AL"/>
              </w:rPr>
            </w:pPr>
            <w:r w:rsidRPr="004E5A6E">
              <w:rPr>
                <w:color w:val="auto"/>
                <w:sz w:val="20"/>
                <w:szCs w:val="20"/>
                <w:lang w:val="sq-AL"/>
              </w:rPr>
              <w:t>-6.7</w:t>
            </w:r>
          </w:p>
        </w:tc>
        <w:tc>
          <w:tcPr>
            <w:tcW w:w="415" w:type="pct"/>
            <w:tcBorders>
              <w:top w:val="nil"/>
              <w:left w:val="nil"/>
              <w:bottom w:val="dotted" w:sz="4" w:space="0" w:color="auto"/>
              <w:right w:val="dotted" w:sz="4" w:space="0" w:color="auto"/>
            </w:tcBorders>
            <w:shd w:val="clear" w:color="000000" w:fill="FFFFFF"/>
            <w:vAlign w:val="bottom"/>
            <w:hideMark/>
          </w:tcPr>
          <w:p w14:paraId="23350FBF" w14:textId="77777777" w:rsidR="000244FF" w:rsidRPr="004E5A6E" w:rsidRDefault="000244FF" w:rsidP="000244FF">
            <w:pPr>
              <w:jc w:val="center"/>
              <w:rPr>
                <w:color w:val="auto"/>
                <w:sz w:val="20"/>
                <w:szCs w:val="20"/>
                <w:lang w:val="sq-AL"/>
              </w:rPr>
            </w:pPr>
            <w:r w:rsidRPr="004E5A6E">
              <w:rPr>
                <w:color w:val="auto"/>
                <w:sz w:val="20"/>
                <w:szCs w:val="20"/>
                <w:lang w:val="sq-AL"/>
              </w:rPr>
              <w:t>5.2</w:t>
            </w:r>
          </w:p>
        </w:tc>
        <w:tc>
          <w:tcPr>
            <w:tcW w:w="415" w:type="pct"/>
            <w:tcBorders>
              <w:top w:val="nil"/>
              <w:left w:val="nil"/>
              <w:bottom w:val="dotted" w:sz="4" w:space="0" w:color="auto"/>
              <w:right w:val="dotted" w:sz="4" w:space="0" w:color="auto"/>
            </w:tcBorders>
            <w:shd w:val="clear" w:color="000000" w:fill="FFFFFF"/>
            <w:vAlign w:val="bottom"/>
            <w:hideMark/>
          </w:tcPr>
          <w:p w14:paraId="45A9E568" w14:textId="77777777" w:rsidR="000244FF" w:rsidRPr="004E5A6E" w:rsidRDefault="000244FF" w:rsidP="000244FF">
            <w:pPr>
              <w:jc w:val="center"/>
              <w:rPr>
                <w:color w:val="auto"/>
                <w:sz w:val="20"/>
                <w:szCs w:val="20"/>
                <w:lang w:val="sq-AL"/>
              </w:rPr>
            </w:pPr>
            <w:r w:rsidRPr="004E5A6E">
              <w:rPr>
                <w:color w:val="auto"/>
                <w:sz w:val="20"/>
                <w:szCs w:val="20"/>
                <w:lang w:val="sq-AL"/>
              </w:rPr>
              <w:t>4.1</w:t>
            </w:r>
          </w:p>
        </w:tc>
        <w:tc>
          <w:tcPr>
            <w:tcW w:w="387" w:type="pct"/>
            <w:tcBorders>
              <w:top w:val="nil"/>
              <w:left w:val="nil"/>
              <w:bottom w:val="dotted" w:sz="4" w:space="0" w:color="auto"/>
              <w:right w:val="double" w:sz="6" w:space="0" w:color="auto"/>
            </w:tcBorders>
            <w:shd w:val="clear" w:color="000000" w:fill="FFFFFF"/>
            <w:vAlign w:val="bottom"/>
            <w:hideMark/>
          </w:tcPr>
          <w:p w14:paraId="21D2AA83" w14:textId="77777777" w:rsidR="000244FF" w:rsidRPr="004E5A6E" w:rsidRDefault="000244FF" w:rsidP="000244FF">
            <w:pPr>
              <w:jc w:val="center"/>
              <w:rPr>
                <w:color w:val="auto"/>
                <w:sz w:val="20"/>
                <w:szCs w:val="20"/>
                <w:lang w:val="sq-AL"/>
              </w:rPr>
            </w:pPr>
            <w:r w:rsidRPr="004E5A6E">
              <w:rPr>
                <w:color w:val="auto"/>
                <w:sz w:val="20"/>
                <w:szCs w:val="20"/>
                <w:lang w:val="sq-AL"/>
              </w:rPr>
              <w:t>4.2</w:t>
            </w:r>
          </w:p>
        </w:tc>
      </w:tr>
      <w:tr w:rsidR="000244FF" w:rsidRPr="004E5A6E" w14:paraId="685FFDDC" w14:textId="77777777" w:rsidTr="003B3804">
        <w:trPr>
          <w:trHeight w:val="302"/>
        </w:trPr>
        <w:tc>
          <w:tcPr>
            <w:tcW w:w="1803" w:type="pct"/>
            <w:tcBorders>
              <w:top w:val="nil"/>
              <w:left w:val="double" w:sz="6" w:space="0" w:color="auto"/>
              <w:bottom w:val="nil"/>
              <w:right w:val="nil"/>
            </w:tcBorders>
            <w:shd w:val="clear" w:color="000000" w:fill="FFFFFF"/>
            <w:vAlign w:val="bottom"/>
            <w:hideMark/>
          </w:tcPr>
          <w:p w14:paraId="32B9A648" w14:textId="77777777" w:rsidR="000244FF" w:rsidRPr="004E5A6E" w:rsidRDefault="000244FF" w:rsidP="000244FF">
            <w:pPr>
              <w:rPr>
                <w:color w:val="auto"/>
                <w:sz w:val="20"/>
                <w:szCs w:val="20"/>
                <w:lang w:val="sq-AL"/>
              </w:rPr>
            </w:pPr>
            <w:r w:rsidRPr="004E5A6E">
              <w:rPr>
                <w:color w:val="auto"/>
                <w:sz w:val="20"/>
                <w:szCs w:val="20"/>
                <w:lang w:val="sq-AL"/>
              </w:rPr>
              <w:t>2. BPV Nominale</w:t>
            </w:r>
          </w:p>
        </w:tc>
        <w:tc>
          <w:tcPr>
            <w:tcW w:w="555" w:type="pct"/>
            <w:tcBorders>
              <w:top w:val="nil"/>
              <w:left w:val="dotted" w:sz="4" w:space="0" w:color="auto"/>
              <w:bottom w:val="double" w:sz="6" w:space="0" w:color="auto"/>
              <w:right w:val="single" w:sz="8" w:space="0" w:color="auto"/>
            </w:tcBorders>
            <w:shd w:val="clear" w:color="000000" w:fill="FFFFFF"/>
            <w:vAlign w:val="bottom"/>
            <w:hideMark/>
          </w:tcPr>
          <w:p w14:paraId="172CF179" w14:textId="77777777" w:rsidR="000244FF" w:rsidRPr="004E5A6E" w:rsidRDefault="000244FF" w:rsidP="000244FF">
            <w:pPr>
              <w:jc w:val="center"/>
              <w:rPr>
                <w:color w:val="auto"/>
                <w:sz w:val="20"/>
                <w:szCs w:val="20"/>
                <w:lang w:val="sq-AL"/>
              </w:rPr>
            </w:pPr>
            <w:r w:rsidRPr="004E5A6E">
              <w:rPr>
                <w:color w:val="auto"/>
                <w:sz w:val="20"/>
                <w:szCs w:val="20"/>
                <w:lang w:val="sq-AL"/>
              </w:rPr>
              <w:t>B1*g</w:t>
            </w:r>
          </w:p>
        </w:tc>
        <w:tc>
          <w:tcPr>
            <w:tcW w:w="592" w:type="pct"/>
            <w:tcBorders>
              <w:top w:val="nil"/>
              <w:left w:val="nil"/>
              <w:bottom w:val="nil"/>
              <w:right w:val="single" w:sz="8" w:space="0" w:color="auto"/>
            </w:tcBorders>
            <w:shd w:val="clear" w:color="000000" w:fill="FFFFFF"/>
            <w:vAlign w:val="bottom"/>
            <w:hideMark/>
          </w:tcPr>
          <w:p w14:paraId="32387637" w14:textId="77777777" w:rsidR="000244FF" w:rsidRPr="004E5A6E" w:rsidRDefault="000244FF" w:rsidP="000244FF">
            <w:pPr>
              <w:jc w:val="center"/>
              <w:rPr>
                <w:color w:val="auto"/>
                <w:sz w:val="20"/>
                <w:szCs w:val="20"/>
                <w:lang w:val="sq-AL"/>
              </w:rPr>
            </w:pPr>
            <w:r w:rsidRPr="004E5A6E">
              <w:rPr>
                <w:color w:val="auto"/>
                <w:sz w:val="20"/>
                <w:szCs w:val="20"/>
                <w:lang w:val="sq-AL"/>
              </w:rPr>
              <w:t>7,103.700</w:t>
            </w:r>
          </w:p>
        </w:tc>
        <w:tc>
          <w:tcPr>
            <w:tcW w:w="415" w:type="pct"/>
            <w:tcBorders>
              <w:top w:val="nil"/>
              <w:left w:val="nil"/>
              <w:bottom w:val="nil"/>
              <w:right w:val="dotted" w:sz="4" w:space="0" w:color="auto"/>
            </w:tcBorders>
            <w:shd w:val="clear" w:color="000000" w:fill="FFFFFF"/>
            <w:vAlign w:val="bottom"/>
            <w:hideMark/>
          </w:tcPr>
          <w:p w14:paraId="3B1BEBDB" w14:textId="77777777" w:rsidR="000244FF" w:rsidRPr="004E5A6E" w:rsidRDefault="000244FF" w:rsidP="000244FF">
            <w:pPr>
              <w:jc w:val="center"/>
              <w:rPr>
                <w:color w:val="auto"/>
                <w:sz w:val="20"/>
                <w:szCs w:val="20"/>
                <w:lang w:val="sq-AL"/>
              </w:rPr>
            </w:pPr>
            <w:r w:rsidRPr="004E5A6E">
              <w:rPr>
                <w:color w:val="auto"/>
                <w:sz w:val="20"/>
                <w:szCs w:val="20"/>
                <w:lang w:val="sq-AL"/>
              </w:rPr>
              <w:t>5.6</w:t>
            </w:r>
          </w:p>
        </w:tc>
        <w:tc>
          <w:tcPr>
            <w:tcW w:w="415" w:type="pct"/>
            <w:tcBorders>
              <w:top w:val="nil"/>
              <w:left w:val="nil"/>
              <w:bottom w:val="nil"/>
              <w:right w:val="dotted" w:sz="4" w:space="0" w:color="auto"/>
            </w:tcBorders>
            <w:shd w:val="clear" w:color="000000" w:fill="FFFFFF"/>
            <w:vAlign w:val="bottom"/>
            <w:hideMark/>
          </w:tcPr>
          <w:p w14:paraId="3933FC29" w14:textId="77777777" w:rsidR="000244FF" w:rsidRPr="004E5A6E" w:rsidRDefault="000244FF" w:rsidP="000244FF">
            <w:pPr>
              <w:jc w:val="center"/>
              <w:rPr>
                <w:color w:val="auto"/>
                <w:sz w:val="20"/>
                <w:szCs w:val="20"/>
                <w:lang w:val="sq-AL"/>
              </w:rPr>
            </w:pPr>
            <w:r w:rsidRPr="004E5A6E">
              <w:rPr>
                <w:color w:val="auto"/>
                <w:sz w:val="20"/>
                <w:szCs w:val="20"/>
                <w:lang w:val="sq-AL"/>
              </w:rPr>
              <w:t>-6.2</w:t>
            </w:r>
          </w:p>
        </w:tc>
        <w:tc>
          <w:tcPr>
            <w:tcW w:w="415" w:type="pct"/>
            <w:tcBorders>
              <w:top w:val="nil"/>
              <w:left w:val="nil"/>
              <w:bottom w:val="nil"/>
              <w:right w:val="dotted" w:sz="4" w:space="0" w:color="auto"/>
            </w:tcBorders>
            <w:shd w:val="clear" w:color="000000" w:fill="FFFFFF"/>
            <w:vAlign w:val="bottom"/>
            <w:hideMark/>
          </w:tcPr>
          <w:p w14:paraId="1A5D954D" w14:textId="77777777" w:rsidR="000244FF" w:rsidRPr="004E5A6E" w:rsidRDefault="000244FF" w:rsidP="000244FF">
            <w:pPr>
              <w:jc w:val="center"/>
              <w:rPr>
                <w:color w:val="auto"/>
                <w:sz w:val="20"/>
                <w:szCs w:val="20"/>
                <w:lang w:val="sq-AL"/>
              </w:rPr>
            </w:pPr>
            <w:r w:rsidRPr="004E5A6E">
              <w:rPr>
                <w:color w:val="auto"/>
                <w:sz w:val="20"/>
                <w:szCs w:val="20"/>
                <w:lang w:val="sq-AL"/>
              </w:rPr>
              <w:t>7.1</w:t>
            </w:r>
          </w:p>
        </w:tc>
        <w:tc>
          <w:tcPr>
            <w:tcW w:w="415" w:type="pct"/>
            <w:tcBorders>
              <w:top w:val="nil"/>
              <w:left w:val="nil"/>
              <w:bottom w:val="nil"/>
              <w:right w:val="dotted" w:sz="4" w:space="0" w:color="auto"/>
            </w:tcBorders>
            <w:shd w:val="clear" w:color="000000" w:fill="FFFFFF"/>
            <w:vAlign w:val="bottom"/>
            <w:hideMark/>
          </w:tcPr>
          <w:p w14:paraId="13356DBD" w14:textId="77777777" w:rsidR="000244FF" w:rsidRPr="004E5A6E" w:rsidRDefault="000244FF" w:rsidP="000244FF">
            <w:pPr>
              <w:jc w:val="center"/>
              <w:rPr>
                <w:color w:val="auto"/>
                <w:sz w:val="20"/>
                <w:szCs w:val="20"/>
                <w:lang w:val="sq-AL"/>
              </w:rPr>
            </w:pPr>
            <w:r w:rsidRPr="004E5A6E">
              <w:rPr>
                <w:color w:val="auto"/>
                <w:sz w:val="20"/>
                <w:szCs w:val="20"/>
                <w:lang w:val="sq-AL"/>
              </w:rPr>
              <w:t>5.3</w:t>
            </w:r>
          </w:p>
        </w:tc>
        <w:tc>
          <w:tcPr>
            <w:tcW w:w="387" w:type="pct"/>
            <w:tcBorders>
              <w:top w:val="nil"/>
              <w:left w:val="nil"/>
              <w:bottom w:val="nil"/>
              <w:right w:val="double" w:sz="6" w:space="0" w:color="auto"/>
            </w:tcBorders>
            <w:shd w:val="clear" w:color="000000" w:fill="FFFFFF"/>
            <w:vAlign w:val="bottom"/>
            <w:hideMark/>
          </w:tcPr>
          <w:p w14:paraId="03BF9912" w14:textId="77777777" w:rsidR="000244FF" w:rsidRPr="004E5A6E" w:rsidRDefault="000244FF" w:rsidP="000244FF">
            <w:pPr>
              <w:jc w:val="center"/>
              <w:rPr>
                <w:color w:val="auto"/>
                <w:sz w:val="20"/>
                <w:szCs w:val="20"/>
                <w:lang w:val="sq-AL"/>
              </w:rPr>
            </w:pPr>
            <w:r w:rsidRPr="004E5A6E">
              <w:rPr>
                <w:color w:val="auto"/>
                <w:sz w:val="20"/>
                <w:szCs w:val="20"/>
                <w:lang w:val="sq-AL"/>
              </w:rPr>
              <w:t>5.6</w:t>
            </w:r>
          </w:p>
        </w:tc>
      </w:tr>
      <w:tr w:rsidR="000244FF" w:rsidRPr="004E5A6E" w14:paraId="5FF24EDC" w14:textId="77777777" w:rsidTr="003B3804">
        <w:trPr>
          <w:trHeight w:val="302"/>
        </w:trPr>
        <w:tc>
          <w:tcPr>
            <w:tcW w:w="5000" w:type="pct"/>
            <w:gridSpan w:val="8"/>
            <w:tcBorders>
              <w:top w:val="double" w:sz="6" w:space="0" w:color="auto"/>
              <w:left w:val="double" w:sz="6" w:space="0" w:color="auto"/>
              <w:bottom w:val="double" w:sz="6" w:space="0" w:color="auto"/>
              <w:right w:val="double" w:sz="6" w:space="0" w:color="000000"/>
            </w:tcBorders>
            <w:shd w:val="clear" w:color="000000" w:fill="FFFFFF"/>
            <w:vAlign w:val="bottom"/>
            <w:hideMark/>
          </w:tcPr>
          <w:p w14:paraId="459AD536" w14:textId="77777777" w:rsidR="000244FF" w:rsidRPr="004E5A6E" w:rsidRDefault="000244FF" w:rsidP="000244FF">
            <w:pPr>
              <w:jc w:val="center"/>
              <w:rPr>
                <w:b/>
                <w:bCs/>
                <w:color w:val="auto"/>
                <w:sz w:val="20"/>
                <w:szCs w:val="20"/>
                <w:lang w:val="sq-AL"/>
              </w:rPr>
            </w:pPr>
            <w:r w:rsidRPr="004E5A6E">
              <w:rPr>
                <w:b/>
                <w:bCs/>
                <w:color w:val="auto"/>
                <w:sz w:val="20"/>
                <w:szCs w:val="20"/>
                <w:lang w:val="sq-AL"/>
              </w:rPr>
              <w:t>Komponentët e BPV-së</w:t>
            </w:r>
          </w:p>
        </w:tc>
      </w:tr>
      <w:tr w:rsidR="000244FF" w:rsidRPr="004E5A6E" w14:paraId="1A0E5916" w14:textId="77777777" w:rsidTr="003B3804">
        <w:trPr>
          <w:trHeight w:val="302"/>
        </w:trPr>
        <w:tc>
          <w:tcPr>
            <w:tcW w:w="1803" w:type="pct"/>
            <w:tcBorders>
              <w:top w:val="nil"/>
              <w:left w:val="double" w:sz="6" w:space="0" w:color="auto"/>
              <w:bottom w:val="dotted" w:sz="4" w:space="0" w:color="auto"/>
              <w:right w:val="nil"/>
            </w:tcBorders>
            <w:shd w:val="clear" w:color="000000" w:fill="FFFFFF"/>
            <w:vAlign w:val="bottom"/>
            <w:hideMark/>
          </w:tcPr>
          <w:p w14:paraId="6DC82A62" w14:textId="77777777" w:rsidR="000244FF" w:rsidRPr="004E5A6E" w:rsidRDefault="000244FF" w:rsidP="000244FF">
            <w:pPr>
              <w:rPr>
                <w:color w:val="auto"/>
                <w:sz w:val="20"/>
                <w:szCs w:val="20"/>
                <w:lang w:val="sq-AL"/>
              </w:rPr>
            </w:pPr>
            <w:r w:rsidRPr="004E5A6E">
              <w:rPr>
                <w:color w:val="auto"/>
                <w:sz w:val="20"/>
                <w:szCs w:val="20"/>
                <w:lang w:val="sq-AL"/>
              </w:rPr>
              <w:t>3. Konsumi privat</w:t>
            </w:r>
          </w:p>
        </w:tc>
        <w:tc>
          <w:tcPr>
            <w:tcW w:w="555" w:type="pct"/>
            <w:tcBorders>
              <w:top w:val="nil"/>
              <w:left w:val="dotted" w:sz="4" w:space="0" w:color="auto"/>
              <w:bottom w:val="dotted" w:sz="4" w:space="0" w:color="auto"/>
              <w:right w:val="single" w:sz="8" w:space="0" w:color="auto"/>
            </w:tcBorders>
            <w:shd w:val="clear" w:color="000000" w:fill="FFFFFF"/>
            <w:vAlign w:val="bottom"/>
            <w:hideMark/>
          </w:tcPr>
          <w:p w14:paraId="330ED0FD" w14:textId="77777777" w:rsidR="000244FF" w:rsidRPr="004E5A6E" w:rsidRDefault="000244FF" w:rsidP="000244FF">
            <w:pPr>
              <w:jc w:val="center"/>
              <w:rPr>
                <w:color w:val="auto"/>
                <w:sz w:val="20"/>
                <w:szCs w:val="20"/>
                <w:lang w:val="sq-AL"/>
              </w:rPr>
            </w:pPr>
            <w:r w:rsidRPr="004E5A6E">
              <w:rPr>
                <w:color w:val="auto"/>
                <w:sz w:val="20"/>
                <w:szCs w:val="20"/>
                <w:lang w:val="sq-AL"/>
              </w:rPr>
              <w:t>P3</w:t>
            </w:r>
          </w:p>
        </w:tc>
        <w:tc>
          <w:tcPr>
            <w:tcW w:w="592" w:type="pct"/>
            <w:tcBorders>
              <w:top w:val="nil"/>
              <w:left w:val="nil"/>
              <w:bottom w:val="dotted" w:sz="4" w:space="0" w:color="auto"/>
              <w:right w:val="single" w:sz="8" w:space="0" w:color="auto"/>
            </w:tcBorders>
            <w:shd w:val="clear" w:color="000000" w:fill="FFFFFF"/>
            <w:vAlign w:val="bottom"/>
            <w:hideMark/>
          </w:tcPr>
          <w:p w14:paraId="5A74363A" w14:textId="77777777" w:rsidR="000244FF" w:rsidRPr="004E5A6E" w:rsidRDefault="000244FF" w:rsidP="000244FF">
            <w:pPr>
              <w:jc w:val="center"/>
              <w:rPr>
                <w:color w:val="auto"/>
                <w:sz w:val="20"/>
                <w:szCs w:val="20"/>
                <w:lang w:val="sq-AL"/>
              </w:rPr>
            </w:pPr>
            <w:r w:rsidRPr="004E5A6E">
              <w:rPr>
                <w:color w:val="auto"/>
                <w:sz w:val="20"/>
                <w:szCs w:val="20"/>
                <w:lang w:val="sq-AL"/>
              </w:rPr>
              <w:t>5,776.200</w:t>
            </w:r>
          </w:p>
        </w:tc>
        <w:tc>
          <w:tcPr>
            <w:tcW w:w="415" w:type="pct"/>
            <w:tcBorders>
              <w:top w:val="nil"/>
              <w:left w:val="nil"/>
              <w:bottom w:val="dotted" w:sz="4" w:space="0" w:color="auto"/>
              <w:right w:val="dotted" w:sz="4" w:space="0" w:color="auto"/>
            </w:tcBorders>
            <w:shd w:val="clear" w:color="000000" w:fill="FFFFFF"/>
            <w:vAlign w:val="bottom"/>
            <w:hideMark/>
          </w:tcPr>
          <w:p w14:paraId="37513161" w14:textId="77777777" w:rsidR="000244FF" w:rsidRPr="004E5A6E" w:rsidRDefault="000244FF" w:rsidP="000244FF">
            <w:pPr>
              <w:jc w:val="center"/>
              <w:rPr>
                <w:color w:val="auto"/>
                <w:sz w:val="20"/>
                <w:szCs w:val="20"/>
                <w:lang w:val="sq-AL"/>
              </w:rPr>
            </w:pPr>
            <w:r w:rsidRPr="004E5A6E">
              <w:rPr>
                <w:color w:val="auto"/>
                <w:sz w:val="20"/>
                <w:szCs w:val="20"/>
                <w:lang w:val="sq-AL"/>
              </w:rPr>
              <w:t>0.3</w:t>
            </w:r>
          </w:p>
        </w:tc>
        <w:tc>
          <w:tcPr>
            <w:tcW w:w="415" w:type="pct"/>
            <w:tcBorders>
              <w:top w:val="nil"/>
              <w:left w:val="nil"/>
              <w:bottom w:val="dotted" w:sz="4" w:space="0" w:color="auto"/>
              <w:right w:val="dotted" w:sz="4" w:space="0" w:color="auto"/>
            </w:tcBorders>
            <w:shd w:val="clear" w:color="000000" w:fill="FFFFFF"/>
            <w:vAlign w:val="bottom"/>
            <w:hideMark/>
          </w:tcPr>
          <w:p w14:paraId="40E015B4" w14:textId="77777777" w:rsidR="000244FF" w:rsidRPr="004E5A6E" w:rsidRDefault="000244FF" w:rsidP="000244FF">
            <w:pPr>
              <w:jc w:val="center"/>
              <w:rPr>
                <w:color w:val="auto"/>
                <w:sz w:val="20"/>
                <w:szCs w:val="20"/>
                <w:lang w:val="sq-AL"/>
              </w:rPr>
            </w:pPr>
            <w:r w:rsidRPr="004E5A6E">
              <w:rPr>
                <w:color w:val="auto"/>
                <w:sz w:val="20"/>
                <w:szCs w:val="20"/>
                <w:lang w:val="sq-AL"/>
              </w:rPr>
              <w:t>-0.3</w:t>
            </w:r>
          </w:p>
        </w:tc>
        <w:tc>
          <w:tcPr>
            <w:tcW w:w="415" w:type="pct"/>
            <w:tcBorders>
              <w:top w:val="nil"/>
              <w:left w:val="nil"/>
              <w:bottom w:val="dotted" w:sz="4" w:space="0" w:color="auto"/>
              <w:right w:val="dotted" w:sz="4" w:space="0" w:color="auto"/>
            </w:tcBorders>
            <w:shd w:val="clear" w:color="000000" w:fill="FFFFFF"/>
            <w:vAlign w:val="bottom"/>
            <w:hideMark/>
          </w:tcPr>
          <w:p w14:paraId="6FAD6E75" w14:textId="77777777" w:rsidR="000244FF" w:rsidRPr="004E5A6E" w:rsidRDefault="000244FF" w:rsidP="000244FF">
            <w:pPr>
              <w:jc w:val="center"/>
              <w:rPr>
                <w:color w:val="auto"/>
                <w:sz w:val="20"/>
                <w:szCs w:val="20"/>
                <w:lang w:val="sq-AL"/>
              </w:rPr>
            </w:pPr>
            <w:r w:rsidRPr="004E5A6E">
              <w:rPr>
                <w:color w:val="auto"/>
                <w:sz w:val="20"/>
                <w:szCs w:val="20"/>
                <w:lang w:val="sq-AL"/>
              </w:rPr>
              <w:t>1.4</w:t>
            </w:r>
          </w:p>
        </w:tc>
        <w:tc>
          <w:tcPr>
            <w:tcW w:w="415" w:type="pct"/>
            <w:tcBorders>
              <w:top w:val="nil"/>
              <w:left w:val="nil"/>
              <w:bottom w:val="dotted" w:sz="4" w:space="0" w:color="auto"/>
              <w:right w:val="dotted" w:sz="4" w:space="0" w:color="auto"/>
            </w:tcBorders>
            <w:shd w:val="clear" w:color="000000" w:fill="FFFFFF"/>
            <w:vAlign w:val="bottom"/>
            <w:hideMark/>
          </w:tcPr>
          <w:p w14:paraId="6B737710" w14:textId="77777777" w:rsidR="000244FF" w:rsidRPr="004E5A6E" w:rsidRDefault="000244FF" w:rsidP="000244FF">
            <w:pPr>
              <w:jc w:val="center"/>
              <w:rPr>
                <w:color w:val="auto"/>
                <w:sz w:val="20"/>
                <w:szCs w:val="20"/>
                <w:lang w:val="sq-AL"/>
              </w:rPr>
            </w:pPr>
            <w:r w:rsidRPr="004E5A6E">
              <w:rPr>
                <w:color w:val="auto"/>
                <w:sz w:val="20"/>
                <w:szCs w:val="20"/>
                <w:lang w:val="sq-AL"/>
              </w:rPr>
              <w:t>3.3</w:t>
            </w:r>
          </w:p>
        </w:tc>
        <w:tc>
          <w:tcPr>
            <w:tcW w:w="387" w:type="pct"/>
            <w:tcBorders>
              <w:top w:val="nil"/>
              <w:left w:val="nil"/>
              <w:bottom w:val="dotted" w:sz="4" w:space="0" w:color="auto"/>
              <w:right w:val="double" w:sz="6" w:space="0" w:color="auto"/>
            </w:tcBorders>
            <w:shd w:val="clear" w:color="000000" w:fill="FFFFFF"/>
            <w:vAlign w:val="bottom"/>
            <w:hideMark/>
          </w:tcPr>
          <w:p w14:paraId="47AB84B1" w14:textId="77777777" w:rsidR="000244FF" w:rsidRPr="004E5A6E" w:rsidRDefault="000244FF" w:rsidP="000244FF">
            <w:pPr>
              <w:jc w:val="center"/>
              <w:rPr>
                <w:color w:val="auto"/>
                <w:sz w:val="20"/>
                <w:szCs w:val="20"/>
                <w:lang w:val="sq-AL"/>
              </w:rPr>
            </w:pPr>
            <w:r w:rsidRPr="004E5A6E">
              <w:rPr>
                <w:color w:val="auto"/>
                <w:sz w:val="20"/>
                <w:szCs w:val="20"/>
                <w:lang w:val="sq-AL"/>
              </w:rPr>
              <w:t>2.7</w:t>
            </w:r>
          </w:p>
        </w:tc>
      </w:tr>
      <w:tr w:rsidR="000244FF" w:rsidRPr="004E5A6E" w14:paraId="6CA7E4F4" w14:textId="77777777" w:rsidTr="003B3804">
        <w:trPr>
          <w:trHeight w:val="302"/>
        </w:trPr>
        <w:tc>
          <w:tcPr>
            <w:tcW w:w="1803" w:type="pct"/>
            <w:tcBorders>
              <w:top w:val="nil"/>
              <w:left w:val="double" w:sz="6" w:space="0" w:color="auto"/>
              <w:bottom w:val="dotted" w:sz="4" w:space="0" w:color="auto"/>
              <w:right w:val="nil"/>
            </w:tcBorders>
            <w:shd w:val="clear" w:color="000000" w:fill="FFFFFF"/>
            <w:vAlign w:val="bottom"/>
            <w:hideMark/>
          </w:tcPr>
          <w:p w14:paraId="337C7237" w14:textId="77777777" w:rsidR="000244FF" w:rsidRPr="004E5A6E" w:rsidRDefault="000244FF" w:rsidP="000244FF">
            <w:pPr>
              <w:rPr>
                <w:color w:val="auto"/>
                <w:sz w:val="20"/>
                <w:szCs w:val="20"/>
                <w:lang w:val="sq-AL"/>
              </w:rPr>
            </w:pPr>
            <w:r w:rsidRPr="004E5A6E">
              <w:rPr>
                <w:color w:val="auto"/>
                <w:sz w:val="20"/>
                <w:szCs w:val="20"/>
                <w:lang w:val="sq-AL"/>
              </w:rPr>
              <w:t>4. Konsumi publik</w:t>
            </w:r>
          </w:p>
        </w:tc>
        <w:tc>
          <w:tcPr>
            <w:tcW w:w="555" w:type="pct"/>
            <w:tcBorders>
              <w:top w:val="nil"/>
              <w:left w:val="dotted" w:sz="4" w:space="0" w:color="auto"/>
              <w:bottom w:val="dotted" w:sz="4" w:space="0" w:color="auto"/>
              <w:right w:val="single" w:sz="8" w:space="0" w:color="auto"/>
            </w:tcBorders>
            <w:shd w:val="clear" w:color="000000" w:fill="FFFFFF"/>
            <w:vAlign w:val="bottom"/>
            <w:hideMark/>
          </w:tcPr>
          <w:p w14:paraId="48367DEC" w14:textId="77777777" w:rsidR="000244FF" w:rsidRPr="004E5A6E" w:rsidRDefault="000244FF" w:rsidP="000244FF">
            <w:pPr>
              <w:jc w:val="center"/>
              <w:rPr>
                <w:color w:val="auto"/>
                <w:sz w:val="20"/>
                <w:szCs w:val="20"/>
                <w:lang w:val="sq-AL"/>
              </w:rPr>
            </w:pPr>
            <w:r w:rsidRPr="004E5A6E">
              <w:rPr>
                <w:color w:val="auto"/>
                <w:sz w:val="20"/>
                <w:szCs w:val="20"/>
                <w:lang w:val="sq-AL"/>
              </w:rPr>
              <w:t>P3</w:t>
            </w:r>
          </w:p>
        </w:tc>
        <w:tc>
          <w:tcPr>
            <w:tcW w:w="592" w:type="pct"/>
            <w:tcBorders>
              <w:top w:val="nil"/>
              <w:left w:val="nil"/>
              <w:bottom w:val="dotted" w:sz="4" w:space="0" w:color="auto"/>
              <w:right w:val="single" w:sz="8" w:space="0" w:color="auto"/>
            </w:tcBorders>
            <w:shd w:val="clear" w:color="000000" w:fill="FFFFFF"/>
            <w:vAlign w:val="bottom"/>
            <w:hideMark/>
          </w:tcPr>
          <w:p w14:paraId="6D89ADAF" w14:textId="77777777" w:rsidR="000244FF" w:rsidRPr="004E5A6E" w:rsidRDefault="000244FF" w:rsidP="000244FF">
            <w:pPr>
              <w:jc w:val="center"/>
              <w:rPr>
                <w:color w:val="auto"/>
                <w:sz w:val="20"/>
                <w:szCs w:val="20"/>
                <w:lang w:val="sq-AL"/>
              </w:rPr>
            </w:pPr>
            <w:r w:rsidRPr="004E5A6E">
              <w:rPr>
                <w:color w:val="auto"/>
                <w:sz w:val="20"/>
                <w:szCs w:val="20"/>
                <w:lang w:val="sq-AL"/>
              </w:rPr>
              <w:t>1,033.400</w:t>
            </w:r>
          </w:p>
        </w:tc>
        <w:tc>
          <w:tcPr>
            <w:tcW w:w="415" w:type="pct"/>
            <w:tcBorders>
              <w:top w:val="nil"/>
              <w:left w:val="nil"/>
              <w:bottom w:val="dotted" w:sz="4" w:space="0" w:color="auto"/>
              <w:right w:val="dotted" w:sz="4" w:space="0" w:color="auto"/>
            </w:tcBorders>
            <w:shd w:val="clear" w:color="000000" w:fill="FFFFFF"/>
            <w:vAlign w:val="bottom"/>
            <w:hideMark/>
          </w:tcPr>
          <w:p w14:paraId="55D90271" w14:textId="77777777" w:rsidR="000244FF" w:rsidRPr="004E5A6E" w:rsidRDefault="000244FF" w:rsidP="000244FF">
            <w:pPr>
              <w:jc w:val="center"/>
              <w:rPr>
                <w:color w:val="auto"/>
                <w:sz w:val="20"/>
                <w:szCs w:val="20"/>
                <w:lang w:val="sq-AL"/>
              </w:rPr>
            </w:pPr>
            <w:r w:rsidRPr="004E5A6E">
              <w:rPr>
                <w:color w:val="auto"/>
                <w:sz w:val="20"/>
                <w:szCs w:val="20"/>
                <w:lang w:val="sq-AL"/>
              </w:rPr>
              <w:t>9.6</w:t>
            </w:r>
          </w:p>
        </w:tc>
        <w:tc>
          <w:tcPr>
            <w:tcW w:w="415" w:type="pct"/>
            <w:tcBorders>
              <w:top w:val="nil"/>
              <w:left w:val="nil"/>
              <w:bottom w:val="dotted" w:sz="4" w:space="0" w:color="auto"/>
              <w:right w:val="dotted" w:sz="4" w:space="0" w:color="auto"/>
            </w:tcBorders>
            <w:shd w:val="clear" w:color="000000" w:fill="FFFFFF"/>
            <w:vAlign w:val="bottom"/>
            <w:hideMark/>
          </w:tcPr>
          <w:p w14:paraId="013F8A3D" w14:textId="77777777" w:rsidR="000244FF" w:rsidRPr="004E5A6E" w:rsidRDefault="000244FF" w:rsidP="000244FF">
            <w:pPr>
              <w:jc w:val="center"/>
              <w:rPr>
                <w:color w:val="auto"/>
                <w:sz w:val="20"/>
                <w:szCs w:val="20"/>
                <w:lang w:val="sq-AL"/>
              </w:rPr>
            </w:pPr>
            <w:r w:rsidRPr="004E5A6E">
              <w:rPr>
                <w:color w:val="auto"/>
                <w:sz w:val="20"/>
                <w:szCs w:val="20"/>
                <w:lang w:val="sq-AL"/>
              </w:rPr>
              <w:t>1.3</w:t>
            </w:r>
          </w:p>
        </w:tc>
        <w:tc>
          <w:tcPr>
            <w:tcW w:w="415" w:type="pct"/>
            <w:tcBorders>
              <w:top w:val="nil"/>
              <w:left w:val="nil"/>
              <w:bottom w:val="dotted" w:sz="4" w:space="0" w:color="auto"/>
              <w:right w:val="dotted" w:sz="4" w:space="0" w:color="auto"/>
            </w:tcBorders>
            <w:shd w:val="clear" w:color="000000" w:fill="FFFFFF"/>
            <w:vAlign w:val="bottom"/>
            <w:hideMark/>
          </w:tcPr>
          <w:p w14:paraId="7DA6E9D3" w14:textId="77777777" w:rsidR="000244FF" w:rsidRPr="004E5A6E" w:rsidRDefault="000244FF" w:rsidP="000244FF">
            <w:pPr>
              <w:jc w:val="center"/>
              <w:rPr>
                <w:color w:val="auto"/>
                <w:sz w:val="20"/>
                <w:szCs w:val="20"/>
                <w:lang w:val="sq-AL"/>
              </w:rPr>
            </w:pPr>
            <w:r w:rsidRPr="004E5A6E">
              <w:rPr>
                <w:color w:val="auto"/>
                <w:sz w:val="20"/>
                <w:szCs w:val="20"/>
                <w:lang w:val="sq-AL"/>
              </w:rPr>
              <w:t>1.5</w:t>
            </w:r>
          </w:p>
        </w:tc>
        <w:tc>
          <w:tcPr>
            <w:tcW w:w="415" w:type="pct"/>
            <w:tcBorders>
              <w:top w:val="nil"/>
              <w:left w:val="nil"/>
              <w:bottom w:val="dotted" w:sz="4" w:space="0" w:color="auto"/>
              <w:right w:val="dotted" w:sz="4" w:space="0" w:color="auto"/>
            </w:tcBorders>
            <w:shd w:val="clear" w:color="000000" w:fill="FFFFFF"/>
            <w:vAlign w:val="bottom"/>
            <w:hideMark/>
          </w:tcPr>
          <w:p w14:paraId="07652F2E" w14:textId="77777777" w:rsidR="000244FF" w:rsidRPr="004E5A6E" w:rsidRDefault="000244FF" w:rsidP="000244FF">
            <w:pPr>
              <w:jc w:val="center"/>
              <w:rPr>
                <w:color w:val="auto"/>
                <w:sz w:val="20"/>
                <w:szCs w:val="20"/>
                <w:lang w:val="sq-AL"/>
              </w:rPr>
            </w:pPr>
            <w:r w:rsidRPr="004E5A6E">
              <w:rPr>
                <w:color w:val="auto"/>
                <w:sz w:val="20"/>
                <w:szCs w:val="20"/>
                <w:lang w:val="sq-AL"/>
              </w:rPr>
              <w:t>3.1</w:t>
            </w:r>
          </w:p>
        </w:tc>
        <w:tc>
          <w:tcPr>
            <w:tcW w:w="387" w:type="pct"/>
            <w:tcBorders>
              <w:top w:val="nil"/>
              <w:left w:val="nil"/>
              <w:bottom w:val="dotted" w:sz="4" w:space="0" w:color="auto"/>
              <w:right w:val="double" w:sz="6" w:space="0" w:color="auto"/>
            </w:tcBorders>
            <w:shd w:val="clear" w:color="000000" w:fill="FFFFFF"/>
            <w:vAlign w:val="bottom"/>
            <w:hideMark/>
          </w:tcPr>
          <w:p w14:paraId="4FCFA98A" w14:textId="77777777" w:rsidR="000244FF" w:rsidRPr="004E5A6E" w:rsidRDefault="000244FF" w:rsidP="000244FF">
            <w:pPr>
              <w:jc w:val="center"/>
              <w:rPr>
                <w:color w:val="auto"/>
                <w:sz w:val="20"/>
                <w:szCs w:val="20"/>
                <w:lang w:val="sq-AL"/>
              </w:rPr>
            </w:pPr>
            <w:r w:rsidRPr="004E5A6E">
              <w:rPr>
                <w:color w:val="auto"/>
                <w:sz w:val="20"/>
                <w:szCs w:val="20"/>
                <w:lang w:val="sq-AL"/>
              </w:rPr>
              <w:t>2.5</w:t>
            </w:r>
          </w:p>
        </w:tc>
      </w:tr>
      <w:tr w:rsidR="000244FF" w:rsidRPr="004E5A6E" w14:paraId="5099A5B8" w14:textId="77777777" w:rsidTr="003B3804">
        <w:trPr>
          <w:trHeight w:val="302"/>
        </w:trPr>
        <w:tc>
          <w:tcPr>
            <w:tcW w:w="1803" w:type="pct"/>
            <w:tcBorders>
              <w:top w:val="nil"/>
              <w:left w:val="double" w:sz="6" w:space="0" w:color="auto"/>
              <w:bottom w:val="dotted" w:sz="4" w:space="0" w:color="auto"/>
              <w:right w:val="nil"/>
            </w:tcBorders>
            <w:shd w:val="clear" w:color="000000" w:fill="FFFFFF"/>
            <w:vAlign w:val="bottom"/>
            <w:hideMark/>
          </w:tcPr>
          <w:p w14:paraId="00074BF9" w14:textId="77777777" w:rsidR="000244FF" w:rsidRPr="004E5A6E" w:rsidRDefault="000244FF" w:rsidP="000244FF">
            <w:pPr>
              <w:rPr>
                <w:color w:val="auto"/>
                <w:sz w:val="20"/>
                <w:szCs w:val="20"/>
                <w:lang w:val="sq-AL"/>
              </w:rPr>
            </w:pPr>
            <w:r w:rsidRPr="004E5A6E">
              <w:rPr>
                <w:color w:val="auto"/>
                <w:sz w:val="20"/>
                <w:szCs w:val="20"/>
                <w:lang w:val="sq-AL"/>
              </w:rPr>
              <w:t>5. Formimi I kapitalit bruto</w:t>
            </w:r>
          </w:p>
        </w:tc>
        <w:tc>
          <w:tcPr>
            <w:tcW w:w="555" w:type="pct"/>
            <w:tcBorders>
              <w:top w:val="nil"/>
              <w:left w:val="dotted" w:sz="4" w:space="0" w:color="auto"/>
              <w:bottom w:val="dotted" w:sz="4" w:space="0" w:color="auto"/>
              <w:right w:val="single" w:sz="8" w:space="0" w:color="auto"/>
            </w:tcBorders>
            <w:shd w:val="clear" w:color="000000" w:fill="FFFFFF"/>
            <w:vAlign w:val="bottom"/>
            <w:hideMark/>
          </w:tcPr>
          <w:p w14:paraId="32FA2F27" w14:textId="77777777" w:rsidR="000244FF" w:rsidRPr="004E5A6E" w:rsidRDefault="000244FF" w:rsidP="000244FF">
            <w:pPr>
              <w:jc w:val="center"/>
              <w:rPr>
                <w:color w:val="auto"/>
                <w:sz w:val="20"/>
                <w:szCs w:val="20"/>
                <w:lang w:val="sq-AL"/>
              </w:rPr>
            </w:pPr>
            <w:r w:rsidRPr="004E5A6E">
              <w:rPr>
                <w:color w:val="auto"/>
                <w:sz w:val="20"/>
                <w:szCs w:val="20"/>
                <w:lang w:val="sq-AL"/>
              </w:rPr>
              <w:t>P51</w:t>
            </w:r>
          </w:p>
        </w:tc>
        <w:tc>
          <w:tcPr>
            <w:tcW w:w="592" w:type="pct"/>
            <w:tcBorders>
              <w:top w:val="nil"/>
              <w:left w:val="nil"/>
              <w:bottom w:val="dotted" w:sz="4" w:space="0" w:color="auto"/>
              <w:right w:val="single" w:sz="8" w:space="0" w:color="auto"/>
            </w:tcBorders>
            <w:shd w:val="clear" w:color="000000" w:fill="FFFFFF"/>
            <w:vAlign w:val="bottom"/>
            <w:hideMark/>
          </w:tcPr>
          <w:p w14:paraId="42EFBEA4" w14:textId="77777777" w:rsidR="000244FF" w:rsidRPr="004E5A6E" w:rsidRDefault="000244FF" w:rsidP="000244FF">
            <w:pPr>
              <w:jc w:val="center"/>
              <w:rPr>
                <w:color w:val="auto"/>
                <w:sz w:val="20"/>
                <w:szCs w:val="20"/>
                <w:lang w:val="sq-AL"/>
              </w:rPr>
            </w:pPr>
            <w:r w:rsidRPr="004E5A6E">
              <w:rPr>
                <w:color w:val="auto"/>
                <w:sz w:val="20"/>
                <w:szCs w:val="20"/>
                <w:lang w:val="sq-AL"/>
              </w:rPr>
              <w:t>2,016.800</w:t>
            </w:r>
          </w:p>
        </w:tc>
        <w:tc>
          <w:tcPr>
            <w:tcW w:w="415" w:type="pct"/>
            <w:tcBorders>
              <w:top w:val="nil"/>
              <w:left w:val="nil"/>
              <w:bottom w:val="dotted" w:sz="4" w:space="0" w:color="auto"/>
              <w:right w:val="dotted" w:sz="4" w:space="0" w:color="auto"/>
            </w:tcBorders>
            <w:shd w:val="clear" w:color="000000" w:fill="FFFFFF"/>
            <w:vAlign w:val="bottom"/>
            <w:hideMark/>
          </w:tcPr>
          <w:p w14:paraId="02716808" w14:textId="77777777" w:rsidR="000244FF" w:rsidRPr="004E5A6E" w:rsidRDefault="000244FF" w:rsidP="000244FF">
            <w:pPr>
              <w:jc w:val="center"/>
              <w:rPr>
                <w:color w:val="auto"/>
                <w:sz w:val="20"/>
                <w:szCs w:val="20"/>
                <w:lang w:val="sq-AL"/>
              </w:rPr>
            </w:pPr>
            <w:r w:rsidRPr="004E5A6E">
              <w:rPr>
                <w:color w:val="auto"/>
                <w:sz w:val="20"/>
                <w:szCs w:val="20"/>
                <w:lang w:val="sq-AL"/>
              </w:rPr>
              <w:t>6.8</w:t>
            </w:r>
          </w:p>
        </w:tc>
        <w:tc>
          <w:tcPr>
            <w:tcW w:w="415" w:type="pct"/>
            <w:tcBorders>
              <w:top w:val="nil"/>
              <w:left w:val="nil"/>
              <w:bottom w:val="dotted" w:sz="4" w:space="0" w:color="auto"/>
              <w:right w:val="dotted" w:sz="4" w:space="0" w:color="auto"/>
            </w:tcBorders>
            <w:shd w:val="clear" w:color="000000" w:fill="FFFFFF"/>
            <w:vAlign w:val="bottom"/>
            <w:hideMark/>
          </w:tcPr>
          <w:p w14:paraId="53B0B533" w14:textId="77777777" w:rsidR="000244FF" w:rsidRPr="004E5A6E" w:rsidRDefault="000244FF" w:rsidP="000244FF">
            <w:pPr>
              <w:jc w:val="center"/>
              <w:rPr>
                <w:color w:val="auto"/>
                <w:sz w:val="20"/>
                <w:szCs w:val="20"/>
                <w:lang w:val="sq-AL"/>
              </w:rPr>
            </w:pPr>
            <w:r w:rsidRPr="004E5A6E">
              <w:rPr>
                <w:color w:val="auto"/>
                <w:sz w:val="20"/>
                <w:szCs w:val="20"/>
                <w:lang w:val="sq-AL"/>
              </w:rPr>
              <w:t>-19.2</w:t>
            </w:r>
          </w:p>
        </w:tc>
        <w:tc>
          <w:tcPr>
            <w:tcW w:w="415" w:type="pct"/>
            <w:tcBorders>
              <w:top w:val="nil"/>
              <w:left w:val="nil"/>
              <w:bottom w:val="dotted" w:sz="4" w:space="0" w:color="auto"/>
              <w:right w:val="dotted" w:sz="4" w:space="0" w:color="auto"/>
            </w:tcBorders>
            <w:shd w:val="clear" w:color="000000" w:fill="FFFFFF"/>
            <w:vAlign w:val="bottom"/>
            <w:hideMark/>
          </w:tcPr>
          <w:p w14:paraId="3D244B82" w14:textId="77777777" w:rsidR="000244FF" w:rsidRPr="004E5A6E" w:rsidRDefault="000244FF" w:rsidP="000244FF">
            <w:pPr>
              <w:jc w:val="center"/>
              <w:rPr>
                <w:color w:val="auto"/>
                <w:sz w:val="20"/>
                <w:szCs w:val="20"/>
                <w:lang w:val="sq-AL"/>
              </w:rPr>
            </w:pPr>
            <w:r w:rsidRPr="004E5A6E">
              <w:rPr>
                <w:color w:val="auto"/>
                <w:sz w:val="20"/>
                <w:szCs w:val="20"/>
                <w:lang w:val="sq-AL"/>
              </w:rPr>
              <w:t>16.0</w:t>
            </w:r>
          </w:p>
        </w:tc>
        <w:tc>
          <w:tcPr>
            <w:tcW w:w="415" w:type="pct"/>
            <w:tcBorders>
              <w:top w:val="nil"/>
              <w:left w:val="nil"/>
              <w:bottom w:val="dotted" w:sz="4" w:space="0" w:color="auto"/>
              <w:right w:val="dotted" w:sz="4" w:space="0" w:color="auto"/>
            </w:tcBorders>
            <w:shd w:val="clear" w:color="000000" w:fill="FFFFFF"/>
            <w:vAlign w:val="bottom"/>
            <w:hideMark/>
          </w:tcPr>
          <w:p w14:paraId="34718CE0" w14:textId="77777777" w:rsidR="000244FF" w:rsidRPr="004E5A6E" w:rsidRDefault="000244FF" w:rsidP="000244FF">
            <w:pPr>
              <w:jc w:val="center"/>
              <w:rPr>
                <w:color w:val="auto"/>
                <w:sz w:val="20"/>
                <w:szCs w:val="20"/>
                <w:lang w:val="sq-AL"/>
              </w:rPr>
            </w:pPr>
            <w:r w:rsidRPr="004E5A6E">
              <w:rPr>
                <w:color w:val="auto"/>
                <w:sz w:val="20"/>
                <w:szCs w:val="20"/>
                <w:lang w:val="sq-AL"/>
              </w:rPr>
              <w:t>8.9</w:t>
            </w:r>
          </w:p>
        </w:tc>
        <w:tc>
          <w:tcPr>
            <w:tcW w:w="387" w:type="pct"/>
            <w:tcBorders>
              <w:top w:val="nil"/>
              <w:left w:val="nil"/>
              <w:bottom w:val="dotted" w:sz="4" w:space="0" w:color="auto"/>
              <w:right w:val="double" w:sz="6" w:space="0" w:color="auto"/>
            </w:tcBorders>
            <w:shd w:val="clear" w:color="000000" w:fill="FFFFFF"/>
            <w:vAlign w:val="bottom"/>
            <w:hideMark/>
          </w:tcPr>
          <w:p w14:paraId="03362E44" w14:textId="77777777" w:rsidR="000244FF" w:rsidRPr="004E5A6E" w:rsidRDefault="000244FF" w:rsidP="000244FF">
            <w:pPr>
              <w:jc w:val="center"/>
              <w:rPr>
                <w:color w:val="auto"/>
                <w:sz w:val="20"/>
                <w:szCs w:val="20"/>
                <w:lang w:val="sq-AL"/>
              </w:rPr>
            </w:pPr>
            <w:r w:rsidRPr="004E5A6E">
              <w:rPr>
                <w:color w:val="auto"/>
                <w:sz w:val="20"/>
                <w:szCs w:val="20"/>
                <w:lang w:val="sq-AL"/>
              </w:rPr>
              <w:t>7.3</w:t>
            </w:r>
          </w:p>
        </w:tc>
      </w:tr>
      <w:tr w:rsidR="000244FF" w:rsidRPr="004E5A6E" w14:paraId="53294DBE" w14:textId="77777777" w:rsidTr="003B3804">
        <w:trPr>
          <w:trHeight w:val="457"/>
        </w:trPr>
        <w:tc>
          <w:tcPr>
            <w:tcW w:w="1803" w:type="pct"/>
            <w:tcBorders>
              <w:top w:val="nil"/>
              <w:left w:val="double" w:sz="6" w:space="0" w:color="auto"/>
              <w:bottom w:val="dotted" w:sz="4" w:space="0" w:color="auto"/>
              <w:right w:val="nil"/>
            </w:tcBorders>
            <w:shd w:val="clear" w:color="000000" w:fill="FFFFFF"/>
            <w:vAlign w:val="bottom"/>
            <w:hideMark/>
          </w:tcPr>
          <w:p w14:paraId="31775478" w14:textId="77777777" w:rsidR="000244FF" w:rsidRPr="004E5A6E" w:rsidRDefault="000244FF" w:rsidP="000244FF">
            <w:pPr>
              <w:rPr>
                <w:color w:val="auto"/>
                <w:sz w:val="20"/>
                <w:szCs w:val="20"/>
                <w:lang w:val="sq-AL"/>
              </w:rPr>
            </w:pPr>
            <w:r w:rsidRPr="004E5A6E">
              <w:rPr>
                <w:color w:val="auto"/>
                <w:sz w:val="20"/>
                <w:szCs w:val="20"/>
                <w:lang w:val="sq-AL"/>
              </w:rPr>
              <w:t>6. Ndryshimi në inventar dhe fitimi</w:t>
            </w:r>
            <w:r w:rsidRPr="004E5A6E">
              <w:rPr>
                <w:color w:val="auto"/>
                <w:sz w:val="20"/>
                <w:szCs w:val="20"/>
                <w:lang w:val="sq-AL"/>
              </w:rPr>
              <w:br/>
              <w:t xml:space="preserve">neto (% e BPV-së) </w:t>
            </w:r>
          </w:p>
        </w:tc>
        <w:tc>
          <w:tcPr>
            <w:tcW w:w="555" w:type="pct"/>
            <w:tcBorders>
              <w:top w:val="nil"/>
              <w:left w:val="dotted" w:sz="4" w:space="0" w:color="auto"/>
              <w:bottom w:val="dotted" w:sz="4" w:space="0" w:color="auto"/>
              <w:right w:val="single" w:sz="8" w:space="0" w:color="auto"/>
            </w:tcBorders>
            <w:shd w:val="clear" w:color="000000" w:fill="FFFFFF"/>
            <w:vAlign w:val="bottom"/>
            <w:hideMark/>
          </w:tcPr>
          <w:p w14:paraId="49F05B28" w14:textId="77777777" w:rsidR="000244FF" w:rsidRPr="004E5A6E" w:rsidRDefault="000244FF" w:rsidP="000244FF">
            <w:pPr>
              <w:jc w:val="center"/>
              <w:rPr>
                <w:color w:val="auto"/>
                <w:sz w:val="20"/>
                <w:szCs w:val="20"/>
                <w:lang w:val="sq-AL"/>
              </w:rPr>
            </w:pPr>
            <w:r w:rsidRPr="004E5A6E">
              <w:rPr>
                <w:color w:val="auto"/>
                <w:sz w:val="20"/>
                <w:szCs w:val="20"/>
                <w:lang w:val="sq-AL"/>
              </w:rPr>
              <w:t>P52+P53</w:t>
            </w:r>
          </w:p>
        </w:tc>
        <w:tc>
          <w:tcPr>
            <w:tcW w:w="592" w:type="pct"/>
            <w:tcBorders>
              <w:top w:val="nil"/>
              <w:left w:val="nil"/>
              <w:bottom w:val="dotted" w:sz="4" w:space="0" w:color="auto"/>
              <w:right w:val="single" w:sz="8" w:space="0" w:color="auto"/>
            </w:tcBorders>
            <w:shd w:val="clear" w:color="000000" w:fill="FFFFFF"/>
            <w:vAlign w:val="bottom"/>
            <w:hideMark/>
          </w:tcPr>
          <w:p w14:paraId="24E5E606" w14:textId="77777777" w:rsidR="000244FF" w:rsidRPr="004E5A6E" w:rsidRDefault="000244FF" w:rsidP="000244FF">
            <w:pPr>
              <w:jc w:val="center"/>
              <w:rPr>
                <w:color w:val="auto"/>
                <w:sz w:val="20"/>
                <w:szCs w:val="20"/>
                <w:lang w:val="sq-AL"/>
              </w:rPr>
            </w:pPr>
            <w:r w:rsidRPr="004E5A6E">
              <w:rPr>
                <w:color w:val="auto"/>
                <w:sz w:val="20"/>
                <w:szCs w:val="20"/>
                <w:lang w:val="sq-AL"/>
              </w:rPr>
              <w:t>94.900</w:t>
            </w:r>
          </w:p>
        </w:tc>
        <w:tc>
          <w:tcPr>
            <w:tcW w:w="415" w:type="pct"/>
            <w:tcBorders>
              <w:top w:val="nil"/>
              <w:left w:val="nil"/>
              <w:bottom w:val="dotted" w:sz="4" w:space="0" w:color="auto"/>
              <w:right w:val="dotted" w:sz="4" w:space="0" w:color="auto"/>
            </w:tcBorders>
            <w:shd w:val="clear" w:color="auto" w:fill="auto"/>
            <w:vAlign w:val="bottom"/>
            <w:hideMark/>
          </w:tcPr>
          <w:p w14:paraId="22B63B83" w14:textId="77777777" w:rsidR="000244FF" w:rsidRPr="004E5A6E" w:rsidRDefault="000244FF" w:rsidP="000244FF">
            <w:pPr>
              <w:jc w:val="center"/>
              <w:rPr>
                <w:color w:val="auto"/>
                <w:sz w:val="20"/>
                <w:szCs w:val="20"/>
                <w:lang w:val="sq-AL"/>
              </w:rPr>
            </w:pPr>
            <w:r w:rsidRPr="004E5A6E">
              <w:rPr>
                <w:color w:val="auto"/>
                <w:sz w:val="20"/>
                <w:szCs w:val="20"/>
                <w:lang w:val="sq-AL"/>
              </w:rPr>
              <w:t>0.3</w:t>
            </w:r>
          </w:p>
        </w:tc>
        <w:tc>
          <w:tcPr>
            <w:tcW w:w="415" w:type="pct"/>
            <w:tcBorders>
              <w:top w:val="nil"/>
              <w:left w:val="nil"/>
              <w:bottom w:val="dotted" w:sz="4" w:space="0" w:color="auto"/>
              <w:right w:val="dotted" w:sz="4" w:space="0" w:color="auto"/>
            </w:tcBorders>
            <w:shd w:val="clear" w:color="auto" w:fill="auto"/>
            <w:vAlign w:val="bottom"/>
            <w:hideMark/>
          </w:tcPr>
          <w:p w14:paraId="4415E76F" w14:textId="77777777" w:rsidR="000244FF" w:rsidRPr="004E5A6E" w:rsidRDefault="000244FF" w:rsidP="000244FF">
            <w:pPr>
              <w:jc w:val="center"/>
              <w:rPr>
                <w:color w:val="auto"/>
                <w:sz w:val="20"/>
                <w:szCs w:val="20"/>
                <w:lang w:val="sq-AL"/>
              </w:rPr>
            </w:pPr>
            <w:r w:rsidRPr="004E5A6E">
              <w:rPr>
                <w:color w:val="auto"/>
                <w:sz w:val="20"/>
                <w:szCs w:val="20"/>
                <w:lang w:val="sq-AL"/>
              </w:rPr>
              <w:t>-19.6</w:t>
            </w:r>
          </w:p>
        </w:tc>
        <w:tc>
          <w:tcPr>
            <w:tcW w:w="415" w:type="pct"/>
            <w:tcBorders>
              <w:top w:val="nil"/>
              <w:left w:val="nil"/>
              <w:bottom w:val="dotted" w:sz="4" w:space="0" w:color="auto"/>
              <w:right w:val="dotted" w:sz="4" w:space="0" w:color="auto"/>
            </w:tcBorders>
            <w:shd w:val="clear" w:color="auto" w:fill="auto"/>
            <w:vAlign w:val="bottom"/>
            <w:hideMark/>
          </w:tcPr>
          <w:p w14:paraId="175C54CF" w14:textId="77777777" w:rsidR="000244FF" w:rsidRPr="004E5A6E" w:rsidRDefault="000244FF" w:rsidP="000244FF">
            <w:pPr>
              <w:jc w:val="center"/>
              <w:rPr>
                <w:color w:val="auto"/>
                <w:sz w:val="20"/>
                <w:szCs w:val="20"/>
                <w:lang w:val="sq-AL"/>
              </w:rPr>
            </w:pPr>
            <w:r w:rsidRPr="004E5A6E">
              <w:rPr>
                <w:color w:val="auto"/>
                <w:sz w:val="20"/>
                <w:szCs w:val="20"/>
                <w:lang w:val="sq-AL"/>
              </w:rPr>
              <w:t>15.5</w:t>
            </w:r>
          </w:p>
        </w:tc>
        <w:tc>
          <w:tcPr>
            <w:tcW w:w="415" w:type="pct"/>
            <w:tcBorders>
              <w:top w:val="nil"/>
              <w:left w:val="nil"/>
              <w:bottom w:val="dotted" w:sz="4" w:space="0" w:color="auto"/>
              <w:right w:val="dotted" w:sz="4" w:space="0" w:color="auto"/>
            </w:tcBorders>
            <w:shd w:val="clear" w:color="auto" w:fill="auto"/>
            <w:vAlign w:val="bottom"/>
            <w:hideMark/>
          </w:tcPr>
          <w:p w14:paraId="4C2E479D" w14:textId="77777777" w:rsidR="000244FF" w:rsidRPr="004E5A6E" w:rsidRDefault="000244FF" w:rsidP="000244FF">
            <w:pPr>
              <w:jc w:val="center"/>
              <w:rPr>
                <w:color w:val="auto"/>
                <w:sz w:val="20"/>
                <w:szCs w:val="20"/>
                <w:lang w:val="sq-AL"/>
              </w:rPr>
            </w:pPr>
            <w:r w:rsidRPr="004E5A6E">
              <w:rPr>
                <w:color w:val="auto"/>
                <w:sz w:val="20"/>
                <w:szCs w:val="20"/>
                <w:lang w:val="sq-AL"/>
              </w:rPr>
              <w:t>8.5</w:t>
            </w:r>
          </w:p>
        </w:tc>
        <w:tc>
          <w:tcPr>
            <w:tcW w:w="387" w:type="pct"/>
            <w:tcBorders>
              <w:top w:val="nil"/>
              <w:left w:val="nil"/>
              <w:bottom w:val="dotted" w:sz="4" w:space="0" w:color="auto"/>
              <w:right w:val="double" w:sz="6" w:space="0" w:color="auto"/>
            </w:tcBorders>
            <w:shd w:val="clear" w:color="auto" w:fill="auto"/>
            <w:vAlign w:val="bottom"/>
            <w:hideMark/>
          </w:tcPr>
          <w:p w14:paraId="267E37A4" w14:textId="77777777" w:rsidR="000244FF" w:rsidRPr="004E5A6E" w:rsidRDefault="000244FF" w:rsidP="000244FF">
            <w:pPr>
              <w:jc w:val="center"/>
              <w:rPr>
                <w:color w:val="auto"/>
                <w:sz w:val="20"/>
                <w:szCs w:val="20"/>
                <w:lang w:val="sq-AL"/>
              </w:rPr>
            </w:pPr>
            <w:r w:rsidRPr="004E5A6E">
              <w:rPr>
                <w:color w:val="auto"/>
                <w:sz w:val="20"/>
                <w:szCs w:val="20"/>
                <w:lang w:val="sq-AL"/>
              </w:rPr>
              <w:t>6.9</w:t>
            </w:r>
          </w:p>
        </w:tc>
      </w:tr>
      <w:tr w:rsidR="000244FF" w:rsidRPr="004E5A6E" w14:paraId="1C9B3FD5" w14:textId="77777777" w:rsidTr="003B3804">
        <w:trPr>
          <w:trHeight w:val="302"/>
        </w:trPr>
        <w:tc>
          <w:tcPr>
            <w:tcW w:w="1803" w:type="pct"/>
            <w:tcBorders>
              <w:top w:val="nil"/>
              <w:left w:val="double" w:sz="6" w:space="0" w:color="auto"/>
              <w:bottom w:val="dotted" w:sz="4" w:space="0" w:color="auto"/>
              <w:right w:val="nil"/>
            </w:tcBorders>
            <w:shd w:val="clear" w:color="000000" w:fill="FFFFFF"/>
            <w:vAlign w:val="bottom"/>
            <w:hideMark/>
          </w:tcPr>
          <w:p w14:paraId="72985095" w14:textId="77777777" w:rsidR="000244FF" w:rsidRPr="004E5A6E" w:rsidRDefault="000244FF" w:rsidP="000244FF">
            <w:pPr>
              <w:rPr>
                <w:color w:val="auto"/>
                <w:sz w:val="20"/>
                <w:szCs w:val="20"/>
                <w:lang w:val="sq-AL"/>
              </w:rPr>
            </w:pPr>
            <w:r w:rsidRPr="004E5A6E">
              <w:rPr>
                <w:color w:val="auto"/>
                <w:sz w:val="20"/>
                <w:szCs w:val="20"/>
                <w:lang w:val="sq-AL"/>
              </w:rPr>
              <w:t>7. Eksporti i mallrave dhe sherbimeve</w:t>
            </w:r>
          </w:p>
        </w:tc>
        <w:tc>
          <w:tcPr>
            <w:tcW w:w="555" w:type="pct"/>
            <w:tcBorders>
              <w:top w:val="nil"/>
              <w:left w:val="dotted" w:sz="4" w:space="0" w:color="auto"/>
              <w:bottom w:val="dotted" w:sz="4" w:space="0" w:color="auto"/>
              <w:right w:val="single" w:sz="8" w:space="0" w:color="auto"/>
            </w:tcBorders>
            <w:shd w:val="clear" w:color="000000" w:fill="FFFFFF"/>
            <w:vAlign w:val="bottom"/>
            <w:hideMark/>
          </w:tcPr>
          <w:p w14:paraId="585846CF" w14:textId="77777777" w:rsidR="000244FF" w:rsidRPr="004E5A6E" w:rsidRDefault="000244FF" w:rsidP="000244FF">
            <w:pPr>
              <w:jc w:val="center"/>
              <w:rPr>
                <w:color w:val="auto"/>
                <w:sz w:val="20"/>
                <w:szCs w:val="20"/>
                <w:lang w:val="sq-AL"/>
              </w:rPr>
            </w:pPr>
            <w:r w:rsidRPr="004E5A6E">
              <w:rPr>
                <w:color w:val="auto"/>
                <w:sz w:val="20"/>
                <w:szCs w:val="20"/>
                <w:lang w:val="sq-AL"/>
              </w:rPr>
              <w:t>P6</w:t>
            </w:r>
          </w:p>
        </w:tc>
        <w:tc>
          <w:tcPr>
            <w:tcW w:w="592" w:type="pct"/>
            <w:tcBorders>
              <w:top w:val="nil"/>
              <w:left w:val="nil"/>
              <w:bottom w:val="dotted" w:sz="4" w:space="0" w:color="auto"/>
              <w:right w:val="single" w:sz="8" w:space="0" w:color="auto"/>
            </w:tcBorders>
            <w:shd w:val="clear" w:color="000000" w:fill="FFFFFF"/>
            <w:vAlign w:val="bottom"/>
            <w:hideMark/>
          </w:tcPr>
          <w:p w14:paraId="4DA15594" w14:textId="77777777" w:rsidR="000244FF" w:rsidRPr="004E5A6E" w:rsidRDefault="000244FF" w:rsidP="000244FF">
            <w:pPr>
              <w:jc w:val="center"/>
              <w:rPr>
                <w:color w:val="auto"/>
                <w:sz w:val="20"/>
                <w:szCs w:val="20"/>
                <w:lang w:val="sq-AL"/>
              </w:rPr>
            </w:pPr>
            <w:r w:rsidRPr="004E5A6E">
              <w:rPr>
                <w:color w:val="auto"/>
                <w:sz w:val="20"/>
                <w:szCs w:val="20"/>
                <w:lang w:val="sq-AL"/>
              </w:rPr>
              <w:t>2,083.000</w:t>
            </w:r>
          </w:p>
        </w:tc>
        <w:tc>
          <w:tcPr>
            <w:tcW w:w="415" w:type="pct"/>
            <w:tcBorders>
              <w:top w:val="nil"/>
              <w:left w:val="nil"/>
              <w:bottom w:val="dotted" w:sz="4" w:space="0" w:color="auto"/>
              <w:right w:val="dotted" w:sz="4" w:space="0" w:color="auto"/>
            </w:tcBorders>
            <w:shd w:val="clear" w:color="000000" w:fill="FFFFFF"/>
            <w:vAlign w:val="bottom"/>
            <w:hideMark/>
          </w:tcPr>
          <w:p w14:paraId="415CFB90" w14:textId="77777777" w:rsidR="000244FF" w:rsidRPr="004E5A6E" w:rsidRDefault="000244FF" w:rsidP="000244FF">
            <w:pPr>
              <w:jc w:val="center"/>
              <w:rPr>
                <w:color w:val="auto"/>
                <w:sz w:val="20"/>
                <w:szCs w:val="20"/>
                <w:lang w:val="sq-AL"/>
              </w:rPr>
            </w:pPr>
            <w:r w:rsidRPr="004E5A6E">
              <w:rPr>
                <w:color w:val="auto"/>
                <w:sz w:val="20"/>
                <w:szCs w:val="20"/>
                <w:lang w:val="sq-AL"/>
              </w:rPr>
              <w:t>17.2</w:t>
            </w:r>
          </w:p>
        </w:tc>
        <w:tc>
          <w:tcPr>
            <w:tcW w:w="415" w:type="pct"/>
            <w:tcBorders>
              <w:top w:val="nil"/>
              <w:left w:val="nil"/>
              <w:bottom w:val="dotted" w:sz="4" w:space="0" w:color="auto"/>
              <w:right w:val="dotted" w:sz="4" w:space="0" w:color="auto"/>
            </w:tcBorders>
            <w:shd w:val="clear" w:color="000000" w:fill="FFFFFF"/>
            <w:vAlign w:val="bottom"/>
            <w:hideMark/>
          </w:tcPr>
          <w:p w14:paraId="272B9343" w14:textId="77777777" w:rsidR="000244FF" w:rsidRPr="004E5A6E" w:rsidRDefault="000244FF" w:rsidP="000244FF">
            <w:pPr>
              <w:jc w:val="center"/>
              <w:rPr>
                <w:color w:val="auto"/>
                <w:sz w:val="20"/>
                <w:szCs w:val="20"/>
                <w:lang w:val="sq-AL"/>
              </w:rPr>
            </w:pPr>
            <w:r w:rsidRPr="004E5A6E">
              <w:rPr>
                <w:color w:val="auto"/>
                <w:sz w:val="20"/>
                <w:szCs w:val="20"/>
                <w:lang w:val="sq-AL"/>
              </w:rPr>
              <w:t>-16.8</w:t>
            </w:r>
          </w:p>
        </w:tc>
        <w:tc>
          <w:tcPr>
            <w:tcW w:w="415" w:type="pct"/>
            <w:tcBorders>
              <w:top w:val="nil"/>
              <w:left w:val="nil"/>
              <w:bottom w:val="dotted" w:sz="4" w:space="0" w:color="auto"/>
              <w:right w:val="dotted" w:sz="4" w:space="0" w:color="auto"/>
            </w:tcBorders>
            <w:shd w:val="clear" w:color="000000" w:fill="FFFFFF"/>
            <w:vAlign w:val="bottom"/>
            <w:hideMark/>
          </w:tcPr>
          <w:p w14:paraId="4DBD43E9" w14:textId="77777777" w:rsidR="000244FF" w:rsidRPr="004E5A6E" w:rsidRDefault="000244FF" w:rsidP="000244FF">
            <w:pPr>
              <w:jc w:val="center"/>
              <w:rPr>
                <w:color w:val="auto"/>
                <w:sz w:val="20"/>
                <w:szCs w:val="20"/>
                <w:lang w:val="sq-AL"/>
              </w:rPr>
            </w:pPr>
            <w:r w:rsidRPr="004E5A6E">
              <w:rPr>
                <w:color w:val="auto"/>
                <w:sz w:val="20"/>
                <w:szCs w:val="20"/>
                <w:lang w:val="sq-AL"/>
              </w:rPr>
              <w:t>14.5</w:t>
            </w:r>
          </w:p>
        </w:tc>
        <w:tc>
          <w:tcPr>
            <w:tcW w:w="415" w:type="pct"/>
            <w:tcBorders>
              <w:top w:val="nil"/>
              <w:left w:val="nil"/>
              <w:bottom w:val="dotted" w:sz="4" w:space="0" w:color="auto"/>
              <w:right w:val="dotted" w:sz="4" w:space="0" w:color="auto"/>
            </w:tcBorders>
            <w:shd w:val="clear" w:color="000000" w:fill="FFFFFF"/>
            <w:vAlign w:val="bottom"/>
            <w:hideMark/>
          </w:tcPr>
          <w:p w14:paraId="70E321ED" w14:textId="77777777" w:rsidR="000244FF" w:rsidRPr="004E5A6E" w:rsidRDefault="000244FF" w:rsidP="000244FF">
            <w:pPr>
              <w:jc w:val="center"/>
              <w:rPr>
                <w:color w:val="auto"/>
                <w:sz w:val="20"/>
                <w:szCs w:val="20"/>
                <w:lang w:val="sq-AL"/>
              </w:rPr>
            </w:pPr>
            <w:r w:rsidRPr="004E5A6E">
              <w:rPr>
                <w:color w:val="auto"/>
                <w:sz w:val="20"/>
                <w:szCs w:val="20"/>
                <w:lang w:val="sq-AL"/>
              </w:rPr>
              <w:t>5.7</w:t>
            </w:r>
          </w:p>
        </w:tc>
        <w:tc>
          <w:tcPr>
            <w:tcW w:w="387" w:type="pct"/>
            <w:tcBorders>
              <w:top w:val="nil"/>
              <w:left w:val="nil"/>
              <w:bottom w:val="dotted" w:sz="4" w:space="0" w:color="auto"/>
              <w:right w:val="double" w:sz="6" w:space="0" w:color="auto"/>
            </w:tcBorders>
            <w:shd w:val="clear" w:color="000000" w:fill="FFFFFF"/>
            <w:vAlign w:val="bottom"/>
            <w:hideMark/>
          </w:tcPr>
          <w:p w14:paraId="54996A99" w14:textId="77777777" w:rsidR="000244FF" w:rsidRPr="004E5A6E" w:rsidRDefault="000244FF" w:rsidP="000244FF">
            <w:pPr>
              <w:jc w:val="center"/>
              <w:rPr>
                <w:color w:val="auto"/>
                <w:sz w:val="20"/>
                <w:szCs w:val="20"/>
                <w:lang w:val="sq-AL"/>
              </w:rPr>
            </w:pPr>
            <w:r w:rsidRPr="004E5A6E">
              <w:rPr>
                <w:color w:val="auto"/>
                <w:sz w:val="20"/>
                <w:szCs w:val="20"/>
                <w:lang w:val="sq-AL"/>
              </w:rPr>
              <w:t>5.7</w:t>
            </w:r>
          </w:p>
        </w:tc>
      </w:tr>
      <w:tr w:rsidR="000244FF" w:rsidRPr="004E5A6E" w14:paraId="33B989DB" w14:textId="77777777" w:rsidTr="003B3804">
        <w:trPr>
          <w:trHeight w:val="302"/>
        </w:trPr>
        <w:tc>
          <w:tcPr>
            <w:tcW w:w="1803" w:type="pct"/>
            <w:tcBorders>
              <w:top w:val="nil"/>
              <w:left w:val="double" w:sz="6" w:space="0" w:color="auto"/>
              <w:bottom w:val="nil"/>
              <w:right w:val="nil"/>
            </w:tcBorders>
            <w:shd w:val="clear" w:color="000000" w:fill="FFFFFF"/>
            <w:vAlign w:val="bottom"/>
            <w:hideMark/>
          </w:tcPr>
          <w:p w14:paraId="0AEC9677" w14:textId="77777777" w:rsidR="000244FF" w:rsidRPr="004E5A6E" w:rsidRDefault="000244FF" w:rsidP="000244FF">
            <w:pPr>
              <w:rPr>
                <w:color w:val="auto"/>
                <w:sz w:val="20"/>
                <w:szCs w:val="20"/>
                <w:lang w:val="sq-AL"/>
              </w:rPr>
            </w:pPr>
            <w:r w:rsidRPr="004E5A6E">
              <w:rPr>
                <w:color w:val="auto"/>
                <w:sz w:val="20"/>
                <w:szCs w:val="20"/>
                <w:lang w:val="sq-AL"/>
              </w:rPr>
              <w:t>8. Importi i mallrave dhe shërbimeve</w:t>
            </w:r>
          </w:p>
        </w:tc>
        <w:tc>
          <w:tcPr>
            <w:tcW w:w="555" w:type="pct"/>
            <w:tcBorders>
              <w:top w:val="nil"/>
              <w:left w:val="dotted" w:sz="4" w:space="0" w:color="auto"/>
              <w:bottom w:val="double" w:sz="6" w:space="0" w:color="auto"/>
              <w:right w:val="single" w:sz="8" w:space="0" w:color="auto"/>
            </w:tcBorders>
            <w:shd w:val="clear" w:color="000000" w:fill="FFFFFF"/>
            <w:vAlign w:val="bottom"/>
            <w:hideMark/>
          </w:tcPr>
          <w:p w14:paraId="3154FCAB" w14:textId="77777777" w:rsidR="000244FF" w:rsidRPr="004E5A6E" w:rsidRDefault="000244FF" w:rsidP="000244FF">
            <w:pPr>
              <w:jc w:val="center"/>
              <w:rPr>
                <w:color w:val="auto"/>
                <w:sz w:val="20"/>
                <w:szCs w:val="20"/>
                <w:lang w:val="sq-AL"/>
              </w:rPr>
            </w:pPr>
            <w:r w:rsidRPr="004E5A6E">
              <w:rPr>
                <w:color w:val="auto"/>
                <w:sz w:val="20"/>
                <w:szCs w:val="20"/>
                <w:lang w:val="sq-AL"/>
              </w:rPr>
              <w:t>P7</w:t>
            </w:r>
          </w:p>
        </w:tc>
        <w:tc>
          <w:tcPr>
            <w:tcW w:w="592" w:type="pct"/>
            <w:tcBorders>
              <w:top w:val="nil"/>
              <w:left w:val="nil"/>
              <w:bottom w:val="nil"/>
              <w:right w:val="single" w:sz="8" w:space="0" w:color="auto"/>
            </w:tcBorders>
            <w:shd w:val="clear" w:color="000000" w:fill="FFFFFF"/>
            <w:vAlign w:val="bottom"/>
            <w:hideMark/>
          </w:tcPr>
          <w:p w14:paraId="246DF0C2" w14:textId="77777777" w:rsidR="000244FF" w:rsidRPr="004E5A6E" w:rsidRDefault="000244FF" w:rsidP="000244FF">
            <w:pPr>
              <w:jc w:val="center"/>
              <w:rPr>
                <w:color w:val="auto"/>
                <w:sz w:val="20"/>
                <w:szCs w:val="20"/>
                <w:lang w:val="sq-AL"/>
              </w:rPr>
            </w:pPr>
            <w:r w:rsidRPr="004E5A6E">
              <w:rPr>
                <w:color w:val="auto"/>
                <w:sz w:val="20"/>
                <w:szCs w:val="20"/>
                <w:lang w:val="sq-AL"/>
              </w:rPr>
              <w:t>3,946.000</w:t>
            </w:r>
          </w:p>
        </w:tc>
        <w:tc>
          <w:tcPr>
            <w:tcW w:w="415" w:type="pct"/>
            <w:tcBorders>
              <w:top w:val="nil"/>
              <w:left w:val="nil"/>
              <w:bottom w:val="nil"/>
              <w:right w:val="dotted" w:sz="4" w:space="0" w:color="auto"/>
            </w:tcBorders>
            <w:shd w:val="clear" w:color="000000" w:fill="FFFFFF"/>
            <w:vAlign w:val="bottom"/>
            <w:hideMark/>
          </w:tcPr>
          <w:p w14:paraId="28BA04A4" w14:textId="77777777" w:rsidR="000244FF" w:rsidRPr="004E5A6E" w:rsidRDefault="000244FF" w:rsidP="000244FF">
            <w:pPr>
              <w:jc w:val="center"/>
              <w:rPr>
                <w:color w:val="auto"/>
                <w:sz w:val="20"/>
                <w:szCs w:val="20"/>
                <w:lang w:val="sq-AL"/>
              </w:rPr>
            </w:pPr>
            <w:r w:rsidRPr="004E5A6E">
              <w:rPr>
                <w:color w:val="auto"/>
                <w:sz w:val="20"/>
                <w:szCs w:val="20"/>
                <w:lang w:val="sq-AL"/>
              </w:rPr>
              <w:t>5.6</w:t>
            </w:r>
          </w:p>
        </w:tc>
        <w:tc>
          <w:tcPr>
            <w:tcW w:w="415" w:type="pct"/>
            <w:tcBorders>
              <w:top w:val="nil"/>
              <w:left w:val="nil"/>
              <w:bottom w:val="nil"/>
              <w:right w:val="dotted" w:sz="4" w:space="0" w:color="auto"/>
            </w:tcBorders>
            <w:shd w:val="clear" w:color="000000" w:fill="FFFFFF"/>
            <w:vAlign w:val="bottom"/>
            <w:hideMark/>
          </w:tcPr>
          <w:p w14:paraId="0350C9F8" w14:textId="77777777" w:rsidR="000244FF" w:rsidRPr="004E5A6E" w:rsidRDefault="000244FF" w:rsidP="000244FF">
            <w:pPr>
              <w:jc w:val="center"/>
              <w:rPr>
                <w:color w:val="auto"/>
                <w:sz w:val="20"/>
                <w:szCs w:val="20"/>
                <w:lang w:val="sq-AL"/>
              </w:rPr>
            </w:pPr>
            <w:r w:rsidRPr="004E5A6E">
              <w:rPr>
                <w:color w:val="auto"/>
                <w:sz w:val="20"/>
                <w:szCs w:val="20"/>
                <w:lang w:val="sq-AL"/>
              </w:rPr>
              <w:t>-7.2</w:t>
            </w:r>
          </w:p>
        </w:tc>
        <w:tc>
          <w:tcPr>
            <w:tcW w:w="415" w:type="pct"/>
            <w:tcBorders>
              <w:top w:val="nil"/>
              <w:left w:val="nil"/>
              <w:bottom w:val="nil"/>
              <w:right w:val="dotted" w:sz="4" w:space="0" w:color="auto"/>
            </w:tcBorders>
            <w:shd w:val="clear" w:color="000000" w:fill="FFFFFF"/>
            <w:vAlign w:val="bottom"/>
            <w:hideMark/>
          </w:tcPr>
          <w:p w14:paraId="4D60E005" w14:textId="77777777" w:rsidR="000244FF" w:rsidRPr="004E5A6E" w:rsidRDefault="000244FF" w:rsidP="000244FF">
            <w:pPr>
              <w:jc w:val="center"/>
              <w:rPr>
                <w:color w:val="auto"/>
                <w:sz w:val="20"/>
                <w:szCs w:val="20"/>
                <w:lang w:val="sq-AL"/>
              </w:rPr>
            </w:pPr>
            <w:r w:rsidRPr="004E5A6E">
              <w:rPr>
                <w:color w:val="auto"/>
                <w:sz w:val="20"/>
                <w:szCs w:val="20"/>
                <w:lang w:val="sq-AL"/>
              </w:rPr>
              <w:t>7.2</w:t>
            </w:r>
          </w:p>
        </w:tc>
        <w:tc>
          <w:tcPr>
            <w:tcW w:w="415" w:type="pct"/>
            <w:tcBorders>
              <w:top w:val="nil"/>
              <w:left w:val="nil"/>
              <w:bottom w:val="nil"/>
              <w:right w:val="dotted" w:sz="4" w:space="0" w:color="auto"/>
            </w:tcBorders>
            <w:shd w:val="clear" w:color="000000" w:fill="FFFFFF"/>
            <w:vAlign w:val="bottom"/>
            <w:hideMark/>
          </w:tcPr>
          <w:p w14:paraId="187F111D" w14:textId="77777777" w:rsidR="000244FF" w:rsidRPr="004E5A6E" w:rsidRDefault="000244FF" w:rsidP="000244FF">
            <w:pPr>
              <w:jc w:val="center"/>
              <w:rPr>
                <w:color w:val="auto"/>
                <w:sz w:val="20"/>
                <w:szCs w:val="20"/>
                <w:lang w:val="sq-AL"/>
              </w:rPr>
            </w:pPr>
            <w:r w:rsidRPr="004E5A6E">
              <w:rPr>
                <w:color w:val="auto"/>
                <w:sz w:val="20"/>
                <w:szCs w:val="20"/>
                <w:lang w:val="sq-AL"/>
              </w:rPr>
              <w:t>5.8</w:t>
            </w:r>
          </w:p>
        </w:tc>
        <w:tc>
          <w:tcPr>
            <w:tcW w:w="387" w:type="pct"/>
            <w:tcBorders>
              <w:top w:val="nil"/>
              <w:left w:val="nil"/>
              <w:bottom w:val="nil"/>
              <w:right w:val="double" w:sz="6" w:space="0" w:color="auto"/>
            </w:tcBorders>
            <w:shd w:val="clear" w:color="000000" w:fill="FFFFFF"/>
            <w:vAlign w:val="bottom"/>
            <w:hideMark/>
          </w:tcPr>
          <w:p w14:paraId="5DC0423A" w14:textId="77777777" w:rsidR="000244FF" w:rsidRPr="004E5A6E" w:rsidRDefault="000244FF" w:rsidP="000244FF">
            <w:pPr>
              <w:jc w:val="center"/>
              <w:rPr>
                <w:color w:val="auto"/>
                <w:sz w:val="20"/>
                <w:szCs w:val="20"/>
                <w:lang w:val="sq-AL"/>
              </w:rPr>
            </w:pPr>
            <w:r w:rsidRPr="004E5A6E">
              <w:rPr>
                <w:color w:val="auto"/>
                <w:sz w:val="20"/>
                <w:szCs w:val="20"/>
                <w:lang w:val="sq-AL"/>
              </w:rPr>
              <w:t>3.9</w:t>
            </w:r>
          </w:p>
        </w:tc>
      </w:tr>
      <w:tr w:rsidR="000244FF" w:rsidRPr="004E5A6E" w14:paraId="0E9C399A" w14:textId="77777777" w:rsidTr="003B3804">
        <w:trPr>
          <w:trHeight w:val="302"/>
        </w:trPr>
        <w:tc>
          <w:tcPr>
            <w:tcW w:w="5000" w:type="pct"/>
            <w:gridSpan w:val="8"/>
            <w:tcBorders>
              <w:top w:val="double" w:sz="6" w:space="0" w:color="auto"/>
              <w:left w:val="double" w:sz="6" w:space="0" w:color="auto"/>
              <w:bottom w:val="double" w:sz="6" w:space="0" w:color="auto"/>
              <w:right w:val="double" w:sz="6" w:space="0" w:color="000000"/>
            </w:tcBorders>
            <w:shd w:val="clear" w:color="000000" w:fill="FFFFFF"/>
            <w:vAlign w:val="bottom"/>
            <w:hideMark/>
          </w:tcPr>
          <w:p w14:paraId="6FEA67C7" w14:textId="77777777" w:rsidR="000244FF" w:rsidRPr="004E5A6E" w:rsidRDefault="000244FF" w:rsidP="000244FF">
            <w:pPr>
              <w:jc w:val="center"/>
              <w:rPr>
                <w:b/>
                <w:bCs/>
                <w:color w:val="auto"/>
                <w:sz w:val="20"/>
                <w:szCs w:val="20"/>
                <w:lang w:val="sq-AL"/>
              </w:rPr>
            </w:pPr>
            <w:r w:rsidRPr="004E5A6E">
              <w:rPr>
                <w:b/>
                <w:bCs/>
                <w:color w:val="auto"/>
                <w:sz w:val="20"/>
                <w:szCs w:val="20"/>
                <w:lang w:val="sq-AL"/>
              </w:rPr>
              <w:t>Kontributi në rritjen e BPV-së</w:t>
            </w:r>
          </w:p>
        </w:tc>
      </w:tr>
      <w:tr w:rsidR="000244FF" w:rsidRPr="004E5A6E" w14:paraId="60EDBABA" w14:textId="77777777" w:rsidTr="003B3804">
        <w:trPr>
          <w:trHeight w:val="302"/>
        </w:trPr>
        <w:tc>
          <w:tcPr>
            <w:tcW w:w="1803" w:type="pct"/>
            <w:tcBorders>
              <w:top w:val="nil"/>
              <w:left w:val="double" w:sz="6" w:space="0" w:color="auto"/>
              <w:bottom w:val="dotted" w:sz="4" w:space="0" w:color="auto"/>
              <w:right w:val="nil"/>
            </w:tcBorders>
            <w:shd w:val="clear" w:color="000000" w:fill="FFFFFF"/>
            <w:vAlign w:val="bottom"/>
            <w:hideMark/>
          </w:tcPr>
          <w:p w14:paraId="1A5A899C" w14:textId="77777777" w:rsidR="000244FF" w:rsidRPr="004E5A6E" w:rsidRDefault="000244FF" w:rsidP="000244FF">
            <w:pPr>
              <w:rPr>
                <w:color w:val="auto"/>
                <w:sz w:val="20"/>
                <w:szCs w:val="20"/>
                <w:lang w:val="sq-AL"/>
              </w:rPr>
            </w:pPr>
            <w:r w:rsidRPr="004E5A6E">
              <w:rPr>
                <w:color w:val="auto"/>
                <w:sz w:val="20"/>
                <w:szCs w:val="20"/>
                <w:lang w:val="sq-AL"/>
              </w:rPr>
              <w:t>9. Kërkesa finale e brendshme</w:t>
            </w:r>
          </w:p>
        </w:tc>
        <w:tc>
          <w:tcPr>
            <w:tcW w:w="555" w:type="pct"/>
            <w:tcBorders>
              <w:top w:val="nil"/>
              <w:left w:val="dotted" w:sz="4" w:space="0" w:color="auto"/>
              <w:bottom w:val="dotted" w:sz="4" w:space="0" w:color="auto"/>
              <w:right w:val="single" w:sz="8" w:space="0" w:color="auto"/>
            </w:tcBorders>
            <w:shd w:val="clear" w:color="000000" w:fill="FFFFFF"/>
            <w:vAlign w:val="bottom"/>
            <w:hideMark/>
          </w:tcPr>
          <w:p w14:paraId="1E5DF626" w14:textId="77777777" w:rsidR="000244FF" w:rsidRPr="004E5A6E" w:rsidRDefault="000244FF" w:rsidP="000244FF">
            <w:pPr>
              <w:jc w:val="center"/>
              <w:rPr>
                <w:color w:val="auto"/>
                <w:sz w:val="20"/>
                <w:szCs w:val="20"/>
                <w:lang w:val="sq-AL"/>
              </w:rPr>
            </w:pPr>
            <w:r w:rsidRPr="004E5A6E">
              <w:rPr>
                <w:color w:val="auto"/>
                <w:sz w:val="20"/>
                <w:szCs w:val="20"/>
                <w:lang w:val="sq-AL"/>
              </w:rPr>
              <w:t> </w:t>
            </w:r>
          </w:p>
        </w:tc>
        <w:tc>
          <w:tcPr>
            <w:tcW w:w="592" w:type="pct"/>
            <w:tcBorders>
              <w:top w:val="nil"/>
              <w:left w:val="nil"/>
              <w:bottom w:val="dotted" w:sz="4" w:space="0" w:color="auto"/>
              <w:right w:val="single" w:sz="8" w:space="0" w:color="auto"/>
            </w:tcBorders>
            <w:shd w:val="clear" w:color="000000" w:fill="FFFFFF"/>
            <w:vAlign w:val="bottom"/>
            <w:hideMark/>
          </w:tcPr>
          <w:p w14:paraId="15B8C66E" w14:textId="77777777" w:rsidR="000244FF" w:rsidRPr="004E5A6E" w:rsidRDefault="000244FF" w:rsidP="000244FF">
            <w:pPr>
              <w:jc w:val="center"/>
              <w:rPr>
                <w:color w:val="auto"/>
                <w:sz w:val="20"/>
                <w:szCs w:val="20"/>
                <w:lang w:val="sq-AL"/>
              </w:rPr>
            </w:pPr>
            <w:r w:rsidRPr="004E5A6E">
              <w:rPr>
                <w:color w:val="auto"/>
                <w:sz w:val="20"/>
                <w:szCs w:val="20"/>
                <w:lang w:val="sq-AL"/>
              </w:rPr>
              <w:t>8,826.4</w:t>
            </w:r>
          </w:p>
        </w:tc>
        <w:tc>
          <w:tcPr>
            <w:tcW w:w="415" w:type="pct"/>
            <w:tcBorders>
              <w:top w:val="nil"/>
              <w:left w:val="nil"/>
              <w:bottom w:val="dotted" w:sz="4" w:space="0" w:color="auto"/>
              <w:right w:val="dotted" w:sz="4" w:space="0" w:color="auto"/>
            </w:tcBorders>
            <w:shd w:val="clear" w:color="000000" w:fill="FFFFFF"/>
            <w:vAlign w:val="bottom"/>
            <w:hideMark/>
          </w:tcPr>
          <w:p w14:paraId="6CA12D65" w14:textId="77777777" w:rsidR="000244FF" w:rsidRPr="004E5A6E" w:rsidRDefault="000244FF" w:rsidP="000244FF">
            <w:pPr>
              <w:jc w:val="center"/>
              <w:rPr>
                <w:color w:val="auto"/>
                <w:sz w:val="20"/>
                <w:szCs w:val="20"/>
                <w:lang w:val="sq-AL"/>
              </w:rPr>
            </w:pPr>
            <w:r w:rsidRPr="004E5A6E">
              <w:rPr>
                <w:color w:val="auto"/>
                <w:sz w:val="20"/>
                <w:szCs w:val="20"/>
                <w:lang w:val="sq-AL"/>
              </w:rPr>
              <w:t>3.5</w:t>
            </w:r>
          </w:p>
        </w:tc>
        <w:tc>
          <w:tcPr>
            <w:tcW w:w="415" w:type="pct"/>
            <w:tcBorders>
              <w:top w:val="nil"/>
              <w:left w:val="nil"/>
              <w:bottom w:val="dotted" w:sz="4" w:space="0" w:color="auto"/>
              <w:right w:val="dotted" w:sz="4" w:space="0" w:color="auto"/>
            </w:tcBorders>
            <w:shd w:val="clear" w:color="000000" w:fill="FFFFFF"/>
            <w:vAlign w:val="bottom"/>
            <w:hideMark/>
          </w:tcPr>
          <w:p w14:paraId="7E5767CF" w14:textId="77777777" w:rsidR="000244FF" w:rsidRPr="004E5A6E" w:rsidRDefault="000244FF" w:rsidP="000244FF">
            <w:pPr>
              <w:jc w:val="center"/>
              <w:rPr>
                <w:color w:val="auto"/>
                <w:sz w:val="20"/>
                <w:szCs w:val="20"/>
                <w:lang w:val="sq-AL"/>
              </w:rPr>
            </w:pPr>
            <w:r w:rsidRPr="004E5A6E">
              <w:rPr>
                <w:color w:val="auto"/>
                <w:sz w:val="20"/>
                <w:szCs w:val="20"/>
                <w:lang w:val="sq-AL"/>
              </w:rPr>
              <w:t>-5.6</w:t>
            </w:r>
          </w:p>
        </w:tc>
        <w:tc>
          <w:tcPr>
            <w:tcW w:w="415" w:type="pct"/>
            <w:tcBorders>
              <w:top w:val="nil"/>
              <w:left w:val="nil"/>
              <w:bottom w:val="dotted" w:sz="4" w:space="0" w:color="auto"/>
              <w:right w:val="dotted" w:sz="4" w:space="0" w:color="auto"/>
            </w:tcBorders>
            <w:shd w:val="clear" w:color="000000" w:fill="FFFFFF"/>
            <w:vAlign w:val="bottom"/>
            <w:hideMark/>
          </w:tcPr>
          <w:p w14:paraId="7A367498" w14:textId="77777777" w:rsidR="000244FF" w:rsidRPr="004E5A6E" w:rsidRDefault="000244FF" w:rsidP="000244FF">
            <w:pPr>
              <w:jc w:val="center"/>
              <w:rPr>
                <w:color w:val="auto"/>
                <w:sz w:val="20"/>
                <w:szCs w:val="20"/>
                <w:lang w:val="sq-AL"/>
              </w:rPr>
            </w:pPr>
            <w:r w:rsidRPr="004E5A6E">
              <w:rPr>
                <w:color w:val="auto"/>
                <w:sz w:val="20"/>
                <w:szCs w:val="20"/>
                <w:lang w:val="sq-AL"/>
              </w:rPr>
              <w:t>5.3</w:t>
            </w:r>
          </w:p>
        </w:tc>
        <w:tc>
          <w:tcPr>
            <w:tcW w:w="415" w:type="pct"/>
            <w:tcBorders>
              <w:top w:val="nil"/>
              <w:left w:val="nil"/>
              <w:bottom w:val="dotted" w:sz="4" w:space="0" w:color="auto"/>
              <w:right w:val="dotted" w:sz="4" w:space="0" w:color="auto"/>
            </w:tcBorders>
            <w:shd w:val="clear" w:color="000000" w:fill="FFFFFF"/>
            <w:vAlign w:val="bottom"/>
            <w:hideMark/>
          </w:tcPr>
          <w:p w14:paraId="1623E9ED" w14:textId="77777777" w:rsidR="000244FF" w:rsidRPr="004E5A6E" w:rsidRDefault="000244FF" w:rsidP="000244FF">
            <w:pPr>
              <w:jc w:val="center"/>
              <w:rPr>
                <w:color w:val="auto"/>
                <w:sz w:val="20"/>
                <w:szCs w:val="20"/>
                <w:lang w:val="sq-AL"/>
              </w:rPr>
            </w:pPr>
            <w:r w:rsidRPr="004E5A6E">
              <w:rPr>
                <w:color w:val="auto"/>
                <w:sz w:val="20"/>
                <w:szCs w:val="20"/>
                <w:lang w:val="sq-AL"/>
              </w:rPr>
              <w:t>5.6</w:t>
            </w:r>
          </w:p>
        </w:tc>
        <w:tc>
          <w:tcPr>
            <w:tcW w:w="387" w:type="pct"/>
            <w:tcBorders>
              <w:top w:val="nil"/>
              <w:left w:val="nil"/>
              <w:bottom w:val="dotted" w:sz="4" w:space="0" w:color="auto"/>
              <w:right w:val="double" w:sz="6" w:space="0" w:color="auto"/>
            </w:tcBorders>
            <w:shd w:val="clear" w:color="000000" w:fill="FFFFFF"/>
            <w:vAlign w:val="bottom"/>
            <w:hideMark/>
          </w:tcPr>
          <w:p w14:paraId="7AD1E290" w14:textId="77777777" w:rsidR="000244FF" w:rsidRPr="004E5A6E" w:rsidRDefault="000244FF" w:rsidP="000244FF">
            <w:pPr>
              <w:jc w:val="center"/>
              <w:rPr>
                <w:color w:val="auto"/>
                <w:sz w:val="20"/>
                <w:szCs w:val="20"/>
                <w:lang w:val="sq-AL"/>
              </w:rPr>
            </w:pPr>
            <w:r w:rsidRPr="004E5A6E">
              <w:rPr>
                <w:color w:val="auto"/>
                <w:sz w:val="20"/>
                <w:szCs w:val="20"/>
                <w:lang w:val="sq-AL"/>
              </w:rPr>
              <w:t>4.7</w:t>
            </w:r>
          </w:p>
        </w:tc>
      </w:tr>
      <w:tr w:rsidR="000244FF" w:rsidRPr="004E5A6E" w14:paraId="4AB0BBFF" w14:textId="77777777" w:rsidTr="003B3804">
        <w:trPr>
          <w:trHeight w:val="585"/>
        </w:trPr>
        <w:tc>
          <w:tcPr>
            <w:tcW w:w="1803" w:type="pct"/>
            <w:tcBorders>
              <w:top w:val="nil"/>
              <w:left w:val="double" w:sz="6" w:space="0" w:color="auto"/>
              <w:bottom w:val="dotted" w:sz="4" w:space="0" w:color="auto"/>
              <w:right w:val="nil"/>
            </w:tcBorders>
            <w:shd w:val="clear" w:color="000000" w:fill="FFFFFF"/>
            <w:vAlign w:val="bottom"/>
            <w:hideMark/>
          </w:tcPr>
          <w:p w14:paraId="1B215AB3" w14:textId="77777777" w:rsidR="000244FF" w:rsidRPr="004E5A6E" w:rsidRDefault="000244FF" w:rsidP="000244FF">
            <w:pPr>
              <w:rPr>
                <w:color w:val="auto"/>
                <w:sz w:val="20"/>
                <w:szCs w:val="20"/>
                <w:lang w:val="sq-AL"/>
              </w:rPr>
            </w:pPr>
            <w:r w:rsidRPr="004E5A6E">
              <w:rPr>
                <w:color w:val="auto"/>
                <w:sz w:val="20"/>
                <w:szCs w:val="20"/>
                <w:lang w:val="sq-AL"/>
              </w:rPr>
              <w:t>10. Ndryshimi në inventar dhe fitimi</w:t>
            </w:r>
            <w:r w:rsidRPr="004E5A6E">
              <w:rPr>
                <w:color w:val="auto"/>
                <w:sz w:val="20"/>
                <w:szCs w:val="20"/>
                <w:lang w:val="sq-AL"/>
              </w:rPr>
              <w:br/>
              <w:t xml:space="preserve">neto (% e BPV-së) </w:t>
            </w:r>
          </w:p>
        </w:tc>
        <w:tc>
          <w:tcPr>
            <w:tcW w:w="555" w:type="pct"/>
            <w:tcBorders>
              <w:top w:val="nil"/>
              <w:left w:val="dotted" w:sz="4" w:space="0" w:color="auto"/>
              <w:bottom w:val="dotted" w:sz="4" w:space="0" w:color="auto"/>
              <w:right w:val="single" w:sz="8" w:space="0" w:color="auto"/>
            </w:tcBorders>
            <w:shd w:val="clear" w:color="000000" w:fill="FFFFFF"/>
            <w:vAlign w:val="bottom"/>
            <w:hideMark/>
          </w:tcPr>
          <w:p w14:paraId="69A1326F" w14:textId="77777777" w:rsidR="000244FF" w:rsidRPr="004E5A6E" w:rsidRDefault="000244FF" w:rsidP="000244FF">
            <w:pPr>
              <w:jc w:val="center"/>
              <w:rPr>
                <w:color w:val="auto"/>
                <w:sz w:val="20"/>
                <w:szCs w:val="20"/>
                <w:lang w:val="sq-AL"/>
              </w:rPr>
            </w:pPr>
            <w:r w:rsidRPr="004E5A6E">
              <w:rPr>
                <w:color w:val="auto"/>
                <w:sz w:val="20"/>
                <w:szCs w:val="20"/>
                <w:lang w:val="sq-AL"/>
              </w:rPr>
              <w:t>P52+P53</w:t>
            </w:r>
          </w:p>
        </w:tc>
        <w:tc>
          <w:tcPr>
            <w:tcW w:w="592" w:type="pct"/>
            <w:tcBorders>
              <w:top w:val="nil"/>
              <w:left w:val="nil"/>
              <w:bottom w:val="dotted" w:sz="4" w:space="0" w:color="auto"/>
              <w:right w:val="single" w:sz="8" w:space="0" w:color="auto"/>
            </w:tcBorders>
            <w:shd w:val="clear" w:color="000000" w:fill="FFFFFF"/>
            <w:vAlign w:val="bottom"/>
            <w:hideMark/>
          </w:tcPr>
          <w:p w14:paraId="6818A902" w14:textId="77777777" w:rsidR="000244FF" w:rsidRPr="004E5A6E" w:rsidRDefault="000244FF" w:rsidP="000244FF">
            <w:pPr>
              <w:jc w:val="center"/>
              <w:rPr>
                <w:color w:val="auto"/>
                <w:sz w:val="20"/>
                <w:szCs w:val="20"/>
                <w:lang w:val="sq-AL"/>
              </w:rPr>
            </w:pPr>
            <w:r w:rsidRPr="004E5A6E">
              <w:rPr>
                <w:color w:val="auto"/>
                <w:sz w:val="20"/>
                <w:szCs w:val="20"/>
                <w:lang w:val="sq-AL"/>
              </w:rPr>
              <w:t>94.9</w:t>
            </w:r>
          </w:p>
        </w:tc>
        <w:tc>
          <w:tcPr>
            <w:tcW w:w="415" w:type="pct"/>
            <w:tcBorders>
              <w:top w:val="nil"/>
              <w:left w:val="nil"/>
              <w:bottom w:val="dotted" w:sz="4" w:space="0" w:color="auto"/>
              <w:right w:val="dotted" w:sz="4" w:space="0" w:color="auto"/>
            </w:tcBorders>
            <w:shd w:val="clear" w:color="000000" w:fill="FFFFFF"/>
            <w:vAlign w:val="bottom"/>
            <w:hideMark/>
          </w:tcPr>
          <w:p w14:paraId="1518A605" w14:textId="77777777" w:rsidR="000244FF" w:rsidRPr="004E5A6E" w:rsidRDefault="000244FF" w:rsidP="000244FF">
            <w:pPr>
              <w:jc w:val="center"/>
              <w:rPr>
                <w:color w:val="auto"/>
                <w:sz w:val="20"/>
                <w:szCs w:val="20"/>
                <w:lang w:val="sq-AL"/>
              </w:rPr>
            </w:pPr>
            <w:r w:rsidRPr="004E5A6E">
              <w:rPr>
                <w:color w:val="auto"/>
                <w:sz w:val="20"/>
                <w:szCs w:val="20"/>
                <w:lang w:val="sq-AL"/>
              </w:rPr>
              <w:t>0.0</w:t>
            </w:r>
          </w:p>
        </w:tc>
        <w:tc>
          <w:tcPr>
            <w:tcW w:w="415" w:type="pct"/>
            <w:tcBorders>
              <w:top w:val="nil"/>
              <w:left w:val="nil"/>
              <w:bottom w:val="dotted" w:sz="4" w:space="0" w:color="auto"/>
              <w:right w:val="dotted" w:sz="4" w:space="0" w:color="auto"/>
            </w:tcBorders>
            <w:shd w:val="clear" w:color="000000" w:fill="FFFFFF"/>
            <w:vAlign w:val="bottom"/>
            <w:hideMark/>
          </w:tcPr>
          <w:p w14:paraId="6DA5BDB1" w14:textId="77777777" w:rsidR="000244FF" w:rsidRPr="004E5A6E" w:rsidRDefault="000244FF" w:rsidP="000244FF">
            <w:pPr>
              <w:jc w:val="center"/>
              <w:rPr>
                <w:color w:val="auto"/>
                <w:sz w:val="20"/>
                <w:szCs w:val="20"/>
                <w:lang w:val="sq-AL"/>
              </w:rPr>
            </w:pPr>
            <w:r w:rsidRPr="004E5A6E">
              <w:rPr>
                <w:color w:val="auto"/>
                <w:sz w:val="20"/>
                <w:szCs w:val="20"/>
                <w:lang w:val="sq-AL"/>
              </w:rPr>
              <w:t>-0.3</w:t>
            </w:r>
          </w:p>
        </w:tc>
        <w:tc>
          <w:tcPr>
            <w:tcW w:w="415" w:type="pct"/>
            <w:tcBorders>
              <w:top w:val="nil"/>
              <w:left w:val="nil"/>
              <w:bottom w:val="dotted" w:sz="4" w:space="0" w:color="auto"/>
              <w:right w:val="dotted" w:sz="4" w:space="0" w:color="auto"/>
            </w:tcBorders>
            <w:shd w:val="clear" w:color="000000" w:fill="FFFFFF"/>
            <w:vAlign w:val="bottom"/>
            <w:hideMark/>
          </w:tcPr>
          <w:p w14:paraId="0A6B3221" w14:textId="77777777" w:rsidR="000244FF" w:rsidRPr="004E5A6E" w:rsidRDefault="000244FF" w:rsidP="000244FF">
            <w:pPr>
              <w:jc w:val="center"/>
              <w:rPr>
                <w:color w:val="auto"/>
                <w:sz w:val="20"/>
                <w:szCs w:val="20"/>
                <w:lang w:val="sq-AL"/>
              </w:rPr>
            </w:pPr>
            <w:r w:rsidRPr="004E5A6E">
              <w:rPr>
                <w:color w:val="auto"/>
                <w:sz w:val="20"/>
                <w:szCs w:val="20"/>
                <w:lang w:val="sq-AL"/>
              </w:rPr>
              <w:t>0.2</w:t>
            </w:r>
          </w:p>
        </w:tc>
        <w:tc>
          <w:tcPr>
            <w:tcW w:w="415" w:type="pct"/>
            <w:tcBorders>
              <w:top w:val="nil"/>
              <w:left w:val="nil"/>
              <w:bottom w:val="dotted" w:sz="4" w:space="0" w:color="auto"/>
              <w:right w:val="dotted" w:sz="4" w:space="0" w:color="auto"/>
            </w:tcBorders>
            <w:shd w:val="clear" w:color="000000" w:fill="FFFFFF"/>
            <w:vAlign w:val="bottom"/>
            <w:hideMark/>
          </w:tcPr>
          <w:p w14:paraId="4D6ED528" w14:textId="77777777" w:rsidR="000244FF" w:rsidRPr="004E5A6E" w:rsidRDefault="000244FF" w:rsidP="000244FF">
            <w:pPr>
              <w:jc w:val="center"/>
              <w:rPr>
                <w:color w:val="auto"/>
                <w:sz w:val="20"/>
                <w:szCs w:val="20"/>
                <w:lang w:val="sq-AL"/>
              </w:rPr>
            </w:pPr>
            <w:r w:rsidRPr="004E5A6E">
              <w:rPr>
                <w:color w:val="auto"/>
                <w:sz w:val="20"/>
                <w:szCs w:val="20"/>
                <w:lang w:val="sq-AL"/>
              </w:rPr>
              <w:t>0.1</w:t>
            </w:r>
          </w:p>
        </w:tc>
        <w:tc>
          <w:tcPr>
            <w:tcW w:w="387" w:type="pct"/>
            <w:tcBorders>
              <w:top w:val="nil"/>
              <w:left w:val="nil"/>
              <w:bottom w:val="dotted" w:sz="4" w:space="0" w:color="auto"/>
              <w:right w:val="double" w:sz="6" w:space="0" w:color="auto"/>
            </w:tcBorders>
            <w:shd w:val="clear" w:color="000000" w:fill="FFFFFF"/>
            <w:vAlign w:val="bottom"/>
            <w:hideMark/>
          </w:tcPr>
          <w:p w14:paraId="2FF45013" w14:textId="77777777" w:rsidR="000244FF" w:rsidRPr="004E5A6E" w:rsidRDefault="000244FF" w:rsidP="000244FF">
            <w:pPr>
              <w:jc w:val="center"/>
              <w:rPr>
                <w:color w:val="auto"/>
                <w:sz w:val="20"/>
                <w:szCs w:val="20"/>
                <w:lang w:val="sq-AL"/>
              </w:rPr>
            </w:pPr>
            <w:r w:rsidRPr="004E5A6E">
              <w:rPr>
                <w:color w:val="auto"/>
                <w:sz w:val="20"/>
                <w:szCs w:val="20"/>
                <w:lang w:val="sq-AL"/>
              </w:rPr>
              <w:t>0.1</w:t>
            </w:r>
          </w:p>
        </w:tc>
      </w:tr>
      <w:tr w:rsidR="000244FF" w:rsidRPr="004E5A6E" w14:paraId="37D36918" w14:textId="77777777" w:rsidTr="003B3804">
        <w:trPr>
          <w:trHeight w:val="302"/>
        </w:trPr>
        <w:tc>
          <w:tcPr>
            <w:tcW w:w="1803" w:type="pct"/>
            <w:tcBorders>
              <w:top w:val="nil"/>
              <w:left w:val="double" w:sz="6" w:space="0" w:color="auto"/>
              <w:bottom w:val="double" w:sz="6" w:space="0" w:color="auto"/>
              <w:right w:val="nil"/>
            </w:tcBorders>
            <w:shd w:val="clear" w:color="000000" w:fill="FFFFFF"/>
            <w:vAlign w:val="bottom"/>
            <w:hideMark/>
          </w:tcPr>
          <w:p w14:paraId="79291055" w14:textId="77777777" w:rsidR="000244FF" w:rsidRPr="004E5A6E" w:rsidRDefault="000244FF" w:rsidP="000244FF">
            <w:pPr>
              <w:rPr>
                <w:color w:val="auto"/>
                <w:sz w:val="20"/>
                <w:szCs w:val="20"/>
                <w:lang w:val="sq-AL"/>
              </w:rPr>
            </w:pPr>
            <w:r w:rsidRPr="004E5A6E">
              <w:rPr>
                <w:color w:val="auto"/>
                <w:sz w:val="20"/>
                <w:szCs w:val="20"/>
                <w:lang w:val="sq-AL"/>
              </w:rPr>
              <w:t>11. Bilanci i jashtëm në mallra dhe shërbime</w:t>
            </w:r>
          </w:p>
        </w:tc>
        <w:tc>
          <w:tcPr>
            <w:tcW w:w="555" w:type="pct"/>
            <w:tcBorders>
              <w:top w:val="nil"/>
              <w:left w:val="dotted" w:sz="4" w:space="0" w:color="auto"/>
              <w:bottom w:val="double" w:sz="6" w:space="0" w:color="auto"/>
              <w:right w:val="single" w:sz="8" w:space="0" w:color="auto"/>
            </w:tcBorders>
            <w:shd w:val="clear" w:color="000000" w:fill="FFFFFF"/>
            <w:vAlign w:val="bottom"/>
            <w:hideMark/>
          </w:tcPr>
          <w:p w14:paraId="37647FE5" w14:textId="77777777" w:rsidR="000244FF" w:rsidRPr="004E5A6E" w:rsidRDefault="000244FF" w:rsidP="000244FF">
            <w:pPr>
              <w:jc w:val="center"/>
              <w:rPr>
                <w:color w:val="auto"/>
                <w:sz w:val="20"/>
                <w:szCs w:val="20"/>
                <w:lang w:val="sq-AL"/>
              </w:rPr>
            </w:pPr>
            <w:r w:rsidRPr="004E5A6E">
              <w:rPr>
                <w:color w:val="auto"/>
                <w:sz w:val="20"/>
                <w:szCs w:val="20"/>
                <w:lang w:val="sq-AL"/>
              </w:rPr>
              <w:t>B11</w:t>
            </w:r>
          </w:p>
        </w:tc>
        <w:tc>
          <w:tcPr>
            <w:tcW w:w="592" w:type="pct"/>
            <w:tcBorders>
              <w:top w:val="nil"/>
              <w:left w:val="nil"/>
              <w:bottom w:val="double" w:sz="6" w:space="0" w:color="auto"/>
              <w:right w:val="single" w:sz="8" w:space="0" w:color="auto"/>
            </w:tcBorders>
            <w:shd w:val="clear" w:color="000000" w:fill="FFFFFF"/>
            <w:vAlign w:val="bottom"/>
            <w:hideMark/>
          </w:tcPr>
          <w:p w14:paraId="258B4724" w14:textId="77777777" w:rsidR="000244FF" w:rsidRPr="004E5A6E" w:rsidRDefault="000244FF" w:rsidP="000244FF">
            <w:pPr>
              <w:jc w:val="center"/>
              <w:rPr>
                <w:color w:val="auto"/>
                <w:sz w:val="20"/>
                <w:szCs w:val="20"/>
                <w:lang w:val="sq-AL"/>
              </w:rPr>
            </w:pPr>
            <w:r w:rsidRPr="004E5A6E">
              <w:rPr>
                <w:color w:val="auto"/>
                <w:sz w:val="20"/>
                <w:szCs w:val="20"/>
                <w:lang w:val="sq-AL"/>
              </w:rPr>
              <w:t>-1,863.0</w:t>
            </w:r>
          </w:p>
        </w:tc>
        <w:tc>
          <w:tcPr>
            <w:tcW w:w="415" w:type="pct"/>
            <w:tcBorders>
              <w:top w:val="nil"/>
              <w:left w:val="nil"/>
              <w:bottom w:val="double" w:sz="6" w:space="0" w:color="auto"/>
              <w:right w:val="dotted" w:sz="4" w:space="0" w:color="auto"/>
            </w:tcBorders>
            <w:shd w:val="clear" w:color="000000" w:fill="FFFFFF"/>
            <w:vAlign w:val="bottom"/>
            <w:hideMark/>
          </w:tcPr>
          <w:p w14:paraId="6B34E679" w14:textId="77777777" w:rsidR="000244FF" w:rsidRPr="004E5A6E" w:rsidRDefault="000244FF" w:rsidP="000244FF">
            <w:pPr>
              <w:jc w:val="center"/>
              <w:rPr>
                <w:color w:val="auto"/>
                <w:sz w:val="20"/>
                <w:szCs w:val="20"/>
                <w:lang w:val="sq-AL"/>
              </w:rPr>
            </w:pPr>
            <w:r w:rsidRPr="004E5A6E">
              <w:rPr>
                <w:color w:val="auto"/>
                <w:sz w:val="20"/>
                <w:szCs w:val="20"/>
                <w:lang w:val="sq-AL"/>
              </w:rPr>
              <w:t>1.4</w:t>
            </w:r>
          </w:p>
        </w:tc>
        <w:tc>
          <w:tcPr>
            <w:tcW w:w="415" w:type="pct"/>
            <w:tcBorders>
              <w:top w:val="nil"/>
              <w:left w:val="nil"/>
              <w:bottom w:val="double" w:sz="6" w:space="0" w:color="auto"/>
              <w:right w:val="dotted" w:sz="4" w:space="0" w:color="auto"/>
            </w:tcBorders>
            <w:shd w:val="clear" w:color="000000" w:fill="FFFFFF"/>
            <w:vAlign w:val="bottom"/>
            <w:hideMark/>
          </w:tcPr>
          <w:p w14:paraId="677AAB36" w14:textId="77777777" w:rsidR="000244FF" w:rsidRPr="004E5A6E" w:rsidRDefault="000244FF" w:rsidP="000244FF">
            <w:pPr>
              <w:jc w:val="center"/>
              <w:rPr>
                <w:color w:val="auto"/>
                <w:sz w:val="20"/>
                <w:szCs w:val="20"/>
                <w:lang w:val="sq-AL"/>
              </w:rPr>
            </w:pPr>
            <w:r w:rsidRPr="004E5A6E">
              <w:rPr>
                <w:color w:val="auto"/>
                <w:sz w:val="20"/>
                <w:szCs w:val="20"/>
                <w:lang w:val="sq-AL"/>
              </w:rPr>
              <w:t>-0.9</w:t>
            </w:r>
          </w:p>
        </w:tc>
        <w:tc>
          <w:tcPr>
            <w:tcW w:w="415" w:type="pct"/>
            <w:tcBorders>
              <w:top w:val="nil"/>
              <w:left w:val="nil"/>
              <w:bottom w:val="double" w:sz="6" w:space="0" w:color="auto"/>
              <w:right w:val="dotted" w:sz="4" w:space="0" w:color="auto"/>
            </w:tcBorders>
            <w:shd w:val="clear" w:color="000000" w:fill="FFFFFF"/>
            <w:vAlign w:val="bottom"/>
            <w:hideMark/>
          </w:tcPr>
          <w:p w14:paraId="68072F2D" w14:textId="77777777" w:rsidR="000244FF" w:rsidRPr="004E5A6E" w:rsidRDefault="000244FF" w:rsidP="000244FF">
            <w:pPr>
              <w:jc w:val="center"/>
              <w:rPr>
                <w:color w:val="auto"/>
                <w:sz w:val="20"/>
                <w:szCs w:val="20"/>
                <w:lang w:val="sq-AL"/>
              </w:rPr>
            </w:pPr>
            <w:r w:rsidRPr="004E5A6E">
              <w:rPr>
                <w:color w:val="auto"/>
                <w:sz w:val="20"/>
                <w:szCs w:val="20"/>
                <w:lang w:val="sq-AL"/>
              </w:rPr>
              <w:t>-0.3</w:t>
            </w:r>
          </w:p>
        </w:tc>
        <w:tc>
          <w:tcPr>
            <w:tcW w:w="415" w:type="pct"/>
            <w:tcBorders>
              <w:top w:val="nil"/>
              <w:left w:val="nil"/>
              <w:bottom w:val="double" w:sz="6" w:space="0" w:color="auto"/>
              <w:right w:val="dotted" w:sz="4" w:space="0" w:color="auto"/>
            </w:tcBorders>
            <w:shd w:val="clear" w:color="000000" w:fill="FFFFFF"/>
            <w:vAlign w:val="bottom"/>
            <w:hideMark/>
          </w:tcPr>
          <w:p w14:paraId="76A9B526" w14:textId="77777777" w:rsidR="000244FF" w:rsidRPr="004E5A6E" w:rsidRDefault="000244FF" w:rsidP="000244FF">
            <w:pPr>
              <w:jc w:val="center"/>
              <w:rPr>
                <w:color w:val="auto"/>
                <w:sz w:val="20"/>
                <w:szCs w:val="20"/>
                <w:lang w:val="sq-AL"/>
              </w:rPr>
            </w:pPr>
            <w:r w:rsidRPr="004E5A6E">
              <w:rPr>
                <w:color w:val="auto"/>
                <w:sz w:val="20"/>
                <w:szCs w:val="20"/>
                <w:lang w:val="sq-AL"/>
              </w:rPr>
              <w:t>-1.6</w:t>
            </w:r>
          </w:p>
        </w:tc>
        <w:tc>
          <w:tcPr>
            <w:tcW w:w="387" w:type="pct"/>
            <w:tcBorders>
              <w:top w:val="nil"/>
              <w:left w:val="nil"/>
              <w:bottom w:val="double" w:sz="6" w:space="0" w:color="auto"/>
              <w:right w:val="double" w:sz="6" w:space="0" w:color="auto"/>
            </w:tcBorders>
            <w:shd w:val="clear" w:color="000000" w:fill="FFFFFF"/>
            <w:vAlign w:val="bottom"/>
            <w:hideMark/>
          </w:tcPr>
          <w:p w14:paraId="679770E8" w14:textId="77777777" w:rsidR="000244FF" w:rsidRPr="004E5A6E" w:rsidRDefault="000244FF" w:rsidP="000244FF">
            <w:pPr>
              <w:jc w:val="center"/>
              <w:rPr>
                <w:color w:val="auto"/>
                <w:sz w:val="20"/>
                <w:szCs w:val="20"/>
                <w:lang w:val="sq-AL"/>
              </w:rPr>
            </w:pPr>
            <w:r w:rsidRPr="004E5A6E">
              <w:rPr>
                <w:color w:val="auto"/>
                <w:sz w:val="20"/>
                <w:szCs w:val="20"/>
                <w:lang w:val="sq-AL"/>
              </w:rPr>
              <w:t>-0.6</w:t>
            </w:r>
          </w:p>
        </w:tc>
      </w:tr>
    </w:tbl>
    <w:p w14:paraId="141B3F77" w14:textId="77777777" w:rsidR="000244FF" w:rsidRPr="004E5A6E" w:rsidRDefault="000244FF" w:rsidP="004B5FFD">
      <w:pPr>
        <w:rPr>
          <w:highlight w:val="yellow"/>
          <w:lang w:val="sq-AL"/>
        </w:rPr>
      </w:pPr>
    </w:p>
    <w:p w14:paraId="19CB9141" w14:textId="14A9B3D6" w:rsidR="003618A6" w:rsidRPr="004E5A6E" w:rsidRDefault="003618A6" w:rsidP="00693151">
      <w:pPr>
        <w:rPr>
          <w:highlight w:val="yellow"/>
          <w:lang w:val="sq-AL"/>
        </w:rPr>
      </w:pPr>
    </w:p>
    <w:tbl>
      <w:tblPr>
        <w:tblW w:w="5000" w:type="pct"/>
        <w:tblLook w:val="04A0" w:firstRow="1" w:lastRow="0" w:firstColumn="1" w:lastColumn="0" w:noHBand="0" w:noVBand="1"/>
      </w:tblPr>
      <w:tblGrid>
        <w:gridCol w:w="3483"/>
        <w:gridCol w:w="927"/>
        <w:gridCol w:w="843"/>
        <w:gridCol w:w="844"/>
        <w:gridCol w:w="844"/>
        <w:gridCol w:w="844"/>
        <w:gridCol w:w="839"/>
      </w:tblGrid>
      <w:tr w:rsidR="000244FF" w:rsidRPr="004E5A6E" w14:paraId="733B665E" w14:textId="77777777" w:rsidTr="000244FF">
        <w:trPr>
          <w:trHeight w:val="318"/>
        </w:trPr>
        <w:tc>
          <w:tcPr>
            <w:tcW w:w="2437" w:type="pct"/>
            <w:gridSpan w:val="2"/>
            <w:tcBorders>
              <w:top w:val="nil"/>
              <w:left w:val="nil"/>
              <w:bottom w:val="nil"/>
              <w:right w:val="nil"/>
            </w:tcBorders>
            <w:shd w:val="clear" w:color="000000" w:fill="FFFFFF"/>
            <w:noWrap/>
            <w:vAlign w:val="center"/>
            <w:hideMark/>
          </w:tcPr>
          <w:p w14:paraId="62639522" w14:textId="77777777" w:rsidR="000244FF" w:rsidRPr="004E5A6E" w:rsidRDefault="000244FF" w:rsidP="000244FF">
            <w:pPr>
              <w:rPr>
                <w:b/>
                <w:bCs/>
                <w:color w:val="auto"/>
                <w:sz w:val="20"/>
                <w:szCs w:val="20"/>
                <w:lang w:val="sq-AL"/>
              </w:rPr>
            </w:pPr>
            <w:r w:rsidRPr="004E5A6E">
              <w:rPr>
                <w:b/>
                <w:bCs/>
                <w:color w:val="auto"/>
                <w:sz w:val="20"/>
                <w:szCs w:val="20"/>
                <w:lang w:val="sq-AL"/>
              </w:rPr>
              <w:t>Tabela 1b:  Çmimet dhe parashikimet e çmimeve</w:t>
            </w:r>
          </w:p>
        </w:tc>
        <w:tc>
          <w:tcPr>
            <w:tcW w:w="513" w:type="pct"/>
            <w:tcBorders>
              <w:top w:val="nil"/>
              <w:left w:val="nil"/>
              <w:bottom w:val="nil"/>
              <w:right w:val="nil"/>
            </w:tcBorders>
            <w:shd w:val="clear" w:color="000000" w:fill="FFFFFF"/>
            <w:noWrap/>
            <w:vAlign w:val="center"/>
            <w:hideMark/>
          </w:tcPr>
          <w:p w14:paraId="215D2001" w14:textId="77777777" w:rsidR="000244FF" w:rsidRPr="004E5A6E" w:rsidRDefault="000244FF" w:rsidP="000244FF">
            <w:pPr>
              <w:rPr>
                <w:color w:val="auto"/>
                <w:sz w:val="20"/>
                <w:szCs w:val="20"/>
                <w:lang w:val="sq-AL"/>
              </w:rPr>
            </w:pPr>
            <w:r w:rsidRPr="004E5A6E">
              <w:rPr>
                <w:color w:val="auto"/>
                <w:sz w:val="20"/>
                <w:szCs w:val="20"/>
                <w:lang w:val="sq-AL"/>
              </w:rPr>
              <w:t> </w:t>
            </w:r>
          </w:p>
        </w:tc>
        <w:tc>
          <w:tcPr>
            <w:tcW w:w="513" w:type="pct"/>
            <w:tcBorders>
              <w:top w:val="nil"/>
              <w:left w:val="nil"/>
              <w:bottom w:val="nil"/>
              <w:right w:val="nil"/>
            </w:tcBorders>
            <w:shd w:val="clear" w:color="000000" w:fill="FFFFFF"/>
            <w:noWrap/>
            <w:vAlign w:val="center"/>
            <w:hideMark/>
          </w:tcPr>
          <w:p w14:paraId="0CA19A5D" w14:textId="77777777" w:rsidR="000244FF" w:rsidRPr="004E5A6E" w:rsidRDefault="000244FF" w:rsidP="000244FF">
            <w:pPr>
              <w:rPr>
                <w:color w:val="auto"/>
                <w:sz w:val="20"/>
                <w:szCs w:val="20"/>
                <w:lang w:val="sq-AL"/>
              </w:rPr>
            </w:pPr>
            <w:r w:rsidRPr="004E5A6E">
              <w:rPr>
                <w:color w:val="auto"/>
                <w:sz w:val="20"/>
                <w:szCs w:val="20"/>
                <w:lang w:val="sq-AL"/>
              </w:rPr>
              <w:t> </w:t>
            </w:r>
          </w:p>
        </w:tc>
        <w:tc>
          <w:tcPr>
            <w:tcW w:w="513" w:type="pct"/>
            <w:tcBorders>
              <w:top w:val="nil"/>
              <w:left w:val="nil"/>
              <w:bottom w:val="nil"/>
              <w:right w:val="nil"/>
            </w:tcBorders>
            <w:shd w:val="clear" w:color="000000" w:fill="FFFFFF"/>
            <w:noWrap/>
            <w:vAlign w:val="center"/>
            <w:hideMark/>
          </w:tcPr>
          <w:p w14:paraId="2EAB86A7" w14:textId="77777777" w:rsidR="000244FF" w:rsidRPr="004E5A6E" w:rsidRDefault="000244FF" w:rsidP="000244FF">
            <w:pPr>
              <w:rPr>
                <w:color w:val="auto"/>
                <w:sz w:val="20"/>
                <w:szCs w:val="20"/>
                <w:lang w:val="sq-AL"/>
              </w:rPr>
            </w:pPr>
            <w:r w:rsidRPr="004E5A6E">
              <w:rPr>
                <w:color w:val="auto"/>
                <w:sz w:val="20"/>
                <w:szCs w:val="20"/>
                <w:lang w:val="sq-AL"/>
              </w:rPr>
              <w:t> </w:t>
            </w:r>
          </w:p>
        </w:tc>
        <w:tc>
          <w:tcPr>
            <w:tcW w:w="513" w:type="pct"/>
            <w:tcBorders>
              <w:top w:val="nil"/>
              <w:left w:val="nil"/>
              <w:bottom w:val="nil"/>
              <w:right w:val="nil"/>
            </w:tcBorders>
            <w:shd w:val="clear" w:color="000000" w:fill="FFFFFF"/>
            <w:noWrap/>
            <w:vAlign w:val="center"/>
            <w:hideMark/>
          </w:tcPr>
          <w:p w14:paraId="0559763C" w14:textId="77777777" w:rsidR="000244FF" w:rsidRPr="004E5A6E" w:rsidRDefault="000244FF" w:rsidP="000244FF">
            <w:pPr>
              <w:rPr>
                <w:color w:val="auto"/>
                <w:sz w:val="20"/>
                <w:szCs w:val="20"/>
                <w:lang w:val="sq-AL"/>
              </w:rPr>
            </w:pPr>
            <w:r w:rsidRPr="004E5A6E">
              <w:rPr>
                <w:color w:val="auto"/>
                <w:sz w:val="20"/>
                <w:szCs w:val="20"/>
                <w:lang w:val="sq-AL"/>
              </w:rPr>
              <w:t> </w:t>
            </w:r>
          </w:p>
        </w:tc>
        <w:tc>
          <w:tcPr>
            <w:tcW w:w="513" w:type="pct"/>
            <w:tcBorders>
              <w:top w:val="nil"/>
              <w:left w:val="nil"/>
              <w:bottom w:val="nil"/>
              <w:right w:val="nil"/>
            </w:tcBorders>
            <w:shd w:val="clear" w:color="000000" w:fill="FFFFFF"/>
            <w:noWrap/>
            <w:vAlign w:val="center"/>
            <w:hideMark/>
          </w:tcPr>
          <w:p w14:paraId="54198CCD" w14:textId="77777777" w:rsidR="000244FF" w:rsidRPr="004E5A6E" w:rsidRDefault="000244FF" w:rsidP="000244FF">
            <w:pPr>
              <w:rPr>
                <w:color w:val="auto"/>
                <w:sz w:val="20"/>
                <w:szCs w:val="20"/>
                <w:lang w:val="sq-AL"/>
              </w:rPr>
            </w:pPr>
            <w:r w:rsidRPr="004E5A6E">
              <w:rPr>
                <w:color w:val="auto"/>
                <w:sz w:val="20"/>
                <w:szCs w:val="20"/>
                <w:lang w:val="sq-AL"/>
              </w:rPr>
              <w:t> </w:t>
            </w:r>
          </w:p>
        </w:tc>
      </w:tr>
      <w:tr w:rsidR="000244FF" w:rsidRPr="004E5A6E" w14:paraId="7ED789A1" w14:textId="77777777" w:rsidTr="000244FF">
        <w:trPr>
          <w:trHeight w:val="318"/>
        </w:trPr>
        <w:tc>
          <w:tcPr>
            <w:tcW w:w="1925" w:type="pct"/>
            <w:tcBorders>
              <w:top w:val="double" w:sz="6" w:space="0" w:color="auto"/>
              <w:left w:val="double" w:sz="6" w:space="0" w:color="auto"/>
              <w:bottom w:val="double" w:sz="6" w:space="0" w:color="auto"/>
              <w:right w:val="nil"/>
            </w:tcBorders>
            <w:shd w:val="clear" w:color="000000" w:fill="FFFFFF"/>
            <w:vAlign w:val="center"/>
            <w:hideMark/>
          </w:tcPr>
          <w:p w14:paraId="48D31271" w14:textId="77777777" w:rsidR="000244FF" w:rsidRPr="004E5A6E" w:rsidRDefault="000244FF" w:rsidP="000244FF">
            <w:pPr>
              <w:rPr>
                <w:color w:val="auto"/>
                <w:sz w:val="20"/>
                <w:szCs w:val="20"/>
                <w:lang w:val="sq-AL"/>
              </w:rPr>
            </w:pPr>
            <w:r w:rsidRPr="004E5A6E">
              <w:rPr>
                <w:color w:val="auto"/>
                <w:sz w:val="20"/>
                <w:szCs w:val="20"/>
                <w:lang w:val="sq-AL"/>
              </w:rPr>
              <w:t xml:space="preserve">Ndryshimi në përqindje, mesatarja vjetore </w:t>
            </w:r>
          </w:p>
        </w:tc>
        <w:tc>
          <w:tcPr>
            <w:tcW w:w="513" w:type="pct"/>
            <w:tcBorders>
              <w:top w:val="double" w:sz="6" w:space="0" w:color="auto"/>
              <w:left w:val="dotted" w:sz="4" w:space="0" w:color="auto"/>
              <w:bottom w:val="double" w:sz="6" w:space="0" w:color="auto"/>
              <w:right w:val="single" w:sz="8" w:space="0" w:color="auto"/>
            </w:tcBorders>
            <w:shd w:val="clear" w:color="000000" w:fill="FFFFFF"/>
            <w:vAlign w:val="center"/>
            <w:hideMark/>
          </w:tcPr>
          <w:p w14:paraId="64776146" w14:textId="77777777" w:rsidR="000244FF" w:rsidRPr="004E5A6E" w:rsidRDefault="000244FF" w:rsidP="000244FF">
            <w:pPr>
              <w:jc w:val="center"/>
              <w:rPr>
                <w:color w:val="auto"/>
                <w:sz w:val="20"/>
                <w:szCs w:val="20"/>
                <w:lang w:val="sq-AL"/>
              </w:rPr>
            </w:pPr>
            <w:r w:rsidRPr="004E5A6E">
              <w:rPr>
                <w:color w:val="auto"/>
                <w:sz w:val="20"/>
                <w:szCs w:val="20"/>
                <w:lang w:val="sq-AL"/>
              </w:rPr>
              <w:t> </w:t>
            </w:r>
          </w:p>
        </w:tc>
        <w:tc>
          <w:tcPr>
            <w:tcW w:w="513" w:type="pct"/>
            <w:tcBorders>
              <w:top w:val="double" w:sz="6" w:space="0" w:color="auto"/>
              <w:left w:val="nil"/>
              <w:bottom w:val="double" w:sz="6" w:space="0" w:color="auto"/>
              <w:right w:val="dotted" w:sz="4" w:space="0" w:color="auto"/>
            </w:tcBorders>
            <w:shd w:val="clear" w:color="000000" w:fill="FFFFFF"/>
            <w:vAlign w:val="center"/>
            <w:hideMark/>
          </w:tcPr>
          <w:p w14:paraId="52DBADAB" w14:textId="77777777" w:rsidR="000244FF" w:rsidRPr="004E5A6E" w:rsidRDefault="000244FF" w:rsidP="000244FF">
            <w:pPr>
              <w:jc w:val="center"/>
              <w:rPr>
                <w:color w:val="auto"/>
                <w:sz w:val="20"/>
                <w:szCs w:val="20"/>
                <w:lang w:val="sq-AL"/>
              </w:rPr>
            </w:pPr>
            <w:r w:rsidRPr="004E5A6E">
              <w:rPr>
                <w:color w:val="auto"/>
                <w:sz w:val="20"/>
                <w:szCs w:val="20"/>
                <w:lang w:val="sq-AL"/>
              </w:rPr>
              <w:t>2019</w:t>
            </w:r>
          </w:p>
        </w:tc>
        <w:tc>
          <w:tcPr>
            <w:tcW w:w="513" w:type="pct"/>
            <w:tcBorders>
              <w:top w:val="double" w:sz="6" w:space="0" w:color="auto"/>
              <w:left w:val="nil"/>
              <w:bottom w:val="double" w:sz="6" w:space="0" w:color="auto"/>
              <w:right w:val="dotted" w:sz="4" w:space="0" w:color="auto"/>
            </w:tcBorders>
            <w:shd w:val="clear" w:color="000000" w:fill="FFFFFF"/>
            <w:vAlign w:val="center"/>
            <w:hideMark/>
          </w:tcPr>
          <w:p w14:paraId="50A260E5" w14:textId="77777777" w:rsidR="000244FF" w:rsidRPr="004E5A6E" w:rsidRDefault="000244FF" w:rsidP="000244FF">
            <w:pPr>
              <w:jc w:val="center"/>
              <w:rPr>
                <w:color w:val="auto"/>
                <w:sz w:val="20"/>
                <w:szCs w:val="20"/>
                <w:lang w:val="sq-AL"/>
              </w:rPr>
            </w:pPr>
            <w:r w:rsidRPr="004E5A6E">
              <w:rPr>
                <w:color w:val="auto"/>
                <w:sz w:val="20"/>
                <w:szCs w:val="20"/>
                <w:lang w:val="sq-AL"/>
              </w:rPr>
              <w:t>2020</w:t>
            </w:r>
          </w:p>
        </w:tc>
        <w:tc>
          <w:tcPr>
            <w:tcW w:w="513" w:type="pct"/>
            <w:tcBorders>
              <w:top w:val="double" w:sz="6" w:space="0" w:color="auto"/>
              <w:left w:val="nil"/>
              <w:bottom w:val="double" w:sz="6" w:space="0" w:color="auto"/>
              <w:right w:val="dotted" w:sz="4" w:space="0" w:color="auto"/>
            </w:tcBorders>
            <w:shd w:val="clear" w:color="000000" w:fill="FFFFFF"/>
            <w:vAlign w:val="center"/>
            <w:hideMark/>
          </w:tcPr>
          <w:p w14:paraId="006C20FD" w14:textId="77777777" w:rsidR="000244FF" w:rsidRPr="004E5A6E" w:rsidRDefault="000244FF" w:rsidP="000244FF">
            <w:pPr>
              <w:jc w:val="center"/>
              <w:rPr>
                <w:color w:val="auto"/>
                <w:sz w:val="20"/>
                <w:szCs w:val="20"/>
                <w:lang w:val="sq-AL"/>
              </w:rPr>
            </w:pPr>
            <w:r w:rsidRPr="004E5A6E">
              <w:rPr>
                <w:color w:val="auto"/>
                <w:sz w:val="20"/>
                <w:szCs w:val="20"/>
                <w:lang w:val="sq-AL"/>
              </w:rPr>
              <w:t>2021</w:t>
            </w:r>
          </w:p>
        </w:tc>
        <w:tc>
          <w:tcPr>
            <w:tcW w:w="513" w:type="pct"/>
            <w:tcBorders>
              <w:top w:val="double" w:sz="6" w:space="0" w:color="auto"/>
              <w:left w:val="nil"/>
              <w:bottom w:val="double" w:sz="6" w:space="0" w:color="auto"/>
              <w:right w:val="dotted" w:sz="4" w:space="0" w:color="auto"/>
            </w:tcBorders>
            <w:shd w:val="clear" w:color="000000" w:fill="FFFFFF"/>
            <w:vAlign w:val="center"/>
            <w:hideMark/>
          </w:tcPr>
          <w:p w14:paraId="4F3A3DAF" w14:textId="77777777" w:rsidR="000244FF" w:rsidRPr="004E5A6E" w:rsidRDefault="000244FF" w:rsidP="000244FF">
            <w:pPr>
              <w:jc w:val="center"/>
              <w:rPr>
                <w:color w:val="auto"/>
                <w:sz w:val="20"/>
                <w:szCs w:val="20"/>
                <w:lang w:val="sq-AL"/>
              </w:rPr>
            </w:pPr>
            <w:r w:rsidRPr="004E5A6E">
              <w:rPr>
                <w:color w:val="auto"/>
                <w:sz w:val="20"/>
                <w:szCs w:val="20"/>
                <w:lang w:val="sq-AL"/>
              </w:rPr>
              <w:t>2022</w:t>
            </w:r>
          </w:p>
        </w:tc>
        <w:tc>
          <w:tcPr>
            <w:tcW w:w="513" w:type="pct"/>
            <w:tcBorders>
              <w:top w:val="double" w:sz="6" w:space="0" w:color="auto"/>
              <w:left w:val="nil"/>
              <w:bottom w:val="double" w:sz="6" w:space="0" w:color="auto"/>
              <w:right w:val="double" w:sz="6" w:space="0" w:color="auto"/>
            </w:tcBorders>
            <w:shd w:val="clear" w:color="000000" w:fill="FFFFFF"/>
            <w:vAlign w:val="center"/>
            <w:hideMark/>
          </w:tcPr>
          <w:p w14:paraId="085D5020" w14:textId="77777777" w:rsidR="000244FF" w:rsidRPr="004E5A6E" w:rsidRDefault="000244FF" w:rsidP="000244FF">
            <w:pPr>
              <w:jc w:val="center"/>
              <w:rPr>
                <w:color w:val="auto"/>
                <w:sz w:val="20"/>
                <w:szCs w:val="20"/>
                <w:lang w:val="sq-AL"/>
              </w:rPr>
            </w:pPr>
            <w:r w:rsidRPr="004E5A6E">
              <w:rPr>
                <w:color w:val="auto"/>
                <w:sz w:val="20"/>
                <w:szCs w:val="20"/>
                <w:lang w:val="sq-AL"/>
              </w:rPr>
              <w:t>2023</w:t>
            </w:r>
          </w:p>
        </w:tc>
      </w:tr>
      <w:tr w:rsidR="000244FF" w:rsidRPr="004E5A6E" w14:paraId="06473CE5" w14:textId="77777777" w:rsidTr="000244FF">
        <w:trPr>
          <w:trHeight w:val="318"/>
        </w:trPr>
        <w:tc>
          <w:tcPr>
            <w:tcW w:w="1925" w:type="pct"/>
            <w:tcBorders>
              <w:top w:val="nil"/>
              <w:left w:val="double" w:sz="6" w:space="0" w:color="auto"/>
              <w:bottom w:val="dotted" w:sz="4" w:space="0" w:color="auto"/>
              <w:right w:val="nil"/>
            </w:tcBorders>
            <w:shd w:val="clear" w:color="000000" w:fill="FFFFFF"/>
            <w:vAlign w:val="center"/>
            <w:hideMark/>
          </w:tcPr>
          <w:p w14:paraId="2DC7D38F" w14:textId="77777777" w:rsidR="000244FF" w:rsidRPr="004E5A6E" w:rsidRDefault="000244FF" w:rsidP="000244FF">
            <w:pPr>
              <w:rPr>
                <w:color w:val="auto"/>
                <w:sz w:val="20"/>
                <w:szCs w:val="20"/>
                <w:lang w:val="sq-AL"/>
              </w:rPr>
            </w:pPr>
            <w:r w:rsidRPr="004E5A6E">
              <w:rPr>
                <w:color w:val="auto"/>
                <w:sz w:val="20"/>
                <w:szCs w:val="20"/>
                <w:lang w:val="sq-AL"/>
              </w:rPr>
              <w:t>1. Deflatori i BPV-së</w:t>
            </w:r>
          </w:p>
        </w:tc>
        <w:tc>
          <w:tcPr>
            <w:tcW w:w="513" w:type="pct"/>
            <w:tcBorders>
              <w:top w:val="nil"/>
              <w:left w:val="dotted" w:sz="4" w:space="0" w:color="auto"/>
              <w:bottom w:val="dotted" w:sz="4" w:space="0" w:color="auto"/>
              <w:right w:val="single" w:sz="8" w:space="0" w:color="auto"/>
            </w:tcBorders>
            <w:shd w:val="clear" w:color="000000" w:fill="FFFFFF"/>
            <w:vAlign w:val="center"/>
            <w:hideMark/>
          </w:tcPr>
          <w:p w14:paraId="660BE858" w14:textId="77777777" w:rsidR="000244FF" w:rsidRPr="004E5A6E" w:rsidRDefault="000244FF" w:rsidP="000244FF">
            <w:pPr>
              <w:jc w:val="center"/>
              <w:rPr>
                <w:color w:val="auto"/>
                <w:sz w:val="20"/>
                <w:szCs w:val="20"/>
                <w:lang w:val="sq-AL"/>
              </w:rPr>
            </w:pPr>
            <w:r w:rsidRPr="004E5A6E">
              <w:rPr>
                <w:color w:val="auto"/>
                <w:sz w:val="20"/>
                <w:szCs w:val="20"/>
                <w:lang w:val="sq-AL"/>
              </w:rPr>
              <w:t>%, yoy</w:t>
            </w:r>
          </w:p>
        </w:tc>
        <w:tc>
          <w:tcPr>
            <w:tcW w:w="513" w:type="pct"/>
            <w:tcBorders>
              <w:top w:val="nil"/>
              <w:left w:val="nil"/>
              <w:bottom w:val="dotted" w:sz="4" w:space="0" w:color="auto"/>
              <w:right w:val="dotted" w:sz="4" w:space="0" w:color="auto"/>
            </w:tcBorders>
            <w:shd w:val="clear" w:color="000000" w:fill="FFFFFF"/>
            <w:vAlign w:val="center"/>
            <w:hideMark/>
          </w:tcPr>
          <w:p w14:paraId="71DD582D" w14:textId="77777777" w:rsidR="000244FF" w:rsidRPr="004E5A6E" w:rsidRDefault="000244FF" w:rsidP="000244FF">
            <w:pPr>
              <w:jc w:val="center"/>
              <w:rPr>
                <w:color w:val="auto"/>
                <w:sz w:val="20"/>
                <w:szCs w:val="20"/>
                <w:lang w:val="sq-AL"/>
              </w:rPr>
            </w:pPr>
            <w:r w:rsidRPr="004E5A6E">
              <w:rPr>
                <w:color w:val="auto"/>
                <w:sz w:val="20"/>
                <w:szCs w:val="20"/>
                <w:lang w:val="sq-AL"/>
              </w:rPr>
              <w:t>0.6</w:t>
            </w:r>
          </w:p>
        </w:tc>
        <w:tc>
          <w:tcPr>
            <w:tcW w:w="513" w:type="pct"/>
            <w:tcBorders>
              <w:top w:val="nil"/>
              <w:left w:val="nil"/>
              <w:bottom w:val="dotted" w:sz="4" w:space="0" w:color="auto"/>
              <w:right w:val="dotted" w:sz="4" w:space="0" w:color="auto"/>
            </w:tcBorders>
            <w:shd w:val="clear" w:color="000000" w:fill="FFFFFF"/>
            <w:vAlign w:val="center"/>
            <w:hideMark/>
          </w:tcPr>
          <w:p w14:paraId="538C98E1" w14:textId="77777777" w:rsidR="000244FF" w:rsidRPr="004E5A6E" w:rsidRDefault="000244FF" w:rsidP="000244FF">
            <w:pPr>
              <w:jc w:val="center"/>
              <w:rPr>
                <w:color w:val="auto"/>
                <w:sz w:val="20"/>
                <w:szCs w:val="20"/>
                <w:lang w:val="sq-AL"/>
              </w:rPr>
            </w:pPr>
            <w:r w:rsidRPr="004E5A6E">
              <w:rPr>
                <w:color w:val="auto"/>
                <w:sz w:val="20"/>
                <w:szCs w:val="20"/>
                <w:lang w:val="sq-AL"/>
              </w:rPr>
              <w:t>0.5</w:t>
            </w:r>
          </w:p>
        </w:tc>
        <w:tc>
          <w:tcPr>
            <w:tcW w:w="513" w:type="pct"/>
            <w:tcBorders>
              <w:top w:val="nil"/>
              <w:left w:val="nil"/>
              <w:bottom w:val="dotted" w:sz="4" w:space="0" w:color="auto"/>
              <w:right w:val="dotted" w:sz="4" w:space="0" w:color="auto"/>
            </w:tcBorders>
            <w:shd w:val="clear" w:color="000000" w:fill="FFFFFF"/>
            <w:vAlign w:val="center"/>
            <w:hideMark/>
          </w:tcPr>
          <w:p w14:paraId="53D1C42E" w14:textId="77777777" w:rsidR="000244FF" w:rsidRPr="004E5A6E" w:rsidRDefault="000244FF" w:rsidP="000244FF">
            <w:pPr>
              <w:jc w:val="center"/>
              <w:rPr>
                <w:color w:val="auto"/>
                <w:sz w:val="20"/>
                <w:szCs w:val="20"/>
                <w:lang w:val="sq-AL"/>
              </w:rPr>
            </w:pPr>
            <w:r w:rsidRPr="004E5A6E">
              <w:rPr>
                <w:color w:val="auto"/>
                <w:sz w:val="20"/>
                <w:szCs w:val="20"/>
                <w:lang w:val="sq-AL"/>
              </w:rPr>
              <w:t>1.8</w:t>
            </w:r>
          </w:p>
        </w:tc>
        <w:tc>
          <w:tcPr>
            <w:tcW w:w="513" w:type="pct"/>
            <w:tcBorders>
              <w:top w:val="nil"/>
              <w:left w:val="nil"/>
              <w:bottom w:val="dotted" w:sz="4" w:space="0" w:color="auto"/>
              <w:right w:val="dotted" w:sz="4" w:space="0" w:color="auto"/>
            </w:tcBorders>
            <w:shd w:val="clear" w:color="000000" w:fill="FFFFFF"/>
            <w:vAlign w:val="center"/>
            <w:hideMark/>
          </w:tcPr>
          <w:p w14:paraId="31600DC0" w14:textId="77777777" w:rsidR="000244FF" w:rsidRPr="004E5A6E" w:rsidRDefault="000244FF" w:rsidP="000244FF">
            <w:pPr>
              <w:jc w:val="center"/>
              <w:rPr>
                <w:color w:val="auto"/>
                <w:sz w:val="20"/>
                <w:szCs w:val="20"/>
                <w:lang w:val="sq-AL"/>
              </w:rPr>
            </w:pPr>
            <w:r w:rsidRPr="004E5A6E">
              <w:rPr>
                <w:color w:val="auto"/>
                <w:sz w:val="20"/>
                <w:szCs w:val="20"/>
                <w:lang w:val="sq-AL"/>
              </w:rPr>
              <w:t>1.1</w:t>
            </w:r>
          </w:p>
        </w:tc>
        <w:tc>
          <w:tcPr>
            <w:tcW w:w="513" w:type="pct"/>
            <w:tcBorders>
              <w:top w:val="nil"/>
              <w:left w:val="nil"/>
              <w:bottom w:val="dotted" w:sz="4" w:space="0" w:color="auto"/>
              <w:right w:val="double" w:sz="6" w:space="0" w:color="auto"/>
            </w:tcBorders>
            <w:shd w:val="clear" w:color="000000" w:fill="FFFFFF"/>
            <w:vAlign w:val="center"/>
            <w:hideMark/>
          </w:tcPr>
          <w:p w14:paraId="4CFC4DF3" w14:textId="77777777" w:rsidR="000244FF" w:rsidRPr="004E5A6E" w:rsidRDefault="000244FF" w:rsidP="000244FF">
            <w:pPr>
              <w:jc w:val="center"/>
              <w:rPr>
                <w:color w:val="auto"/>
                <w:sz w:val="20"/>
                <w:szCs w:val="20"/>
                <w:lang w:val="sq-AL"/>
              </w:rPr>
            </w:pPr>
            <w:r w:rsidRPr="004E5A6E">
              <w:rPr>
                <w:color w:val="auto"/>
                <w:sz w:val="20"/>
                <w:szCs w:val="20"/>
                <w:lang w:val="sq-AL"/>
              </w:rPr>
              <w:t>1.3</w:t>
            </w:r>
          </w:p>
        </w:tc>
      </w:tr>
      <w:tr w:rsidR="000244FF" w:rsidRPr="004E5A6E" w14:paraId="258D58B6" w14:textId="77777777" w:rsidTr="000244FF">
        <w:trPr>
          <w:trHeight w:val="318"/>
        </w:trPr>
        <w:tc>
          <w:tcPr>
            <w:tcW w:w="1925" w:type="pct"/>
            <w:tcBorders>
              <w:top w:val="nil"/>
              <w:left w:val="double" w:sz="6" w:space="0" w:color="auto"/>
              <w:bottom w:val="dotted" w:sz="4" w:space="0" w:color="auto"/>
              <w:right w:val="nil"/>
            </w:tcBorders>
            <w:shd w:val="clear" w:color="000000" w:fill="FFFFFF"/>
            <w:vAlign w:val="center"/>
            <w:hideMark/>
          </w:tcPr>
          <w:p w14:paraId="75F7D9F5" w14:textId="77777777" w:rsidR="000244FF" w:rsidRPr="004E5A6E" w:rsidRDefault="000244FF" w:rsidP="000244FF">
            <w:pPr>
              <w:rPr>
                <w:color w:val="auto"/>
                <w:sz w:val="20"/>
                <w:szCs w:val="20"/>
                <w:lang w:val="sq-AL"/>
              </w:rPr>
            </w:pPr>
            <w:r w:rsidRPr="004E5A6E">
              <w:rPr>
                <w:color w:val="auto"/>
                <w:sz w:val="20"/>
                <w:szCs w:val="20"/>
                <w:lang w:val="sq-AL"/>
              </w:rPr>
              <w:t xml:space="preserve">2. Deflatori i konsumit privat </w:t>
            </w:r>
          </w:p>
        </w:tc>
        <w:tc>
          <w:tcPr>
            <w:tcW w:w="513" w:type="pct"/>
            <w:tcBorders>
              <w:top w:val="nil"/>
              <w:left w:val="dotted" w:sz="4" w:space="0" w:color="auto"/>
              <w:bottom w:val="dotted" w:sz="4" w:space="0" w:color="auto"/>
              <w:right w:val="single" w:sz="8" w:space="0" w:color="auto"/>
            </w:tcBorders>
            <w:shd w:val="clear" w:color="000000" w:fill="FFFFFF"/>
            <w:vAlign w:val="center"/>
            <w:hideMark/>
          </w:tcPr>
          <w:p w14:paraId="407171C2" w14:textId="77777777" w:rsidR="000244FF" w:rsidRPr="004E5A6E" w:rsidRDefault="000244FF" w:rsidP="000244FF">
            <w:pPr>
              <w:jc w:val="center"/>
              <w:rPr>
                <w:color w:val="auto"/>
                <w:sz w:val="20"/>
                <w:szCs w:val="20"/>
                <w:lang w:val="sq-AL"/>
              </w:rPr>
            </w:pPr>
            <w:r w:rsidRPr="004E5A6E">
              <w:rPr>
                <w:color w:val="auto"/>
                <w:sz w:val="20"/>
                <w:szCs w:val="20"/>
                <w:lang w:val="sq-AL"/>
              </w:rPr>
              <w:t>%, yoy</w:t>
            </w:r>
          </w:p>
        </w:tc>
        <w:tc>
          <w:tcPr>
            <w:tcW w:w="513" w:type="pct"/>
            <w:tcBorders>
              <w:top w:val="nil"/>
              <w:left w:val="nil"/>
              <w:bottom w:val="dotted" w:sz="4" w:space="0" w:color="auto"/>
              <w:right w:val="dotted" w:sz="4" w:space="0" w:color="auto"/>
            </w:tcBorders>
            <w:shd w:val="clear" w:color="000000" w:fill="FFFFFF"/>
            <w:vAlign w:val="center"/>
            <w:hideMark/>
          </w:tcPr>
          <w:p w14:paraId="5B25ECBA" w14:textId="77777777" w:rsidR="000244FF" w:rsidRPr="004E5A6E" w:rsidRDefault="000244FF" w:rsidP="000244FF">
            <w:pPr>
              <w:jc w:val="center"/>
              <w:rPr>
                <w:color w:val="auto"/>
                <w:sz w:val="20"/>
                <w:szCs w:val="20"/>
                <w:lang w:val="sq-AL"/>
              </w:rPr>
            </w:pPr>
            <w:r w:rsidRPr="004E5A6E">
              <w:rPr>
                <w:color w:val="auto"/>
                <w:sz w:val="20"/>
                <w:szCs w:val="20"/>
                <w:lang w:val="sq-AL"/>
              </w:rPr>
              <w:t>1.4</w:t>
            </w:r>
          </w:p>
        </w:tc>
        <w:tc>
          <w:tcPr>
            <w:tcW w:w="513" w:type="pct"/>
            <w:tcBorders>
              <w:top w:val="nil"/>
              <w:left w:val="nil"/>
              <w:bottom w:val="dotted" w:sz="4" w:space="0" w:color="auto"/>
              <w:right w:val="dotted" w:sz="4" w:space="0" w:color="auto"/>
            </w:tcBorders>
            <w:shd w:val="clear" w:color="000000" w:fill="FFFFFF"/>
            <w:vAlign w:val="center"/>
            <w:hideMark/>
          </w:tcPr>
          <w:p w14:paraId="58F77FD3" w14:textId="77777777" w:rsidR="000244FF" w:rsidRPr="004E5A6E" w:rsidRDefault="000244FF" w:rsidP="000244FF">
            <w:pPr>
              <w:jc w:val="center"/>
              <w:rPr>
                <w:color w:val="auto"/>
                <w:sz w:val="20"/>
                <w:szCs w:val="20"/>
                <w:lang w:val="sq-AL"/>
              </w:rPr>
            </w:pPr>
            <w:r w:rsidRPr="004E5A6E">
              <w:rPr>
                <w:color w:val="auto"/>
                <w:sz w:val="20"/>
                <w:szCs w:val="20"/>
                <w:lang w:val="sq-AL"/>
              </w:rPr>
              <w:t>0.2</w:t>
            </w:r>
          </w:p>
        </w:tc>
        <w:tc>
          <w:tcPr>
            <w:tcW w:w="513" w:type="pct"/>
            <w:tcBorders>
              <w:top w:val="nil"/>
              <w:left w:val="nil"/>
              <w:bottom w:val="dotted" w:sz="4" w:space="0" w:color="auto"/>
              <w:right w:val="dotted" w:sz="4" w:space="0" w:color="auto"/>
            </w:tcBorders>
            <w:shd w:val="clear" w:color="000000" w:fill="FFFFFF"/>
            <w:vAlign w:val="center"/>
            <w:hideMark/>
          </w:tcPr>
          <w:p w14:paraId="29EF9CD7" w14:textId="77777777" w:rsidR="000244FF" w:rsidRPr="004E5A6E" w:rsidRDefault="000244FF" w:rsidP="000244FF">
            <w:pPr>
              <w:jc w:val="center"/>
              <w:rPr>
                <w:color w:val="auto"/>
                <w:sz w:val="20"/>
                <w:szCs w:val="20"/>
                <w:lang w:val="sq-AL"/>
              </w:rPr>
            </w:pPr>
            <w:r w:rsidRPr="004E5A6E">
              <w:rPr>
                <w:color w:val="auto"/>
                <w:sz w:val="20"/>
                <w:szCs w:val="20"/>
                <w:lang w:val="sq-AL"/>
              </w:rPr>
              <w:t>2.0</w:t>
            </w:r>
          </w:p>
        </w:tc>
        <w:tc>
          <w:tcPr>
            <w:tcW w:w="513" w:type="pct"/>
            <w:tcBorders>
              <w:top w:val="nil"/>
              <w:left w:val="nil"/>
              <w:bottom w:val="dotted" w:sz="4" w:space="0" w:color="auto"/>
              <w:right w:val="dotted" w:sz="4" w:space="0" w:color="auto"/>
            </w:tcBorders>
            <w:shd w:val="clear" w:color="000000" w:fill="FFFFFF"/>
            <w:vAlign w:val="center"/>
            <w:hideMark/>
          </w:tcPr>
          <w:p w14:paraId="6860C01E" w14:textId="77777777" w:rsidR="000244FF" w:rsidRPr="004E5A6E" w:rsidRDefault="000244FF" w:rsidP="000244FF">
            <w:pPr>
              <w:jc w:val="center"/>
              <w:rPr>
                <w:color w:val="auto"/>
                <w:sz w:val="20"/>
                <w:szCs w:val="20"/>
                <w:lang w:val="sq-AL"/>
              </w:rPr>
            </w:pPr>
            <w:r w:rsidRPr="004E5A6E">
              <w:rPr>
                <w:color w:val="auto"/>
                <w:sz w:val="20"/>
                <w:szCs w:val="20"/>
                <w:lang w:val="sq-AL"/>
              </w:rPr>
              <w:t>1.0</w:t>
            </w:r>
          </w:p>
        </w:tc>
        <w:tc>
          <w:tcPr>
            <w:tcW w:w="513" w:type="pct"/>
            <w:tcBorders>
              <w:top w:val="nil"/>
              <w:left w:val="nil"/>
              <w:bottom w:val="dotted" w:sz="4" w:space="0" w:color="auto"/>
              <w:right w:val="double" w:sz="6" w:space="0" w:color="auto"/>
            </w:tcBorders>
            <w:shd w:val="clear" w:color="000000" w:fill="FFFFFF"/>
            <w:vAlign w:val="center"/>
            <w:hideMark/>
          </w:tcPr>
          <w:p w14:paraId="62B71AD5" w14:textId="77777777" w:rsidR="000244FF" w:rsidRPr="004E5A6E" w:rsidRDefault="000244FF" w:rsidP="000244FF">
            <w:pPr>
              <w:jc w:val="center"/>
              <w:rPr>
                <w:color w:val="auto"/>
                <w:sz w:val="20"/>
                <w:szCs w:val="20"/>
                <w:lang w:val="sq-AL"/>
              </w:rPr>
            </w:pPr>
            <w:r w:rsidRPr="004E5A6E">
              <w:rPr>
                <w:color w:val="auto"/>
                <w:sz w:val="20"/>
                <w:szCs w:val="20"/>
                <w:lang w:val="sq-AL"/>
              </w:rPr>
              <w:t>1.1</w:t>
            </w:r>
          </w:p>
        </w:tc>
      </w:tr>
      <w:tr w:rsidR="000244FF" w:rsidRPr="004E5A6E" w14:paraId="1A4CB7D0" w14:textId="77777777" w:rsidTr="000244FF">
        <w:trPr>
          <w:trHeight w:val="318"/>
        </w:trPr>
        <w:tc>
          <w:tcPr>
            <w:tcW w:w="1925" w:type="pct"/>
            <w:tcBorders>
              <w:top w:val="nil"/>
              <w:left w:val="double" w:sz="6" w:space="0" w:color="auto"/>
              <w:bottom w:val="dotted" w:sz="4" w:space="0" w:color="auto"/>
              <w:right w:val="nil"/>
            </w:tcBorders>
            <w:shd w:val="clear" w:color="000000" w:fill="FFFFFF"/>
            <w:vAlign w:val="center"/>
            <w:hideMark/>
          </w:tcPr>
          <w:p w14:paraId="3A911735" w14:textId="77777777" w:rsidR="000244FF" w:rsidRPr="004E5A6E" w:rsidRDefault="000244FF" w:rsidP="000244FF">
            <w:pPr>
              <w:rPr>
                <w:color w:val="auto"/>
                <w:sz w:val="20"/>
                <w:szCs w:val="20"/>
                <w:lang w:val="sq-AL"/>
              </w:rPr>
            </w:pPr>
            <w:r w:rsidRPr="004E5A6E">
              <w:rPr>
                <w:color w:val="auto"/>
                <w:sz w:val="20"/>
                <w:szCs w:val="20"/>
                <w:lang w:val="sq-AL"/>
              </w:rPr>
              <w:t>3. IHÇK</w:t>
            </w:r>
          </w:p>
        </w:tc>
        <w:tc>
          <w:tcPr>
            <w:tcW w:w="513" w:type="pct"/>
            <w:tcBorders>
              <w:top w:val="nil"/>
              <w:left w:val="dotted" w:sz="4" w:space="0" w:color="auto"/>
              <w:bottom w:val="dotted" w:sz="4" w:space="0" w:color="auto"/>
              <w:right w:val="single" w:sz="8" w:space="0" w:color="auto"/>
            </w:tcBorders>
            <w:shd w:val="clear" w:color="000000" w:fill="FFFFFF"/>
            <w:vAlign w:val="center"/>
            <w:hideMark/>
          </w:tcPr>
          <w:p w14:paraId="6B3424F7" w14:textId="77777777" w:rsidR="000244FF" w:rsidRPr="004E5A6E" w:rsidRDefault="000244FF" w:rsidP="000244FF">
            <w:pPr>
              <w:jc w:val="center"/>
              <w:rPr>
                <w:color w:val="auto"/>
                <w:sz w:val="20"/>
                <w:szCs w:val="20"/>
                <w:lang w:val="sq-AL"/>
              </w:rPr>
            </w:pPr>
            <w:r w:rsidRPr="004E5A6E">
              <w:rPr>
                <w:color w:val="auto"/>
                <w:sz w:val="20"/>
                <w:szCs w:val="20"/>
                <w:lang w:val="sq-AL"/>
              </w:rPr>
              <w:t>%, yoy</w:t>
            </w:r>
          </w:p>
        </w:tc>
        <w:tc>
          <w:tcPr>
            <w:tcW w:w="513" w:type="pct"/>
            <w:tcBorders>
              <w:top w:val="nil"/>
              <w:left w:val="nil"/>
              <w:bottom w:val="dotted" w:sz="4" w:space="0" w:color="auto"/>
              <w:right w:val="dotted" w:sz="4" w:space="0" w:color="auto"/>
            </w:tcBorders>
            <w:shd w:val="clear" w:color="auto" w:fill="auto"/>
            <w:vAlign w:val="center"/>
            <w:hideMark/>
          </w:tcPr>
          <w:p w14:paraId="4A7B1A55" w14:textId="77777777" w:rsidR="000244FF" w:rsidRPr="004E5A6E" w:rsidRDefault="000244FF" w:rsidP="000244FF">
            <w:pPr>
              <w:jc w:val="center"/>
              <w:rPr>
                <w:color w:val="auto"/>
                <w:sz w:val="20"/>
                <w:szCs w:val="20"/>
                <w:lang w:val="sq-AL"/>
              </w:rPr>
            </w:pPr>
            <w:r w:rsidRPr="004E5A6E">
              <w:rPr>
                <w:color w:val="auto"/>
                <w:sz w:val="20"/>
                <w:szCs w:val="20"/>
                <w:lang w:val="sq-AL"/>
              </w:rPr>
              <w:t>2.7</w:t>
            </w:r>
          </w:p>
        </w:tc>
        <w:tc>
          <w:tcPr>
            <w:tcW w:w="513" w:type="pct"/>
            <w:tcBorders>
              <w:top w:val="nil"/>
              <w:left w:val="nil"/>
              <w:bottom w:val="dotted" w:sz="4" w:space="0" w:color="auto"/>
              <w:right w:val="dotted" w:sz="4" w:space="0" w:color="auto"/>
            </w:tcBorders>
            <w:shd w:val="clear" w:color="auto" w:fill="auto"/>
            <w:vAlign w:val="center"/>
            <w:hideMark/>
          </w:tcPr>
          <w:p w14:paraId="6FADF96E" w14:textId="77777777" w:rsidR="000244FF" w:rsidRPr="004E5A6E" w:rsidRDefault="000244FF" w:rsidP="000244FF">
            <w:pPr>
              <w:jc w:val="center"/>
              <w:rPr>
                <w:color w:val="auto"/>
                <w:sz w:val="20"/>
                <w:szCs w:val="20"/>
                <w:lang w:val="sq-AL"/>
              </w:rPr>
            </w:pPr>
            <w:r w:rsidRPr="004E5A6E">
              <w:rPr>
                <w:color w:val="auto"/>
                <w:sz w:val="20"/>
                <w:szCs w:val="20"/>
                <w:lang w:val="sq-AL"/>
              </w:rPr>
              <w:t>0.2</w:t>
            </w:r>
          </w:p>
        </w:tc>
        <w:tc>
          <w:tcPr>
            <w:tcW w:w="513" w:type="pct"/>
            <w:tcBorders>
              <w:top w:val="nil"/>
              <w:left w:val="nil"/>
              <w:bottom w:val="dotted" w:sz="4" w:space="0" w:color="auto"/>
              <w:right w:val="dotted" w:sz="4" w:space="0" w:color="auto"/>
            </w:tcBorders>
            <w:shd w:val="clear" w:color="auto" w:fill="auto"/>
            <w:vAlign w:val="center"/>
            <w:hideMark/>
          </w:tcPr>
          <w:p w14:paraId="0046E6E7" w14:textId="77777777" w:rsidR="000244FF" w:rsidRPr="004E5A6E" w:rsidRDefault="000244FF" w:rsidP="000244FF">
            <w:pPr>
              <w:jc w:val="center"/>
              <w:rPr>
                <w:color w:val="auto"/>
                <w:sz w:val="20"/>
                <w:szCs w:val="20"/>
                <w:lang w:val="sq-AL"/>
              </w:rPr>
            </w:pPr>
            <w:r w:rsidRPr="004E5A6E">
              <w:rPr>
                <w:color w:val="auto"/>
                <w:sz w:val="20"/>
                <w:szCs w:val="20"/>
                <w:lang w:val="sq-AL"/>
              </w:rPr>
              <w:t>2.0</w:t>
            </w:r>
          </w:p>
        </w:tc>
        <w:tc>
          <w:tcPr>
            <w:tcW w:w="513" w:type="pct"/>
            <w:tcBorders>
              <w:top w:val="nil"/>
              <w:left w:val="nil"/>
              <w:bottom w:val="dotted" w:sz="4" w:space="0" w:color="auto"/>
              <w:right w:val="dotted" w:sz="4" w:space="0" w:color="auto"/>
            </w:tcBorders>
            <w:shd w:val="clear" w:color="auto" w:fill="auto"/>
            <w:vAlign w:val="center"/>
            <w:hideMark/>
          </w:tcPr>
          <w:p w14:paraId="3B14DBCC" w14:textId="77777777" w:rsidR="000244FF" w:rsidRPr="004E5A6E" w:rsidRDefault="000244FF" w:rsidP="000244FF">
            <w:pPr>
              <w:jc w:val="center"/>
              <w:rPr>
                <w:color w:val="auto"/>
                <w:sz w:val="20"/>
                <w:szCs w:val="20"/>
                <w:lang w:val="sq-AL"/>
              </w:rPr>
            </w:pPr>
            <w:r w:rsidRPr="004E5A6E">
              <w:rPr>
                <w:color w:val="auto"/>
                <w:sz w:val="20"/>
                <w:szCs w:val="20"/>
                <w:lang w:val="sq-AL"/>
              </w:rPr>
              <w:t>1.0</w:t>
            </w:r>
          </w:p>
        </w:tc>
        <w:tc>
          <w:tcPr>
            <w:tcW w:w="513" w:type="pct"/>
            <w:tcBorders>
              <w:top w:val="nil"/>
              <w:left w:val="nil"/>
              <w:bottom w:val="dotted" w:sz="4" w:space="0" w:color="auto"/>
              <w:right w:val="double" w:sz="6" w:space="0" w:color="auto"/>
            </w:tcBorders>
            <w:shd w:val="clear" w:color="auto" w:fill="auto"/>
            <w:vAlign w:val="center"/>
            <w:hideMark/>
          </w:tcPr>
          <w:p w14:paraId="2A40FD93" w14:textId="77777777" w:rsidR="000244FF" w:rsidRPr="004E5A6E" w:rsidRDefault="000244FF" w:rsidP="000244FF">
            <w:pPr>
              <w:jc w:val="center"/>
              <w:rPr>
                <w:color w:val="auto"/>
                <w:sz w:val="20"/>
                <w:szCs w:val="20"/>
                <w:lang w:val="sq-AL"/>
              </w:rPr>
            </w:pPr>
            <w:r w:rsidRPr="004E5A6E">
              <w:rPr>
                <w:color w:val="auto"/>
                <w:sz w:val="20"/>
                <w:szCs w:val="20"/>
                <w:lang w:val="sq-AL"/>
              </w:rPr>
              <w:t>1.0</w:t>
            </w:r>
          </w:p>
        </w:tc>
      </w:tr>
      <w:tr w:rsidR="000244FF" w:rsidRPr="004E5A6E" w14:paraId="2B437327" w14:textId="77777777" w:rsidTr="000244FF">
        <w:trPr>
          <w:trHeight w:val="318"/>
        </w:trPr>
        <w:tc>
          <w:tcPr>
            <w:tcW w:w="1925" w:type="pct"/>
            <w:tcBorders>
              <w:top w:val="nil"/>
              <w:left w:val="double" w:sz="6" w:space="0" w:color="auto"/>
              <w:bottom w:val="dotted" w:sz="4" w:space="0" w:color="auto"/>
              <w:right w:val="nil"/>
            </w:tcBorders>
            <w:shd w:val="clear" w:color="000000" w:fill="FFFFFF"/>
            <w:vAlign w:val="center"/>
            <w:hideMark/>
          </w:tcPr>
          <w:p w14:paraId="0C345E03" w14:textId="77777777" w:rsidR="000244FF" w:rsidRPr="004E5A6E" w:rsidRDefault="000244FF" w:rsidP="000244FF">
            <w:pPr>
              <w:rPr>
                <w:color w:val="auto"/>
                <w:sz w:val="20"/>
                <w:szCs w:val="20"/>
                <w:lang w:val="sq-AL"/>
              </w:rPr>
            </w:pPr>
            <w:r w:rsidRPr="004E5A6E">
              <w:rPr>
                <w:color w:val="auto"/>
                <w:sz w:val="20"/>
                <w:szCs w:val="20"/>
                <w:lang w:val="sq-AL"/>
              </w:rPr>
              <w:t>4. Ndryshimi në IÇK</w:t>
            </w:r>
          </w:p>
        </w:tc>
        <w:tc>
          <w:tcPr>
            <w:tcW w:w="513" w:type="pct"/>
            <w:tcBorders>
              <w:top w:val="nil"/>
              <w:left w:val="dotted" w:sz="4" w:space="0" w:color="auto"/>
              <w:bottom w:val="dotted" w:sz="4" w:space="0" w:color="auto"/>
              <w:right w:val="single" w:sz="8" w:space="0" w:color="auto"/>
            </w:tcBorders>
            <w:shd w:val="clear" w:color="000000" w:fill="FFFFFF"/>
            <w:vAlign w:val="center"/>
            <w:hideMark/>
          </w:tcPr>
          <w:p w14:paraId="50075C73" w14:textId="77777777" w:rsidR="000244FF" w:rsidRPr="004E5A6E" w:rsidRDefault="000244FF" w:rsidP="000244FF">
            <w:pPr>
              <w:jc w:val="center"/>
              <w:rPr>
                <w:color w:val="auto"/>
                <w:sz w:val="20"/>
                <w:szCs w:val="20"/>
                <w:lang w:val="sq-AL"/>
              </w:rPr>
            </w:pPr>
            <w:r w:rsidRPr="004E5A6E">
              <w:rPr>
                <w:color w:val="auto"/>
                <w:sz w:val="20"/>
                <w:szCs w:val="20"/>
                <w:lang w:val="sq-AL"/>
              </w:rPr>
              <w:t>%, yoy</w:t>
            </w:r>
          </w:p>
        </w:tc>
        <w:tc>
          <w:tcPr>
            <w:tcW w:w="513" w:type="pct"/>
            <w:tcBorders>
              <w:top w:val="nil"/>
              <w:left w:val="nil"/>
              <w:bottom w:val="dotted" w:sz="4" w:space="0" w:color="auto"/>
              <w:right w:val="dotted" w:sz="4" w:space="0" w:color="auto"/>
            </w:tcBorders>
            <w:shd w:val="clear" w:color="000000" w:fill="FFFFFF"/>
            <w:vAlign w:val="center"/>
            <w:hideMark/>
          </w:tcPr>
          <w:p w14:paraId="45728CEE" w14:textId="77777777" w:rsidR="000244FF" w:rsidRPr="004E5A6E" w:rsidRDefault="000244FF" w:rsidP="000244FF">
            <w:pPr>
              <w:jc w:val="center"/>
              <w:rPr>
                <w:color w:val="auto"/>
                <w:sz w:val="20"/>
                <w:szCs w:val="20"/>
                <w:lang w:val="sq-AL"/>
              </w:rPr>
            </w:pPr>
            <w:r w:rsidRPr="004E5A6E">
              <w:rPr>
                <w:color w:val="auto"/>
                <w:sz w:val="20"/>
                <w:szCs w:val="20"/>
                <w:lang w:val="sq-AL"/>
              </w:rPr>
              <w:t>2.7</w:t>
            </w:r>
          </w:p>
        </w:tc>
        <w:tc>
          <w:tcPr>
            <w:tcW w:w="513" w:type="pct"/>
            <w:tcBorders>
              <w:top w:val="nil"/>
              <w:left w:val="nil"/>
              <w:bottom w:val="dotted" w:sz="4" w:space="0" w:color="auto"/>
              <w:right w:val="dotted" w:sz="4" w:space="0" w:color="auto"/>
            </w:tcBorders>
            <w:shd w:val="clear" w:color="000000" w:fill="FFFFFF"/>
            <w:vAlign w:val="center"/>
            <w:hideMark/>
          </w:tcPr>
          <w:p w14:paraId="5695688B" w14:textId="77777777" w:rsidR="000244FF" w:rsidRPr="004E5A6E" w:rsidRDefault="000244FF" w:rsidP="000244FF">
            <w:pPr>
              <w:jc w:val="center"/>
              <w:rPr>
                <w:color w:val="auto"/>
                <w:sz w:val="20"/>
                <w:szCs w:val="20"/>
                <w:lang w:val="sq-AL"/>
              </w:rPr>
            </w:pPr>
            <w:r w:rsidRPr="004E5A6E">
              <w:rPr>
                <w:color w:val="auto"/>
                <w:sz w:val="20"/>
                <w:szCs w:val="20"/>
                <w:lang w:val="sq-AL"/>
              </w:rPr>
              <w:t>0.2</w:t>
            </w:r>
          </w:p>
        </w:tc>
        <w:tc>
          <w:tcPr>
            <w:tcW w:w="513" w:type="pct"/>
            <w:tcBorders>
              <w:top w:val="nil"/>
              <w:left w:val="nil"/>
              <w:bottom w:val="dotted" w:sz="4" w:space="0" w:color="auto"/>
              <w:right w:val="dotted" w:sz="4" w:space="0" w:color="auto"/>
            </w:tcBorders>
            <w:shd w:val="clear" w:color="000000" w:fill="FFFFFF"/>
            <w:vAlign w:val="center"/>
            <w:hideMark/>
          </w:tcPr>
          <w:p w14:paraId="3CD86D6B" w14:textId="77777777" w:rsidR="000244FF" w:rsidRPr="004E5A6E" w:rsidRDefault="000244FF" w:rsidP="000244FF">
            <w:pPr>
              <w:jc w:val="center"/>
              <w:rPr>
                <w:color w:val="auto"/>
                <w:sz w:val="20"/>
                <w:szCs w:val="20"/>
                <w:lang w:val="sq-AL"/>
              </w:rPr>
            </w:pPr>
            <w:r w:rsidRPr="004E5A6E">
              <w:rPr>
                <w:color w:val="auto"/>
                <w:sz w:val="20"/>
                <w:szCs w:val="20"/>
                <w:lang w:val="sq-AL"/>
              </w:rPr>
              <w:t>2.0</w:t>
            </w:r>
          </w:p>
        </w:tc>
        <w:tc>
          <w:tcPr>
            <w:tcW w:w="513" w:type="pct"/>
            <w:tcBorders>
              <w:top w:val="nil"/>
              <w:left w:val="nil"/>
              <w:bottom w:val="dotted" w:sz="4" w:space="0" w:color="auto"/>
              <w:right w:val="dotted" w:sz="4" w:space="0" w:color="auto"/>
            </w:tcBorders>
            <w:shd w:val="clear" w:color="000000" w:fill="FFFFFF"/>
            <w:vAlign w:val="center"/>
            <w:hideMark/>
          </w:tcPr>
          <w:p w14:paraId="55EA824E" w14:textId="77777777" w:rsidR="000244FF" w:rsidRPr="004E5A6E" w:rsidRDefault="000244FF" w:rsidP="000244FF">
            <w:pPr>
              <w:jc w:val="center"/>
              <w:rPr>
                <w:color w:val="auto"/>
                <w:sz w:val="20"/>
                <w:szCs w:val="20"/>
                <w:lang w:val="sq-AL"/>
              </w:rPr>
            </w:pPr>
            <w:r w:rsidRPr="004E5A6E">
              <w:rPr>
                <w:color w:val="auto"/>
                <w:sz w:val="20"/>
                <w:szCs w:val="20"/>
                <w:lang w:val="sq-AL"/>
              </w:rPr>
              <w:t>1.0</w:t>
            </w:r>
          </w:p>
        </w:tc>
        <w:tc>
          <w:tcPr>
            <w:tcW w:w="513" w:type="pct"/>
            <w:tcBorders>
              <w:top w:val="nil"/>
              <w:left w:val="nil"/>
              <w:bottom w:val="dotted" w:sz="4" w:space="0" w:color="auto"/>
              <w:right w:val="double" w:sz="6" w:space="0" w:color="auto"/>
            </w:tcBorders>
            <w:shd w:val="clear" w:color="000000" w:fill="FFFFFF"/>
            <w:vAlign w:val="center"/>
            <w:hideMark/>
          </w:tcPr>
          <w:p w14:paraId="2095BB69" w14:textId="77777777" w:rsidR="000244FF" w:rsidRPr="004E5A6E" w:rsidRDefault="000244FF" w:rsidP="000244FF">
            <w:pPr>
              <w:jc w:val="center"/>
              <w:rPr>
                <w:color w:val="auto"/>
                <w:sz w:val="20"/>
                <w:szCs w:val="20"/>
                <w:lang w:val="sq-AL"/>
              </w:rPr>
            </w:pPr>
            <w:r w:rsidRPr="004E5A6E">
              <w:rPr>
                <w:color w:val="auto"/>
                <w:sz w:val="20"/>
                <w:szCs w:val="20"/>
                <w:lang w:val="sq-AL"/>
              </w:rPr>
              <w:t>1.0</w:t>
            </w:r>
          </w:p>
        </w:tc>
      </w:tr>
      <w:tr w:rsidR="000244FF" w:rsidRPr="004E5A6E" w14:paraId="34F46307" w14:textId="77777777" w:rsidTr="000244FF">
        <w:trPr>
          <w:trHeight w:val="318"/>
        </w:trPr>
        <w:tc>
          <w:tcPr>
            <w:tcW w:w="1925" w:type="pct"/>
            <w:tcBorders>
              <w:top w:val="nil"/>
              <w:left w:val="double" w:sz="6" w:space="0" w:color="auto"/>
              <w:bottom w:val="dotted" w:sz="4" w:space="0" w:color="auto"/>
              <w:right w:val="nil"/>
            </w:tcBorders>
            <w:shd w:val="clear" w:color="000000" w:fill="FFFFFF"/>
            <w:vAlign w:val="center"/>
            <w:hideMark/>
          </w:tcPr>
          <w:p w14:paraId="55A567FF" w14:textId="77777777" w:rsidR="000244FF" w:rsidRPr="004E5A6E" w:rsidRDefault="000244FF" w:rsidP="000244FF">
            <w:pPr>
              <w:rPr>
                <w:color w:val="auto"/>
                <w:sz w:val="20"/>
                <w:szCs w:val="20"/>
                <w:lang w:val="sq-AL"/>
              </w:rPr>
            </w:pPr>
            <w:r w:rsidRPr="004E5A6E">
              <w:rPr>
                <w:color w:val="auto"/>
                <w:sz w:val="20"/>
                <w:szCs w:val="20"/>
                <w:lang w:val="sq-AL"/>
              </w:rPr>
              <w:t>5. Deflatori i konsumit publik</w:t>
            </w:r>
          </w:p>
        </w:tc>
        <w:tc>
          <w:tcPr>
            <w:tcW w:w="513" w:type="pct"/>
            <w:tcBorders>
              <w:top w:val="nil"/>
              <w:left w:val="dotted" w:sz="4" w:space="0" w:color="auto"/>
              <w:bottom w:val="dotted" w:sz="4" w:space="0" w:color="auto"/>
              <w:right w:val="single" w:sz="8" w:space="0" w:color="auto"/>
            </w:tcBorders>
            <w:shd w:val="clear" w:color="000000" w:fill="FFFFFF"/>
            <w:vAlign w:val="center"/>
            <w:hideMark/>
          </w:tcPr>
          <w:p w14:paraId="459390C1" w14:textId="77777777" w:rsidR="000244FF" w:rsidRPr="004E5A6E" w:rsidRDefault="000244FF" w:rsidP="000244FF">
            <w:pPr>
              <w:jc w:val="center"/>
              <w:rPr>
                <w:color w:val="auto"/>
                <w:sz w:val="20"/>
                <w:szCs w:val="20"/>
                <w:lang w:val="sq-AL"/>
              </w:rPr>
            </w:pPr>
            <w:r w:rsidRPr="004E5A6E">
              <w:rPr>
                <w:color w:val="auto"/>
                <w:sz w:val="20"/>
                <w:szCs w:val="20"/>
                <w:lang w:val="sq-AL"/>
              </w:rPr>
              <w:t>%, yoy</w:t>
            </w:r>
          </w:p>
        </w:tc>
        <w:tc>
          <w:tcPr>
            <w:tcW w:w="513" w:type="pct"/>
            <w:tcBorders>
              <w:top w:val="nil"/>
              <w:left w:val="nil"/>
              <w:bottom w:val="dotted" w:sz="4" w:space="0" w:color="auto"/>
              <w:right w:val="dotted" w:sz="4" w:space="0" w:color="auto"/>
            </w:tcBorders>
            <w:shd w:val="clear" w:color="000000" w:fill="FFFFFF"/>
            <w:vAlign w:val="center"/>
            <w:hideMark/>
          </w:tcPr>
          <w:p w14:paraId="49252443" w14:textId="77777777" w:rsidR="000244FF" w:rsidRPr="004E5A6E" w:rsidRDefault="000244FF" w:rsidP="000244FF">
            <w:pPr>
              <w:jc w:val="center"/>
              <w:rPr>
                <w:color w:val="auto"/>
                <w:sz w:val="20"/>
                <w:szCs w:val="20"/>
                <w:lang w:val="sq-AL"/>
              </w:rPr>
            </w:pPr>
            <w:r w:rsidRPr="004E5A6E">
              <w:rPr>
                <w:color w:val="auto"/>
                <w:sz w:val="20"/>
                <w:szCs w:val="20"/>
                <w:lang w:val="sq-AL"/>
              </w:rPr>
              <w:t>-1.0</w:t>
            </w:r>
          </w:p>
        </w:tc>
        <w:tc>
          <w:tcPr>
            <w:tcW w:w="513" w:type="pct"/>
            <w:tcBorders>
              <w:top w:val="nil"/>
              <w:left w:val="nil"/>
              <w:bottom w:val="dotted" w:sz="4" w:space="0" w:color="auto"/>
              <w:right w:val="dotted" w:sz="4" w:space="0" w:color="auto"/>
            </w:tcBorders>
            <w:shd w:val="clear" w:color="000000" w:fill="FFFFFF"/>
            <w:vAlign w:val="center"/>
            <w:hideMark/>
          </w:tcPr>
          <w:p w14:paraId="30ED0A9D" w14:textId="77777777" w:rsidR="000244FF" w:rsidRPr="004E5A6E" w:rsidRDefault="000244FF" w:rsidP="000244FF">
            <w:pPr>
              <w:jc w:val="center"/>
              <w:rPr>
                <w:color w:val="auto"/>
                <w:sz w:val="20"/>
                <w:szCs w:val="20"/>
                <w:lang w:val="sq-AL"/>
              </w:rPr>
            </w:pPr>
            <w:r w:rsidRPr="004E5A6E">
              <w:rPr>
                <w:color w:val="auto"/>
                <w:sz w:val="20"/>
                <w:szCs w:val="20"/>
                <w:lang w:val="sq-AL"/>
              </w:rPr>
              <w:t>1.0</w:t>
            </w:r>
          </w:p>
        </w:tc>
        <w:tc>
          <w:tcPr>
            <w:tcW w:w="513" w:type="pct"/>
            <w:tcBorders>
              <w:top w:val="nil"/>
              <w:left w:val="nil"/>
              <w:bottom w:val="dotted" w:sz="4" w:space="0" w:color="auto"/>
              <w:right w:val="dotted" w:sz="4" w:space="0" w:color="auto"/>
            </w:tcBorders>
            <w:shd w:val="clear" w:color="000000" w:fill="FFFFFF"/>
            <w:vAlign w:val="center"/>
            <w:hideMark/>
          </w:tcPr>
          <w:p w14:paraId="10BCEE92" w14:textId="77777777" w:rsidR="000244FF" w:rsidRPr="004E5A6E" w:rsidRDefault="000244FF" w:rsidP="000244FF">
            <w:pPr>
              <w:jc w:val="center"/>
              <w:rPr>
                <w:color w:val="auto"/>
                <w:sz w:val="20"/>
                <w:szCs w:val="20"/>
                <w:lang w:val="sq-AL"/>
              </w:rPr>
            </w:pPr>
            <w:r w:rsidRPr="004E5A6E">
              <w:rPr>
                <w:color w:val="auto"/>
                <w:sz w:val="20"/>
                <w:szCs w:val="20"/>
                <w:lang w:val="sq-AL"/>
              </w:rPr>
              <w:t>1.2</w:t>
            </w:r>
          </w:p>
        </w:tc>
        <w:tc>
          <w:tcPr>
            <w:tcW w:w="513" w:type="pct"/>
            <w:tcBorders>
              <w:top w:val="nil"/>
              <w:left w:val="nil"/>
              <w:bottom w:val="dotted" w:sz="4" w:space="0" w:color="auto"/>
              <w:right w:val="dotted" w:sz="4" w:space="0" w:color="auto"/>
            </w:tcBorders>
            <w:shd w:val="clear" w:color="000000" w:fill="FFFFFF"/>
            <w:vAlign w:val="center"/>
            <w:hideMark/>
          </w:tcPr>
          <w:p w14:paraId="3B192018" w14:textId="77777777" w:rsidR="000244FF" w:rsidRPr="004E5A6E" w:rsidRDefault="000244FF" w:rsidP="000244FF">
            <w:pPr>
              <w:jc w:val="center"/>
              <w:rPr>
                <w:color w:val="auto"/>
                <w:sz w:val="20"/>
                <w:szCs w:val="20"/>
                <w:lang w:val="sq-AL"/>
              </w:rPr>
            </w:pPr>
            <w:r w:rsidRPr="004E5A6E">
              <w:rPr>
                <w:color w:val="auto"/>
                <w:sz w:val="20"/>
                <w:szCs w:val="20"/>
                <w:lang w:val="sq-AL"/>
              </w:rPr>
              <w:t>0.8</w:t>
            </w:r>
          </w:p>
        </w:tc>
        <w:tc>
          <w:tcPr>
            <w:tcW w:w="513" w:type="pct"/>
            <w:tcBorders>
              <w:top w:val="nil"/>
              <w:left w:val="nil"/>
              <w:bottom w:val="dotted" w:sz="4" w:space="0" w:color="auto"/>
              <w:right w:val="double" w:sz="6" w:space="0" w:color="auto"/>
            </w:tcBorders>
            <w:shd w:val="clear" w:color="000000" w:fill="FFFFFF"/>
            <w:vAlign w:val="center"/>
            <w:hideMark/>
          </w:tcPr>
          <w:p w14:paraId="4DF11661" w14:textId="77777777" w:rsidR="000244FF" w:rsidRPr="004E5A6E" w:rsidRDefault="000244FF" w:rsidP="000244FF">
            <w:pPr>
              <w:jc w:val="center"/>
              <w:rPr>
                <w:color w:val="auto"/>
                <w:sz w:val="20"/>
                <w:szCs w:val="20"/>
                <w:lang w:val="sq-AL"/>
              </w:rPr>
            </w:pPr>
            <w:r w:rsidRPr="004E5A6E">
              <w:rPr>
                <w:color w:val="auto"/>
                <w:sz w:val="20"/>
                <w:szCs w:val="20"/>
                <w:lang w:val="sq-AL"/>
              </w:rPr>
              <w:t>2.0</w:t>
            </w:r>
          </w:p>
        </w:tc>
      </w:tr>
      <w:tr w:rsidR="000244FF" w:rsidRPr="004E5A6E" w14:paraId="130808C0" w14:textId="77777777" w:rsidTr="000244FF">
        <w:trPr>
          <w:trHeight w:val="318"/>
        </w:trPr>
        <w:tc>
          <w:tcPr>
            <w:tcW w:w="1925" w:type="pct"/>
            <w:tcBorders>
              <w:top w:val="nil"/>
              <w:left w:val="double" w:sz="6" w:space="0" w:color="auto"/>
              <w:bottom w:val="dotted" w:sz="4" w:space="0" w:color="auto"/>
              <w:right w:val="nil"/>
            </w:tcBorders>
            <w:shd w:val="clear" w:color="000000" w:fill="FFFFFF"/>
            <w:vAlign w:val="center"/>
            <w:hideMark/>
          </w:tcPr>
          <w:p w14:paraId="1E87CA94" w14:textId="77777777" w:rsidR="000244FF" w:rsidRPr="004E5A6E" w:rsidRDefault="000244FF" w:rsidP="000244FF">
            <w:pPr>
              <w:rPr>
                <w:color w:val="auto"/>
                <w:sz w:val="20"/>
                <w:szCs w:val="20"/>
                <w:lang w:val="sq-AL"/>
              </w:rPr>
            </w:pPr>
            <w:r w:rsidRPr="004E5A6E">
              <w:rPr>
                <w:color w:val="auto"/>
                <w:sz w:val="20"/>
                <w:szCs w:val="20"/>
                <w:lang w:val="sq-AL"/>
              </w:rPr>
              <w:t>6. Deflatori i investimeve</w:t>
            </w:r>
          </w:p>
        </w:tc>
        <w:tc>
          <w:tcPr>
            <w:tcW w:w="513" w:type="pct"/>
            <w:tcBorders>
              <w:top w:val="nil"/>
              <w:left w:val="dotted" w:sz="4" w:space="0" w:color="auto"/>
              <w:bottom w:val="dotted" w:sz="4" w:space="0" w:color="auto"/>
              <w:right w:val="single" w:sz="8" w:space="0" w:color="auto"/>
            </w:tcBorders>
            <w:shd w:val="clear" w:color="000000" w:fill="FFFFFF"/>
            <w:vAlign w:val="center"/>
            <w:hideMark/>
          </w:tcPr>
          <w:p w14:paraId="5A734ABC" w14:textId="77777777" w:rsidR="000244FF" w:rsidRPr="004E5A6E" w:rsidRDefault="000244FF" w:rsidP="000244FF">
            <w:pPr>
              <w:jc w:val="center"/>
              <w:rPr>
                <w:color w:val="auto"/>
                <w:sz w:val="20"/>
                <w:szCs w:val="20"/>
                <w:lang w:val="sq-AL"/>
              </w:rPr>
            </w:pPr>
            <w:r w:rsidRPr="004E5A6E">
              <w:rPr>
                <w:color w:val="auto"/>
                <w:sz w:val="20"/>
                <w:szCs w:val="20"/>
                <w:lang w:val="sq-AL"/>
              </w:rPr>
              <w:t>%, yoy</w:t>
            </w:r>
          </w:p>
        </w:tc>
        <w:tc>
          <w:tcPr>
            <w:tcW w:w="513" w:type="pct"/>
            <w:tcBorders>
              <w:top w:val="nil"/>
              <w:left w:val="nil"/>
              <w:bottom w:val="dotted" w:sz="4" w:space="0" w:color="auto"/>
              <w:right w:val="dotted" w:sz="4" w:space="0" w:color="auto"/>
            </w:tcBorders>
            <w:shd w:val="clear" w:color="000000" w:fill="FFFFFF"/>
            <w:vAlign w:val="center"/>
            <w:hideMark/>
          </w:tcPr>
          <w:p w14:paraId="1406E644" w14:textId="77777777" w:rsidR="000244FF" w:rsidRPr="004E5A6E" w:rsidRDefault="000244FF" w:rsidP="000244FF">
            <w:pPr>
              <w:jc w:val="center"/>
              <w:rPr>
                <w:color w:val="auto"/>
                <w:sz w:val="20"/>
                <w:szCs w:val="20"/>
                <w:lang w:val="sq-AL"/>
              </w:rPr>
            </w:pPr>
            <w:r w:rsidRPr="004E5A6E">
              <w:rPr>
                <w:color w:val="auto"/>
                <w:sz w:val="20"/>
                <w:szCs w:val="20"/>
                <w:lang w:val="sq-AL"/>
              </w:rPr>
              <w:t>1.1</w:t>
            </w:r>
          </w:p>
        </w:tc>
        <w:tc>
          <w:tcPr>
            <w:tcW w:w="513" w:type="pct"/>
            <w:tcBorders>
              <w:top w:val="nil"/>
              <w:left w:val="nil"/>
              <w:bottom w:val="dotted" w:sz="4" w:space="0" w:color="auto"/>
              <w:right w:val="dotted" w:sz="4" w:space="0" w:color="auto"/>
            </w:tcBorders>
            <w:shd w:val="clear" w:color="000000" w:fill="FFFFFF"/>
            <w:vAlign w:val="center"/>
            <w:hideMark/>
          </w:tcPr>
          <w:p w14:paraId="67BC7B9E" w14:textId="77777777" w:rsidR="000244FF" w:rsidRPr="004E5A6E" w:rsidRDefault="000244FF" w:rsidP="000244FF">
            <w:pPr>
              <w:jc w:val="center"/>
              <w:rPr>
                <w:color w:val="auto"/>
                <w:sz w:val="20"/>
                <w:szCs w:val="20"/>
                <w:lang w:val="sq-AL"/>
              </w:rPr>
            </w:pPr>
            <w:r w:rsidRPr="004E5A6E">
              <w:rPr>
                <w:color w:val="auto"/>
                <w:sz w:val="20"/>
                <w:szCs w:val="20"/>
                <w:lang w:val="sq-AL"/>
              </w:rPr>
              <w:t>-2.5</w:t>
            </w:r>
          </w:p>
        </w:tc>
        <w:tc>
          <w:tcPr>
            <w:tcW w:w="513" w:type="pct"/>
            <w:tcBorders>
              <w:top w:val="nil"/>
              <w:left w:val="nil"/>
              <w:bottom w:val="dotted" w:sz="4" w:space="0" w:color="auto"/>
              <w:right w:val="dotted" w:sz="4" w:space="0" w:color="auto"/>
            </w:tcBorders>
            <w:shd w:val="clear" w:color="000000" w:fill="FFFFFF"/>
            <w:vAlign w:val="center"/>
            <w:hideMark/>
          </w:tcPr>
          <w:p w14:paraId="44DF5016" w14:textId="77777777" w:rsidR="000244FF" w:rsidRPr="004E5A6E" w:rsidRDefault="000244FF" w:rsidP="000244FF">
            <w:pPr>
              <w:jc w:val="center"/>
              <w:rPr>
                <w:color w:val="auto"/>
                <w:sz w:val="20"/>
                <w:szCs w:val="20"/>
                <w:lang w:val="sq-AL"/>
              </w:rPr>
            </w:pPr>
            <w:r w:rsidRPr="004E5A6E">
              <w:rPr>
                <w:color w:val="auto"/>
                <w:sz w:val="20"/>
                <w:szCs w:val="20"/>
                <w:lang w:val="sq-AL"/>
              </w:rPr>
              <w:t>1.7</w:t>
            </w:r>
          </w:p>
        </w:tc>
        <w:tc>
          <w:tcPr>
            <w:tcW w:w="513" w:type="pct"/>
            <w:tcBorders>
              <w:top w:val="nil"/>
              <w:left w:val="nil"/>
              <w:bottom w:val="dotted" w:sz="4" w:space="0" w:color="auto"/>
              <w:right w:val="dotted" w:sz="4" w:space="0" w:color="auto"/>
            </w:tcBorders>
            <w:shd w:val="clear" w:color="000000" w:fill="FFFFFF"/>
            <w:vAlign w:val="center"/>
            <w:hideMark/>
          </w:tcPr>
          <w:p w14:paraId="46104737" w14:textId="77777777" w:rsidR="000244FF" w:rsidRPr="004E5A6E" w:rsidRDefault="000244FF" w:rsidP="000244FF">
            <w:pPr>
              <w:jc w:val="center"/>
              <w:rPr>
                <w:color w:val="auto"/>
                <w:sz w:val="20"/>
                <w:szCs w:val="20"/>
                <w:lang w:val="sq-AL"/>
              </w:rPr>
            </w:pPr>
            <w:r w:rsidRPr="004E5A6E">
              <w:rPr>
                <w:color w:val="auto"/>
                <w:sz w:val="20"/>
                <w:szCs w:val="20"/>
                <w:lang w:val="sq-AL"/>
              </w:rPr>
              <w:t>1.6</w:t>
            </w:r>
          </w:p>
        </w:tc>
        <w:tc>
          <w:tcPr>
            <w:tcW w:w="513" w:type="pct"/>
            <w:tcBorders>
              <w:top w:val="nil"/>
              <w:left w:val="nil"/>
              <w:bottom w:val="dotted" w:sz="4" w:space="0" w:color="auto"/>
              <w:right w:val="double" w:sz="6" w:space="0" w:color="auto"/>
            </w:tcBorders>
            <w:shd w:val="clear" w:color="000000" w:fill="FFFFFF"/>
            <w:vAlign w:val="center"/>
            <w:hideMark/>
          </w:tcPr>
          <w:p w14:paraId="7988E00B" w14:textId="77777777" w:rsidR="000244FF" w:rsidRPr="004E5A6E" w:rsidRDefault="000244FF" w:rsidP="000244FF">
            <w:pPr>
              <w:jc w:val="center"/>
              <w:rPr>
                <w:color w:val="auto"/>
                <w:sz w:val="20"/>
                <w:szCs w:val="20"/>
                <w:lang w:val="sq-AL"/>
              </w:rPr>
            </w:pPr>
            <w:r w:rsidRPr="004E5A6E">
              <w:rPr>
                <w:color w:val="auto"/>
                <w:sz w:val="20"/>
                <w:szCs w:val="20"/>
                <w:lang w:val="sq-AL"/>
              </w:rPr>
              <w:t>1.7</w:t>
            </w:r>
          </w:p>
        </w:tc>
      </w:tr>
      <w:tr w:rsidR="000244FF" w:rsidRPr="004E5A6E" w14:paraId="6AA08FD8" w14:textId="77777777" w:rsidTr="000244FF">
        <w:trPr>
          <w:trHeight w:val="528"/>
        </w:trPr>
        <w:tc>
          <w:tcPr>
            <w:tcW w:w="1925" w:type="pct"/>
            <w:tcBorders>
              <w:top w:val="nil"/>
              <w:left w:val="double" w:sz="6" w:space="0" w:color="auto"/>
              <w:bottom w:val="dotted" w:sz="4" w:space="0" w:color="auto"/>
              <w:right w:val="nil"/>
            </w:tcBorders>
            <w:shd w:val="clear" w:color="000000" w:fill="FFFFFF"/>
            <w:vAlign w:val="center"/>
            <w:hideMark/>
          </w:tcPr>
          <w:p w14:paraId="36445FE1" w14:textId="77777777" w:rsidR="000244FF" w:rsidRPr="004E5A6E" w:rsidRDefault="000244FF" w:rsidP="000244FF">
            <w:pPr>
              <w:rPr>
                <w:color w:val="auto"/>
                <w:sz w:val="20"/>
                <w:szCs w:val="20"/>
                <w:lang w:val="sq-AL"/>
              </w:rPr>
            </w:pPr>
            <w:r w:rsidRPr="004E5A6E">
              <w:rPr>
                <w:color w:val="auto"/>
                <w:sz w:val="20"/>
                <w:szCs w:val="20"/>
                <w:lang w:val="sq-AL"/>
              </w:rPr>
              <w:t xml:space="preserve">7.  Deflatori i çmimeve të eksportit (mallrave dhe shërbimeve) </w:t>
            </w:r>
          </w:p>
        </w:tc>
        <w:tc>
          <w:tcPr>
            <w:tcW w:w="513" w:type="pct"/>
            <w:tcBorders>
              <w:top w:val="nil"/>
              <w:left w:val="dotted" w:sz="4" w:space="0" w:color="auto"/>
              <w:bottom w:val="dotted" w:sz="4" w:space="0" w:color="auto"/>
              <w:right w:val="single" w:sz="8" w:space="0" w:color="auto"/>
            </w:tcBorders>
            <w:shd w:val="clear" w:color="000000" w:fill="FFFFFF"/>
            <w:vAlign w:val="center"/>
            <w:hideMark/>
          </w:tcPr>
          <w:p w14:paraId="781F0211" w14:textId="77777777" w:rsidR="000244FF" w:rsidRPr="004E5A6E" w:rsidRDefault="000244FF" w:rsidP="000244FF">
            <w:pPr>
              <w:jc w:val="center"/>
              <w:rPr>
                <w:color w:val="auto"/>
                <w:sz w:val="20"/>
                <w:szCs w:val="20"/>
                <w:lang w:val="sq-AL"/>
              </w:rPr>
            </w:pPr>
            <w:r w:rsidRPr="004E5A6E">
              <w:rPr>
                <w:color w:val="auto"/>
                <w:sz w:val="20"/>
                <w:szCs w:val="20"/>
                <w:lang w:val="sq-AL"/>
              </w:rPr>
              <w:t>%, yoy</w:t>
            </w:r>
          </w:p>
        </w:tc>
        <w:tc>
          <w:tcPr>
            <w:tcW w:w="513" w:type="pct"/>
            <w:tcBorders>
              <w:top w:val="nil"/>
              <w:left w:val="nil"/>
              <w:bottom w:val="dotted" w:sz="4" w:space="0" w:color="auto"/>
              <w:right w:val="dotted" w:sz="4" w:space="0" w:color="auto"/>
            </w:tcBorders>
            <w:shd w:val="clear" w:color="000000" w:fill="FFFFFF"/>
            <w:vAlign w:val="center"/>
            <w:hideMark/>
          </w:tcPr>
          <w:p w14:paraId="589F4361" w14:textId="77777777" w:rsidR="000244FF" w:rsidRPr="004E5A6E" w:rsidRDefault="000244FF" w:rsidP="000244FF">
            <w:pPr>
              <w:jc w:val="center"/>
              <w:rPr>
                <w:color w:val="auto"/>
                <w:sz w:val="20"/>
                <w:szCs w:val="20"/>
                <w:lang w:val="sq-AL"/>
              </w:rPr>
            </w:pPr>
            <w:r w:rsidRPr="004E5A6E">
              <w:rPr>
                <w:color w:val="auto"/>
                <w:sz w:val="20"/>
                <w:szCs w:val="20"/>
                <w:lang w:val="sq-AL"/>
              </w:rPr>
              <w:t>-0.6</w:t>
            </w:r>
          </w:p>
        </w:tc>
        <w:tc>
          <w:tcPr>
            <w:tcW w:w="513" w:type="pct"/>
            <w:tcBorders>
              <w:top w:val="nil"/>
              <w:left w:val="nil"/>
              <w:bottom w:val="dotted" w:sz="4" w:space="0" w:color="auto"/>
              <w:right w:val="dotted" w:sz="4" w:space="0" w:color="auto"/>
            </w:tcBorders>
            <w:shd w:val="clear" w:color="000000" w:fill="FFFFFF"/>
            <w:vAlign w:val="center"/>
            <w:hideMark/>
          </w:tcPr>
          <w:p w14:paraId="70E8CE28" w14:textId="77777777" w:rsidR="000244FF" w:rsidRPr="004E5A6E" w:rsidRDefault="000244FF" w:rsidP="000244FF">
            <w:pPr>
              <w:jc w:val="center"/>
              <w:rPr>
                <w:color w:val="auto"/>
                <w:sz w:val="20"/>
                <w:szCs w:val="20"/>
                <w:lang w:val="sq-AL"/>
              </w:rPr>
            </w:pPr>
            <w:r w:rsidRPr="004E5A6E">
              <w:rPr>
                <w:color w:val="auto"/>
                <w:sz w:val="20"/>
                <w:szCs w:val="20"/>
                <w:lang w:val="sq-AL"/>
              </w:rPr>
              <w:t>-1.9</w:t>
            </w:r>
          </w:p>
        </w:tc>
        <w:tc>
          <w:tcPr>
            <w:tcW w:w="513" w:type="pct"/>
            <w:tcBorders>
              <w:top w:val="nil"/>
              <w:left w:val="nil"/>
              <w:bottom w:val="dotted" w:sz="4" w:space="0" w:color="auto"/>
              <w:right w:val="dotted" w:sz="4" w:space="0" w:color="auto"/>
            </w:tcBorders>
            <w:shd w:val="clear" w:color="000000" w:fill="FFFFFF"/>
            <w:vAlign w:val="center"/>
            <w:hideMark/>
          </w:tcPr>
          <w:p w14:paraId="2E39C048" w14:textId="77777777" w:rsidR="000244FF" w:rsidRPr="004E5A6E" w:rsidRDefault="000244FF" w:rsidP="000244FF">
            <w:pPr>
              <w:jc w:val="center"/>
              <w:rPr>
                <w:color w:val="auto"/>
                <w:sz w:val="20"/>
                <w:szCs w:val="20"/>
                <w:lang w:val="sq-AL"/>
              </w:rPr>
            </w:pPr>
            <w:r w:rsidRPr="004E5A6E">
              <w:rPr>
                <w:color w:val="auto"/>
                <w:sz w:val="20"/>
                <w:szCs w:val="20"/>
                <w:lang w:val="sq-AL"/>
              </w:rPr>
              <w:t>2.4</w:t>
            </w:r>
          </w:p>
        </w:tc>
        <w:tc>
          <w:tcPr>
            <w:tcW w:w="513" w:type="pct"/>
            <w:tcBorders>
              <w:top w:val="nil"/>
              <w:left w:val="nil"/>
              <w:bottom w:val="dotted" w:sz="4" w:space="0" w:color="auto"/>
              <w:right w:val="dotted" w:sz="4" w:space="0" w:color="auto"/>
            </w:tcBorders>
            <w:shd w:val="clear" w:color="000000" w:fill="FFFFFF"/>
            <w:vAlign w:val="center"/>
            <w:hideMark/>
          </w:tcPr>
          <w:p w14:paraId="7892456C" w14:textId="77777777" w:rsidR="000244FF" w:rsidRPr="004E5A6E" w:rsidRDefault="000244FF" w:rsidP="000244FF">
            <w:pPr>
              <w:jc w:val="center"/>
              <w:rPr>
                <w:color w:val="auto"/>
                <w:sz w:val="20"/>
                <w:szCs w:val="20"/>
                <w:lang w:val="sq-AL"/>
              </w:rPr>
            </w:pPr>
            <w:r w:rsidRPr="004E5A6E">
              <w:rPr>
                <w:color w:val="auto"/>
                <w:sz w:val="20"/>
                <w:szCs w:val="20"/>
                <w:lang w:val="sq-AL"/>
              </w:rPr>
              <w:t>1.5</w:t>
            </w:r>
          </w:p>
        </w:tc>
        <w:tc>
          <w:tcPr>
            <w:tcW w:w="513" w:type="pct"/>
            <w:tcBorders>
              <w:top w:val="nil"/>
              <w:left w:val="nil"/>
              <w:bottom w:val="dotted" w:sz="4" w:space="0" w:color="auto"/>
              <w:right w:val="double" w:sz="6" w:space="0" w:color="auto"/>
            </w:tcBorders>
            <w:shd w:val="clear" w:color="000000" w:fill="FFFFFF"/>
            <w:vAlign w:val="center"/>
            <w:hideMark/>
          </w:tcPr>
          <w:p w14:paraId="1E7E3413" w14:textId="77777777" w:rsidR="000244FF" w:rsidRPr="004E5A6E" w:rsidRDefault="000244FF" w:rsidP="000244FF">
            <w:pPr>
              <w:jc w:val="center"/>
              <w:rPr>
                <w:color w:val="auto"/>
                <w:sz w:val="20"/>
                <w:szCs w:val="20"/>
                <w:lang w:val="sq-AL"/>
              </w:rPr>
            </w:pPr>
            <w:r w:rsidRPr="004E5A6E">
              <w:rPr>
                <w:color w:val="auto"/>
                <w:sz w:val="20"/>
                <w:szCs w:val="20"/>
                <w:lang w:val="sq-AL"/>
              </w:rPr>
              <w:t>1.5</w:t>
            </w:r>
          </w:p>
        </w:tc>
      </w:tr>
      <w:tr w:rsidR="000244FF" w:rsidRPr="004E5A6E" w14:paraId="0172204D" w14:textId="77777777" w:rsidTr="000244FF">
        <w:trPr>
          <w:trHeight w:val="540"/>
        </w:trPr>
        <w:tc>
          <w:tcPr>
            <w:tcW w:w="1925" w:type="pct"/>
            <w:tcBorders>
              <w:top w:val="nil"/>
              <w:left w:val="double" w:sz="6" w:space="0" w:color="auto"/>
              <w:bottom w:val="double" w:sz="6" w:space="0" w:color="auto"/>
              <w:right w:val="nil"/>
            </w:tcBorders>
            <w:shd w:val="clear" w:color="000000" w:fill="FFFFFF"/>
            <w:vAlign w:val="center"/>
            <w:hideMark/>
          </w:tcPr>
          <w:p w14:paraId="2CBB5498" w14:textId="77777777" w:rsidR="000244FF" w:rsidRPr="004E5A6E" w:rsidRDefault="000244FF" w:rsidP="000244FF">
            <w:pPr>
              <w:rPr>
                <w:color w:val="auto"/>
                <w:sz w:val="20"/>
                <w:szCs w:val="20"/>
                <w:lang w:val="sq-AL"/>
              </w:rPr>
            </w:pPr>
            <w:r w:rsidRPr="004E5A6E">
              <w:rPr>
                <w:color w:val="auto"/>
                <w:sz w:val="20"/>
                <w:szCs w:val="20"/>
                <w:lang w:val="sq-AL"/>
              </w:rPr>
              <w:t xml:space="preserve">8. Deflatori i çmimeve të importit (mallrave dhe shërbimeve) </w:t>
            </w:r>
          </w:p>
        </w:tc>
        <w:tc>
          <w:tcPr>
            <w:tcW w:w="513" w:type="pct"/>
            <w:tcBorders>
              <w:top w:val="nil"/>
              <w:left w:val="dotted" w:sz="4" w:space="0" w:color="auto"/>
              <w:bottom w:val="double" w:sz="6" w:space="0" w:color="auto"/>
              <w:right w:val="single" w:sz="8" w:space="0" w:color="auto"/>
            </w:tcBorders>
            <w:shd w:val="clear" w:color="000000" w:fill="FFFFFF"/>
            <w:vAlign w:val="center"/>
            <w:hideMark/>
          </w:tcPr>
          <w:p w14:paraId="29A9201D" w14:textId="77777777" w:rsidR="000244FF" w:rsidRPr="004E5A6E" w:rsidRDefault="000244FF" w:rsidP="000244FF">
            <w:pPr>
              <w:jc w:val="center"/>
              <w:rPr>
                <w:color w:val="auto"/>
                <w:sz w:val="20"/>
                <w:szCs w:val="20"/>
                <w:lang w:val="sq-AL"/>
              </w:rPr>
            </w:pPr>
            <w:r w:rsidRPr="004E5A6E">
              <w:rPr>
                <w:color w:val="auto"/>
                <w:sz w:val="20"/>
                <w:szCs w:val="20"/>
                <w:lang w:val="sq-AL"/>
              </w:rPr>
              <w:t>%, yoy</w:t>
            </w:r>
          </w:p>
        </w:tc>
        <w:tc>
          <w:tcPr>
            <w:tcW w:w="513" w:type="pct"/>
            <w:tcBorders>
              <w:top w:val="nil"/>
              <w:left w:val="nil"/>
              <w:bottom w:val="double" w:sz="6" w:space="0" w:color="auto"/>
              <w:right w:val="dotted" w:sz="4" w:space="0" w:color="auto"/>
            </w:tcBorders>
            <w:shd w:val="clear" w:color="000000" w:fill="FFFFFF"/>
            <w:vAlign w:val="center"/>
            <w:hideMark/>
          </w:tcPr>
          <w:p w14:paraId="5841CAA8" w14:textId="77777777" w:rsidR="000244FF" w:rsidRPr="004E5A6E" w:rsidRDefault="000244FF" w:rsidP="000244FF">
            <w:pPr>
              <w:jc w:val="center"/>
              <w:rPr>
                <w:color w:val="auto"/>
                <w:sz w:val="20"/>
                <w:szCs w:val="20"/>
                <w:lang w:val="sq-AL"/>
              </w:rPr>
            </w:pPr>
            <w:r w:rsidRPr="004E5A6E">
              <w:rPr>
                <w:color w:val="auto"/>
                <w:sz w:val="20"/>
                <w:szCs w:val="20"/>
                <w:lang w:val="sq-AL"/>
              </w:rPr>
              <w:t>0.9</w:t>
            </w:r>
          </w:p>
        </w:tc>
        <w:tc>
          <w:tcPr>
            <w:tcW w:w="513" w:type="pct"/>
            <w:tcBorders>
              <w:top w:val="nil"/>
              <w:left w:val="nil"/>
              <w:bottom w:val="double" w:sz="6" w:space="0" w:color="auto"/>
              <w:right w:val="dotted" w:sz="4" w:space="0" w:color="auto"/>
            </w:tcBorders>
            <w:shd w:val="clear" w:color="000000" w:fill="FFFFFF"/>
            <w:vAlign w:val="center"/>
            <w:hideMark/>
          </w:tcPr>
          <w:p w14:paraId="6F086BDD" w14:textId="77777777" w:rsidR="000244FF" w:rsidRPr="004E5A6E" w:rsidRDefault="000244FF" w:rsidP="000244FF">
            <w:pPr>
              <w:jc w:val="center"/>
              <w:rPr>
                <w:color w:val="auto"/>
                <w:sz w:val="20"/>
                <w:szCs w:val="20"/>
                <w:lang w:val="sq-AL"/>
              </w:rPr>
            </w:pPr>
            <w:r w:rsidRPr="004E5A6E">
              <w:rPr>
                <w:color w:val="auto"/>
                <w:sz w:val="20"/>
                <w:szCs w:val="20"/>
                <w:lang w:val="sq-AL"/>
              </w:rPr>
              <w:t>-2.4</w:t>
            </w:r>
          </w:p>
        </w:tc>
        <w:tc>
          <w:tcPr>
            <w:tcW w:w="513" w:type="pct"/>
            <w:tcBorders>
              <w:top w:val="nil"/>
              <w:left w:val="nil"/>
              <w:bottom w:val="double" w:sz="6" w:space="0" w:color="auto"/>
              <w:right w:val="dotted" w:sz="4" w:space="0" w:color="auto"/>
            </w:tcBorders>
            <w:shd w:val="clear" w:color="000000" w:fill="FFFFFF"/>
            <w:vAlign w:val="center"/>
            <w:hideMark/>
          </w:tcPr>
          <w:p w14:paraId="311EFF83" w14:textId="77777777" w:rsidR="000244FF" w:rsidRPr="004E5A6E" w:rsidRDefault="000244FF" w:rsidP="000244FF">
            <w:pPr>
              <w:jc w:val="center"/>
              <w:rPr>
                <w:color w:val="auto"/>
                <w:sz w:val="20"/>
                <w:szCs w:val="20"/>
                <w:lang w:val="sq-AL"/>
              </w:rPr>
            </w:pPr>
            <w:r w:rsidRPr="004E5A6E">
              <w:rPr>
                <w:color w:val="auto"/>
                <w:sz w:val="20"/>
                <w:szCs w:val="20"/>
                <w:lang w:val="sq-AL"/>
              </w:rPr>
              <w:t>2.2</w:t>
            </w:r>
          </w:p>
        </w:tc>
        <w:tc>
          <w:tcPr>
            <w:tcW w:w="513" w:type="pct"/>
            <w:tcBorders>
              <w:top w:val="nil"/>
              <w:left w:val="nil"/>
              <w:bottom w:val="double" w:sz="6" w:space="0" w:color="auto"/>
              <w:right w:val="dotted" w:sz="4" w:space="0" w:color="auto"/>
            </w:tcBorders>
            <w:shd w:val="clear" w:color="000000" w:fill="FFFFFF"/>
            <w:vAlign w:val="center"/>
            <w:hideMark/>
          </w:tcPr>
          <w:p w14:paraId="0D3D12BE" w14:textId="77777777" w:rsidR="000244FF" w:rsidRPr="004E5A6E" w:rsidRDefault="000244FF" w:rsidP="000244FF">
            <w:pPr>
              <w:jc w:val="center"/>
              <w:rPr>
                <w:color w:val="auto"/>
                <w:sz w:val="20"/>
                <w:szCs w:val="20"/>
                <w:lang w:val="sq-AL"/>
              </w:rPr>
            </w:pPr>
            <w:r w:rsidRPr="004E5A6E">
              <w:rPr>
                <w:color w:val="auto"/>
                <w:sz w:val="20"/>
                <w:szCs w:val="20"/>
                <w:lang w:val="sq-AL"/>
              </w:rPr>
              <w:t>1.3</w:t>
            </w:r>
          </w:p>
        </w:tc>
        <w:tc>
          <w:tcPr>
            <w:tcW w:w="513" w:type="pct"/>
            <w:tcBorders>
              <w:top w:val="nil"/>
              <w:left w:val="nil"/>
              <w:bottom w:val="double" w:sz="6" w:space="0" w:color="auto"/>
              <w:right w:val="double" w:sz="6" w:space="0" w:color="auto"/>
            </w:tcBorders>
            <w:shd w:val="clear" w:color="000000" w:fill="FFFFFF"/>
            <w:vAlign w:val="center"/>
            <w:hideMark/>
          </w:tcPr>
          <w:p w14:paraId="7B04C7CE" w14:textId="77777777" w:rsidR="000244FF" w:rsidRPr="004E5A6E" w:rsidRDefault="000244FF" w:rsidP="000244FF">
            <w:pPr>
              <w:jc w:val="center"/>
              <w:rPr>
                <w:color w:val="auto"/>
                <w:sz w:val="20"/>
                <w:szCs w:val="20"/>
                <w:lang w:val="sq-AL"/>
              </w:rPr>
            </w:pPr>
            <w:r w:rsidRPr="004E5A6E">
              <w:rPr>
                <w:color w:val="auto"/>
                <w:sz w:val="20"/>
                <w:szCs w:val="20"/>
                <w:lang w:val="sq-AL"/>
              </w:rPr>
              <w:t>1.4</w:t>
            </w:r>
          </w:p>
        </w:tc>
      </w:tr>
    </w:tbl>
    <w:p w14:paraId="4D64DC1A" w14:textId="30A3615A" w:rsidR="000244FF" w:rsidRPr="004E5A6E" w:rsidRDefault="000244FF" w:rsidP="00693151">
      <w:pPr>
        <w:rPr>
          <w:highlight w:val="yellow"/>
          <w:lang w:val="sq-AL"/>
        </w:rPr>
      </w:pPr>
    </w:p>
    <w:p w14:paraId="06DA82D4" w14:textId="2B85FA03" w:rsidR="000244FF" w:rsidRPr="004E5A6E" w:rsidRDefault="000244FF" w:rsidP="00693151">
      <w:pPr>
        <w:rPr>
          <w:highlight w:val="yellow"/>
          <w:lang w:val="sq-AL"/>
        </w:rPr>
      </w:pPr>
    </w:p>
    <w:tbl>
      <w:tblPr>
        <w:tblW w:w="5000" w:type="pct"/>
        <w:tblLook w:val="04A0" w:firstRow="1" w:lastRow="0" w:firstColumn="1" w:lastColumn="0" w:noHBand="0" w:noVBand="1"/>
      </w:tblPr>
      <w:tblGrid>
        <w:gridCol w:w="3852"/>
        <w:gridCol w:w="796"/>
        <w:gridCol w:w="796"/>
        <w:gridCol w:w="795"/>
        <w:gridCol w:w="795"/>
        <w:gridCol w:w="795"/>
        <w:gridCol w:w="795"/>
      </w:tblGrid>
      <w:tr w:rsidR="006A2FA3" w:rsidRPr="004E5A6E" w14:paraId="4D431AD4" w14:textId="77777777" w:rsidTr="006A2FA3">
        <w:trPr>
          <w:trHeight w:val="276"/>
        </w:trPr>
        <w:tc>
          <w:tcPr>
            <w:tcW w:w="2232" w:type="pct"/>
            <w:tcBorders>
              <w:top w:val="nil"/>
              <w:left w:val="nil"/>
              <w:bottom w:val="nil"/>
              <w:right w:val="nil"/>
            </w:tcBorders>
            <w:shd w:val="clear" w:color="000000" w:fill="FFFFFF"/>
            <w:noWrap/>
            <w:vAlign w:val="center"/>
            <w:hideMark/>
          </w:tcPr>
          <w:p w14:paraId="524E029F" w14:textId="77777777" w:rsidR="006A2FA3" w:rsidRPr="004E5A6E" w:rsidRDefault="006A2FA3" w:rsidP="006A2FA3">
            <w:pPr>
              <w:rPr>
                <w:b/>
                <w:bCs/>
                <w:color w:val="auto"/>
                <w:sz w:val="20"/>
                <w:szCs w:val="20"/>
                <w:lang w:val="sq-AL"/>
              </w:rPr>
            </w:pPr>
            <w:r w:rsidRPr="004E5A6E">
              <w:rPr>
                <w:b/>
                <w:bCs/>
                <w:color w:val="auto"/>
                <w:sz w:val="20"/>
                <w:szCs w:val="20"/>
                <w:lang w:val="sq-AL"/>
              </w:rPr>
              <w:t xml:space="preserve">Tabela 1d:  Bilancet sektoriale </w:t>
            </w:r>
          </w:p>
        </w:tc>
        <w:tc>
          <w:tcPr>
            <w:tcW w:w="461" w:type="pct"/>
            <w:tcBorders>
              <w:top w:val="nil"/>
              <w:left w:val="nil"/>
              <w:bottom w:val="nil"/>
              <w:right w:val="nil"/>
            </w:tcBorders>
            <w:shd w:val="clear" w:color="000000" w:fill="FFFFFF"/>
            <w:noWrap/>
            <w:vAlign w:val="center"/>
            <w:hideMark/>
          </w:tcPr>
          <w:p w14:paraId="15C77192" w14:textId="77777777" w:rsidR="006A2FA3" w:rsidRPr="004E5A6E" w:rsidRDefault="006A2FA3" w:rsidP="006A2FA3">
            <w:pPr>
              <w:rPr>
                <w:color w:val="auto"/>
                <w:sz w:val="20"/>
                <w:szCs w:val="20"/>
                <w:lang w:val="sq-AL"/>
              </w:rPr>
            </w:pPr>
            <w:r w:rsidRPr="004E5A6E">
              <w:rPr>
                <w:color w:val="auto"/>
                <w:sz w:val="20"/>
                <w:szCs w:val="20"/>
                <w:lang w:val="sq-AL"/>
              </w:rPr>
              <w:t> </w:t>
            </w:r>
          </w:p>
        </w:tc>
        <w:tc>
          <w:tcPr>
            <w:tcW w:w="461" w:type="pct"/>
            <w:tcBorders>
              <w:top w:val="nil"/>
              <w:left w:val="nil"/>
              <w:bottom w:val="nil"/>
              <w:right w:val="nil"/>
            </w:tcBorders>
            <w:shd w:val="clear" w:color="000000" w:fill="FFFFFF"/>
            <w:noWrap/>
            <w:vAlign w:val="center"/>
            <w:hideMark/>
          </w:tcPr>
          <w:p w14:paraId="1F5C9F6B" w14:textId="77777777" w:rsidR="006A2FA3" w:rsidRPr="004E5A6E" w:rsidRDefault="006A2FA3" w:rsidP="006A2FA3">
            <w:pPr>
              <w:rPr>
                <w:color w:val="auto"/>
                <w:sz w:val="20"/>
                <w:szCs w:val="20"/>
                <w:lang w:val="sq-AL"/>
              </w:rPr>
            </w:pPr>
            <w:r w:rsidRPr="004E5A6E">
              <w:rPr>
                <w:color w:val="auto"/>
                <w:sz w:val="20"/>
                <w:szCs w:val="20"/>
                <w:lang w:val="sq-AL"/>
              </w:rPr>
              <w:t> </w:t>
            </w:r>
          </w:p>
        </w:tc>
        <w:tc>
          <w:tcPr>
            <w:tcW w:w="461" w:type="pct"/>
            <w:tcBorders>
              <w:top w:val="nil"/>
              <w:left w:val="nil"/>
              <w:bottom w:val="nil"/>
              <w:right w:val="nil"/>
            </w:tcBorders>
            <w:shd w:val="clear" w:color="000000" w:fill="FFFFFF"/>
            <w:noWrap/>
            <w:vAlign w:val="center"/>
            <w:hideMark/>
          </w:tcPr>
          <w:p w14:paraId="3F5C9A3F" w14:textId="77777777" w:rsidR="006A2FA3" w:rsidRPr="004E5A6E" w:rsidRDefault="006A2FA3" w:rsidP="006A2FA3">
            <w:pPr>
              <w:rPr>
                <w:color w:val="auto"/>
                <w:sz w:val="20"/>
                <w:szCs w:val="20"/>
                <w:lang w:val="sq-AL"/>
              </w:rPr>
            </w:pPr>
            <w:r w:rsidRPr="004E5A6E">
              <w:rPr>
                <w:color w:val="auto"/>
                <w:sz w:val="20"/>
                <w:szCs w:val="20"/>
                <w:lang w:val="sq-AL"/>
              </w:rPr>
              <w:t> </w:t>
            </w:r>
          </w:p>
        </w:tc>
        <w:tc>
          <w:tcPr>
            <w:tcW w:w="461" w:type="pct"/>
            <w:tcBorders>
              <w:top w:val="nil"/>
              <w:left w:val="nil"/>
              <w:bottom w:val="nil"/>
              <w:right w:val="nil"/>
            </w:tcBorders>
            <w:shd w:val="clear" w:color="000000" w:fill="FFFFFF"/>
            <w:noWrap/>
            <w:vAlign w:val="center"/>
            <w:hideMark/>
          </w:tcPr>
          <w:p w14:paraId="5E963C93" w14:textId="77777777" w:rsidR="006A2FA3" w:rsidRPr="004E5A6E" w:rsidRDefault="006A2FA3" w:rsidP="006A2FA3">
            <w:pPr>
              <w:rPr>
                <w:color w:val="auto"/>
                <w:sz w:val="20"/>
                <w:szCs w:val="20"/>
                <w:lang w:val="sq-AL"/>
              </w:rPr>
            </w:pPr>
            <w:r w:rsidRPr="004E5A6E">
              <w:rPr>
                <w:color w:val="auto"/>
                <w:sz w:val="20"/>
                <w:szCs w:val="20"/>
                <w:lang w:val="sq-AL"/>
              </w:rPr>
              <w:t> </w:t>
            </w:r>
          </w:p>
        </w:tc>
        <w:tc>
          <w:tcPr>
            <w:tcW w:w="461" w:type="pct"/>
            <w:tcBorders>
              <w:top w:val="nil"/>
              <w:left w:val="nil"/>
              <w:bottom w:val="nil"/>
              <w:right w:val="nil"/>
            </w:tcBorders>
            <w:shd w:val="clear" w:color="000000" w:fill="FFFFFF"/>
            <w:noWrap/>
            <w:vAlign w:val="center"/>
            <w:hideMark/>
          </w:tcPr>
          <w:p w14:paraId="449EBD80" w14:textId="77777777" w:rsidR="006A2FA3" w:rsidRPr="004E5A6E" w:rsidRDefault="006A2FA3" w:rsidP="006A2FA3">
            <w:pPr>
              <w:rPr>
                <w:color w:val="auto"/>
                <w:sz w:val="20"/>
                <w:szCs w:val="20"/>
                <w:lang w:val="sq-AL"/>
              </w:rPr>
            </w:pPr>
            <w:r w:rsidRPr="004E5A6E">
              <w:rPr>
                <w:color w:val="auto"/>
                <w:sz w:val="20"/>
                <w:szCs w:val="20"/>
                <w:lang w:val="sq-AL"/>
              </w:rPr>
              <w:t> </w:t>
            </w:r>
          </w:p>
        </w:tc>
        <w:tc>
          <w:tcPr>
            <w:tcW w:w="461" w:type="pct"/>
            <w:tcBorders>
              <w:top w:val="nil"/>
              <w:left w:val="nil"/>
              <w:bottom w:val="nil"/>
              <w:right w:val="nil"/>
            </w:tcBorders>
            <w:shd w:val="clear" w:color="000000" w:fill="FFFFFF"/>
            <w:noWrap/>
            <w:vAlign w:val="center"/>
            <w:hideMark/>
          </w:tcPr>
          <w:p w14:paraId="18D8B922" w14:textId="77777777" w:rsidR="006A2FA3" w:rsidRPr="004E5A6E" w:rsidRDefault="006A2FA3" w:rsidP="006A2FA3">
            <w:pPr>
              <w:rPr>
                <w:color w:val="auto"/>
                <w:sz w:val="20"/>
                <w:szCs w:val="20"/>
                <w:lang w:val="sq-AL"/>
              </w:rPr>
            </w:pPr>
            <w:r w:rsidRPr="004E5A6E">
              <w:rPr>
                <w:color w:val="auto"/>
                <w:sz w:val="20"/>
                <w:szCs w:val="20"/>
                <w:lang w:val="sq-AL"/>
              </w:rPr>
              <w:t> </w:t>
            </w:r>
          </w:p>
        </w:tc>
      </w:tr>
      <w:tr w:rsidR="006A2FA3" w:rsidRPr="004E5A6E" w14:paraId="0980A59A" w14:textId="77777777" w:rsidTr="006A2FA3">
        <w:trPr>
          <w:trHeight w:val="336"/>
        </w:trPr>
        <w:tc>
          <w:tcPr>
            <w:tcW w:w="2232" w:type="pct"/>
            <w:tcBorders>
              <w:top w:val="double" w:sz="6" w:space="0" w:color="auto"/>
              <w:left w:val="double" w:sz="6" w:space="0" w:color="auto"/>
              <w:bottom w:val="double" w:sz="6" w:space="0" w:color="auto"/>
              <w:right w:val="nil"/>
            </w:tcBorders>
            <w:shd w:val="clear" w:color="000000" w:fill="FFFFFF"/>
            <w:vAlign w:val="center"/>
            <w:hideMark/>
          </w:tcPr>
          <w:p w14:paraId="226909D0" w14:textId="77777777" w:rsidR="006A2FA3" w:rsidRPr="004E5A6E" w:rsidRDefault="006A2FA3" w:rsidP="006A2FA3">
            <w:pPr>
              <w:rPr>
                <w:color w:val="auto"/>
                <w:sz w:val="20"/>
                <w:szCs w:val="20"/>
                <w:lang w:val="sq-AL"/>
              </w:rPr>
            </w:pPr>
            <w:r w:rsidRPr="004E5A6E">
              <w:rPr>
                <w:color w:val="auto"/>
                <w:sz w:val="20"/>
                <w:szCs w:val="20"/>
                <w:lang w:val="sq-AL"/>
              </w:rPr>
              <w:t>Si përqindje në BPV</w:t>
            </w:r>
          </w:p>
        </w:tc>
        <w:tc>
          <w:tcPr>
            <w:tcW w:w="461" w:type="pct"/>
            <w:tcBorders>
              <w:top w:val="double" w:sz="6" w:space="0" w:color="auto"/>
              <w:left w:val="dotted" w:sz="4" w:space="0" w:color="auto"/>
              <w:bottom w:val="double" w:sz="6" w:space="0" w:color="auto"/>
              <w:right w:val="single" w:sz="8" w:space="0" w:color="auto"/>
            </w:tcBorders>
            <w:shd w:val="clear" w:color="000000" w:fill="FFFFFF"/>
            <w:vAlign w:val="center"/>
            <w:hideMark/>
          </w:tcPr>
          <w:p w14:paraId="32AA3F63" w14:textId="77777777" w:rsidR="006A2FA3" w:rsidRPr="004E5A6E" w:rsidRDefault="006A2FA3" w:rsidP="006A2FA3">
            <w:pPr>
              <w:rPr>
                <w:color w:val="auto"/>
                <w:sz w:val="20"/>
                <w:szCs w:val="20"/>
                <w:lang w:val="sq-AL"/>
              </w:rPr>
            </w:pPr>
            <w:r w:rsidRPr="004E5A6E">
              <w:rPr>
                <w:color w:val="auto"/>
                <w:sz w:val="20"/>
                <w:szCs w:val="20"/>
                <w:lang w:val="sq-AL"/>
              </w:rPr>
              <w:t>ESA code</w:t>
            </w:r>
          </w:p>
        </w:tc>
        <w:tc>
          <w:tcPr>
            <w:tcW w:w="461" w:type="pct"/>
            <w:tcBorders>
              <w:top w:val="double" w:sz="6" w:space="0" w:color="auto"/>
              <w:left w:val="dotted" w:sz="4" w:space="0" w:color="auto"/>
              <w:bottom w:val="double" w:sz="6" w:space="0" w:color="auto"/>
              <w:right w:val="dotted" w:sz="4" w:space="0" w:color="auto"/>
            </w:tcBorders>
            <w:shd w:val="clear" w:color="000000" w:fill="FFFFFF"/>
            <w:vAlign w:val="center"/>
            <w:hideMark/>
          </w:tcPr>
          <w:p w14:paraId="484E961A" w14:textId="77777777" w:rsidR="006A2FA3" w:rsidRPr="004E5A6E" w:rsidRDefault="006A2FA3" w:rsidP="006A2FA3">
            <w:pPr>
              <w:jc w:val="center"/>
              <w:rPr>
                <w:color w:val="auto"/>
                <w:sz w:val="20"/>
                <w:szCs w:val="20"/>
                <w:lang w:val="sq-AL"/>
              </w:rPr>
            </w:pPr>
            <w:r w:rsidRPr="004E5A6E">
              <w:rPr>
                <w:color w:val="auto"/>
                <w:sz w:val="20"/>
                <w:szCs w:val="20"/>
                <w:lang w:val="sq-AL"/>
              </w:rPr>
              <w:t>2019</w:t>
            </w:r>
          </w:p>
        </w:tc>
        <w:tc>
          <w:tcPr>
            <w:tcW w:w="461" w:type="pct"/>
            <w:tcBorders>
              <w:top w:val="double" w:sz="6" w:space="0" w:color="auto"/>
              <w:left w:val="nil"/>
              <w:bottom w:val="double" w:sz="6" w:space="0" w:color="auto"/>
              <w:right w:val="dotted" w:sz="4" w:space="0" w:color="auto"/>
            </w:tcBorders>
            <w:shd w:val="clear" w:color="000000" w:fill="FFFFFF"/>
            <w:vAlign w:val="center"/>
            <w:hideMark/>
          </w:tcPr>
          <w:p w14:paraId="09E134D2" w14:textId="77777777" w:rsidR="006A2FA3" w:rsidRPr="004E5A6E" w:rsidRDefault="006A2FA3" w:rsidP="006A2FA3">
            <w:pPr>
              <w:jc w:val="center"/>
              <w:rPr>
                <w:color w:val="auto"/>
                <w:sz w:val="20"/>
                <w:szCs w:val="20"/>
                <w:lang w:val="sq-AL"/>
              </w:rPr>
            </w:pPr>
            <w:r w:rsidRPr="004E5A6E">
              <w:rPr>
                <w:color w:val="auto"/>
                <w:sz w:val="20"/>
                <w:szCs w:val="20"/>
                <w:lang w:val="sq-AL"/>
              </w:rPr>
              <w:t>2020</w:t>
            </w:r>
          </w:p>
        </w:tc>
        <w:tc>
          <w:tcPr>
            <w:tcW w:w="461" w:type="pct"/>
            <w:tcBorders>
              <w:top w:val="double" w:sz="6" w:space="0" w:color="auto"/>
              <w:left w:val="nil"/>
              <w:bottom w:val="double" w:sz="6" w:space="0" w:color="auto"/>
              <w:right w:val="dotted" w:sz="4" w:space="0" w:color="auto"/>
            </w:tcBorders>
            <w:shd w:val="clear" w:color="000000" w:fill="FFFFFF"/>
            <w:vAlign w:val="center"/>
            <w:hideMark/>
          </w:tcPr>
          <w:p w14:paraId="1FB419CF" w14:textId="77777777" w:rsidR="006A2FA3" w:rsidRPr="004E5A6E" w:rsidRDefault="006A2FA3" w:rsidP="006A2FA3">
            <w:pPr>
              <w:jc w:val="center"/>
              <w:rPr>
                <w:color w:val="auto"/>
                <w:sz w:val="20"/>
                <w:szCs w:val="20"/>
                <w:lang w:val="sq-AL"/>
              </w:rPr>
            </w:pPr>
            <w:r w:rsidRPr="004E5A6E">
              <w:rPr>
                <w:color w:val="auto"/>
                <w:sz w:val="20"/>
                <w:szCs w:val="20"/>
                <w:lang w:val="sq-AL"/>
              </w:rPr>
              <w:t>2021</w:t>
            </w:r>
          </w:p>
        </w:tc>
        <w:tc>
          <w:tcPr>
            <w:tcW w:w="461" w:type="pct"/>
            <w:tcBorders>
              <w:top w:val="double" w:sz="6" w:space="0" w:color="auto"/>
              <w:left w:val="nil"/>
              <w:bottom w:val="double" w:sz="6" w:space="0" w:color="auto"/>
              <w:right w:val="dotted" w:sz="4" w:space="0" w:color="auto"/>
            </w:tcBorders>
            <w:shd w:val="clear" w:color="000000" w:fill="FFFFFF"/>
            <w:vAlign w:val="center"/>
            <w:hideMark/>
          </w:tcPr>
          <w:p w14:paraId="5B4ED28B" w14:textId="77777777" w:rsidR="006A2FA3" w:rsidRPr="004E5A6E" w:rsidRDefault="006A2FA3" w:rsidP="006A2FA3">
            <w:pPr>
              <w:jc w:val="center"/>
              <w:rPr>
                <w:color w:val="auto"/>
                <w:sz w:val="20"/>
                <w:szCs w:val="20"/>
                <w:lang w:val="sq-AL"/>
              </w:rPr>
            </w:pPr>
            <w:r w:rsidRPr="004E5A6E">
              <w:rPr>
                <w:color w:val="auto"/>
                <w:sz w:val="20"/>
                <w:szCs w:val="20"/>
                <w:lang w:val="sq-AL"/>
              </w:rPr>
              <w:t>2022</w:t>
            </w:r>
          </w:p>
        </w:tc>
        <w:tc>
          <w:tcPr>
            <w:tcW w:w="461" w:type="pct"/>
            <w:tcBorders>
              <w:top w:val="double" w:sz="6" w:space="0" w:color="auto"/>
              <w:left w:val="nil"/>
              <w:bottom w:val="double" w:sz="6" w:space="0" w:color="auto"/>
              <w:right w:val="double" w:sz="6" w:space="0" w:color="auto"/>
            </w:tcBorders>
            <w:shd w:val="clear" w:color="000000" w:fill="FFFFFF"/>
            <w:vAlign w:val="center"/>
            <w:hideMark/>
          </w:tcPr>
          <w:p w14:paraId="79F00F1C" w14:textId="77777777" w:rsidR="006A2FA3" w:rsidRPr="004E5A6E" w:rsidRDefault="006A2FA3" w:rsidP="006A2FA3">
            <w:pPr>
              <w:jc w:val="center"/>
              <w:rPr>
                <w:color w:val="auto"/>
                <w:sz w:val="20"/>
                <w:szCs w:val="20"/>
                <w:lang w:val="sq-AL"/>
              </w:rPr>
            </w:pPr>
            <w:r w:rsidRPr="004E5A6E">
              <w:rPr>
                <w:color w:val="auto"/>
                <w:sz w:val="20"/>
                <w:szCs w:val="20"/>
                <w:lang w:val="sq-AL"/>
              </w:rPr>
              <w:t>2023</w:t>
            </w:r>
          </w:p>
        </w:tc>
      </w:tr>
      <w:tr w:rsidR="006A2FA3" w:rsidRPr="004E5A6E" w14:paraId="7111D109" w14:textId="77777777" w:rsidTr="006A2FA3">
        <w:trPr>
          <w:trHeight w:val="540"/>
        </w:trPr>
        <w:tc>
          <w:tcPr>
            <w:tcW w:w="2232" w:type="pct"/>
            <w:tcBorders>
              <w:top w:val="nil"/>
              <w:left w:val="double" w:sz="6" w:space="0" w:color="auto"/>
              <w:bottom w:val="dotted" w:sz="4" w:space="0" w:color="auto"/>
              <w:right w:val="nil"/>
            </w:tcBorders>
            <w:shd w:val="clear" w:color="000000" w:fill="FFFFFF"/>
            <w:vAlign w:val="center"/>
            <w:hideMark/>
          </w:tcPr>
          <w:p w14:paraId="275DC550" w14:textId="77777777" w:rsidR="006A2FA3" w:rsidRPr="004E5A6E" w:rsidRDefault="006A2FA3" w:rsidP="006A2FA3">
            <w:pPr>
              <w:rPr>
                <w:color w:val="auto"/>
                <w:sz w:val="20"/>
                <w:szCs w:val="20"/>
                <w:lang w:val="sq-AL"/>
              </w:rPr>
            </w:pPr>
            <w:r w:rsidRPr="004E5A6E">
              <w:rPr>
                <w:color w:val="auto"/>
                <w:sz w:val="20"/>
                <w:szCs w:val="20"/>
                <w:lang w:val="sq-AL"/>
              </w:rPr>
              <w:t>1. Kreditimi/ huazimi neto përballë pjesës tjetër të botës</w:t>
            </w:r>
          </w:p>
        </w:tc>
        <w:tc>
          <w:tcPr>
            <w:tcW w:w="461" w:type="pct"/>
            <w:tcBorders>
              <w:top w:val="nil"/>
              <w:left w:val="dotted" w:sz="4" w:space="0" w:color="auto"/>
              <w:bottom w:val="dotted" w:sz="4" w:space="0" w:color="auto"/>
              <w:right w:val="single" w:sz="8" w:space="0" w:color="auto"/>
            </w:tcBorders>
            <w:shd w:val="clear" w:color="000000" w:fill="FFFFFF"/>
            <w:vAlign w:val="center"/>
            <w:hideMark/>
          </w:tcPr>
          <w:p w14:paraId="536742A9" w14:textId="77777777" w:rsidR="006A2FA3" w:rsidRPr="004E5A6E" w:rsidRDefault="006A2FA3" w:rsidP="006A2FA3">
            <w:pPr>
              <w:jc w:val="center"/>
              <w:rPr>
                <w:color w:val="auto"/>
                <w:sz w:val="20"/>
                <w:szCs w:val="20"/>
                <w:lang w:val="sq-AL"/>
              </w:rPr>
            </w:pPr>
            <w:r w:rsidRPr="004E5A6E">
              <w:rPr>
                <w:color w:val="auto"/>
                <w:sz w:val="20"/>
                <w:szCs w:val="20"/>
                <w:lang w:val="sq-AL"/>
              </w:rPr>
              <w:t>B.9</w:t>
            </w:r>
          </w:p>
        </w:tc>
        <w:tc>
          <w:tcPr>
            <w:tcW w:w="461" w:type="pct"/>
            <w:tcBorders>
              <w:top w:val="nil"/>
              <w:left w:val="dotted" w:sz="4" w:space="0" w:color="auto"/>
              <w:bottom w:val="dotted" w:sz="4" w:space="0" w:color="auto"/>
              <w:right w:val="dotted" w:sz="4" w:space="0" w:color="auto"/>
            </w:tcBorders>
            <w:shd w:val="clear" w:color="000000" w:fill="FFFFFF"/>
            <w:vAlign w:val="center"/>
            <w:hideMark/>
          </w:tcPr>
          <w:p w14:paraId="3B753ADE" w14:textId="77777777" w:rsidR="006A2FA3" w:rsidRPr="004E5A6E" w:rsidRDefault="006A2FA3" w:rsidP="006A2FA3">
            <w:pPr>
              <w:jc w:val="center"/>
              <w:rPr>
                <w:color w:val="auto"/>
                <w:sz w:val="20"/>
                <w:szCs w:val="20"/>
                <w:lang w:val="sq-AL"/>
              </w:rPr>
            </w:pPr>
            <w:r w:rsidRPr="004E5A6E">
              <w:rPr>
                <w:color w:val="auto"/>
                <w:sz w:val="20"/>
                <w:szCs w:val="20"/>
                <w:lang w:val="sq-AL"/>
              </w:rPr>
              <w:t>-7.7</w:t>
            </w:r>
          </w:p>
        </w:tc>
        <w:tc>
          <w:tcPr>
            <w:tcW w:w="461" w:type="pct"/>
            <w:tcBorders>
              <w:top w:val="nil"/>
              <w:left w:val="nil"/>
              <w:bottom w:val="dotted" w:sz="4" w:space="0" w:color="auto"/>
              <w:right w:val="dotted" w:sz="4" w:space="0" w:color="auto"/>
            </w:tcBorders>
            <w:shd w:val="clear" w:color="000000" w:fill="FFFFFF"/>
            <w:vAlign w:val="center"/>
            <w:hideMark/>
          </w:tcPr>
          <w:p w14:paraId="1B601897" w14:textId="77777777" w:rsidR="006A2FA3" w:rsidRPr="004E5A6E" w:rsidRDefault="006A2FA3" w:rsidP="006A2FA3">
            <w:pPr>
              <w:jc w:val="center"/>
              <w:rPr>
                <w:color w:val="auto"/>
                <w:sz w:val="20"/>
                <w:szCs w:val="20"/>
                <w:lang w:val="sq-AL"/>
              </w:rPr>
            </w:pPr>
            <w:r w:rsidRPr="004E5A6E">
              <w:rPr>
                <w:color w:val="auto"/>
                <w:sz w:val="20"/>
                <w:szCs w:val="20"/>
                <w:lang w:val="sq-AL"/>
              </w:rPr>
              <w:t>-5.7</w:t>
            </w:r>
          </w:p>
        </w:tc>
        <w:tc>
          <w:tcPr>
            <w:tcW w:w="461" w:type="pct"/>
            <w:tcBorders>
              <w:top w:val="nil"/>
              <w:left w:val="nil"/>
              <w:bottom w:val="dotted" w:sz="4" w:space="0" w:color="auto"/>
              <w:right w:val="dotted" w:sz="4" w:space="0" w:color="auto"/>
            </w:tcBorders>
            <w:shd w:val="clear" w:color="000000" w:fill="FFFFFF"/>
            <w:vAlign w:val="center"/>
            <w:hideMark/>
          </w:tcPr>
          <w:p w14:paraId="509C0656" w14:textId="77777777" w:rsidR="006A2FA3" w:rsidRPr="004E5A6E" w:rsidRDefault="006A2FA3" w:rsidP="006A2FA3">
            <w:pPr>
              <w:jc w:val="center"/>
              <w:rPr>
                <w:color w:val="auto"/>
                <w:sz w:val="20"/>
                <w:szCs w:val="20"/>
                <w:lang w:val="sq-AL"/>
              </w:rPr>
            </w:pPr>
            <w:r w:rsidRPr="004E5A6E">
              <w:rPr>
                <w:color w:val="auto"/>
                <w:sz w:val="20"/>
                <w:szCs w:val="20"/>
                <w:lang w:val="sq-AL"/>
              </w:rPr>
              <w:t>-5.1</w:t>
            </w:r>
          </w:p>
        </w:tc>
        <w:tc>
          <w:tcPr>
            <w:tcW w:w="461" w:type="pct"/>
            <w:tcBorders>
              <w:top w:val="nil"/>
              <w:left w:val="nil"/>
              <w:bottom w:val="dotted" w:sz="4" w:space="0" w:color="auto"/>
              <w:right w:val="dotted" w:sz="4" w:space="0" w:color="auto"/>
            </w:tcBorders>
            <w:shd w:val="clear" w:color="000000" w:fill="FFFFFF"/>
            <w:vAlign w:val="center"/>
            <w:hideMark/>
          </w:tcPr>
          <w:p w14:paraId="0CABF4E6" w14:textId="77777777" w:rsidR="006A2FA3" w:rsidRPr="004E5A6E" w:rsidRDefault="006A2FA3" w:rsidP="006A2FA3">
            <w:pPr>
              <w:jc w:val="center"/>
              <w:rPr>
                <w:color w:val="auto"/>
                <w:sz w:val="20"/>
                <w:szCs w:val="20"/>
                <w:lang w:val="sq-AL"/>
              </w:rPr>
            </w:pPr>
            <w:r w:rsidRPr="004E5A6E">
              <w:rPr>
                <w:color w:val="auto"/>
                <w:sz w:val="20"/>
                <w:szCs w:val="20"/>
                <w:lang w:val="sq-AL"/>
              </w:rPr>
              <w:t>-6.9</w:t>
            </w:r>
          </w:p>
        </w:tc>
        <w:tc>
          <w:tcPr>
            <w:tcW w:w="461" w:type="pct"/>
            <w:tcBorders>
              <w:top w:val="nil"/>
              <w:left w:val="nil"/>
              <w:bottom w:val="dotted" w:sz="4" w:space="0" w:color="auto"/>
              <w:right w:val="double" w:sz="6" w:space="0" w:color="auto"/>
            </w:tcBorders>
            <w:shd w:val="clear" w:color="000000" w:fill="FFFFFF"/>
            <w:vAlign w:val="center"/>
            <w:hideMark/>
          </w:tcPr>
          <w:p w14:paraId="3BDEE55C" w14:textId="77777777" w:rsidR="006A2FA3" w:rsidRPr="004E5A6E" w:rsidRDefault="006A2FA3" w:rsidP="006A2FA3">
            <w:pPr>
              <w:jc w:val="center"/>
              <w:rPr>
                <w:color w:val="auto"/>
                <w:sz w:val="20"/>
                <w:szCs w:val="20"/>
                <w:lang w:val="sq-AL"/>
              </w:rPr>
            </w:pPr>
            <w:r w:rsidRPr="004E5A6E">
              <w:rPr>
                <w:color w:val="auto"/>
                <w:sz w:val="20"/>
                <w:szCs w:val="20"/>
                <w:lang w:val="sq-AL"/>
              </w:rPr>
              <w:t>-6.7</w:t>
            </w:r>
          </w:p>
        </w:tc>
      </w:tr>
      <w:tr w:rsidR="006A2FA3" w:rsidRPr="004E5A6E" w14:paraId="2CD19C95" w14:textId="77777777" w:rsidTr="006A2FA3">
        <w:trPr>
          <w:trHeight w:val="312"/>
        </w:trPr>
        <w:tc>
          <w:tcPr>
            <w:tcW w:w="2232" w:type="pct"/>
            <w:tcBorders>
              <w:top w:val="nil"/>
              <w:left w:val="double" w:sz="6" w:space="0" w:color="auto"/>
              <w:bottom w:val="dotted" w:sz="4" w:space="0" w:color="auto"/>
              <w:right w:val="nil"/>
            </w:tcBorders>
            <w:shd w:val="clear" w:color="000000" w:fill="FFFFFF"/>
            <w:vAlign w:val="center"/>
            <w:hideMark/>
          </w:tcPr>
          <w:p w14:paraId="538D4592" w14:textId="77777777" w:rsidR="006A2FA3" w:rsidRPr="004E5A6E" w:rsidRDefault="006A2FA3" w:rsidP="006A2FA3">
            <w:pPr>
              <w:rPr>
                <w:i/>
                <w:iCs/>
                <w:color w:val="auto"/>
                <w:sz w:val="20"/>
                <w:szCs w:val="20"/>
                <w:lang w:val="sq-AL"/>
              </w:rPr>
            </w:pPr>
            <w:bookmarkStart w:id="219" w:name="RANGE!C5"/>
            <w:r w:rsidRPr="004E5A6E">
              <w:rPr>
                <w:i/>
                <w:iCs/>
                <w:color w:val="auto"/>
                <w:sz w:val="20"/>
                <w:szCs w:val="20"/>
                <w:lang w:val="sq-AL"/>
              </w:rPr>
              <w:t xml:space="preserve">nga te cilat: </w:t>
            </w:r>
            <w:bookmarkEnd w:id="219"/>
          </w:p>
        </w:tc>
        <w:tc>
          <w:tcPr>
            <w:tcW w:w="461" w:type="pct"/>
            <w:tcBorders>
              <w:top w:val="nil"/>
              <w:left w:val="dotted" w:sz="4" w:space="0" w:color="auto"/>
              <w:bottom w:val="dotted" w:sz="4" w:space="0" w:color="auto"/>
              <w:right w:val="single" w:sz="8" w:space="0" w:color="auto"/>
            </w:tcBorders>
            <w:shd w:val="clear" w:color="000000" w:fill="FFFFFF"/>
            <w:vAlign w:val="center"/>
            <w:hideMark/>
          </w:tcPr>
          <w:p w14:paraId="6DB2E341" w14:textId="77777777" w:rsidR="006A2FA3" w:rsidRPr="004E5A6E" w:rsidRDefault="006A2FA3" w:rsidP="006A2FA3">
            <w:pPr>
              <w:jc w:val="center"/>
              <w:rPr>
                <w:color w:val="auto"/>
                <w:sz w:val="20"/>
                <w:szCs w:val="20"/>
                <w:lang w:val="sq-AL"/>
              </w:rPr>
            </w:pPr>
            <w:r w:rsidRPr="004E5A6E">
              <w:rPr>
                <w:color w:val="auto"/>
                <w:sz w:val="20"/>
                <w:szCs w:val="20"/>
                <w:lang w:val="sq-AL"/>
              </w:rPr>
              <w:t> </w:t>
            </w:r>
          </w:p>
        </w:tc>
        <w:tc>
          <w:tcPr>
            <w:tcW w:w="461" w:type="pct"/>
            <w:tcBorders>
              <w:top w:val="nil"/>
              <w:left w:val="dotted" w:sz="4" w:space="0" w:color="auto"/>
              <w:bottom w:val="dotted" w:sz="4" w:space="0" w:color="auto"/>
              <w:right w:val="dotted" w:sz="4" w:space="0" w:color="auto"/>
            </w:tcBorders>
            <w:shd w:val="clear" w:color="000000" w:fill="FFFFFF"/>
            <w:vAlign w:val="center"/>
            <w:hideMark/>
          </w:tcPr>
          <w:p w14:paraId="02C52011" w14:textId="77777777" w:rsidR="006A2FA3" w:rsidRPr="004E5A6E" w:rsidRDefault="006A2FA3" w:rsidP="006A2FA3">
            <w:pPr>
              <w:jc w:val="center"/>
              <w:rPr>
                <w:color w:val="auto"/>
                <w:sz w:val="20"/>
                <w:szCs w:val="20"/>
                <w:lang w:val="sq-AL"/>
              </w:rPr>
            </w:pPr>
            <w:r w:rsidRPr="004E5A6E">
              <w:rPr>
                <w:color w:val="auto"/>
                <w:sz w:val="20"/>
                <w:szCs w:val="20"/>
                <w:lang w:val="sq-AL"/>
              </w:rPr>
              <w:t> </w:t>
            </w:r>
          </w:p>
        </w:tc>
        <w:tc>
          <w:tcPr>
            <w:tcW w:w="461" w:type="pct"/>
            <w:tcBorders>
              <w:top w:val="nil"/>
              <w:left w:val="nil"/>
              <w:bottom w:val="dotted" w:sz="4" w:space="0" w:color="auto"/>
              <w:right w:val="dotted" w:sz="4" w:space="0" w:color="auto"/>
            </w:tcBorders>
            <w:shd w:val="clear" w:color="000000" w:fill="FFFFFF"/>
            <w:vAlign w:val="center"/>
            <w:hideMark/>
          </w:tcPr>
          <w:p w14:paraId="5F6BCB92" w14:textId="77777777" w:rsidR="006A2FA3" w:rsidRPr="004E5A6E" w:rsidRDefault="006A2FA3" w:rsidP="006A2FA3">
            <w:pPr>
              <w:jc w:val="center"/>
              <w:rPr>
                <w:color w:val="auto"/>
                <w:sz w:val="20"/>
                <w:szCs w:val="20"/>
                <w:lang w:val="sq-AL"/>
              </w:rPr>
            </w:pPr>
            <w:r w:rsidRPr="004E5A6E">
              <w:rPr>
                <w:color w:val="auto"/>
                <w:sz w:val="20"/>
                <w:szCs w:val="20"/>
                <w:lang w:val="sq-AL"/>
              </w:rPr>
              <w:t> </w:t>
            </w:r>
          </w:p>
        </w:tc>
        <w:tc>
          <w:tcPr>
            <w:tcW w:w="461" w:type="pct"/>
            <w:tcBorders>
              <w:top w:val="nil"/>
              <w:left w:val="nil"/>
              <w:bottom w:val="dotted" w:sz="4" w:space="0" w:color="auto"/>
              <w:right w:val="dotted" w:sz="4" w:space="0" w:color="auto"/>
            </w:tcBorders>
            <w:shd w:val="clear" w:color="000000" w:fill="FFFFFF"/>
            <w:vAlign w:val="center"/>
            <w:hideMark/>
          </w:tcPr>
          <w:p w14:paraId="456D7E00" w14:textId="77777777" w:rsidR="006A2FA3" w:rsidRPr="004E5A6E" w:rsidRDefault="006A2FA3" w:rsidP="006A2FA3">
            <w:pPr>
              <w:jc w:val="center"/>
              <w:rPr>
                <w:color w:val="auto"/>
                <w:sz w:val="20"/>
                <w:szCs w:val="20"/>
                <w:lang w:val="sq-AL"/>
              </w:rPr>
            </w:pPr>
            <w:r w:rsidRPr="004E5A6E">
              <w:rPr>
                <w:color w:val="auto"/>
                <w:sz w:val="20"/>
                <w:szCs w:val="20"/>
                <w:lang w:val="sq-AL"/>
              </w:rPr>
              <w:t> </w:t>
            </w:r>
          </w:p>
        </w:tc>
        <w:tc>
          <w:tcPr>
            <w:tcW w:w="461" w:type="pct"/>
            <w:tcBorders>
              <w:top w:val="nil"/>
              <w:left w:val="nil"/>
              <w:bottom w:val="dotted" w:sz="4" w:space="0" w:color="auto"/>
              <w:right w:val="dotted" w:sz="4" w:space="0" w:color="auto"/>
            </w:tcBorders>
            <w:shd w:val="clear" w:color="000000" w:fill="FFFFFF"/>
            <w:vAlign w:val="center"/>
            <w:hideMark/>
          </w:tcPr>
          <w:p w14:paraId="1487AE4E" w14:textId="77777777" w:rsidR="006A2FA3" w:rsidRPr="004E5A6E" w:rsidRDefault="006A2FA3" w:rsidP="006A2FA3">
            <w:pPr>
              <w:jc w:val="center"/>
              <w:rPr>
                <w:color w:val="auto"/>
                <w:sz w:val="20"/>
                <w:szCs w:val="20"/>
                <w:lang w:val="sq-AL"/>
              </w:rPr>
            </w:pPr>
            <w:r w:rsidRPr="004E5A6E">
              <w:rPr>
                <w:color w:val="auto"/>
                <w:sz w:val="20"/>
                <w:szCs w:val="20"/>
                <w:lang w:val="sq-AL"/>
              </w:rPr>
              <w:t> </w:t>
            </w:r>
          </w:p>
        </w:tc>
        <w:tc>
          <w:tcPr>
            <w:tcW w:w="461" w:type="pct"/>
            <w:tcBorders>
              <w:top w:val="nil"/>
              <w:left w:val="nil"/>
              <w:bottom w:val="dotted" w:sz="4" w:space="0" w:color="auto"/>
              <w:right w:val="double" w:sz="6" w:space="0" w:color="auto"/>
            </w:tcBorders>
            <w:shd w:val="clear" w:color="000000" w:fill="FFFFFF"/>
            <w:vAlign w:val="center"/>
            <w:hideMark/>
          </w:tcPr>
          <w:p w14:paraId="343693D2" w14:textId="77777777" w:rsidR="006A2FA3" w:rsidRPr="004E5A6E" w:rsidRDefault="006A2FA3" w:rsidP="006A2FA3">
            <w:pPr>
              <w:jc w:val="center"/>
              <w:rPr>
                <w:color w:val="auto"/>
                <w:sz w:val="20"/>
                <w:szCs w:val="20"/>
                <w:lang w:val="sq-AL"/>
              </w:rPr>
            </w:pPr>
            <w:r w:rsidRPr="004E5A6E">
              <w:rPr>
                <w:color w:val="auto"/>
                <w:sz w:val="20"/>
                <w:szCs w:val="20"/>
                <w:lang w:val="sq-AL"/>
              </w:rPr>
              <w:t> </w:t>
            </w:r>
          </w:p>
        </w:tc>
      </w:tr>
      <w:tr w:rsidR="006A2FA3" w:rsidRPr="004E5A6E" w14:paraId="71EE2632" w14:textId="77777777" w:rsidTr="006A2FA3">
        <w:trPr>
          <w:trHeight w:val="312"/>
        </w:trPr>
        <w:tc>
          <w:tcPr>
            <w:tcW w:w="2232" w:type="pct"/>
            <w:tcBorders>
              <w:top w:val="nil"/>
              <w:left w:val="double" w:sz="6" w:space="0" w:color="auto"/>
              <w:bottom w:val="dotted" w:sz="4" w:space="0" w:color="auto"/>
              <w:right w:val="nil"/>
            </w:tcBorders>
            <w:shd w:val="clear" w:color="000000" w:fill="FFFFFF"/>
            <w:vAlign w:val="center"/>
            <w:hideMark/>
          </w:tcPr>
          <w:p w14:paraId="0070C9F0" w14:textId="77777777" w:rsidR="006A2FA3" w:rsidRPr="004E5A6E" w:rsidRDefault="006A2FA3" w:rsidP="006A2FA3">
            <w:pPr>
              <w:rPr>
                <w:i/>
                <w:iCs/>
                <w:color w:val="auto"/>
                <w:sz w:val="20"/>
                <w:szCs w:val="20"/>
                <w:lang w:val="sq-AL"/>
              </w:rPr>
            </w:pPr>
            <w:bookmarkStart w:id="220" w:name="RANGE!C6"/>
            <w:r w:rsidRPr="004E5A6E">
              <w:rPr>
                <w:i/>
                <w:iCs/>
                <w:color w:val="auto"/>
                <w:sz w:val="20"/>
                <w:szCs w:val="20"/>
                <w:lang w:val="sq-AL"/>
              </w:rPr>
              <w:t>Bilanci i mallrave dhe shërbimeve</w:t>
            </w:r>
            <w:bookmarkEnd w:id="220"/>
          </w:p>
        </w:tc>
        <w:tc>
          <w:tcPr>
            <w:tcW w:w="461" w:type="pct"/>
            <w:tcBorders>
              <w:top w:val="nil"/>
              <w:left w:val="dotted" w:sz="4" w:space="0" w:color="auto"/>
              <w:bottom w:val="dotted" w:sz="4" w:space="0" w:color="auto"/>
              <w:right w:val="single" w:sz="8" w:space="0" w:color="auto"/>
            </w:tcBorders>
            <w:shd w:val="clear" w:color="000000" w:fill="FFFFFF"/>
            <w:vAlign w:val="center"/>
            <w:hideMark/>
          </w:tcPr>
          <w:p w14:paraId="01FFAC72" w14:textId="77777777" w:rsidR="006A2FA3" w:rsidRPr="004E5A6E" w:rsidRDefault="006A2FA3" w:rsidP="006A2FA3">
            <w:pPr>
              <w:jc w:val="center"/>
              <w:rPr>
                <w:i/>
                <w:iCs/>
                <w:color w:val="auto"/>
                <w:sz w:val="20"/>
                <w:szCs w:val="20"/>
                <w:lang w:val="sq-AL"/>
              </w:rPr>
            </w:pPr>
            <w:r w:rsidRPr="004E5A6E">
              <w:rPr>
                <w:i/>
                <w:iCs/>
                <w:color w:val="auto"/>
                <w:sz w:val="20"/>
                <w:szCs w:val="20"/>
                <w:lang w:val="sq-AL"/>
              </w:rPr>
              <w:t> </w:t>
            </w:r>
          </w:p>
        </w:tc>
        <w:tc>
          <w:tcPr>
            <w:tcW w:w="461" w:type="pct"/>
            <w:tcBorders>
              <w:top w:val="nil"/>
              <w:left w:val="dotted" w:sz="4" w:space="0" w:color="auto"/>
              <w:bottom w:val="dotted" w:sz="4" w:space="0" w:color="auto"/>
              <w:right w:val="dotted" w:sz="4" w:space="0" w:color="auto"/>
            </w:tcBorders>
            <w:shd w:val="clear" w:color="000000" w:fill="FFFFFF"/>
            <w:vAlign w:val="center"/>
            <w:hideMark/>
          </w:tcPr>
          <w:p w14:paraId="488743FE" w14:textId="77777777" w:rsidR="006A2FA3" w:rsidRPr="004E5A6E" w:rsidRDefault="006A2FA3" w:rsidP="006A2FA3">
            <w:pPr>
              <w:jc w:val="center"/>
              <w:rPr>
                <w:color w:val="auto"/>
                <w:sz w:val="20"/>
                <w:szCs w:val="20"/>
                <w:lang w:val="sq-AL"/>
              </w:rPr>
            </w:pPr>
            <w:r w:rsidRPr="004E5A6E">
              <w:rPr>
                <w:color w:val="auto"/>
                <w:sz w:val="20"/>
                <w:szCs w:val="20"/>
                <w:lang w:val="sq-AL"/>
              </w:rPr>
              <w:t>-28.0</w:t>
            </w:r>
          </w:p>
        </w:tc>
        <w:tc>
          <w:tcPr>
            <w:tcW w:w="461" w:type="pct"/>
            <w:tcBorders>
              <w:top w:val="nil"/>
              <w:left w:val="nil"/>
              <w:bottom w:val="dotted" w:sz="4" w:space="0" w:color="auto"/>
              <w:right w:val="dotted" w:sz="4" w:space="0" w:color="auto"/>
            </w:tcBorders>
            <w:shd w:val="clear" w:color="000000" w:fill="FFFFFF"/>
            <w:vAlign w:val="center"/>
            <w:hideMark/>
          </w:tcPr>
          <w:p w14:paraId="08483D8E" w14:textId="77777777" w:rsidR="006A2FA3" w:rsidRPr="004E5A6E" w:rsidRDefault="006A2FA3" w:rsidP="006A2FA3">
            <w:pPr>
              <w:jc w:val="center"/>
              <w:rPr>
                <w:color w:val="auto"/>
                <w:sz w:val="20"/>
                <w:szCs w:val="20"/>
                <w:lang w:val="sq-AL"/>
              </w:rPr>
            </w:pPr>
            <w:r w:rsidRPr="004E5A6E">
              <w:rPr>
                <w:color w:val="auto"/>
                <w:sz w:val="20"/>
                <w:szCs w:val="20"/>
                <w:lang w:val="sq-AL"/>
              </w:rPr>
              <w:t>-26.9</w:t>
            </w:r>
          </w:p>
        </w:tc>
        <w:tc>
          <w:tcPr>
            <w:tcW w:w="461" w:type="pct"/>
            <w:tcBorders>
              <w:top w:val="nil"/>
              <w:left w:val="nil"/>
              <w:bottom w:val="dotted" w:sz="4" w:space="0" w:color="auto"/>
              <w:right w:val="dotted" w:sz="4" w:space="0" w:color="auto"/>
            </w:tcBorders>
            <w:shd w:val="clear" w:color="000000" w:fill="FFFFFF"/>
            <w:vAlign w:val="center"/>
            <w:hideMark/>
          </w:tcPr>
          <w:p w14:paraId="566E2662" w14:textId="77777777" w:rsidR="006A2FA3" w:rsidRPr="004E5A6E" w:rsidRDefault="006A2FA3" w:rsidP="006A2FA3">
            <w:pPr>
              <w:jc w:val="center"/>
              <w:rPr>
                <w:color w:val="auto"/>
                <w:sz w:val="20"/>
                <w:szCs w:val="20"/>
                <w:lang w:val="sq-AL"/>
              </w:rPr>
            </w:pPr>
            <w:r w:rsidRPr="004E5A6E">
              <w:rPr>
                <w:color w:val="auto"/>
                <w:sz w:val="20"/>
                <w:szCs w:val="20"/>
                <w:lang w:val="sq-AL"/>
              </w:rPr>
              <w:t>-28.7</w:t>
            </w:r>
          </w:p>
        </w:tc>
        <w:tc>
          <w:tcPr>
            <w:tcW w:w="461" w:type="pct"/>
            <w:tcBorders>
              <w:top w:val="nil"/>
              <w:left w:val="nil"/>
              <w:bottom w:val="dotted" w:sz="4" w:space="0" w:color="auto"/>
              <w:right w:val="dotted" w:sz="4" w:space="0" w:color="auto"/>
            </w:tcBorders>
            <w:shd w:val="clear" w:color="000000" w:fill="FFFFFF"/>
            <w:vAlign w:val="center"/>
            <w:hideMark/>
          </w:tcPr>
          <w:p w14:paraId="5AC36779" w14:textId="77777777" w:rsidR="006A2FA3" w:rsidRPr="004E5A6E" w:rsidRDefault="006A2FA3" w:rsidP="006A2FA3">
            <w:pPr>
              <w:jc w:val="center"/>
              <w:rPr>
                <w:color w:val="auto"/>
                <w:sz w:val="20"/>
                <w:szCs w:val="20"/>
                <w:lang w:val="sq-AL"/>
              </w:rPr>
            </w:pPr>
            <w:r w:rsidRPr="004E5A6E">
              <w:rPr>
                <w:color w:val="auto"/>
                <w:sz w:val="20"/>
                <w:szCs w:val="20"/>
                <w:lang w:val="sq-AL"/>
              </w:rPr>
              <w:t>-27.6</w:t>
            </w:r>
          </w:p>
        </w:tc>
        <w:tc>
          <w:tcPr>
            <w:tcW w:w="461" w:type="pct"/>
            <w:tcBorders>
              <w:top w:val="nil"/>
              <w:left w:val="nil"/>
              <w:bottom w:val="dotted" w:sz="4" w:space="0" w:color="auto"/>
              <w:right w:val="double" w:sz="6" w:space="0" w:color="auto"/>
            </w:tcBorders>
            <w:shd w:val="clear" w:color="000000" w:fill="FFFFFF"/>
            <w:vAlign w:val="center"/>
            <w:hideMark/>
          </w:tcPr>
          <w:p w14:paraId="1565800D" w14:textId="77777777" w:rsidR="006A2FA3" w:rsidRPr="004E5A6E" w:rsidRDefault="006A2FA3" w:rsidP="006A2FA3">
            <w:pPr>
              <w:jc w:val="center"/>
              <w:rPr>
                <w:color w:val="auto"/>
                <w:sz w:val="20"/>
                <w:szCs w:val="20"/>
                <w:lang w:val="sq-AL"/>
              </w:rPr>
            </w:pPr>
            <w:r w:rsidRPr="004E5A6E">
              <w:rPr>
                <w:color w:val="auto"/>
                <w:sz w:val="20"/>
                <w:szCs w:val="20"/>
                <w:lang w:val="sq-AL"/>
              </w:rPr>
              <w:t>-28.2</w:t>
            </w:r>
          </w:p>
        </w:tc>
      </w:tr>
      <w:tr w:rsidR="006A2FA3" w:rsidRPr="004E5A6E" w14:paraId="61830CE6" w14:textId="77777777" w:rsidTr="006A2FA3">
        <w:trPr>
          <w:trHeight w:val="312"/>
        </w:trPr>
        <w:tc>
          <w:tcPr>
            <w:tcW w:w="2232" w:type="pct"/>
            <w:tcBorders>
              <w:top w:val="nil"/>
              <w:left w:val="double" w:sz="6" w:space="0" w:color="auto"/>
              <w:bottom w:val="dotted" w:sz="4" w:space="0" w:color="auto"/>
              <w:right w:val="nil"/>
            </w:tcBorders>
            <w:shd w:val="clear" w:color="000000" w:fill="FFFFFF"/>
            <w:vAlign w:val="center"/>
            <w:hideMark/>
          </w:tcPr>
          <w:p w14:paraId="583C4433" w14:textId="77777777" w:rsidR="006A2FA3" w:rsidRPr="004E5A6E" w:rsidRDefault="006A2FA3" w:rsidP="006A2FA3">
            <w:pPr>
              <w:rPr>
                <w:i/>
                <w:iCs/>
                <w:color w:val="auto"/>
                <w:sz w:val="20"/>
                <w:szCs w:val="20"/>
                <w:lang w:val="sq-AL"/>
              </w:rPr>
            </w:pPr>
            <w:bookmarkStart w:id="221" w:name="RANGE!C7"/>
            <w:r w:rsidRPr="004E5A6E">
              <w:rPr>
                <w:i/>
                <w:iCs/>
                <w:color w:val="auto"/>
                <w:sz w:val="20"/>
                <w:szCs w:val="20"/>
                <w:lang w:val="sq-AL"/>
              </w:rPr>
              <w:t>Bilanci i të hyrave dhe transfereve primare</w:t>
            </w:r>
            <w:bookmarkEnd w:id="221"/>
          </w:p>
        </w:tc>
        <w:tc>
          <w:tcPr>
            <w:tcW w:w="461" w:type="pct"/>
            <w:tcBorders>
              <w:top w:val="nil"/>
              <w:left w:val="dotted" w:sz="4" w:space="0" w:color="auto"/>
              <w:bottom w:val="dotted" w:sz="4" w:space="0" w:color="auto"/>
              <w:right w:val="single" w:sz="8" w:space="0" w:color="auto"/>
            </w:tcBorders>
            <w:shd w:val="clear" w:color="000000" w:fill="FFFFFF"/>
            <w:vAlign w:val="center"/>
            <w:hideMark/>
          </w:tcPr>
          <w:p w14:paraId="1B113212" w14:textId="77777777" w:rsidR="006A2FA3" w:rsidRPr="004E5A6E" w:rsidRDefault="006A2FA3" w:rsidP="006A2FA3">
            <w:pPr>
              <w:jc w:val="center"/>
              <w:rPr>
                <w:i/>
                <w:iCs/>
                <w:color w:val="auto"/>
                <w:sz w:val="20"/>
                <w:szCs w:val="20"/>
                <w:lang w:val="sq-AL"/>
              </w:rPr>
            </w:pPr>
            <w:r w:rsidRPr="004E5A6E">
              <w:rPr>
                <w:i/>
                <w:iCs/>
                <w:color w:val="auto"/>
                <w:sz w:val="20"/>
                <w:szCs w:val="20"/>
                <w:lang w:val="sq-AL"/>
              </w:rPr>
              <w:t> </w:t>
            </w:r>
          </w:p>
        </w:tc>
        <w:tc>
          <w:tcPr>
            <w:tcW w:w="461" w:type="pct"/>
            <w:tcBorders>
              <w:top w:val="nil"/>
              <w:left w:val="dotted" w:sz="4" w:space="0" w:color="auto"/>
              <w:bottom w:val="dotted" w:sz="4" w:space="0" w:color="auto"/>
              <w:right w:val="dotted" w:sz="4" w:space="0" w:color="auto"/>
            </w:tcBorders>
            <w:shd w:val="clear" w:color="000000" w:fill="FFFFFF"/>
            <w:vAlign w:val="center"/>
            <w:hideMark/>
          </w:tcPr>
          <w:p w14:paraId="7DBA9256" w14:textId="77777777" w:rsidR="006A2FA3" w:rsidRPr="004E5A6E" w:rsidRDefault="006A2FA3" w:rsidP="006A2FA3">
            <w:pPr>
              <w:jc w:val="center"/>
              <w:rPr>
                <w:color w:val="auto"/>
                <w:sz w:val="20"/>
                <w:szCs w:val="20"/>
                <w:lang w:val="sq-AL"/>
              </w:rPr>
            </w:pPr>
            <w:r w:rsidRPr="004E5A6E">
              <w:rPr>
                <w:color w:val="auto"/>
                <w:sz w:val="20"/>
                <w:szCs w:val="20"/>
                <w:lang w:val="sq-AL"/>
              </w:rPr>
              <w:t>20.4</w:t>
            </w:r>
          </w:p>
        </w:tc>
        <w:tc>
          <w:tcPr>
            <w:tcW w:w="461" w:type="pct"/>
            <w:tcBorders>
              <w:top w:val="nil"/>
              <w:left w:val="nil"/>
              <w:bottom w:val="dotted" w:sz="4" w:space="0" w:color="auto"/>
              <w:right w:val="dotted" w:sz="4" w:space="0" w:color="auto"/>
            </w:tcBorders>
            <w:shd w:val="clear" w:color="000000" w:fill="FFFFFF"/>
            <w:vAlign w:val="center"/>
            <w:hideMark/>
          </w:tcPr>
          <w:p w14:paraId="798CD71D" w14:textId="77777777" w:rsidR="006A2FA3" w:rsidRPr="004E5A6E" w:rsidRDefault="006A2FA3" w:rsidP="006A2FA3">
            <w:pPr>
              <w:jc w:val="center"/>
              <w:rPr>
                <w:color w:val="auto"/>
                <w:sz w:val="20"/>
                <w:szCs w:val="20"/>
                <w:lang w:val="sq-AL"/>
              </w:rPr>
            </w:pPr>
            <w:r w:rsidRPr="004E5A6E">
              <w:rPr>
                <w:color w:val="auto"/>
                <w:sz w:val="20"/>
                <w:szCs w:val="20"/>
                <w:lang w:val="sq-AL"/>
              </w:rPr>
              <w:t>21.3</w:t>
            </w:r>
          </w:p>
        </w:tc>
        <w:tc>
          <w:tcPr>
            <w:tcW w:w="461" w:type="pct"/>
            <w:tcBorders>
              <w:top w:val="nil"/>
              <w:left w:val="nil"/>
              <w:bottom w:val="dotted" w:sz="4" w:space="0" w:color="auto"/>
              <w:right w:val="dotted" w:sz="4" w:space="0" w:color="auto"/>
            </w:tcBorders>
            <w:shd w:val="clear" w:color="000000" w:fill="FFFFFF"/>
            <w:vAlign w:val="center"/>
            <w:hideMark/>
          </w:tcPr>
          <w:p w14:paraId="2B2566B4" w14:textId="77777777" w:rsidR="006A2FA3" w:rsidRPr="004E5A6E" w:rsidRDefault="006A2FA3" w:rsidP="006A2FA3">
            <w:pPr>
              <w:jc w:val="center"/>
              <w:rPr>
                <w:color w:val="auto"/>
                <w:sz w:val="20"/>
                <w:szCs w:val="20"/>
                <w:lang w:val="sq-AL"/>
              </w:rPr>
            </w:pPr>
            <w:r w:rsidRPr="004E5A6E">
              <w:rPr>
                <w:color w:val="auto"/>
                <w:sz w:val="20"/>
                <w:szCs w:val="20"/>
                <w:lang w:val="sq-AL"/>
              </w:rPr>
              <w:t>23.5</w:t>
            </w:r>
          </w:p>
        </w:tc>
        <w:tc>
          <w:tcPr>
            <w:tcW w:w="461" w:type="pct"/>
            <w:tcBorders>
              <w:top w:val="nil"/>
              <w:left w:val="nil"/>
              <w:bottom w:val="dotted" w:sz="4" w:space="0" w:color="auto"/>
              <w:right w:val="dotted" w:sz="4" w:space="0" w:color="auto"/>
            </w:tcBorders>
            <w:shd w:val="clear" w:color="000000" w:fill="FFFFFF"/>
            <w:vAlign w:val="center"/>
            <w:hideMark/>
          </w:tcPr>
          <w:p w14:paraId="54E1C1E9" w14:textId="77777777" w:rsidR="006A2FA3" w:rsidRPr="004E5A6E" w:rsidRDefault="006A2FA3" w:rsidP="006A2FA3">
            <w:pPr>
              <w:jc w:val="center"/>
              <w:rPr>
                <w:color w:val="auto"/>
                <w:sz w:val="20"/>
                <w:szCs w:val="20"/>
                <w:lang w:val="sq-AL"/>
              </w:rPr>
            </w:pPr>
            <w:r w:rsidRPr="004E5A6E">
              <w:rPr>
                <w:color w:val="auto"/>
                <w:sz w:val="20"/>
                <w:szCs w:val="20"/>
                <w:lang w:val="sq-AL"/>
              </w:rPr>
              <w:t>20.9</w:t>
            </w:r>
          </w:p>
        </w:tc>
        <w:tc>
          <w:tcPr>
            <w:tcW w:w="461" w:type="pct"/>
            <w:tcBorders>
              <w:top w:val="nil"/>
              <w:left w:val="nil"/>
              <w:bottom w:val="dotted" w:sz="4" w:space="0" w:color="auto"/>
              <w:right w:val="double" w:sz="6" w:space="0" w:color="auto"/>
            </w:tcBorders>
            <w:shd w:val="clear" w:color="000000" w:fill="FFFFFF"/>
            <w:vAlign w:val="center"/>
            <w:hideMark/>
          </w:tcPr>
          <w:p w14:paraId="73D8DC29" w14:textId="77777777" w:rsidR="006A2FA3" w:rsidRPr="004E5A6E" w:rsidRDefault="006A2FA3" w:rsidP="006A2FA3">
            <w:pPr>
              <w:jc w:val="center"/>
              <w:rPr>
                <w:color w:val="auto"/>
                <w:sz w:val="20"/>
                <w:szCs w:val="20"/>
                <w:lang w:val="sq-AL"/>
              </w:rPr>
            </w:pPr>
            <w:r w:rsidRPr="004E5A6E">
              <w:rPr>
                <w:color w:val="auto"/>
                <w:sz w:val="20"/>
                <w:szCs w:val="20"/>
                <w:lang w:val="sq-AL"/>
              </w:rPr>
              <w:t>21.6</w:t>
            </w:r>
          </w:p>
        </w:tc>
      </w:tr>
      <w:tr w:rsidR="006A2FA3" w:rsidRPr="004E5A6E" w14:paraId="58208B34" w14:textId="77777777" w:rsidTr="006A2FA3">
        <w:trPr>
          <w:trHeight w:val="324"/>
        </w:trPr>
        <w:tc>
          <w:tcPr>
            <w:tcW w:w="2232" w:type="pct"/>
            <w:tcBorders>
              <w:top w:val="nil"/>
              <w:left w:val="double" w:sz="6" w:space="0" w:color="auto"/>
              <w:bottom w:val="nil"/>
              <w:right w:val="nil"/>
            </w:tcBorders>
            <w:shd w:val="clear" w:color="000000" w:fill="FFFFFF"/>
            <w:vAlign w:val="center"/>
            <w:hideMark/>
          </w:tcPr>
          <w:p w14:paraId="7B92C511" w14:textId="77777777" w:rsidR="006A2FA3" w:rsidRPr="004E5A6E" w:rsidRDefault="006A2FA3" w:rsidP="006A2FA3">
            <w:pPr>
              <w:rPr>
                <w:i/>
                <w:iCs/>
                <w:color w:val="auto"/>
                <w:sz w:val="20"/>
                <w:szCs w:val="20"/>
                <w:lang w:val="sq-AL"/>
              </w:rPr>
            </w:pPr>
            <w:bookmarkStart w:id="222" w:name="RANGE!C8"/>
            <w:r w:rsidRPr="004E5A6E">
              <w:rPr>
                <w:i/>
                <w:iCs/>
                <w:color w:val="auto"/>
                <w:sz w:val="20"/>
                <w:szCs w:val="20"/>
                <w:lang w:val="sq-AL"/>
              </w:rPr>
              <w:lastRenderedPageBreak/>
              <w:t>Llogaria kapitale</w:t>
            </w:r>
            <w:bookmarkEnd w:id="222"/>
          </w:p>
        </w:tc>
        <w:tc>
          <w:tcPr>
            <w:tcW w:w="461" w:type="pct"/>
            <w:tcBorders>
              <w:top w:val="nil"/>
              <w:left w:val="dotted" w:sz="4" w:space="0" w:color="auto"/>
              <w:bottom w:val="nil"/>
              <w:right w:val="single" w:sz="8" w:space="0" w:color="auto"/>
            </w:tcBorders>
            <w:shd w:val="clear" w:color="000000" w:fill="FFFFFF"/>
            <w:vAlign w:val="center"/>
            <w:hideMark/>
          </w:tcPr>
          <w:p w14:paraId="489F247F" w14:textId="77777777" w:rsidR="006A2FA3" w:rsidRPr="004E5A6E" w:rsidRDefault="006A2FA3" w:rsidP="006A2FA3">
            <w:pPr>
              <w:jc w:val="center"/>
              <w:rPr>
                <w:i/>
                <w:iCs/>
                <w:color w:val="auto"/>
                <w:sz w:val="20"/>
                <w:szCs w:val="20"/>
                <w:lang w:val="sq-AL"/>
              </w:rPr>
            </w:pPr>
            <w:r w:rsidRPr="004E5A6E">
              <w:rPr>
                <w:i/>
                <w:iCs/>
                <w:color w:val="auto"/>
                <w:sz w:val="20"/>
                <w:szCs w:val="20"/>
                <w:lang w:val="sq-AL"/>
              </w:rPr>
              <w:t> </w:t>
            </w:r>
          </w:p>
        </w:tc>
        <w:tc>
          <w:tcPr>
            <w:tcW w:w="461" w:type="pct"/>
            <w:tcBorders>
              <w:top w:val="nil"/>
              <w:left w:val="dotted" w:sz="4" w:space="0" w:color="auto"/>
              <w:bottom w:val="nil"/>
              <w:right w:val="dotted" w:sz="4" w:space="0" w:color="auto"/>
            </w:tcBorders>
            <w:shd w:val="clear" w:color="000000" w:fill="FFFFFF"/>
            <w:vAlign w:val="center"/>
            <w:hideMark/>
          </w:tcPr>
          <w:p w14:paraId="1C47F7C7" w14:textId="77777777" w:rsidR="006A2FA3" w:rsidRPr="004E5A6E" w:rsidRDefault="006A2FA3" w:rsidP="006A2FA3">
            <w:pPr>
              <w:jc w:val="center"/>
              <w:rPr>
                <w:color w:val="auto"/>
                <w:sz w:val="20"/>
                <w:szCs w:val="20"/>
                <w:lang w:val="sq-AL"/>
              </w:rPr>
            </w:pPr>
            <w:r w:rsidRPr="004E5A6E">
              <w:rPr>
                <w:color w:val="auto"/>
                <w:sz w:val="20"/>
                <w:szCs w:val="20"/>
                <w:lang w:val="sq-AL"/>
              </w:rPr>
              <w:t>-0.2</w:t>
            </w:r>
          </w:p>
        </w:tc>
        <w:tc>
          <w:tcPr>
            <w:tcW w:w="461" w:type="pct"/>
            <w:tcBorders>
              <w:top w:val="nil"/>
              <w:left w:val="nil"/>
              <w:bottom w:val="nil"/>
              <w:right w:val="dotted" w:sz="4" w:space="0" w:color="auto"/>
            </w:tcBorders>
            <w:shd w:val="clear" w:color="000000" w:fill="FFFFFF"/>
            <w:vAlign w:val="center"/>
            <w:hideMark/>
          </w:tcPr>
          <w:p w14:paraId="0FF94664" w14:textId="77777777" w:rsidR="006A2FA3" w:rsidRPr="004E5A6E" w:rsidRDefault="006A2FA3" w:rsidP="006A2FA3">
            <w:pPr>
              <w:jc w:val="center"/>
              <w:rPr>
                <w:color w:val="auto"/>
                <w:sz w:val="20"/>
                <w:szCs w:val="20"/>
                <w:lang w:val="sq-AL"/>
              </w:rPr>
            </w:pPr>
            <w:r w:rsidRPr="004E5A6E">
              <w:rPr>
                <w:color w:val="auto"/>
                <w:sz w:val="20"/>
                <w:szCs w:val="20"/>
                <w:lang w:val="sq-AL"/>
              </w:rPr>
              <w:t>-0.1</w:t>
            </w:r>
          </w:p>
        </w:tc>
        <w:tc>
          <w:tcPr>
            <w:tcW w:w="461" w:type="pct"/>
            <w:tcBorders>
              <w:top w:val="nil"/>
              <w:left w:val="nil"/>
              <w:bottom w:val="nil"/>
              <w:right w:val="dotted" w:sz="4" w:space="0" w:color="auto"/>
            </w:tcBorders>
            <w:shd w:val="clear" w:color="000000" w:fill="FFFFFF"/>
            <w:vAlign w:val="center"/>
            <w:hideMark/>
          </w:tcPr>
          <w:p w14:paraId="690E2D89" w14:textId="77777777" w:rsidR="006A2FA3" w:rsidRPr="004E5A6E" w:rsidRDefault="006A2FA3" w:rsidP="006A2FA3">
            <w:pPr>
              <w:jc w:val="center"/>
              <w:rPr>
                <w:color w:val="auto"/>
                <w:sz w:val="20"/>
                <w:szCs w:val="20"/>
                <w:lang w:val="sq-AL"/>
              </w:rPr>
            </w:pPr>
            <w:r w:rsidRPr="004E5A6E">
              <w:rPr>
                <w:color w:val="auto"/>
                <w:sz w:val="20"/>
                <w:szCs w:val="20"/>
                <w:lang w:val="sq-AL"/>
              </w:rPr>
              <w:t>0.1</w:t>
            </w:r>
          </w:p>
        </w:tc>
        <w:tc>
          <w:tcPr>
            <w:tcW w:w="461" w:type="pct"/>
            <w:tcBorders>
              <w:top w:val="nil"/>
              <w:left w:val="nil"/>
              <w:bottom w:val="nil"/>
              <w:right w:val="dotted" w:sz="4" w:space="0" w:color="auto"/>
            </w:tcBorders>
            <w:shd w:val="clear" w:color="000000" w:fill="FFFFFF"/>
            <w:vAlign w:val="center"/>
            <w:hideMark/>
          </w:tcPr>
          <w:p w14:paraId="5FF5DE59" w14:textId="77777777" w:rsidR="006A2FA3" w:rsidRPr="004E5A6E" w:rsidRDefault="006A2FA3" w:rsidP="006A2FA3">
            <w:pPr>
              <w:jc w:val="center"/>
              <w:rPr>
                <w:color w:val="auto"/>
                <w:sz w:val="20"/>
                <w:szCs w:val="20"/>
                <w:lang w:val="sq-AL"/>
              </w:rPr>
            </w:pPr>
            <w:r w:rsidRPr="004E5A6E">
              <w:rPr>
                <w:color w:val="auto"/>
                <w:sz w:val="20"/>
                <w:szCs w:val="20"/>
                <w:lang w:val="sq-AL"/>
              </w:rPr>
              <w:t>-0.2</w:t>
            </w:r>
          </w:p>
        </w:tc>
        <w:tc>
          <w:tcPr>
            <w:tcW w:w="461" w:type="pct"/>
            <w:tcBorders>
              <w:top w:val="nil"/>
              <w:left w:val="nil"/>
              <w:bottom w:val="nil"/>
              <w:right w:val="double" w:sz="6" w:space="0" w:color="auto"/>
            </w:tcBorders>
            <w:shd w:val="clear" w:color="000000" w:fill="FFFFFF"/>
            <w:vAlign w:val="center"/>
            <w:hideMark/>
          </w:tcPr>
          <w:p w14:paraId="765FE6A7" w14:textId="77777777" w:rsidR="006A2FA3" w:rsidRPr="004E5A6E" w:rsidRDefault="006A2FA3" w:rsidP="006A2FA3">
            <w:pPr>
              <w:jc w:val="center"/>
              <w:rPr>
                <w:color w:val="auto"/>
                <w:sz w:val="20"/>
                <w:szCs w:val="20"/>
                <w:lang w:val="sq-AL"/>
              </w:rPr>
            </w:pPr>
            <w:r w:rsidRPr="004E5A6E">
              <w:rPr>
                <w:color w:val="auto"/>
                <w:sz w:val="20"/>
                <w:szCs w:val="20"/>
                <w:lang w:val="sq-AL"/>
              </w:rPr>
              <w:t>-0.1</w:t>
            </w:r>
          </w:p>
        </w:tc>
      </w:tr>
      <w:tr w:rsidR="006A2FA3" w:rsidRPr="004E5A6E" w14:paraId="016877C8" w14:textId="77777777" w:rsidTr="006A2FA3">
        <w:trPr>
          <w:trHeight w:val="528"/>
        </w:trPr>
        <w:tc>
          <w:tcPr>
            <w:tcW w:w="2232" w:type="pct"/>
            <w:tcBorders>
              <w:top w:val="single" w:sz="8" w:space="0" w:color="auto"/>
              <w:left w:val="double" w:sz="6" w:space="0" w:color="auto"/>
              <w:bottom w:val="dotted" w:sz="4" w:space="0" w:color="auto"/>
              <w:right w:val="nil"/>
            </w:tcBorders>
            <w:shd w:val="clear" w:color="000000" w:fill="FFFFFF"/>
            <w:vAlign w:val="center"/>
            <w:hideMark/>
          </w:tcPr>
          <w:p w14:paraId="73893183" w14:textId="77777777" w:rsidR="006A2FA3" w:rsidRPr="004E5A6E" w:rsidRDefault="006A2FA3" w:rsidP="006A2FA3">
            <w:pPr>
              <w:rPr>
                <w:color w:val="auto"/>
                <w:sz w:val="20"/>
                <w:szCs w:val="20"/>
                <w:lang w:val="sq-AL"/>
              </w:rPr>
            </w:pPr>
            <w:bookmarkStart w:id="223" w:name="RANGE!C9"/>
            <w:r w:rsidRPr="004E5A6E">
              <w:rPr>
                <w:color w:val="auto"/>
                <w:sz w:val="20"/>
                <w:szCs w:val="20"/>
                <w:lang w:val="sq-AL"/>
              </w:rPr>
              <w:t xml:space="preserve">2. Kreditimi/ huazimi neto i sektorit privat </w:t>
            </w:r>
            <w:bookmarkEnd w:id="223"/>
          </w:p>
        </w:tc>
        <w:tc>
          <w:tcPr>
            <w:tcW w:w="461" w:type="pct"/>
            <w:tcBorders>
              <w:top w:val="single" w:sz="8" w:space="0" w:color="auto"/>
              <w:left w:val="dotted" w:sz="4" w:space="0" w:color="auto"/>
              <w:bottom w:val="dotted" w:sz="4" w:space="0" w:color="auto"/>
              <w:right w:val="single" w:sz="8" w:space="0" w:color="auto"/>
            </w:tcBorders>
            <w:shd w:val="clear" w:color="000000" w:fill="FFFFFF"/>
            <w:vAlign w:val="center"/>
            <w:hideMark/>
          </w:tcPr>
          <w:p w14:paraId="713D76CF" w14:textId="77777777" w:rsidR="006A2FA3" w:rsidRPr="004E5A6E" w:rsidRDefault="006A2FA3" w:rsidP="006A2FA3">
            <w:pPr>
              <w:jc w:val="center"/>
              <w:rPr>
                <w:color w:val="auto"/>
                <w:sz w:val="20"/>
                <w:szCs w:val="20"/>
                <w:lang w:val="sq-AL"/>
              </w:rPr>
            </w:pPr>
            <w:r w:rsidRPr="004E5A6E">
              <w:rPr>
                <w:color w:val="auto"/>
                <w:sz w:val="20"/>
                <w:szCs w:val="20"/>
                <w:lang w:val="sq-AL"/>
              </w:rPr>
              <w:t>B.9/ EDP B.9</w:t>
            </w:r>
          </w:p>
        </w:tc>
        <w:tc>
          <w:tcPr>
            <w:tcW w:w="461" w:type="pct"/>
            <w:tcBorders>
              <w:top w:val="single" w:sz="8" w:space="0" w:color="auto"/>
              <w:left w:val="dotted" w:sz="4" w:space="0" w:color="auto"/>
              <w:bottom w:val="dotted" w:sz="4" w:space="0" w:color="auto"/>
              <w:right w:val="dotted" w:sz="4" w:space="0" w:color="auto"/>
            </w:tcBorders>
            <w:shd w:val="clear" w:color="000000" w:fill="FFFFFF"/>
            <w:vAlign w:val="center"/>
            <w:hideMark/>
          </w:tcPr>
          <w:p w14:paraId="5E03C5BA" w14:textId="77777777" w:rsidR="006A2FA3" w:rsidRPr="004E5A6E" w:rsidRDefault="006A2FA3" w:rsidP="006A2FA3">
            <w:pPr>
              <w:jc w:val="center"/>
              <w:rPr>
                <w:color w:val="auto"/>
                <w:sz w:val="20"/>
                <w:szCs w:val="20"/>
                <w:lang w:val="sq-AL"/>
              </w:rPr>
            </w:pPr>
            <w:r w:rsidRPr="004E5A6E">
              <w:rPr>
                <w:color w:val="auto"/>
                <w:sz w:val="20"/>
                <w:szCs w:val="20"/>
                <w:lang w:val="sq-AL"/>
              </w:rPr>
              <w:t>-4.8</w:t>
            </w:r>
          </w:p>
        </w:tc>
        <w:tc>
          <w:tcPr>
            <w:tcW w:w="461" w:type="pct"/>
            <w:tcBorders>
              <w:top w:val="single" w:sz="8" w:space="0" w:color="auto"/>
              <w:left w:val="nil"/>
              <w:bottom w:val="dotted" w:sz="4" w:space="0" w:color="auto"/>
              <w:right w:val="dotted" w:sz="4" w:space="0" w:color="auto"/>
            </w:tcBorders>
            <w:shd w:val="clear" w:color="000000" w:fill="FFFFFF"/>
            <w:vAlign w:val="center"/>
            <w:hideMark/>
          </w:tcPr>
          <w:p w14:paraId="51C56B61" w14:textId="77777777" w:rsidR="006A2FA3" w:rsidRPr="004E5A6E" w:rsidRDefault="006A2FA3" w:rsidP="006A2FA3">
            <w:pPr>
              <w:jc w:val="center"/>
              <w:rPr>
                <w:color w:val="auto"/>
                <w:sz w:val="20"/>
                <w:szCs w:val="20"/>
                <w:lang w:val="sq-AL"/>
              </w:rPr>
            </w:pPr>
            <w:r w:rsidRPr="004E5A6E">
              <w:rPr>
                <w:color w:val="auto"/>
                <w:sz w:val="20"/>
                <w:szCs w:val="20"/>
                <w:lang w:val="sq-AL"/>
              </w:rPr>
              <w:t>-1.9</w:t>
            </w:r>
          </w:p>
        </w:tc>
        <w:tc>
          <w:tcPr>
            <w:tcW w:w="461" w:type="pct"/>
            <w:tcBorders>
              <w:top w:val="single" w:sz="8" w:space="0" w:color="auto"/>
              <w:left w:val="nil"/>
              <w:bottom w:val="dotted" w:sz="4" w:space="0" w:color="auto"/>
              <w:right w:val="dotted" w:sz="4" w:space="0" w:color="auto"/>
            </w:tcBorders>
            <w:shd w:val="clear" w:color="000000" w:fill="FFFFFF"/>
            <w:vAlign w:val="center"/>
            <w:hideMark/>
          </w:tcPr>
          <w:p w14:paraId="1DB536EA" w14:textId="77777777" w:rsidR="006A2FA3" w:rsidRPr="004E5A6E" w:rsidRDefault="006A2FA3" w:rsidP="006A2FA3">
            <w:pPr>
              <w:jc w:val="center"/>
              <w:rPr>
                <w:color w:val="auto"/>
                <w:sz w:val="20"/>
                <w:szCs w:val="20"/>
                <w:lang w:val="sq-AL"/>
              </w:rPr>
            </w:pPr>
            <w:r w:rsidRPr="004E5A6E">
              <w:rPr>
                <w:color w:val="auto"/>
                <w:sz w:val="20"/>
                <w:szCs w:val="20"/>
                <w:lang w:val="sq-AL"/>
              </w:rPr>
              <w:t>2.2</w:t>
            </w:r>
          </w:p>
        </w:tc>
        <w:tc>
          <w:tcPr>
            <w:tcW w:w="461" w:type="pct"/>
            <w:tcBorders>
              <w:top w:val="single" w:sz="8" w:space="0" w:color="auto"/>
              <w:left w:val="nil"/>
              <w:bottom w:val="dotted" w:sz="4" w:space="0" w:color="auto"/>
              <w:right w:val="dotted" w:sz="4" w:space="0" w:color="auto"/>
            </w:tcBorders>
            <w:shd w:val="clear" w:color="000000" w:fill="FFFFFF"/>
            <w:vAlign w:val="center"/>
            <w:hideMark/>
          </w:tcPr>
          <w:p w14:paraId="4C087E35" w14:textId="77777777" w:rsidR="006A2FA3" w:rsidRPr="004E5A6E" w:rsidRDefault="006A2FA3" w:rsidP="006A2FA3">
            <w:pPr>
              <w:jc w:val="center"/>
              <w:rPr>
                <w:color w:val="auto"/>
                <w:sz w:val="20"/>
                <w:szCs w:val="20"/>
                <w:lang w:val="sq-AL"/>
              </w:rPr>
            </w:pPr>
            <w:r w:rsidRPr="004E5A6E">
              <w:rPr>
                <w:color w:val="auto"/>
                <w:sz w:val="20"/>
                <w:szCs w:val="20"/>
                <w:lang w:val="sq-AL"/>
              </w:rPr>
              <w:t>-1.9</w:t>
            </w:r>
          </w:p>
        </w:tc>
        <w:tc>
          <w:tcPr>
            <w:tcW w:w="461" w:type="pct"/>
            <w:tcBorders>
              <w:top w:val="single" w:sz="8" w:space="0" w:color="auto"/>
              <w:left w:val="nil"/>
              <w:bottom w:val="dotted" w:sz="4" w:space="0" w:color="auto"/>
              <w:right w:val="double" w:sz="6" w:space="0" w:color="auto"/>
            </w:tcBorders>
            <w:shd w:val="clear" w:color="000000" w:fill="FFFFFF"/>
            <w:vAlign w:val="center"/>
            <w:hideMark/>
          </w:tcPr>
          <w:p w14:paraId="7CDE90DD" w14:textId="77777777" w:rsidR="006A2FA3" w:rsidRPr="004E5A6E" w:rsidRDefault="006A2FA3" w:rsidP="006A2FA3">
            <w:pPr>
              <w:jc w:val="center"/>
              <w:rPr>
                <w:color w:val="auto"/>
                <w:sz w:val="20"/>
                <w:szCs w:val="20"/>
                <w:lang w:val="sq-AL"/>
              </w:rPr>
            </w:pPr>
            <w:r w:rsidRPr="004E5A6E">
              <w:rPr>
                <w:color w:val="auto"/>
                <w:sz w:val="20"/>
                <w:szCs w:val="20"/>
                <w:lang w:val="sq-AL"/>
              </w:rPr>
              <w:t>-2.5</w:t>
            </w:r>
          </w:p>
        </w:tc>
      </w:tr>
      <w:tr w:rsidR="006A2FA3" w:rsidRPr="004E5A6E" w14:paraId="7F173EB6" w14:textId="77777777" w:rsidTr="006A2FA3">
        <w:trPr>
          <w:trHeight w:val="540"/>
        </w:trPr>
        <w:tc>
          <w:tcPr>
            <w:tcW w:w="2232" w:type="pct"/>
            <w:tcBorders>
              <w:top w:val="nil"/>
              <w:left w:val="double" w:sz="6" w:space="0" w:color="auto"/>
              <w:bottom w:val="single" w:sz="8" w:space="0" w:color="auto"/>
              <w:right w:val="nil"/>
            </w:tcBorders>
            <w:shd w:val="clear" w:color="000000" w:fill="FFFFFF"/>
            <w:vAlign w:val="center"/>
            <w:hideMark/>
          </w:tcPr>
          <w:p w14:paraId="1FC7F31F" w14:textId="77777777" w:rsidR="006A2FA3" w:rsidRPr="004E5A6E" w:rsidRDefault="006A2FA3" w:rsidP="006A2FA3">
            <w:pPr>
              <w:rPr>
                <w:color w:val="auto"/>
                <w:sz w:val="20"/>
                <w:szCs w:val="20"/>
                <w:lang w:val="sq-AL"/>
              </w:rPr>
            </w:pPr>
            <w:r w:rsidRPr="004E5A6E">
              <w:rPr>
                <w:color w:val="auto"/>
                <w:sz w:val="20"/>
                <w:szCs w:val="20"/>
                <w:lang w:val="sq-AL"/>
              </w:rPr>
              <w:t>3. Kreditimi/ huazimi i Qeverisë së</w:t>
            </w:r>
            <w:r w:rsidRPr="004E5A6E">
              <w:rPr>
                <w:color w:val="auto"/>
                <w:sz w:val="20"/>
                <w:szCs w:val="20"/>
                <w:lang w:val="sq-AL"/>
              </w:rPr>
              <w:br/>
              <w:t>përgjithshme</w:t>
            </w:r>
          </w:p>
        </w:tc>
        <w:tc>
          <w:tcPr>
            <w:tcW w:w="461" w:type="pct"/>
            <w:tcBorders>
              <w:top w:val="nil"/>
              <w:left w:val="dotted" w:sz="4" w:space="0" w:color="auto"/>
              <w:bottom w:val="single" w:sz="8" w:space="0" w:color="auto"/>
              <w:right w:val="single" w:sz="8" w:space="0" w:color="auto"/>
            </w:tcBorders>
            <w:shd w:val="clear" w:color="000000" w:fill="FFFFFF"/>
            <w:vAlign w:val="center"/>
            <w:hideMark/>
          </w:tcPr>
          <w:p w14:paraId="54C6C055" w14:textId="77777777" w:rsidR="006A2FA3" w:rsidRPr="004E5A6E" w:rsidRDefault="006A2FA3" w:rsidP="006A2FA3">
            <w:pPr>
              <w:jc w:val="center"/>
              <w:rPr>
                <w:color w:val="auto"/>
                <w:sz w:val="20"/>
                <w:szCs w:val="20"/>
                <w:lang w:val="sq-AL"/>
              </w:rPr>
            </w:pPr>
            <w:r w:rsidRPr="004E5A6E">
              <w:rPr>
                <w:color w:val="auto"/>
                <w:sz w:val="20"/>
                <w:szCs w:val="20"/>
                <w:lang w:val="sq-AL"/>
              </w:rPr>
              <w:t> </w:t>
            </w:r>
          </w:p>
        </w:tc>
        <w:tc>
          <w:tcPr>
            <w:tcW w:w="461" w:type="pct"/>
            <w:tcBorders>
              <w:top w:val="nil"/>
              <w:left w:val="dotted" w:sz="4" w:space="0" w:color="auto"/>
              <w:bottom w:val="single" w:sz="8" w:space="0" w:color="auto"/>
              <w:right w:val="dotted" w:sz="4" w:space="0" w:color="auto"/>
            </w:tcBorders>
            <w:shd w:val="clear" w:color="000000" w:fill="FFFFFF"/>
            <w:vAlign w:val="center"/>
            <w:hideMark/>
          </w:tcPr>
          <w:p w14:paraId="67CD5A93" w14:textId="77777777" w:rsidR="006A2FA3" w:rsidRPr="004E5A6E" w:rsidRDefault="006A2FA3" w:rsidP="006A2FA3">
            <w:pPr>
              <w:jc w:val="center"/>
              <w:rPr>
                <w:color w:val="auto"/>
                <w:sz w:val="20"/>
                <w:szCs w:val="20"/>
                <w:lang w:val="sq-AL"/>
              </w:rPr>
            </w:pPr>
            <w:r w:rsidRPr="004E5A6E">
              <w:rPr>
                <w:color w:val="auto"/>
                <w:sz w:val="20"/>
                <w:szCs w:val="20"/>
                <w:lang w:val="sq-AL"/>
              </w:rPr>
              <w:t>-2.9</w:t>
            </w:r>
          </w:p>
        </w:tc>
        <w:tc>
          <w:tcPr>
            <w:tcW w:w="461" w:type="pct"/>
            <w:tcBorders>
              <w:top w:val="nil"/>
              <w:left w:val="nil"/>
              <w:bottom w:val="single" w:sz="8" w:space="0" w:color="auto"/>
              <w:right w:val="dotted" w:sz="4" w:space="0" w:color="auto"/>
            </w:tcBorders>
            <w:shd w:val="clear" w:color="000000" w:fill="FFFFFF"/>
            <w:vAlign w:val="center"/>
            <w:hideMark/>
          </w:tcPr>
          <w:p w14:paraId="4C18ABE4" w14:textId="77777777" w:rsidR="006A2FA3" w:rsidRPr="004E5A6E" w:rsidRDefault="006A2FA3" w:rsidP="006A2FA3">
            <w:pPr>
              <w:jc w:val="center"/>
              <w:rPr>
                <w:color w:val="auto"/>
                <w:sz w:val="20"/>
                <w:szCs w:val="20"/>
                <w:lang w:val="sq-AL"/>
              </w:rPr>
            </w:pPr>
            <w:r w:rsidRPr="004E5A6E">
              <w:rPr>
                <w:color w:val="auto"/>
                <w:sz w:val="20"/>
                <w:szCs w:val="20"/>
                <w:lang w:val="sq-AL"/>
              </w:rPr>
              <w:t>-3.8</w:t>
            </w:r>
          </w:p>
        </w:tc>
        <w:tc>
          <w:tcPr>
            <w:tcW w:w="461" w:type="pct"/>
            <w:tcBorders>
              <w:top w:val="nil"/>
              <w:left w:val="nil"/>
              <w:bottom w:val="single" w:sz="8" w:space="0" w:color="auto"/>
              <w:right w:val="dotted" w:sz="4" w:space="0" w:color="auto"/>
            </w:tcBorders>
            <w:shd w:val="clear" w:color="000000" w:fill="FFFFFF"/>
            <w:vAlign w:val="center"/>
            <w:hideMark/>
          </w:tcPr>
          <w:p w14:paraId="698738A5" w14:textId="77777777" w:rsidR="006A2FA3" w:rsidRPr="004E5A6E" w:rsidRDefault="006A2FA3" w:rsidP="006A2FA3">
            <w:pPr>
              <w:jc w:val="center"/>
              <w:rPr>
                <w:color w:val="auto"/>
                <w:sz w:val="20"/>
                <w:szCs w:val="20"/>
                <w:lang w:val="sq-AL"/>
              </w:rPr>
            </w:pPr>
            <w:r w:rsidRPr="004E5A6E">
              <w:rPr>
                <w:color w:val="auto"/>
                <w:sz w:val="20"/>
                <w:szCs w:val="20"/>
                <w:lang w:val="sq-AL"/>
              </w:rPr>
              <w:t>-7.4</w:t>
            </w:r>
          </w:p>
        </w:tc>
        <w:tc>
          <w:tcPr>
            <w:tcW w:w="461" w:type="pct"/>
            <w:tcBorders>
              <w:top w:val="nil"/>
              <w:left w:val="nil"/>
              <w:bottom w:val="single" w:sz="8" w:space="0" w:color="auto"/>
              <w:right w:val="dotted" w:sz="4" w:space="0" w:color="auto"/>
            </w:tcBorders>
            <w:shd w:val="clear" w:color="000000" w:fill="FFFFFF"/>
            <w:vAlign w:val="center"/>
            <w:hideMark/>
          </w:tcPr>
          <w:p w14:paraId="03950496" w14:textId="77777777" w:rsidR="006A2FA3" w:rsidRPr="004E5A6E" w:rsidRDefault="006A2FA3" w:rsidP="006A2FA3">
            <w:pPr>
              <w:jc w:val="center"/>
              <w:rPr>
                <w:color w:val="auto"/>
                <w:sz w:val="20"/>
                <w:szCs w:val="20"/>
                <w:lang w:val="sq-AL"/>
              </w:rPr>
            </w:pPr>
            <w:r w:rsidRPr="004E5A6E">
              <w:rPr>
                <w:color w:val="auto"/>
                <w:sz w:val="20"/>
                <w:szCs w:val="20"/>
                <w:lang w:val="sq-AL"/>
              </w:rPr>
              <w:t>-5.0</w:t>
            </w:r>
          </w:p>
        </w:tc>
        <w:tc>
          <w:tcPr>
            <w:tcW w:w="461" w:type="pct"/>
            <w:tcBorders>
              <w:top w:val="nil"/>
              <w:left w:val="nil"/>
              <w:bottom w:val="single" w:sz="8" w:space="0" w:color="auto"/>
              <w:right w:val="double" w:sz="6" w:space="0" w:color="auto"/>
            </w:tcBorders>
            <w:shd w:val="clear" w:color="000000" w:fill="FFFFFF"/>
            <w:vAlign w:val="center"/>
            <w:hideMark/>
          </w:tcPr>
          <w:p w14:paraId="06DD9E86" w14:textId="77777777" w:rsidR="006A2FA3" w:rsidRPr="004E5A6E" w:rsidRDefault="006A2FA3" w:rsidP="006A2FA3">
            <w:pPr>
              <w:jc w:val="center"/>
              <w:rPr>
                <w:color w:val="auto"/>
                <w:sz w:val="20"/>
                <w:szCs w:val="20"/>
                <w:lang w:val="sq-AL"/>
              </w:rPr>
            </w:pPr>
            <w:r w:rsidRPr="004E5A6E">
              <w:rPr>
                <w:color w:val="auto"/>
                <w:sz w:val="20"/>
                <w:szCs w:val="20"/>
                <w:lang w:val="sq-AL"/>
              </w:rPr>
              <w:t>-4.2</w:t>
            </w:r>
          </w:p>
        </w:tc>
      </w:tr>
      <w:tr w:rsidR="006A2FA3" w:rsidRPr="004E5A6E" w14:paraId="51BFAD0E" w14:textId="77777777" w:rsidTr="006A2FA3">
        <w:trPr>
          <w:trHeight w:val="324"/>
        </w:trPr>
        <w:tc>
          <w:tcPr>
            <w:tcW w:w="2232" w:type="pct"/>
            <w:tcBorders>
              <w:top w:val="nil"/>
              <w:left w:val="double" w:sz="6" w:space="0" w:color="auto"/>
              <w:bottom w:val="double" w:sz="6" w:space="0" w:color="auto"/>
              <w:right w:val="nil"/>
            </w:tcBorders>
            <w:shd w:val="clear" w:color="000000" w:fill="FFFFFF"/>
            <w:vAlign w:val="center"/>
            <w:hideMark/>
          </w:tcPr>
          <w:p w14:paraId="39CDC99F" w14:textId="77777777" w:rsidR="006A2FA3" w:rsidRPr="004E5A6E" w:rsidRDefault="006A2FA3" w:rsidP="006A2FA3">
            <w:pPr>
              <w:rPr>
                <w:color w:val="auto"/>
                <w:sz w:val="20"/>
                <w:szCs w:val="20"/>
                <w:lang w:val="sq-AL"/>
              </w:rPr>
            </w:pPr>
            <w:r w:rsidRPr="004E5A6E">
              <w:rPr>
                <w:color w:val="auto"/>
                <w:sz w:val="20"/>
                <w:szCs w:val="20"/>
                <w:lang w:val="sq-AL"/>
              </w:rPr>
              <w:t>4. Gabime statistikore</w:t>
            </w:r>
          </w:p>
        </w:tc>
        <w:tc>
          <w:tcPr>
            <w:tcW w:w="461" w:type="pct"/>
            <w:tcBorders>
              <w:top w:val="nil"/>
              <w:left w:val="dotted" w:sz="4" w:space="0" w:color="auto"/>
              <w:bottom w:val="double" w:sz="6" w:space="0" w:color="auto"/>
              <w:right w:val="single" w:sz="8" w:space="0" w:color="auto"/>
            </w:tcBorders>
            <w:shd w:val="clear" w:color="000000" w:fill="FFFFFF"/>
            <w:vAlign w:val="center"/>
            <w:hideMark/>
          </w:tcPr>
          <w:p w14:paraId="26BCBC32" w14:textId="77777777" w:rsidR="006A2FA3" w:rsidRPr="004E5A6E" w:rsidRDefault="006A2FA3" w:rsidP="006A2FA3">
            <w:pPr>
              <w:jc w:val="center"/>
              <w:rPr>
                <w:color w:val="auto"/>
                <w:sz w:val="20"/>
                <w:szCs w:val="20"/>
                <w:lang w:val="sq-AL"/>
              </w:rPr>
            </w:pPr>
            <w:r w:rsidRPr="004E5A6E">
              <w:rPr>
                <w:color w:val="auto"/>
                <w:sz w:val="20"/>
                <w:szCs w:val="20"/>
                <w:lang w:val="sq-AL"/>
              </w:rPr>
              <w:t> </w:t>
            </w:r>
          </w:p>
        </w:tc>
        <w:tc>
          <w:tcPr>
            <w:tcW w:w="461" w:type="pct"/>
            <w:tcBorders>
              <w:top w:val="nil"/>
              <w:left w:val="dotted" w:sz="4" w:space="0" w:color="auto"/>
              <w:bottom w:val="double" w:sz="6" w:space="0" w:color="auto"/>
              <w:right w:val="dotted" w:sz="4" w:space="0" w:color="auto"/>
            </w:tcBorders>
            <w:shd w:val="clear" w:color="000000" w:fill="FFFFFF"/>
            <w:vAlign w:val="center"/>
            <w:hideMark/>
          </w:tcPr>
          <w:p w14:paraId="318C7F11" w14:textId="77777777" w:rsidR="006A2FA3" w:rsidRPr="004E5A6E" w:rsidRDefault="006A2FA3" w:rsidP="006A2FA3">
            <w:pPr>
              <w:jc w:val="center"/>
              <w:rPr>
                <w:color w:val="auto"/>
                <w:sz w:val="20"/>
                <w:szCs w:val="20"/>
                <w:lang w:val="sq-AL"/>
              </w:rPr>
            </w:pPr>
            <w:r w:rsidRPr="004E5A6E">
              <w:rPr>
                <w:color w:val="auto"/>
                <w:sz w:val="20"/>
                <w:szCs w:val="20"/>
                <w:lang w:val="sq-AL"/>
              </w:rPr>
              <w:t>0.0</w:t>
            </w:r>
          </w:p>
        </w:tc>
        <w:tc>
          <w:tcPr>
            <w:tcW w:w="461" w:type="pct"/>
            <w:tcBorders>
              <w:top w:val="nil"/>
              <w:left w:val="nil"/>
              <w:bottom w:val="double" w:sz="6" w:space="0" w:color="auto"/>
              <w:right w:val="dotted" w:sz="4" w:space="0" w:color="auto"/>
            </w:tcBorders>
            <w:shd w:val="clear" w:color="000000" w:fill="FFFFFF"/>
            <w:vAlign w:val="center"/>
            <w:hideMark/>
          </w:tcPr>
          <w:p w14:paraId="75F36BCA" w14:textId="77777777" w:rsidR="006A2FA3" w:rsidRPr="004E5A6E" w:rsidRDefault="006A2FA3" w:rsidP="006A2FA3">
            <w:pPr>
              <w:jc w:val="center"/>
              <w:rPr>
                <w:color w:val="auto"/>
                <w:sz w:val="20"/>
                <w:szCs w:val="20"/>
                <w:lang w:val="sq-AL"/>
              </w:rPr>
            </w:pPr>
            <w:r w:rsidRPr="004E5A6E">
              <w:rPr>
                <w:color w:val="auto"/>
                <w:sz w:val="20"/>
                <w:szCs w:val="20"/>
                <w:lang w:val="sq-AL"/>
              </w:rPr>
              <w:t>0.0</w:t>
            </w:r>
          </w:p>
        </w:tc>
        <w:tc>
          <w:tcPr>
            <w:tcW w:w="461" w:type="pct"/>
            <w:tcBorders>
              <w:top w:val="nil"/>
              <w:left w:val="nil"/>
              <w:bottom w:val="double" w:sz="6" w:space="0" w:color="auto"/>
              <w:right w:val="dotted" w:sz="4" w:space="0" w:color="auto"/>
            </w:tcBorders>
            <w:shd w:val="clear" w:color="000000" w:fill="FFFFFF"/>
            <w:vAlign w:val="center"/>
            <w:hideMark/>
          </w:tcPr>
          <w:p w14:paraId="167B2291" w14:textId="77777777" w:rsidR="006A2FA3" w:rsidRPr="004E5A6E" w:rsidRDefault="006A2FA3" w:rsidP="006A2FA3">
            <w:pPr>
              <w:jc w:val="center"/>
              <w:rPr>
                <w:color w:val="auto"/>
                <w:sz w:val="20"/>
                <w:szCs w:val="20"/>
                <w:lang w:val="sq-AL"/>
              </w:rPr>
            </w:pPr>
            <w:r w:rsidRPr="004E5A6E">
              <w:rPr>
                <w:color w:val="auto"/>
                <w:sz w:val="20"/>
                <w:szCs w:val="20"/>
                <w:lang w:val="sq-AL"/>
              </w:rPr>
              <w:t>0.0</w:t>
            </w:r>
          </w:p>
        </w:tc>
        <w:tc>
          <w:tcPr>
            <w:tcW w:w="461" w:type="pct"/>
            <w:tcBorders>
              <w:top w:val="nil"/>
              <w:left w:val="nil"/>
              <w:bottom w:val="double" w:sz="6" w:space="0" w:color="auto"/>
              <w:right w:val="dotted" w:sz="4" w:space="0" w:color="auto"/>
            </w:tcBorders>
            <w:shd w:val="clear" w:color="000000" w:fill="FFFFFF"/>
            <w:vAlign w:val="center"/>
            <w:hideMark/>
          </w:tcPr>
          <w:p w14:paraId="0CE9C3A9" w14:textId="77777777" w:rsidR="006A2FA3" w:rsidRPr="004E5A6E" w:rsidRDefault="006A2FA3" w:rsidP="006A2FA3">
            <w:pPr>
              <w:jc w:val="center"/>
              <w:rPr>
                <w:color w:val="auto"/>
                <w:sz w:val="20"/>
                <w:szCs w:val="20"/>
                <w:lang w:val="sq-AL"/>
              </w:rPr>
            </w:pPr>
            <w:r w:rsidRPr="004E5A6E">
              <w:rPr>
                <w:color w:val="auto"/>
                <w:sz w:val="20"/>
                <w:szCs w:val="20"/>
                <w:lang w:val="sq-AL"/>
              </w:rPr>
              <w:t>0.0</w:t>
            </w:r>
          </w:p>
        </w:tc>
        <w:tc>
          <w:tcPr>
            <w:tcW w:w="461" w:type="pct"/>
            <w:tcBorders>
              <w:top w:val="nil"/>
              <w:left w:val="nil"/>
              <w:bottom w:val="double" w:sz="6" w:space="0" w:color="auto"/>
              <w:right w:val="double" w:sz="6" w:space="0" w:color="auto"/>
            </w:tcBorders>
            <w:shd w:val="clear" w:color="000000" w:fill="FFFFFF"/>
            <w:vAlign w:val="center"/>
            <w:hideMark/>
          </w:tcPr>
          <w:p w14:paraId="7F03D999" w14:textId="77777777" w:rsidR="006A2FA3" w:rsidRPr="004E5A6E" w:rsidRDefault="006A2FA3" w:rsidP="006A2FA3">
            <w:pPr>
              <w:jc w:val="center"/>
              <w:rPr>
                <w:color w:val="auto"/>
                <w:sz w:val="20"/>
                <w:szCs w:val="20"/>
                <w:lang w:val="sq-AL"/>
              </w:rPr>
            </w:pPr>
            <w:r w:rsidRPr="004E5A6E">
              <w:rPr>
                <w:color w:val="auto"/>
                <w:sz w:val="20"/>
                <w:szCs w:val="20"/>
                <w:lang w:val="sq-AL"/>
              </w:rPr>
              <w:t>0.0</w:t>
            </w:r>
          </w:p>
        </w:tc>
      </w:tr>
    </w:tbl>
    <w:p w14:paraId="4DD50F91" w14:textId="57186253" w:rsidR="006A2FA3" w:rsidRPr="004E5A6E" w:rsidRDefault="006A2FA3" w:rsidP="00693151">
      <w:pPr>
        <w:rPr>
          <w:highlight w:val="yellow"/>
          <w:lang w:val="sq-AL"/>
        </w:rPr>
      </w:pPr>
    </w:p>
    <w:p w14:paraId="5D80DD2C" w14:textId="6B38F6AF" w:rsidR="006A2FA3" w:rsidRPr="004E5A6E" w:rsidRDefault="006A2FA3" w:rsidP="00693151">
      <w:pPr>
        <w:rPr>
          <w:highlight w:val="yellow"/>
          <w:lang w:val="sq-AL"/>
        </w:rPr>
      </w:pPr>
    </w:p>
    <w:tbl>
      <w:tblPr>
        <w:tblW w:w="5000" w:type="pct"/>
        <w:tblLook w:val="04A0" w:firstRow="1" w:lastRow="0" w:firstColumn="1" w:lastColumn="0" w:noHBand="0" w:noVBand="1"/>
      </w:tblPr>
      <w:tblGrid>
        <w:gridCol w:w="4157"/>
        <w:gridCol w:w="894"/>
        <w:gridCol w:w="743"/>
        <w:gridCol w:w="566"/>
        <w:gridCol w:w="566"/>
        <w:gridCol w:w="566"/>
        <w:gridCol w:w="566"/>
        <w:gridCol w:w="566"/>
      </w:tblGrid>
      <w:tr w:rsidR="002B41BB" w:rsidRPr="004E5A6E" w14:paraId="10F74ED5" w14:textId="77777777" w:rsidTr="002B41BB">
        <w:trPr>
          <w:trHeight w:val="276"/>
        </w:trPr>
        <w:tc>
          <w:tcPr>
            <w:tcW w:w="2295" w:type="pct"/>
            <w:gridSpan w:val="2"/>
            <w:tcBorders>
              <w:top w:val="nil"/>
              <w:left w:val="nil"/>
              <w:bottom w:val="nil"/>
              <w:right w:val="nil"/>
            </w:tcBorders>
            <w:shd w:val="clear" w:color="000000" w:fill="FFFFFF"/>
            <w:noWrap/>
            <w:vAlign w:val="center"/>
            <w:hideMark/>
          </w:tcPr>
          <w:p w14:paraId="3604ECC7" w14:textId="77777777" w:rsidR="002B41BB" w:rsidRPr="004E5A6E" w:rsidRDefault="002B41BB" w:rsidP="002B41BB">
            <w:pPr>
              <w:rPr>
                <w:b/>
                <w:bCs/>
                <w:color w:val="auto"/>
                <w:sz w:val="20"/>
                <w:szCs w:val="20"/>
                <w:lang w:val="sq-AL"/>
              </w:rPr>
            </w:pPr>
            <w:r w:rsidRPr="004E5A6E">
              <w:rPr>
                <w:b/>
                <w:bCs/>
                <w:color w:val="auto"/>
                <w:sz w:val="20"/>
                <w:szCs w:val="20"/>
                <w:lang w:val="sq-AL"/>
              </w:rPr>
              <w:t>Tabela 2a:  Prospektet buxhetore të Qeverisë së Përgjithshme</w:t>
            </w:r>
          </w:p>
        </w:tc>
        <w:tc>
          <w:tcPr>
            <w:tcW w:w="451" w:type="pct"/>
            <w:tcBorders>
              <w:top w:val="nil"/>
              <w:left w:val="nil"/>
              <w:bottom w:val="nil"/>
              <w:right w:val="nil"/>
            </w:tcBorders>
            <w:shd w:val="clear" w:color="000000" w:fill="FFFFFF"/>
            <w:noWrap/>
            <w:vAlign w:val="center"/>
            <w:hideMark/>
          </w:tcPr>
          <w:p w14:paraId="75FC71A5" w14:textId="77777777" w:rsidR="002B41BB" w:rsidRPr="004E5A6E" w:rsidRDefault="002B41BB" w:rsidP="002B41BB">
            <w:pPr>
              <w:rPr>
                <w:rFonts w:ascii="Arial" w:hAnsi="Arial" w:cs="Arial"/>
                <w:color w:val="auto"/>
                <w:sz w:val="20"/>
                <w:szCs w:val="20"/>
                <w:lang w:val="sq-AL"/>
              </w:rPr>
            </w:pPr>
            <w:r w:rsidRPr="004E5A6E">
              <w:rPr>
                <w:rFonts w:ascii="Arial" w:hAnsi="Arial" w:cs="Arial"/>
                <w:color w:val="auto"/>
                <w:sz w:val="20"/>
                <w:szCs w:val="20"/>
                <w:lang w:val="sq-AL"/>
              </w:rPr>
              <w:t> </w:t>
            </w:r>
          </w:p>
        </w:tc>
        <w:tc>
          <w:tcPr>
            <w:tcW w:w="451" w:type="pct"/>
            <w:tcBorders>
              <w:top w:val="nil"/>
              <w:left w:val="nil"/>
              <w:bottom w:val="nil"/>
              <w:right w:val="nil"/>
            </w:tcBorders>
            <w:shd w:val="clear" w:color="000000" w:fill="FFFFFF"/>
            <w:noWrap/>
            <w:vAlign w:val="center"/>
            <w:hideMark/>
          </w:tcPr>
          <w:p w14:paraId="70A0C199" w14:textId="77777777" w:rsidR="002B41BB" w:rsidRPr="004E5A6E" w:rsidRDefault="002B41BB" w:rsidP="002B41BB">
            <w:pPr>
              <w:rPr>
                <w:rFonts w:ascii="Arial" w:hAnsi="Arial" w:cs="Arial"/>
                <w:color w:val="auto"/>
                <w:sz w:val="20"/>
                <w:szCs w:val="20"/>
                <w:lang w:val="sq-AL"/>
              </w:rPr>
            </w:pPr>
            <w:r w:rsidRPr="004E5A6E">
              <w:rPr>
                <w:rFonts w:ascii="Arial" w:hAnsi="Arial" w:cs="Arial"/>
                <w:color w:val="auto"/>
                <w:sz w:val="20"/>
                <w:szCs w:val="20"/>
                <w:lang w:val="sq-AL"/>
              </w:rPr>
              <w:t> </w:t>
            </w:r>
          </w:p>
        </w:tc>
        <w:tc>
          <w:tcPr>
            <w:tcW w:w="451" w:type="pct"/>
            <w:tcBorders>
              <w:top w:val="nil"/>
              <w:left w:val="nil"/>
              <w:bottom w:val="nil"/>
              <w:right w:val="nil"/>
            </w:tcBorders>
            <w:shd w:val="clear" w:color="000000" w:fill="FFFFFF"/>
            <w:noWrap/>
            <w:vAlign w:val="center"/>
            <w:hideMark/>
          </w:tcPr>
          <w:p w14:paraId="622FF1C2" w14:textId="77777777" w:rsidR="002B41BB" w:rsidRPr="004E5A6E" w:rsidRDefault="002B41BB" w:rsidP="002B41BB">
            <w:pPr>
              <w:rPr>
                <w:rFonts w:ascii="Arial" w:hAnsi="Arial" w:cs="Arial"/>
                <w:color w:val="auto"/>
                <w:sz w:val="20"/>
                <w:szCs w:val="20"/>
                <w:lang w:val="sq-AL"/>
              </w:rPr>
            </w:pPr>
            <w:r w:rsidRPr="004E5A6E">
              <w:rPr>
                <w:rFonts w:ascii="Arial" w:hAnsi="Arial" w:cs="Arial"/>
                <w:color w:val="auto"/>
                <w:sz w:val="20"/>
                <w:szCs w:val="20"/>
                <w:lang w:val="sq-AL"/>
              </w:rPr>
              <w:t> </w:t>
            </w:r>
          </w:p>
        </w:tc>
        <w:tc>
          <w:tcPr>
            <w:tcW w:w="451" w:type="pct"/>
            <w:tcBorders>
              <w:top w:val="nil"/>
              <w:left w:val="nil"/>
              <w:bottom w:val="nil"/>
              <w:right w:val="nil"/>
            </w:tcBorders>
            <w:shd w:val="clear" w:color="000000" w:fill="FFFFFF"/>
            <w:noWrap/>
            <w:vAlign w:val="center"/>
            <w:hideMark/>
          </w:tcPr>
          <w:p w14:paraId="645A7DF6" w14:textId="77777777" w:rsidR="002B41BB" w:rsidRPr="004E5A6E" w:rsidRDefault="002B41BB" w:rsidP="002B41BB">
            <w:pPr>
              <w:rPr>
                <w:rFonts w:ascii="Arial" w:hAnsi="Arial" w:cs="Arial"/>
                <w:color w:val="auto"/>
                <w:sz w:val="20"/>
                <w:szCs w:val="20"/>
                <w:lang w:val="sq-AL"/>
              </w:rPr>
            </w:pPr>
            <w:r w:rsidRPr="004E5A6E">
              <w:rPr>
                <w:rFonts w:ascii="Arial" w:hAnsi="Arial" w:cs="Arial"/>
                <w:color w:val="auto"/>
                <w:sz w:val="20"/>
                <w:szCs w:val="20"/>
                <w:lang w:val="sq-AL"/>
              </w:rPr>
              <w:t> </w:t>
            </w:r>
          </w:p>
        </w:tc>
        <w:tc>
          <w:tcPr>
            <w:tcW w:w="451" w:type="pct"/>
            <w:tcBorders>
              <w:top w:val="nil"/>
              <w:left w:val="nil"/>
              <w:bottom w:val="nil"/>
              <w:right w:val="nil"/>
            </w:tcBorders>
            <w:shd w:val="clear" w:color="000000" w:fill="FFFFFF"/>
            <w:noWrap/>
            <w:vAlign w:val="center"/>
            <w:hideMark/>
          </w:tcPr>
          <w:p w14:paraId="7E9F2213" w14:textId="77777777" w:rsidR="002B41BB" w:rsidRPr="004E5A6E" w:rsidRDefault="002B41BB" w:rsidP="002B41BB">
            <w:pPr>
              <w:rPr>
                <w:rFonts w:ascii="Arial" w:hAnsi="Arial" w:cs="Arial"/>
                <w:color w:val="auto"/>
                <w:sz w:val="20"/>
                <w:szCs w:val="20"/>
                <w:lang w:val="sq-AL"/>
              </w:rPr>
            </w:pPr>
            <w:r w:rsidRPr="004E5A6E">
              <w:rPr>
                <w:rFonts w:ascii="Arial" w:hAnsi="Arial" w:cs="Arial"/>
                <w:color w:val="auto"/>
                <w:sz w:val="20"/>
                <w:szCs w:val="20"/>
                <w:lang w:val="sq-AL"/>
              </w:rPr>
              <w:t> </w:t>
            </w:r>
          </w:p>
        </w:tc>
        <w:tc>
          <w:tcPr>
            <w:tcW w:w="451" w:type="pct"/>
            <w:tcBorders>
              <w:top w:val="nil"/>
              <w:left w:val="nil"/>
              <w:bottom w:val="nil"/>
              <w:right w:val="nil"/>
            </w:tcBorders>
            <w:shd w:val="clear" w:color="000000" w:fill="FFFFFF"/>
            <w:noWrap/>
            <w:vAlign w:val="center"/>
            <w:hideMark/>
          </w:tcPr>
          <w:p w14:paraId="39EB3FB1" w14:textId="77777777" w:rsidR="002B41BB" w:rsidRPr="004E5A6E" w:rsidRDefault="002B41BB" w:rsidP="002B41BB">
            <w:pPr>
              <w:rPr>
                <w:rFonts w:ascii="Arial" w:hAnsi="Arial" w:cs="Arial"/>
                <w:color w:val="auto"/>
                <w:sz w:val="20"/>
                <w:szCs w:val="20"/>
                <w:lang w:val="sq-AL"/>
              </w:rPr>
            </w:pPr>
            <w:r w:rsidRPr="004E5A6E">
              <w:rPr>
                <w:rFonts w:ascii="Arial" w:hAnsi="Arial" w:cs="Arial"/>
                <w:color w:val="auto"/>
                <w:sz w:val="20"/>
                <w:szCs w:val="20"/>
                <w:lang w:val="sq-AL"/>
              </w:rPr>
              <w:t> </w:t>
            </w:r>
          </w:p>
        </w:tc>
      </w:tr>
      <w:tr w:rsidR="002B41BB" w:rsidRPr="004E5A6E" w14:paraId="39D5AB5B" w14:textId="77777777" w:rsidTr="002B41BB">
        <w:trPr>
          <w:trHeight w:val="312"/>
        </w:trPr>
        <w:tc>
          <w:tcPr>
            <w:tcW w:w="1918" w:type="pct"/>
            <w:tcBorders>
              <w:top w:val="double" w:sz="6" w:space="0" w:color="auto"/>
              <w:left w:val="double" w:sz="6" w:space="0" w:color="auto"/>
              <w:bottom w:val="nil"/>
              <w:right w:val="nil"/>
            </w:tcBorders>
            <w:shd w:val="clear" w:color="000000" w:fill="FFFFFF"/>
            <w:vAlign w:val="center"/>
            <w:hideMark/>
          </w:tcPr>
          <w:p w14:paraId="7A97F992" w14:textId="77777777" w:rsidR="002B41BB" w:rsidRPr="004E5A6E" w:rsidRDefault="002B41BB" w:rsidP="002B41BB">
            <w:pPr>
              <w:rPr>
                <w:color w:val="auto"/>
                <w:sz w:val="20"/>
                <w:szCs w:val="20"/>
                <w:lang w:val="sq-AL"/>
              </w:rPr>
            </w:pPr>
            <w:r w:rsidRPr="004E5A6E">
              <w:rPr>
                <w:color w:val="auto"/>
                <w:sz w:val="20"/>
                <w:szCs w:val="20"/>
                <w:lang w:val="sq-AL"/>
              </w:rPr>
              <w:t> </w:t>
            </w:r>
          </w:p>
        </w:tc>
        <w:tc>
          <w:tcPr>
            <w:tcW w:w="378" w:type="pct"/>
            <w:tcBorders>
              <w:top w:val="double" w:sz="6" w:space="0" w:color="auto"/>
              <w:left w:val="single" w:sz="4" w:space="0" w:color="auto"/>
              <w:bottom w:val="nil"/>
              <w:right w:val="single" w:sz="8" w:space="0" w:color="auto"/>
            </w:tcBorders>
            <w:shd w:val="clear" w:color="000000" w:fill="FFFFFF"/>
            <w:vAlign w:val="center"/>
            <w:hideMark/>
          </w:tcPr>
          <w:p w14:paraId="334E5F16" w14:textId="77777777" w:rsidR="002B41BB" w:rsidRPr="004E5A6E" w:rsidRDefault="002B41BB" w:rsidP="002B41BB">
            <w:pPr>
              <w:rPr>
                <w:color w:val="auto"/>
                <w:sz w:val="20"/>
                <w:szCs w:val="20"/>
                <w:lang w:val="sq-AL"/>
              </w:rPr>
            </w:pPr>
            <w:r w:rsidRPr="004E5A6E">
              <w:rPr>
                <w:color w:val="auto"/>
                <w:sz w:val="20"/>
                <w:szCs w:val="20"/>
                <w:lang w:val="sq-AL"/>
              </w:rPr>
              <w:t> </w:t>
            </w:r>
          </w:p>
        </w:tc>
        <w:tc>
          <w:tcPr>
            <w:tcW w:w="451" w:type="pct"/>
            <w:tcBorders>
              <w:top w:val="double" w:sz="6" w:space="0" w:color="auto"/>
              <w:left w:val="nil"/>
              <w:bottom w:val="dotted" w:sz="4" w:space="0" w:color="auto"/>
              <w:right w:val="single" w:sz="8" w:space="0" w:color="auto"/>
            </w:tcBorders>
            <w:shd w:val="clear" w:color="000000" w:fill="FFFFFF"/>
            <w:vAlign w:val="center"/>
            <w:hideMark/>
          </w:tcPr>
          <w:p w14:paraId="60A28B02" w14:textId="77777777" w:rsidR="002B41BB" w:rsidRPr="004E5A6E" w:rsidRDefault="002B41BB" w:rsidP="002B41BB">
            <w:pPr>
              <w:jc w:val="center"/>
              <w:rPr>
                <w:color w:val="auto"/>
                <w:sz w:val="20"/>
                <w:szCs w:val="20"/>
                <w:lang w:val="sq-AL"/>
              </w:rPr>
            </w:pPr>
            <w:r w:rsidRPr="004E5A6E">
              <w:rPr>
                <w:color w:val="auto"/>
                <w:sz w:val="20"/>
                <w:szCs w:val="20"/>
                <w:lang w:val="sq-AL"/>
              </w:rPr>
              <w:t>2019</w:t>
            </w:r>
          </w:p>
        </w:tc>
        <w:tc>
          <w:tcPr>
            <w:tcW w:w="451" w:type="pct"/>
            <w:tcBorders>
              <w:top w:val="double" w:sz="6" w:space="0" w:color="auto"/>
              <w:left w:val="nil"/>
              <w:bottom w:val="dotted" w:sz="4" w:space="0" w:color="auto"/>
              <w:right w:val="dotted" w:sz="4" w:space="0" w:color="auto"/>
            </w:tcBorders>
            <w:shd w:val="clear" w:color="000000" w:fill="FFFFFF"/>
            <w:vAlign w:val="center"/>
            <w:hideMark/>
          </w:tcPr>
          <w:p w14:paraId="56BBB885" w14:textId="77777777" w:rsidR="002B41BB" w:rsidRPr="004E5A6E" w:rsidRDefault="002B41BB" w:rsidP="002B41BB">
            <w:pPr>
              <w:jc w:val="center"/>
              <w:rPr>
                <w:color w:val="auto"/>
                <w:sz w:val="20"/>
                <w:szCs w:val="20"/>
                <w:lang w:val="sq-AL"/>
              </w:rPr>
            </w:pPr>
            <w:r w:rsidRPr="004E5A6E">
              <w:rPr>
                <w:color w:val="auto"/>
                <w:sz w:val="20"/>
                <w:szCs w:val="20"/>
                <w:lang w:val="sq-AL"/>
              </w:rPr>
              <w:t>2019</w:t>
            </w:r>
          </w:p>
        </w:tc>
        <w:tc>
          <w:tcPr>
            <w:tcW w:w="451" w:type="pct"/>
            <w:tcBorders>
              <w:top w:val="double" w:sz="6" w:space="0" w:color="auto"/>
              <w:left w:val="nil"/>
              <w:bottom w:val="dotted" w:sz="4" w:space="0" w:color="auto"/>
              <w:right w:val="dotted" w:sz="4" w:space="0" w:color="auto"/>
            </w:tcBorders>
            <w:shd w:val="clear" w:color="000000" w:fill="FFFFFF"/>
            <w:vAlign w:val="center"/>
            <w:hideMark/>
          </w:tcPr>
          <w:p w14:paraId="7AA2BCA0" w14:textId="77777777" w:rsidR="002B41BB" w:rsidRPr="004E5A6E" w:rsidRDefault="002B41BB" w:rsidP="002B41BB">
            <w:pPr>
              <w:jc w:val="center"/>
              <w:rPr>
                <w:color w:val="auto"/>
                <w:sz w:val="20"/>
                <w:szCs w:val="20"/>
                <w:lang w:val="sq-AL"/>
              </w:rPr>
            </w:pPr>
            <w:r w:rsidRPr="004E5A6E">
              <w:rPr>
                <w:color w:val="auto"/>
                <w:sz w:val="20"/>
                <w:szCs w:val="20"/>
                <w:lang w:val="sq-AL"/>
              </w:rPr>
              <w:t>2020</w:t>
            </w:r>
          </w:p>
        </w:tc>
        <w:tc>
          <w:tcPr>
            <w:tcW w:w="451" w:type="pct"/>
            <w:tcBorders>
              <w:top w:val="double" w:sz="6" w:space="0" w:color="auto"/>
              <w:left w:val="nil"/>
              <w:bottom w:val="dotted" w:sz="4" w:space="0" w:color="auto"/>
              <w:right w:val="dotted" w:sz="4" w:space="0" w:color="auto"/>
            </w:tcBorders>
            <w:shd w:val="clear" w:color="000000" w:fill="FFFFFF"/>
            <w:vAlign w:val="center"/>
            <w:hideMark/>
          </w:tcPr>
          <w:p w14:paraId="502B3F0F" w14:textId="77777777" w:rsidR="002B41BB" w:rsidRPr="004E5A6E" w:rsidRDefault="002B41BB" w:rsidP="002B41BB">
            <w:pPr>
              <w:jc w:val="center"/>
              <w:rPr>
                <w:color w:val="auto"/>
                <w:sz w:val="20"/>
                <w:szCs w:val="20"/>
                <w:lang w:val="sq-AL"/>
              </w:rPr>
            </w:pPr>
            <w:r w:rsidRPr="004E5A6E">
              <w:rPr>
                <w:color w:val="auto"/>
                <w:sz w:val="20"/>
                <w:szCs w:val="20"/>
                <w:lang w:val="sq-AL"/>
              </w:rPr>
              <w:t>2021</w:t>
            </w:r>
          </w:p>
        </w:tc>
        <w:tc>
          <w:tcPr>
            <w:tcW w:w="451" w:type="pct"/>
            <w:tcBorders>
              <w:top w:val="double" w:sz="6" w:space="0" w:color="auto"/>
              <w:left w:val="nil"/>
              <w:bottom w:val="dotted" w:sz="4" w:space="0" w:color="auto"/>
              <w:right w:val="dotted" w:sz="4" w:space="0" w:color="auto"/>
            </w:tcBorders>
            <w:shd w:val="clear" w:color="000000" w:fill="FFFFFF"/>
            <w:vAlign w:val="center"/>
            <w:hideMark/>
          </w:tcPr>
          <w:p w14:paraId="261F02E2" w14:textId="77777777" w:rsidR="002B41BB" w:rsidRPr="004E5A6E" w:rsidRDefault="002B41BB" w:rsidP="002B41BB">
            <w:pPr>
              <w:jc w:val="center"/>
              <w:rPr>
                <w:color w:val="auto"/>
                <w:sz w:val="20"/>
                <w:szCs w:val="20"/>
                <w:lang w:val="sq-AL"/>
              </w:rPr>
            </w:pPr>
            <w:r w:rsidRPr="004E5A6E">
              <w:rPr>
                <w:color w:val="auto"/>
                <w:sz w:val="20"/>
                <w:szCs w:val="20"/>
                <w:lang w:val="sq-AL"/>
              </w:rPr>
              <w:t>2022</w:t>
            </w:r>
          </w:p>
        </w:tc>
        <w:tc>
          <w:tcPr>
            <w:tcW w:w="451" w:type="pct"/>
            <w:tcBorders>
              <w:top w:val="double" w:sz="6" w:space="0" w:color="auto"/>
              <w:left w:val="nil"/>
              <w:bottom w:val="dotted" w:sz="4" w:space="0" w:color="auto"/>
              <w:right w:val="double" w:sz="6" w:space="0" w:color="auto"/>
            </w:tcBorders>
            <w:shd w:val="clear" w:color="000000" w:fill="FFFFFF"/>
            <w:vAlign w:val="center"/>
            <w:hideMark/>
          </w:tcPr>
          <w:p w14:paraId="0EBE692D" w14:textId="77777777" w:rsidR="002B41BB" w:rsidRPr="004E5A6E" w:rsidRDefault="002B41BB" w:rsidP="002B41BB">
            <w:pPr>
              <w:jc w:val="center"/>
              <w:rPr>
                <w:color w:val="auto"/>
                <w:sz w:val="20"/>
                <w:szCs w:val="20"/>
                <w:lang w:val="sq-AL"/>
              </w:rPr>
            </w:pPr>
            <w:r w:rsidRPr="004E5A6E">
              <w:rPr>
                <w:color w:val="auto"/>
                <w:sz w:val="20"/>
                <w:szCs w:val="20"/>
                <w:lang w:val="sq-AL"/>
              </w:rPr>
              <w:t>2023</w:t>
            </w:r>
          </w:p>
        </w:tc>
      </w:tr>
      <w:tr w:rsidR="002B41BB" w:rsidRPr="004E5A6E" w14:paraId="56B926B5" w14:textId="77777777" w:rsidTr="002B41BB">
        <w:trPr>
          <w:trHeight w:val="642"/>
        </w:trPr>
        <w:tc>
          <w:tcPr>
            <w:tcW w:w="1918" w:type="pct"/>
            <w:tcBorders>
              <w:top w:val="nil"/>
              <w:left w:val="double" w:sz="6" w:space="0" w:color="auto"/>
              <w:bottom w:val="double" w:sz="6" w:space="0" w:color="auto"/>
              <w:right w:val="nil"/>
            </w:tcBorders>
            <w:shd w:val="clear" w:color="000000" w:fill="FFFFFF"/>
            <w:vAlign w:val="center"/>
            <w:hideMark/>
          </w:tcPr>
          <w:p w14:paraId="551B8AE3" w14:textId="77777777" w:rsidR="002B41BB" w:rsidRPr="004E5A6E" w:rsidRDefault="002B41BB" w:rsidP="002B41BB">
            <w:pPr>
              <w:rPr>
                <w:color w:val="auto"/>
                <w:sz w:val="20"/>
                <w:szCs w:val="20"/>
                <w:lang w:val="sq-AL"/>
              </w:rPr>
            </w:pPr>
            <w:r w:rsidRPr="004E5A6E">
              <w:rPr>
                <w:color w:val="auto"/>
                <w:sz w:val="20"/>
                <w:szCs w:val="20"/>
                <w:lang w:val="sq-AL"/>
              </w:rPr>
              <w:t> </w:t>
            </w:r>
          </w:p>
        </w:tc>
        <w:tc>
          <w:tcPr>
            <w:tcW w:w="378" w:type="pct"/>
            <w:tcBorders>
              <w:top w:val="nil"/>
              <w:left w:val="single" w:sz="4" w:space="0" w:color="auto"/>
              <w:bottom w:val="double" w:sz="6" w:space="0" w:color="auto"/>
              <w:right w:val="single" w:sz="8" w:space="0" w:color="auto"/>
            </w:tcBorders>
            <w:shd w:val="clear" w:color="000000" w:fill="FFFFFF"/>
            <w:vAlign w:val="center"/>
            <w:hideMark/>
          </w:tcPr>
          <w:p w14:paraId="1CAC1596" w14:textId="77777777" w:rsidR="002B41BB" w:rsidRPr="004E5A6E" w:rsidRDefault="002B41BB" w:rsidP="002B41BB">
            <w:pPr>
              <w:jc w:val="center"/>
              <w:rPr>
                <w:color w:val="auto"/>
                <w:sz w:val="20"/>
                <w:szCs w:val="20"/>
                <w:lang w:val="sq-AL"/>
              </w:rPr>
            </w:pPr>
            <w:r w:rsidRPr="004E5A6E">
              <w:rPr>
                <w:color w:val="auto"/>
                <w:sz w:val="20"/>
                <w:szCs w:val="20"/>
                <w:lang w:val="sq-AL"/>
              </w:rPr>
              <w:t>ESA code</w:t>
            </w:r>
          </w:p>
        </w:tc>
        <w:tc>
          <w:tcPr>
            <w:tcW w:w="451" w:type="pct"/>
            <w:tcBorders>
              <w:top w:val="nil"/>
              <w:left w:val="nil"/>
              <w:bottom w:val="double" w:sz="6" w:space="0" w:color="auto"/>
              <w:right w:val="single" w:sz="8" w:space="0" w:color="auto"/>
            </w:tcBorders>
            <w:shd w:val="clear" w:color="000000" w:fill="FFFFFF"/>
            <w:vAlign w:val="center"/>
            <w:hideMark/>
          </w:tcPr>
          <w:p w14:paraId="10C4DD48" w14:textId="77777777" w:rsidR="002B41BB" w:rsidRPr="004E5A6E" w:rsidRDefault="002B41BB" w:rsidP="002B41BB">
            <w:pPr>
              <w:jc w:val="center"/>
              <w:rPr>
                <w:color w:val="auto"/>
                <w:sz w:val="20"/>
                <w:szCs w:val="20"/>
                <w:lang w:val="sq-AL"/>
              </w:rPr>
            </w:pPr>
            <w:r w:rsidRPr="004E5A6E">
              <w:rPr>
                <w:color w:val="auto"/>
                <w:sz w:val="20"/>
                <w:szCs w:val="20"/>
                <w:lang w:val="sq-AL"/>
              </w:rPr>
              <w:t xml:space="preserve">Level </w:t>
            </w:r>
          </w:p>
        </w:tc>
        <w:tc>
          <w:tcPr>
            <w:tcW w:w="2254" w:type="pct"/>
            <w:gridSpan w:val="5"/>
            <w:tcBorders>
              <w:top w:val="dotted" w:sz="4" w:space="0" w:color="auto"/>
              <w:left w:val="nil"/>
              <w:bottom w:val="double" w:sz="6" w:space="0" w:color="auto"/>
              <w:right w:val="double" w:sz="6" w:space="0" w:color="000000"/>
            </w:tcBorders>
            <w:shd w:val="clear" w:color="000000" w:fill="FFFFFF"/>
            <w:vAlign w:val="center"/>
            <w:hideMark/>
          </w:tcPr>
          <w:p w14:paraId="6B69D910"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r>
      <w:tr w:rsidR="002B41BB" w:rsidRPr="004E5A6E" w14:paraId="0D47BEA6" w14:textId="77777777" w:rsidTr="002B41BB">
        <w:trPr>
          <w:trHeight w:val="540"/>
        </w:trPr>
        <w:tc>
          <w:tcPr>
            <w:tcW w:w="5000" w:type="pct"/>
            <w:gridSpan w:val="8"/>
            <w:tcBorders>
              <w:top w:val="double" w:sz="6" w:space="0" w:color="auto"/>
              <w:left w:val="double" w:sz="6" w:space="0" w:color="auto"/>
              <w:bottom w:val="single" w:sz="8" w:space="0" w:color="auto"/>
              <w:right w:val="double" w:sz="6" w:space="0" w:color="000000"/>
            </w:tcBorders>
            <w:shd w:val="clear" w:color="000000" w:fill="FFFFFF"/>
            <w:vAlign w:val="center"/>
            <w:hideMark/>
          </w:tcPr>
          <w:p w14:paraId="180EDD2D" w14:textId="77777777" w:rsidR="002B41BB" w:rsidRPr="004E5A6E" w:rsidRDefault="002B41BB" w:rsidP="002B41BB">
            <w:pPr>
              <w:jc w:val="center"/>
              <w:rPr>
                <w:b/>
                <w:bCs/>
                <w:color w:val="auto"/>
                <w:sz w:val="20"/>
                <w:szCs w:val="20"/>
                <w:lang w:val="sq-AL"/>
              </w:rPr>
            </w:pPr>
            <w:bookmarkStart w:id="224" w:name="RANGE!B5"/>
            <w:r w:rsidRPr="004E5A6E">
              <w:rPr>
                <w:b/>
                <w:bCs/>
                <w:color w:val="auto"/>
                <w:sz w:val="20"/>
                <w:szCs w:val="20"/>
                <w:lang w:val="sq-AL"/>
              </w:rPr>
              <w:t>Kreditimi neto (B9) nga nën sektorët</w:t>
            </w:r>
            <w:bookmarkEnd w:id="224"/>
          </w:p>
        </w:tc>
      </w:tr>
      <w:tr w:rsidR="002B41BB" w:rsidRPr="004E5A6E" w14:paraId="062F71D3" w14:textId="77777777" w:rsidTr="002B41BB">
        <w:trPr>
          <w:trHeight w:val="420"/>
        </w:trPr>
        <w:tc>
          <w:tcPr>
            <w:tcW w:w="1918" w:type="pct"/>
            <w:tcBorders>
              <w:top w:val="nil"/>
              <w:left w:val="double" w:sz="6" w:space="0" w:color="auto"/>
              <w:bottom w:val="dotted" w:sz="4" w:space="0" w:color="auto"/>
              <w:right w:val="nil"/>
            </w:tcBorders>
            <w:shd w:val="clear" w:color="000000" w:fill="FFFFFF"/>
            <w:vAlign w:val="center"/>
            <w:hideMark/>
          </w:tcPr>
          <w:p w14:paraId="14699BBB" w14:textId="77777777" w:rsidR="002B41BB" w:rsidRPr="004E5A6E" w:rsidRDefault="002B41BB" w:rsidP="002B41BB">
            <w:pPr>
              <w:rPr>
                <w:color w:val="auto"/>
                <w:sz w:val="20"/>
                <w:szCs w:val="20"/>
                <w:lang w:val="sq-AL"/>
              </w:rPr>
            </w:pPr>
            <w:bookmarkStart w:id="225" w:name="RANGE!B6"/>
            <w:r w:rsidRPr="004E5A6E">
              <w:rPr>
                <w:color w:val="auto"/>
                <w:sz w:val="20"/>
                <w:szCs w:val="20"/>
                <w:lang w:val="sq-AL"/>
              </w:rPr>
              <w:t>1. Qeveria e Përgjithshme/1</w:t>
            </w:r>
            <w:bookmarkEnd w:id="225"/>
          </w:p>
        </w:tc>
        <w:tc>
          <w:tcPr>
            <w:tcW w:w="378" w:type="pct"/>
            <w:tcBorders>
              <w:top w:val="nil"/>
              <w:left w:val="single" w:sz="4" w:space="0" w:color="auto"/>
              <w:bottom w:val="dotted" w:sz="4" w:space="0" w:color="auto"/>
              <w:right w:val="single" w:sz="8" w:space="0" w:color="auto"/>
            </w:tcBorders>
            <w:shd w:val="clear" w:color="000000" w:fill="FFFFFF"/>
            <w:vAlign w:val="center"/>
            <w:hideMark/>
          </w:tcPr>
          <w:p w14:paraId="32881BF7" w14:textId="77777777" w:rsidR="002B41BB" w:rsidRPr="004E5A6E" w:rsidRDefault="002B41BB" w:rsidP="002B41BB">
            <w:pPr>
              <w:jc w:val="center"/>
              <w:rPr>
                <w:color w:val="auto"/>
                <w:sz w:val="20"/>
                <w:szCs w:val="20"/>
                <w:lang w:val="sq-AL"/>
              </w:rPr>
            </w:pPr>
            <w:r w:rsidRPr="004E5A6E">
              <w:rPr>
                <w:color w:val="auto"/>
                <w:sz w:val="20"/>
                <w:szCs w:val="20"/>
                <w:lang w:val="sq-AL"/>
              </w:rPr>
              <w:t>S13</w:t>
            </w:r>
          </w:p>
        </w:tc>
        <w:tc>
          <w:tcPr>
            <w:tcW w:w="451" w:type="pct"/>
            <w:tcBorders>
              <w:top w:val="nil"/>
              <w:left w:val="nil"/>
              <w:bottom w:val="dotted" w:sz="4" w:space="0" w:color="auto"/>
              <w:right w:val="single" w:sz="8" w:space="0" w:color="auto"/>
            </w:tcBorders>
            <w:shd w:val="clear" w:color="000000" w:fill="FFFFFF"/>
            <w:vAlign w:val="center"/>
            <w:hideMark/>
          </w:tcPr>
          <w:p w14:paraId="2AA5B410" w14:textId="77777777" w:rsidR="002B41BB" w:rsidRPr="004E5A6E" w:rsidRDefault="002B41BB" w:rsidP="002B41BB">
            <w:pPr>
              <w:jc w:val="center"/>
              <w:rPr>
                <w:color w:val="auto"/>
                <w:sz w:val="20"/>
                <w:szCs w:val="20"/>
                <w:lang w:val="sq-AL"/>
              </w:rPr>
            </w:pPr>
            <w:r w:rsidRPr="004E5A6E">
              <w:rPr>
                <w:color w:val="auto"/>
                <w:sz w:val="20"/>
                <w:szCs w:val="20"/>
                <w:lang w:val="sq-AL"/>
              </w:rPr>
              <w:t>-205.4</w:t>
            </w:r>
          </w:p>
        </w:tc>
        <w:tc>
          <w:tcPr>
            <w:tcW w:w="451" w:type="pct"/>
            <w:tcBorders>
              <w:top w:val="nil"/>
              <w:left w:val="nil"/>
              <w:bottom w:val="dotted" w:sz="4" w:space="0" w:color="auto"/>
              <w:right w:val="dotted" w:sz="4" w:space="0" w:color="auto"/>
            </w:tcBorders>
            <w:shd w:val="clear" w:color="000000" w:fill="FFFFFF"/>
            <w:vAlign w:val="center"/>
            <w:hideMark/>
          </w:tcPr>
          <w:p w14:paraId="31F9A1C8" w14:textId="77777777" w:rsidR="002B41BB" w:rsidRPr="004E5A6E" w:rsidRDefault="002B41BB" w:rsidP="002B41BB">
            <w:pPr>
              <w:jc w:val="center"/>
              <w:rPr>
                <w:color w:val="auto"/>
                <w:sz w:val="20"/>
                <w:szCs w:val="20"/>
                <w:lang w:val="sq-AL"/>
              </w:rPr>
            </w:pPr>
            <w:r w:rsidRPr="004E5A6E">
              <w:rPr>
                <w:color w:val="auto"/>
                <w:sz w:val="20"/>
                <w:szCs w:val="20"/>
                <w:lang w:val="sq-AL"/>
              </w:rPr>
              <w:t>-2.9</w:t>
            </w:r>
          </w:p>
        </w:tc>
        <w:tc>
          <w:tcPr>
            <w:tcW w:w="451" w:type="pct"/>
            <w:tcBorders>
              <w:top w:val="nil"/>
              <w:left w:val="nil"/>
              <w:bottom w:val="dotted" w:sz="4" w:space="0" w:color="auto"/>
              <w:right w:val="dotted" w:sz="4" w:space="0" w:color="auto"/>
            </w:tcBorders>
            <w:shd w:val="clear" w:color="000000" w:fill="FFFFFF"/>
            <w:vAlign w:val="center"/>
            <w:hideMark/>
          </w:tcPr>
          <w:p w14:paraId="50C03292" w14:textId="77777777" w:rsidR="002B41BB" w:rsidRPr="004E5A6E" w:rsidRDefault="002B41BB" w:rsidP="002B41BB">
            <w:pPr>
              <w:jc w:val="center"/>
              <w:rPr>
                <w:color w:val="auto"/>
                <w:sz w:val="20"/>
                <w:szCs w:val="20"/>
                <w:lang w:val="sq-AL"/>
              </w:rPr>
            </w:pPr>
            <w:r w:rsidRPr="004E5A6E">
              <w:rPr>
                <w:color w:val="auto"/>
                <w:sz w:val="20"/>
                <w:szCs w:val="20"/>
                <w:lang w:val="sq-AL"/>
              </w:rPr>
              <w:t>-3.8</w:t>
            </w:r>
          </w:p>
        </w:tc>
        <w:tc>
          <w:tcPr>
            <w:tcW w:w="451" w:type="pct"/>
            <w:tcBorders>
              <w:top w:val="nil"/>
              <w:left w:val="nil"/>
              <w:bottom w:val="dotted" w:sz="4" w:space="0" w:color="auto"/>
              <w:right w:val="dotted" w:sz="4" w:space="0" w:color="auto"/>
            </w:tcBorders>
            <w:shd w:val="clear" w:color="000000" w:fill="FFFFFF"/>
            <w:vAlign w:val="center"/>
            <w:hideMark/>
          </w:tcPr>
          <w:p w14:paraId="7860FEBA" w14:textId="77777777" w:rsidR="002B41BB" w:rsidRPr="004E5A6E" w:rsidRDefault="002B41BB" w:rsidP="002B41BB">
            <w:pPr>
              <w:jc w:val="center"/>
              <w:rPr>
                <w:color w:val="auto"/>
                <w:sz w:val="20"/>
                <w:szCs w:val="20"/>
                <w:lang w:val="sq-AL"/>
              </w:rPr>
            </w:pPr>
            <w:r w:rsidRPr="004E5A6E">
              <w:rPr>
                <w:color w:val="auto"/>
                <w:sz w:val="20"/>
                <w:szCs w:val="20"/>
                <w:lang w:val="sq-AL"/>
              </w:rPr>
              <w:t>-7.4</w:t>
            </w:r>
          </w:p>
        </w:tc>
        <w:tc>
          <w:tcPr>
            <w:tcW w:w="451" w:type="pct"/>
            <w:tcBorders>
              <w:top w:val="nil"/>
              <w:left w:val="nil"/>
              <w:bottom w:val="dotted" w:sz="4" w:space="0" w:color="auto"/>
              <w:right w:val="dotted" w:sz="4" w:space="0" w:color="auto"/>
            </w:tcBorders>
            <w:shd w:val="clear" w:color="000000" w:fill="FFFFFF"/>
            <w:vAlign w:val="center"/>
            <w:hideMark/>
          </w:tcPr>
          <w:p w14:paraId="3C1910CB" w14:textId="77777777" w:rsidR="002B41BB" w:rsidRPr="004E5A6E" w:rsidRDefault="002B41BB" w:rsidP="002B41BB">
            <w:pPr>
              <w:jc w:val="center"/>
              <w:rPr>
                <w:color w:val="auto"/>
                <w:sz w:val="20"/>
                <w:szCs w:val="20"/>
                <w:lang w:val="sq-AL"/>
              </w:rPr>
            </w:pPr>
            <w:r w:rsidRPr="004E5A6E">
              <w:rPr>
                <w:color w:val="auto"/>
                <w:sz w:val="20"/>
                <w:szCs w:val="20"/>
                <w:lang w:val="sq-AL"/>
              </w:rPr>
              <w:t>-5.0</w:t>
            </w:r>
          </w:p>
        </w:tc>
        <w:tc>
          <w:tcPr>
            <w:tcW w:w="451" w:type="pct"/>
            <w:tcBorders>
              <w:top w:val="nil"/>
              <w:left w:val="nil"/>
              <w:bottom w:val="dotted" w:sz="4" w:space="0" w:color="auto"/>
              <w:right w:val="double" w:sz="6" w:space="0" w:color="auto"/>
            </w:tcBorders>
            <w:shd w:val="clear" w:color="000000" w:fill="FFFFFF"/>
            <w:vAlign w:val="center"/>
            <w:hideMark/>
          </w:tcPr>
          <w:p w14:paraId="28A612E4" w14:textId="77777777" w:rsidR="002B41BB" w:rsidRPr="004E5A6E" w:rsidRDefault="002B41BB" w:rsidP="002B41BB">
            <w:pPr>
              <w:jc w:val="center"/>
              <w:rPr>
                <w:color w:val="auto"/>
                <w:sz w:val="20"/>
                <w:szCs w:val="20"/>
                <w:lang w:val="sq-AL"/>
              </w:rPr>
            </w:pPr>
            <w:r w:rsidRPr="004E5A6E">
              <w:rPr>
                <w:color w:val="auto"/>
                <w:sz w:val="20"/>
                <w:szCs w:val="20"/>
                <w:lang w:val="sq-AL"/>
              </w:rPr>
              <w:t>-4.2</w:t>
            </w:r>
          </w:p>
        </w:tc>
      </w:tr>
      <w:tr w:rsidR="002B41BB" w:rsidRPr="004E5A6E" w14:paraId="37170324" w14:textId="77777777" w:rsidTr="002B41BB">
        <w:trPr>
          <w:trHeight w:val="420"/>
        </w:trPr>
        <w:tc>
          <w:tcPr>
            <w:tcW w:w="1918" w:type="pct"/>
            <w:tcBorders>
              <w:top w:val="nil"/>
              <w:left w:val="double" w:sz="6" w:space="0" w:color="auto"/>
              <w:bottom w:val="dotted" w:sz="4" w:space="0" w:color="auto"/>
              <w:right w:val="nil"/>
            </w:tcBorders>
            <w:shd w:val="clear" w:color="000000" w:fill="FFFFFF"/>
            <w:vAlign w:val="center"/>
            <w:hideMark/>
          </w:tcPr>
          <w:p w14:paraId="652E5995" w14:textId="77777777" w:rsidR="002B41BB" w:rsidRPr="004E5A6E" w:rsidRDefault="002B41BB" w:rsidP="002B41BB">
            <w:pPr>
              <w:rPr>
                <w:color w:val="auto"/>
                <w:sz w:val="20"/>
                <w:szCs w:val="20"/>
                <w:lang w:val="sq-AL"/>
              </w:rPr>
            </w:pPr>
            <w:bookmarkStart w:id="226" w:name="RANGE!B7"/>
            <w:r w:rsidRPr="004E5A6E">
              <w:rPr>
                <w:color w:val="auto"/>
                <w:sz w:val="20"/>
                <w:szCs w:val="20"/>
                <w:lang w:val="sq-AL"/>
              </w:rPr>
              <w:t>2. Qeveria Qëndrore</w:t>
            </w:r>
            <w:bookmarkEnd w:id="226"/>
          </w:p>
        </w:tc>
        <w:tc>
          <w:tcPr>
            <w:tcW w:w="378" w:type="pct"/>
            <w:tcBorders>
              <w:top w:val="nil"/>
              <w:left w:val="single" w:sz="4" w:space="0" w:color="auto"/>
              <w:bottom w:val="dotted" w:sz="4" w:space="0" w:color="auto"/>
              <w:right w:val="single" w:sz="8" w:space="0" w:color="auto"/>
            </w:tcBorders>
            <w:shd w:val="clear" w:color="000000" w:fill="FFFFFF"/>
            <w:vAlign w:val="center"/>
            <w:hideMark/>
          </w:tcPr>
          <w:p w14:paraId="3E2F903B" w14:textId="77777777" w:rsidR="002B41BB" w:rsidRPr="004E5A6E" w:rsidRDefault="002B41BB" w:rsidP="002B41BB">
            <w:pPr>
              <w:jc w:val="center"/>
              <w:rPr>
                <w:color w:val="auto"/>
                <w:sz w:val="20"/>
                <w:szCs w:val="20"/>
                <w:lang w:val="sq-AL"/>
              </w:rPr>
            </w:pPr>
            <w:r w:rsidRPr="004E5A6E">
              <w:rPr>
                <w:color w:val="auto"/>
                <w:sz w:val="20"/>
                <w:szCs w:val="20"/>
                <w:lang w:val="sq-AL"/>
              </w:rPr>
              <w:t>S1311</w:t>
            </w:r>
          </w:p>
        </w:tc>
        <w:tc>
          <w:tcPr>
            <w:tcW w:w="451" w:type="pct"/>
            <w:tcBorders>
              <w:top w:val="nil"/>
              <w:left w:val="nil"/>
              <w:bottom w:val="dotted" w:sz="4" w:space="0" w:color="auto"/>
              <w:right w:val="single" w:sz="8" w:space="0" w:color="auto"/>
            </w:tcBorders>
            <w:shd w:val="clear" w:color="000000" w:fill="FFFFFF"/>
            <w:vAlign w:val="center"/>
            <w:hideMark/>
          </w:tcPr>
          <w:p w14:paraId="41BCFEE0"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dotted" w:sz="4" w:space="0" w:color="auto"/>
              <w:right w:val="dotted" w:sz="4" w:space="0" w:color="auto"/>
            </w:tcBorders>
            <w:shd w:val="clear" w:color="000000" w:fill="FFFFFF"/>
            <w:vAlign w:val="center"/>
            <w:hideMark/>
          </w:tcPr>
          <w:p w14:paraId="0A8AB03E"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dotted" w:sz="4" w:space="0" w:color="auto"/>
              <w:right w:val="dotted" w:sz="4" w:space="0" w:color="auto"/>
            </w:tcBorders>
            <w:shd w:val="clear" w:color="000000" w:fill="FFFFFF"/>
            <w:vAlign w:val="center"/>
            <w:hideMark/>
          </w:tcPr>
          <w:p w14:paraId="0597FE56"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dotted" w:sz="4" w:space="0" w:color="auto"/>
              <w:right w:val="dotted" w:sz="4" w:space="0" w:color="auto"/>
            </w:tcBorders>
            <w:shd w:val="clear" w:color="000000" w:fill="FFFFFF"/>
            <w:vAlign w:val="center"/>
            <w:hideMark/>
          </w:tcPr>
          <w:p w14:paraId="3304EB7B"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dotted" w:sz="4" w:space="0" w:color="auto"/>
              <w:right w:val="dotted" w:sz="4" w:space="0" w:color="auto"/>
            </w:tcBorders>
            <w:shd w:val="clear" w:color="000000" w:fill="FFFFFF"/>
            <w:vAlign w:val="center"/>
            <w:hideMark/>
          </w:tcPr>
          <w:p w14:paraId="5ECA9709"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dotted" w:sz="4" w:space="0" w:color="auto"/>
              <w:right w:val="double" w:sz="6" w:space="0" w:color="auto"/>
            </w:tcBorders>
            <w:shd w:val="clear" w:color="000000" w:fill="FFFFFF"/>
            <w:vAlign w:val="center"/>
            <w:hideMark/>
          </w:tcPr>
          <w:p w14:paraId="1D112DCE"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r w:rsidR="002B41BB" w:rsidRPr="004E5A6E" w14:paraId="237EB9EC" w14:textId="77777777" w:rsidTr="002B41BB">
        <w:trPr>
          <w:trHeight w:val="420"/>
        </w:trPr>
        <w:tc>
          <w:tcPr>
            <w:tcW w:w="1918" w:type="pct"/>
            <w:tcBorders>
              <w:top w:val="nil"/>
              <w:left w:val="double" w:sz="6" w:space="0" w:color="auto"/>
              <w:bottom w:val="dotted" w:sz="4" w:space="0" w:color="auto"/>
              <w:right w:val="nil"/>
            </w:tcBorders>
            <w:shd w:val="clear" w:color="000000" w:fill="FFFFFF"/>
            <w:vAlign w:val="center"/>
            <w:hideMark/>
          </w:tcPr>
          <w:p w14:paraId="08E0449D" w14:textId="77777777" w:rsidR="002B41BB" w:rsidRPr="004E5A6E" w:rsidRDefault="002B41BB" w:rsidP="002B41BB">
            <w:pPr>
              <w:rPr>
                <w:color w:val="auto"/>
                <w:sz w:val="20"/>
                <w:szCs w:val="20"/>
                <w:lang w:val="sq-AL"/>
              </w:rPr>
            </w:pPr>
            <w:bookmarkStart w:id="227" w:name="RANGE!B8"/>
            <w:r w:rsidRPr="004E5A6E">
              <w:rPr>
                <w:color w:val="auto"/>
                <w:sz w:val="20"/>
                <w:szCs w:val="20"/>
                <w:lang w:val="sq-AL"/>
              </w:rPr>
              <w:t>3. Qeveria Shtetërore</w:t>
            </w:r>
            <w:bookmarkEnd w:id="227"/>
          </w:p>
        </w:tc>
        <w:tc>
          <w:tcPr>
            <w:tcW w:w="378" w:type="pct"/>
            <w:tcBorders>
              <w:top w:val="nil"/>
              <w:left w:val="single" w:sz="4" w:space="0" w:color="auto"/>
              <w:bottom w:val="dotted" w:sz="4" w:space="0" w:color="auto"/>
              <w:right w:val="single" w:sz="8" w:space="0" w:color="auto"/>
            </w:tcBorders>
            <w:shd w:val="clear" w:color="000000" w:fill="FFFFFF"/>
            <w:vAlign w:val="center"/>
            <w:hideMark/>
          </w:tcPr>
          <w:p w14:paraId="1EB4E7EB" w14:textId="77777777" w:rsidR="002B41BB" w:rsidRPr="004E5A6E" w:rsidRDefault="002B41BB" w:rsidP="002B41BB">
            <w:pPr>
              <w:jc w:val="center"/>
              <w:rPr>
                <w:color w:val="auto"/>
                <w:sz w:val="20"/>
                <w:szCs w:val="20"/>
                <w:lang w:val="sq-AL"/>
              </w:rPr>
            </w:pPr>
            <w:r w:rsidRPr="004E5A6E">
              <w:rPr>
                <w:color w:val="auto"/>
                <w:sz w:val="20"/>
                <w:szCs w:val="20"/>
                <w:lang w:val="sq-AL"/>
              </w:rPr>
              <w:t>S1312</w:t>
            </w:r>
          </w:p>
        </w:tc>
        <w:tc>
          <w:tcPr>
            <w:tcW w:w="451" w:type="pct"/>
            <w:tcBorders>
              <w:top w:val="nil"/>
              <w:left w:val="nil"/>
              <w:bottom w:val="dotted" w:sz="4" w:space="0" w:color="auto"/>
              <w:right w:val="single" w:sz="8" w:space="0" w:color="auto"/>
            </w:tcBorders>
            <w:shd w:val="clear" w:color="000000" w:fill="FFFFFF"/>
            <w:vAlign w:val="center"/>
            <w:hideMark/>
          </w:tcPr>
          <w:p w14:paraId="1D31F4A5"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dotted" w:sz="4" w:space="0" w:color="auto"/>
              <w:right w:val="dotted" w:sz="4" w:space="0" w:color="auto"/>
            </w:tcBorders>
            <w:shd w:val="clear" w:color="000000" w:fill="FFFFFF"/>
            <w:vAlign w:val="center"/>
            <w:hideMark/>
          </w:tcPr>
          <w:p w14:paraId="2083225A"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dotted" w:sz="4" w:space="0" w:color="auto"/>
              <w:right w:val="dotted" w:sz="4" w:space="0" w:color="auto"/>
            </w:tcBorders>
            <w:shd w:val="clear" w:color="000000" w:fill="FFFFFF"/>
            <w:vAlign w:val="center"/>
            <w:hideMark/>
          </w:tcPr>
          <w:p w14:paraId="61C9AA50"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dotted" w:sz="4" w:space="0" w:color="auto"/>
              <w:right w:val="dotted" w:sz="4" w:space="0" w:color="auto"/>
            </w:tcBorders>
            <w:shd w:val="clear" w:color="000000" w:fill="FFFFFF"/>
            <w:vAlign w:val="center"/>
            <w:hideMark/>
          </w:tcPr>
          <w:p w14:paraId="1097B42E"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dotted" w:sz="4" w:space="0" w:color="auto"/>
              <w:right w:val="dotted" w:sz="4" w:space="0" w:color="auto"/>
            </w:tcBorders>
            <w:shd w:val="clear" w:color="000000" w:fill="FFFFFF"/>
            <w:vAlign w:val="center"/>
            <w:hideMark/>
          </w:tcPr>
          <w:p w14:paraId="26E7F884"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dotted" w:sz="4" w:space="0" w:color="auto"/>
              <w:right w:val="double" w:sz="6" w:space="0" w:color="auto"/>
            </w:tcBorders>
            <w:shd w:val="clear" w:color="000000" w:fill="FFFFFF"/>
            <w:vAlign w:val="center"/>
            <w:hideMark/>
          </w:tcPr>
          <w:p w14:paraId="2C35B573"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r w:rsidR="002B41BB" w:rsidRPr="004E5A6E" w14:paraId="09F0E59E" w14:textId="77777777" w:rsidTr="002B41BB">
        <w:trPr>
          <w:trHeight w:val="420"/>
        </w:trPr>
        <w:tc>
          <w:tcPr>
            <w:tcW w:w="1918" w:type="pct"/>
            <w:tcBorders>
              <w:top w:val="nil"/>
              <w:left w:val="double" w:sz="6" w:space="0" w:color="auto"/>
              <w:bottom w:val="dotted" w:sz="4" w:space="0" w:color="auto"/>
              <w:right w:val="nil"/>
            </w:tcBorders>
            <w:shd w:val="clear" w:color="000000" w:fill="FFFFFF"/>
            <w:vAlign w:val="center"/>
            <w:hideMark/>
          </w:tcPr>
          <w:p w14:paraId="4FAF4E9A" w14:textId="77777777" w:rsidR="002B41BB" w:rsidRPr="004E5A6E" w:rsidRDefault="002B41BB" w:rsidP="002B41BB">
            <w:pPr>
              <w:rPr>
                <w:color w:val="auto"/>
                <w:sz w:val="20"/>
                <w:szCs w:val="20"/>
                <w:lang w:val="sq-AL"/>
              </w:rPr>
            </w:pPr>
            <w:bookmarkStart w:id="228" w:name="RANGE!B9"/>
            <w:r w:rsidRPr="004E5A6E">
              <w:rPr>
                <w:color w:val="auto"/>
                <w:sz w:val="20"/>
                <w:szCs w:val="20"/>
                <w:lang w:val="sq-AL"/>
              </w:rPr>
              <w:t>4. Qeveria Lokale</w:t>
            </w:r>
            <w:bookmarkEnd w:id="228"/>
          </w:p>
        </w:tc>
        <w:tc>
          <w:tcPr>
            <w:tcW w:w="378" w:type="pct"/>
            <w:tcBorders>
              <w:top w:val="nil"/>
              <w:left w:val="single" w:sz="4" w:space="0" w:color="auto"/>
              <w:bottom w:val="dotted" w:sz="4" w:space="0" w:color="auto"/>
              <w:right w:val="single" w:sz="8" w:space="0" w:color="auto"/>
            </w:tcBorders>
            <w:shd w:val="clear" w:color="000000" w:fill="FFFFFF"/>
            <w:vAlign w:val="center"/>
            <w:hideMark/>
          </w:tcPr>
          <w:p w14:paraId="136748CF" w14:textId="77777777" w:rsidR="002B41BB" w:rsidRPr="004E5A6E" w:rsidRDefault="002B41BB" w:rsidP="002B41BB">
            <w:pPr>
              <w:jc w:val="center"/>
              <w:rPr>
                <w:color w:val="auto"/>
                <w:sz w:val="20"/>
                <w:szCs w:val="20"/>
                <w:lang w:val="sq-AL"/>
              </w:rPr>
            </w:pPr>
            <w:r w:rsidRPr="004E5A6E">
              <w:rPr>
                <w:color w:val="auto"/>
                <w:sz w:val="20"/>
                <w:szCs w:val="20"/>
                <w:lang w:val="sq-AL"/>
              </w:rPr>
              <w:t>S1313</w:t>
            </w:r>
          </w:p>
        </w:tc>
        <w:tc>
          <w:tcPr>
            <w:tcW w:w="451" w:type="pct"/>
            <w:tcBorders>
              <w:top w:val="nil"/>
              <w:left w:val="nil"/>
              <w:bottom w:val="dotted" w:sz="4" w:space="0" w:color="auto"/>
              <w:right w:val="single" w:sz="8" w:space="0" w:color="auto"/>
            </w:tcBorders>
            <w:shd w:val="clear" w:color="000000" w:fill="FFFFFF"/>
            <w:vAlign w:val="center"/>
            <w:hideMark/>
          </w:tcPr>
          <w:p w14:paraId="7C60DF06"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dotted" w:sz="4" w:space="0" w:color="auto"/>
              <w:right w:val="dotted" w:sz="4" w:space="0" w:color="auto"/>
            </w:tcBorders>
            <w:shd w:val="clear" w:color="000000" w:fill="FFFFFF"/>
            <w:vAlign w:val="center"/>
            <w:hideMark/>
          </w:tcPr>
          <w:p w14:paraId="2B58E15E"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dotted" w:sz="4" w:space="0" w:color="auto"/>
              <w:right w:val="dotted" w:sz="4" w:space="0" w:color="auto"/>
            </w:tcBorders>
            <w:shd w:val="clear" w:color="000000" w:fill="FFFFFF"/>
            <w:vAlign w:val="center"/>
            <w:hideMark/>
          </w:tcPr>
          <w:p w14:paraId="0BCA941D"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dotted" w:sz="4" w:space="0" w:color="auto"/>
              <w:right w:val="dotted" w:sz="4" w:space="0" w:color="auto"/>
            </w:tcBorders>
            <w:shd w:val="clear" w:color="000000" w:fill="FFFFFF"/>
            <w:vAlign w:val="center"/>
            <w:hideMark/>
          </w:tcPr>
          <w:p w14:paraId="75A0E284"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dotted" w:sz="4" w:space="0" w:color="auto"/>
              <w:right w:val="dotted" w:sz="4" w:space="0" w:color="auto"/>
            </w:tcBorders>
            <w:shd w:val="clear" w:color="000000" w:fill="FFFFFF"/>
            <w:vAlign w:val="center"/>
            <w:hideMark/>
          </w:tcPr>
          <w:p w14:paraId="381ED4D2"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dotted" w:sz="4" w:space="0" w:color="auto"/>
              <w:right w:val="double" w:sz="6" w:space="0" w:color="auto"/>
            </w:tcBorders>
            <w:shd w:val="clear" w:color="000000" w:fill="FFFFFF"/>
            <w:vAlign w:val="center"/>
            <w:hideMark/>
          </w:tcPr>
          <w:p w14:paraId="11D7414D"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r w:rsidR="002B41BB" w:rsidRPr="004E5A6E" w14:paraId="33B5C9F9" w14:textId="77777777" w:rsidTr="002B41BB">
        <w:trPr>
          <w:trHeight w:val="420"/>
        </w:trPr>
        <w:tc>
          <w:tcPr>
            <w:tcW w:w="1918" w:type="pct"/>
            <w:tcBorders>
              <w:top w:val="nil"/>
              <w:left w:val="double" w:sz="6" w:space="0" w:color="auto"/>
              <w:bottom w:val="single" w:sz="8" w:space="0" w:color="auto"/>
              <w:right w:val="nil"/>
            </w:tcBorders>
            <w:shd w:val="clear" w:color="000000" w:fill="FFFFFF"/>
            <w:vAlign w:val="center"/>
            <w:hideMark/>
          </w:tcPr>
          <w:p w14:paraId="79A58C2D" w14:textId="77777777" w:rsidR="002B41BB" w:rsidRPr="004E5A6E" w:rsidRDefault="002B41BB" w:rsidP="002B41BB">
            <w:pPr>
              <w:rPr>
                <w:color w:val="auto"/>
                <w:sz w:val="20"/>
                <w:szCs w:val="20"/>
                <w:lang w:val="sq-AL"/>
              </w:rPr>
            </w:pPr>
            <w:r w:rsidRPr="004E5A6E">
              <w:rPr>
                <w:color w:val="auto"/>
                <w:sz w:val="20"/>
                <w:szCs w:val="20"/>
                <w:lang w:val="sq-AL"/>
              </w:rPr>
              <w:t>5. Fondi I sigurimit shoqeror</w:t>
            </w:r>
          </w:p>
        </w:tc>
        <w:tc>
          <w:tcPr>
            <w:tcW w:w="378" w:type="pct"/>
            <w:tcBorders>
              <w:top w:val="nil"/>
              <w:left w:val="single" w:sz="4" w:space="0" w:color="auto"/>
              <w:bottom w:val="single" w:sz="8" w:space="0" w:color="auto"/>
              <w:right w:val="single" w:sz="8" w:space="0" w:color="auto"/>
            </w:tcBorders>
            <w:shd w:val="clear" w:color="000000" w:fill="FFFFFF"/>
            <w:vAlign w:val="center"/>
            <w:hideMark/>
          </w:tcPr>
          <w:p w14:paraId="5EFF99E0" w14:textId="77777777" w:rsidR="002B41BB" w:rsidRPr="004E5A6E" w:rsidRDefault="002B41BB" w:rsidP="002B41BB">
            <w:pPr>
              <w:jc w:val="center"/>
              <w:rPr>
                <w:color w:val="auto"/>
                <w:sz w:val="20"/>
                <w:szCs w:val="20"/>
                <w:lang w:val="sq-AL"/>
              </w:rPr>
            </w:pPr>
            <w:r w:rsidRPr="004E5A6E">
              <w:rPr>
                <w:color w:val="auto"/>
                <w:sz w:val="20"/>
                <w:szCs w:val="20"/>
                <w:lang w:val="sq-AL"/>
              </w:rPr>
              <w:t>S1314</w:t>
            </w:r>
          </w:p>
        </w:tc>
        <w:tc>
          <w:tcPr>
            <w:tcW w:w="451" w:type="pct"/>
            <w:tcBorders>
              <w:top w:val="nil"/>
              <w:left w:val="nil"/>
              <w:bottom w:val="single" w:sz="8" w:space="0" w:color="auto"/>
              <w:right w:val="single" w:sz="8" w:space="0" w:color="auto"/>
            </w:tcBorders>
            <w:shd w:val="clear" w:color="000000" w:fill="FFFFFF"/>
            <w:vAlign w:val="center"/>
            <w:hideMark/>
          </w:tcPr>
          <w:p w14:paraId="0EBF0636"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single" w:sz="8" w:space="0" w:color="auto"/>
              <w:right w:val="dotted" w:sz="4" w:space="0" w:color="auto"/>
            </w:tcBorders>
            <w:shd w:val="clear" w:color="000000" w:fill="FFFFFF"/>
            <w:vAlign w:val="center"/>
            <w:hideMark/>
          </w:tcPr>
          <w:p w14:paraId="515E054E"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single" w:sz="8" w:space="0" w:color="auto"/>
              <w:right w:val="dotted" w:sz="4" w:space="0" w:color="auto"/>
            </w:tcBorders>
            <w:shd w:val="clear" w:color="000000" w:fill="FFFFFF"/>
            <w:vAlign w:val="center"/>
            <w:hideMark/>
          </w:tcPr>
          <w:p w14:paraId="1EFE6A50"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single" w:sz="8" w:space="0" w:color="auto"/>
              <w:right w:val="dotted" w:sz="4" w:space="0" w:color="auto"/>
            </w:tcBorders>
            <w:shd w:val="clear" w:color="000000" w:fill="FFFFFF"/>
            <w:vAlign w:val="center"/>
            <w:hideMark/>
          </w:tcPr>
          <w:p w14:paraId="214144E6"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single" w:sz="8" w:space="0" w:color="auto"/>
              <w:right w:val="dotted" w:sz="4" w:space="0" w:color="auto"/>
            </w:tcBorders>
            <w:shd w:val="clear" w:color="000000" w:fill="FFFFFF"/>
            <w:vAlign w:val="center"/>
            <w:hideMark/>
          </w:tcPr>
          <w:p w14:paraId="5FFCEA1E"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single" w:sz="8" w:space="0" w:color="auto"/>
              <w:right w:val="double" w:sz="6" w:space="0" w:color="auto"/>
            </w:tcBorders>
            <w:shd w:val="clear" w:color="000000" w:fill="FFFFFF"/>
            <w:vAlign w:val="center"/>
            <w:hideMark/>
          </w:tcPr>
          <w:p w14:paraId="04AE7471"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r w:rsidR="002B41BB" w:rsidRPr="004E5A6E" w14:paraId="357F1ED7" w14:textId="77777777" w:rsidTr="002B41BB">
        <w:trPr>
          <w:trHeight w:val="420"/>
        </w:trPr>
        <w:tc>
          <w:tcPr>
            <w:tcW w:w="5000" w:type="pct"/>
            <w:gridSpan w:val="8"/>
            <w:tcBorders>
              <w:top w:val="single" w:sz="8" w:space="0" w:color="auto"/>
              <w:left w:val="double" w:sz="6" w:space="0" w:color="auto"/>
              <w:bottom w:val="single" w:sz="8" w:space="0" w:color="auto"/>
              <w:right w:val="double" w:sz="6" w:space="0" w:color="000000"/>
            </w:tcBorders>
            <w:shd w:val="clear" w:color="000000" w:fill="FFFFFF"/>
            <w:vAlign w:val="center"/>
            <w:hideMark/>
          </w:tcPr>
          <w:p w14:paraId="601234C4" w14:textId="77777777" w:rsidR="002B41BB" w:rsidRPr="004E5A6E" w:rsidRDefault="002B41BB" w:rsidP="002B41BB">
            <w:pPr>
              <w:jc w:val="center"/>
              <w:rPr>
                <w:b/>
                <w:bCs/>
                <w:color w:val="auto"/>
                <w:sz w:val="20"/>
                <w:szCs w:val="20"/>
                <w:lang w:val="sq-AL"/>
              </w:rPr>
            </w:pPr>
            <w:r w:rsidRPr="004E5A6E">
              <w:rPr>
                <w:b/>
                <w:bCs/>
                <w:color w:val="auto"/>
                <w:sz w:val="20"/>
                <w:szCs w:val="20"/>
                <w:lang w:val="sq-AL"/>
              </w:rPr>
              <w:t>Qeveria e Përgjithshme (S13)</w:t>
            </w:r>
          </w:p>
        </w:tc>
      </w:tr>
      <w:tr w:rsidR="002B41BB" w:rsidRPr="004E5A6E" w14:paraId="24630DD4" w14:textId="77777777" w:rsidTr="002B41BB">
        <w:trPr>
          <w:trHeight w:val="420"/>
        </w:trPr>
        <w:tc>
          <w:tcPr>
            <w:tcW w:w="1918" w:type="pct"/>
            <w:tcBorders>
              <w:top w:val="nil"/>
              <w:left w:val="double" w:sz="6" w:space="0" w:color="auto"/>
              <w:bottom w:val="dotted" w:sz="4" w:space="0" w:color="auto"/>
              <w:right w:val="nil"/>
            </w:tcBorders>
            <w:shd w:val="clear" w:color="000000" w:fill="FFFFFF"/>
            <w:vAlign w:val="center"/>
            <w:hideMark/>
          </w:tcPr>
          <w:p w14:paraId="68CEFD90" w14:textId="77777777" w:rsidR="002B41BB" w:rsidRPr="004E5A6E" w:rsidRDefault="002B41BB" w:rsidP="002B41BB">
            <w:pPr>
              <w:rPr>
                <w:color w:val="auto"/>
                <w:sz w:val="20"/>
                <w:szCs w:val="20"/>
                <w:lang w:val="sq-AL"/>
              </w:rPr>
            </w:pPr>
            <w:r w:rsidRPr="004E5A6E">
              <w:rPr>
                <w:color w:val="auto"/>
                <w:sz w:val="20"/>
                <w:szCs w:val="20"/>
                <w:lang w:val="sq-AL"/>
              </w:rPr>
              <w:t>6. Të Hyrat Totale</w:t>
            </w:r>
          </w:p>
        </w:tc>
        <w:tc>
          <w:tcPr>
            <w:tcW w:w="378" w:type="pct"/>
            <w:tcBorders>
              <w:top w:val="nil"/>
              <w:left w:val="single" w:sz="4" w:space="0" w:color="auto"/>
              <w:bottom w:val="dotted" w:sz="4" w:space="0" w:color="auto"/>
              <w:right w:val="single" w:sz="8" w:space="0" w:color="auto"/>
            </w:tcBorders>
            <w:shd w:val="clear" w:color="000000" w:fill="FFFFFF"/>
            <w:vAlign w:val="center"/>
            <w:hideMark/>
          </w:tcPr>
          <w:p w14:paraId="67E266E2" w14:textId="77777777" w:rsidR="002B41BB" w:rsidRPr="004E5A6E" w:rsidRDefault="002B41BB" w:rsidP="002B41BB">
            <w:pPr>
              <w:jc w:val="center"/>
              <w:rPr>
                <w:color w:val="auto"/>
                <w:sz w:val="20"/>
                <w:szCs w:val="20"/>
                <w:lang w:val="sq-AL"/>
              </w:rPr>
            </w:pPr>
            <w:r w:rsidRPr="004E5A6E">
              <w:rPr>
                <w:color w:val="auto"/>
                <w:sz w:val="20"/>
                <w:szCs w:val="20"/>
                <w:lang w:val="sq-AL"/>
              </w:rPr>
              <w:t>TR</w:t>
            </w:r>
          </w:p>
        </w:tc>
        <w:tc>
          <w:tcPr>
            <w:tcW w:w="451" w:type="pct"/>
            <w:tcBorders>
              <w:top w:val="nil"/>
              <w:left w:val="nil"/>
              <w:bottom w:val="dotted" w:sz="4" w:space="0" w:color="auto"/>
              <w:right w:val="single" w:sz="8" w:space="0" w:color="auto"/>
            </w:tcBorders>
            <w:shd w:val="clear" w:color="000000" w:fill="FFFFFF"/>
            <w:vAlign w:val="center"/>
            <w:hideMark/>
          </w:tcPr>
          <w:p w14:paraId="7391E9AE" w14:textId="77777777" w:rsidR="002B41BB" w:rsidRPr="004E5A6E" w:rsidRDefault="002B41BB" w:rsidP="002B41BB">
            <w:pPr>
              <w:jc w:val="center"/>
              <w:rPr>
                <w:color w:val="auto"/>
                <w:sz w:val="20"/>
                <w:szCs w:val="20"/>
                <w:lang w:val="sq-AL"/>
              </w:rPr>
            </w:pPr>
            <w:r w:rsidRPr="004E5A6E">
              <w:rPr>
                <w:color w:val="auto"/>
                <w:sz w:val="20"/>
                <w:szCs w:val="20"/>
                <w:lang w:val="sq-AL"/>
              </w:rPr>
              <w:t>1,885.5</w:t>
            </w:r>
          </w:p>
        </w:tc>
        <w:tc>
          <w:tcPr>
            <w:tcW w:w="451" w:type="pct"/>
            <w:tcBorders>
              <w:top w:val="nil"/>
              <w:left w:val="nil"/>
              <w:bottom w:val="dotted" w:sz="4" w:space="0" w:color="auto"/>
              <w:right w:val="dotted" w:sz="4" w:space="0" w:color="auto"/>
            </w:tcBorders>
            <w:shd w:val="clear" w:color="000000" w:fill="FFFFFF"/>
            <w:vAlign w:val="center"/>
            <w:hideMark/>
          </w:tcPr>
          <w:p w14:paraId="3FBEA289" w14:textId="77777777" w:rsidR="002B41BB" w:rsidRPr="004E5A6E" w:rsidRDefault="002B41BB" w:rsidP="002B41BB">
            <w:pPr>
              <w:jc w:val="center"/>
              <w:rPr>
                <w:color w:val="auto"/>
                <w:sz w:val="20"/>
                <w:szCs w:val="20"/>
                <w:lang w:val="sq-AL"/>
              </w:rPr>
            </w:pPr>
            <w:r w:rsidRPr="004E5A6E">
              <w:rPr>
                <w:color w:val="auto"/>
                <w:sz w:val="20"/>
                <w:szCs w:val="20"/>
                <w:lang w:val="sq-AL"/>
              </w:rPr>
              <w:t>26.5</w:t>
            </w:r>
          </w:p>
        </w:tc>
        <w:tc>
          <w:tcPr>
            <w:tcW w:w="451" w:type="pct"/>
            <w:tcBorders>
              <w:top w:val="nil"/>
              <w:left w:val="nil"/>
              <w:bottom w:val="dotted" w:sz="4" w:space="0" w:color="auto"/>
              <w:right w:val="dotted" w:sz="4" w:space="0" w:color="auto"/>
            </w:tcBorders>
            <w:shd w:val="clear" w:color="000000" w:fill="FFFFFF"/>
            <w:vAlign w:val="center"/>
            <w:hideMark/>
          </w:tcPr>
          <w:p w14:paraId="0F6E3205" w14:textId="77777777" w:rsidR="002B41BB" w:rsidRPr="004E5A6E" w:rsidRDefault="002B41BB" w:rsidP="002B41BB">
            <w:pPr>
              <w:jc w:val="center"/>
              <w:rPr>
                <w:color w:val="auto"/>
                <w:sz w:val="20"/>
                <w:szCs w:val="20"/>
                <w:lang w:val="sq-AL"/>
              </w:rPr>
            </w:pPr>
            <w:r w:rsidRPr="004E5A6E">
              <w:rPr>
                <w:color w:val="auto"/>
                <w:sz w:val="20"/>
                <w:szCs w:val="20"/>
                <w:lang w:val="sq-AL"/>
              </w:rPr>
              <w:t>28.3</w:t>
            </w:r>
          </w:p>
        </w:tc>
        <w:tc>
          <w:tcPr>
            <w:tcW w:w="451" w:type="pct"/>
            <w:tcBorders>
              <w:top w:val="nil"/>
              <w:left w:val="nil"/>
              <w:bottom w:val="dotted" w:sz="4" w:space="0" w:color="auto"/>
              <w:right w:val="dotted" w:sz="4" w:space="0" w:color="auto"/>
            </w:tcBorders>
            <w:shd w:val="clear" w:color="000000" w:fill="FFFFFF"/>
            <w:vAlign w:val="center"/>
            <w:hideMark/>
          </w:tcPr>
          <w:p w14:paraId="1181B1E7" w14:textId="77777777" w:rsidR="002B41BB" w:rsidRPr="004E5A6E" w:rsidRDefault="002B41BB" w:rsidP="002B41BB">
            <w:pPr>
              <w:jc w:val="center"/>
              <w:rPr>
                <w:color w:val="auto"/>
                <w:sz w:val="20"/>
                <w:szCs w:val="20"/>
                <w:lang w:val="sq-AL"/>
              </w:rPr>
            </w:pPr>
            <w:r w:rsidRPr="004E5A6E">
              <w:rPr>
                <w:color w:val="auto"/>
                <w:sz w:val="20"/>
                <w:szCs w:val="20"/>
                <w:lang w:val="sq-AL"/>
              </w:rPr>
              <w:t>26.4</w:t>
            </w:r>
          </w:p>
        </w:tc>
        <w:tc>
          <w:tcPr>
            <w:tcW w:w="451" w:type="pct"/>
            <w:tcBorders>
              <w:top w:val="nil"/>
              <w:left w:val="nil"/>
              <w:bottom w:val="dotted" w:sz="4" w:space="0" w:color="auto"/>
              <w:right w:val="dotted" w:sz="4" w:space="0" w:color="auto"/>
            </w:tcBorders>
            <w:shd w:val="clear" w:color="000000" w:fill="FFFFFF"/>
            <w:vAlign w:val="center"/>
            <w:hideMark/>
          </w:tcPr>
          <w:p w14:paraId="3792945B" w14:textId="77777777" w:rsidR="002B41BB" w:rsidRPr="004E5A6E" w:rsidRDefault="002B41BB" w:rsidP="002B41BB">
            <w:pPr>
              <w:jc w:val="center"/>
              <w:rPr>
                <w:color w:val="auto"/>
                <w:sz w:val="20"/>
                <w:szCs w:val="20"/>
                <w:lang w:val="sq-AL"/>
              </w:rPr>
            </w:pPr>
            <w:r w:rsidRPr="004E5A6E">
              <w:rPr>
                <w:color w:val="auto"/>
                <w:sz w:val="20"/>
                <w:szCs w:val="20"/>
                <w:lang w:val="sq-AL"/>
              </w:rPr>
              <w:t>26.7</w:t>
            </w:r>
          </w:p>
        </w:tc>
        <w:tc>
          <w:tcPr>
            <w:tcW w:w="451" w:type="pct"/>
            <w:tcBorders>
              <w:top w:val="nil"/>
              <w:left w:val="nil"/>
              <w:bottom w:val="dotted" w:sz="4" w:space="0" w:color="auto"/>
              <w:right w:val="double" w:sz="6" w:space="0" w:color="auto"/>
            </w:tcBorders>
            <w:shd w:val="clear" w:color="000000" w:fill="FFFFFF"/>
            <w:vAlign w:val="center"/>
            <w:hideMark/>
          </w:tcPr>
          <w:p w14:paraId="0D522BB2" w14:textId="77777777" w:rsidR="002B41BB" w:rsidRPr="004E5A6E" w:rsidRDefault="002B41BB" w:rsidP="002B41BB">
            <w:pPr>
              <w:jc w:val="center"/>
              <w:rPr>
                <w:color w:val="auto"/>
                <w:sz w:val="20"/>
                <w:szCs w:val="20"/>
                <w:lang w:val="sq-AL"/>
              </w:rPr>
            </w:pPr>
            <w:r w:rsidRPr="004E5A6E">
              <w:rPr>
                <w:color w:val="auto"/>
                <w:sz w:val="20"/>
                <w:szCs w:val="20"/>
                <w:lang w:val="sq-AL"/>
              </w:rPr>
              <w:t>26.5</w:t>
            </w:r>
          </w:p>
        </w:tc>
      </w:tr>
      <w:tr w:rsidR="002B41BB" w:rsidRPr="004E5A6E" w14:paraId="03C6D670" w14:textId="77777777" w:rsidTr="002B41BB">
        <w:trPr>
          <w:trHeight w:val="420"/>
        </w:trPr>
        <w:tc>
          <w:tcPr>
            <w:tcW w:w="1918" w:type="pct"/>
            <w:tcBorders>
              <w:top w:val="nil"/>
              <w:left w:val="double" w:sz="6" w:space="0" w:color="auto"/>
              <w:bottom w:val="dotted" w:sz="4" w:space="0" w:color="auto"/>
              <w:right w:val="nil"/>
            </w:tcBorders>
            <w:shd w:val="clear" w:color="000000" w:fill="FFFFFF"/>
            <w:vAlign w:val="center"/>
            <w:hideMark/>
          </w:tcPr>
          <w:p w14:paraId="07164068" w14:textId="77777777" w:rsidR="002B41BB" w:rsidRPr="004E5A6E" w:rsidRDefault="002B41BB" w:rsidP="002B41BB">
            <w:pPr>
              <w:rPr>
                <w:color w:val="auto"/>
                <w:sz w:val="20"/>
                <w:szCs w:val="20"/>
                <w:lang w:val="sq-AL"/>
              </w:rPr>
            </w:pPr>
            <w:r w:rsidRPr="004E5A6E">
              <w:rPr>
                <w:color w:val="auto"/>
                <w:sz w:val="20"/>
                <w:szCs w:val="20"/>
                <w:lang w:val="sq-AL"/>
              </w:rPr>
              <w:t>7. Shpenzimet Totale[1]</w:t>
            </w:r>
          </w:p>
        </w:tc>
        <w:tc>
          <w:tcPr>
            <w:tcW w:w="378" w:type="pct"/>
            <w:tcBorders>
              <w:top w:val="nil"/>
              <w:left w:val="single" w:sz="4" w:space="0" w:color="auto"/>
              <w:bottom w:val="dotted" w:sz="4" w:space="0" w:color="auto"/>
              <w:right w:val="single" w:sz="8" w:space="0" w:color="auto"/>
            </w:tcBorders>
            <w:shd w:val="clear" w:color="000000" w:fill="FFFFFF"/>
            <w:vAlign w:val="center"/>
            <w:hideMark/>
          </w:tcPr>
          <w:p w14:paraId="7BB186B5" w14:textId="77777777" w:rsidR="002B41BB" w:rsidRPr="004E5A6E" w:rsidRDefault="002B41BB" w:rsidP="002B41BB">
            <w:pPr>
              <w:jc w:val="center"/>
              <w:rPr>
                <w:color w:val="auto"/>
                <w:sz w:val="20"/>
                <w:szCs w:val="20"/>
                <w:lang w:val="sq-AL"/>
              </w:rPr>
            </w:pPr>
            <w:r w:rsidRPr="004E5A6E">
              <w:rPr>
                <w:color w:val="auto"/>
                <w:sz w:val="20"/>
                <w:szCs w:val="20"/>
                <w:lang w:val="sq-AL"/>
              </w:rPr>
              <w:t>TE</w:t>
            </w:r>
          </w:p>
        </w:tc>
        <w:tc>
          <w:tcPr>
            <w:tcW w:w="451" w:type="pct"/>
            <w:tcBorders>
              <w:top w:val="nil"/>
              <w:left w:val="nil"/>
              <w:bottom w:val="dotted" w:sz="4" w:space="0" w:color="auto"/>
              <w:right w:val="single" w:sz="8" w:space="0" w:color="auto"/>
            </w:tcBorders>
            <w:shd w:val="clear" w:color="000000" w:fill="FFFFFF"/>
            <w:vAlign w:val="center"/>
            <w:hideMark/>
          </w:tcPr>
          <w:p w14:paraId="6489BF0B" w14:textId="77777777" w:rsidR="002B41BB" w:rsidRPr="004E5A6E" w:rsidRDefault="002B41BB" w:rsidP="002B41BB">
            <w:pPr>
              <w:jc w:val="center"/>
              <w:rPr>
                <w:color w:val="auto"/>
                <w:sz w:val="20"/>
                <w:szCs w:val="20"/>
                <w:lang w:val="sq-AL"/>
              </w:rPr>
            </w:pPr>
            <w:r w:rsidRPr="004E5A6E">
              <w:rPr>
                <w:color w:val="auto"/>
                <w:sz w:val="20"/>
                <w:szCs w:val="20"/>
                <w:lang w:val="sq-AL"/>
              </w:rPr>
              <w:t>2,090.9</w:t>
            </w:r>
          </w:p>
        </w:tc>
        <w:tc>
          <w:tcPr>
            <w:tcW w:w="451" w:type="pct"/>
            <w:tcBorders>
              <w:top w:val="nil"/>
              <w:left w:val="nil"/>
              <w:bottom w:val="dotted" w:sz="4" w:space="0" w:color="auto"/>
              <w:right w:val="dotted" w:sz="4" w:space="0" w:color="auto"/>
            </w:tcBorders>
            <w:shd w:val="clear" w:color="000000" w:fill="FFFFFF"/>
            <w:vAlign w:val="center"/>
            <w:hideMark/>
          </w:tcPr>
          <w:p w14:paraId="1372FB6A" w14:textId="77777777" w:rsidR="002B41BB" w:rsidRPr="004E5A6E" w:rsidRDefault="002B41BB" w:rsidP="002B41BB">
            <w:pPr>
              <w:jc w:val="center"/>
              <w:rPr>
                <w:color w:val="auto"/>
                <w:sz w:val="20"/>
                <w:szCs w:val="20"/>
                <w:lang w:val="sq-AL"/>
              </w:rPr>
            </w:pPr>
            <w:r w:rsidRPr="004E5A6E">
              <w:rPr>
                <w:color w:val="auto"/>
                <w:sz w:val="20"/>
                <w:szCs w:val="20"/>
                <w:lang w:val="sq-AL"/>
              </w:rPr>
              <w:t>29.4</w:t>
            </w:r>
          </w:p>
        </w:tc>
        <w:tc>
          <w:tcPr>
            <w:tcW w:w="451" w:type="pct"/>
            <w:tcBorders>
              <w:top w:val="nil"/>
              <w:left w:val="nil"/>
              <w:bottom w:val="dotted" w:sz="4" w:space="0" w:color="auto"/>
              <w:right w:val="dotted" w:sz="4" w:space="0" w:color="auto"/>
            </w:tcBorders>
            <w:shd w:val="clear" w:color="000000" w:fill="FFFFFF"/>
            <w:vAlign w:val="center"/>
            <w:hideMark/>
          </w:tcPr>
          <w:p w14:paraId="3D23D2FF" w14:textId="77777777" w:rsidR="002B41BB" w:rsidRPr="004E5A6E" w:rsidRDefault="002B41BB" w:rsidP="002B41BB">
            <w:pPr>
              <w:jc w:val="center"/>
              <w:rPr>
                <w:color w:val="auto"/>
                <w:sz w:val="20"/>
                <w:szCs w:val="20"/>
                <w:lang w:val="sq-AL"/>
              </w:rPr>
            </w:pPr>
            <w:r w:rsidRPr="004E5A6E">
              <w:rPr>
                <w:color w:val="auto"/>
                <w:sz w:val="20"/>
                <w:szCs w:val="20"/>
                <w:lang w:val="sq-AL"/>
              </w:rPr>
              <w:t>32.1</w:t>
            </w:r>
          </w:p>
        </w:tc>
        <w:tc>
          <w:tcPr>
            <w:tcW w:w="451" w:type="pct"/>
            <w:tcBorders>
              <w:top w:val="nil"/>
              <w:left w:val="nil"/>
              <w:bottom w:val="dotted" w:sz="4" w:space="0" w:color="auto"/>
              <w:right w:val="dotted" w:sz="4" w:space="0" w:color="auto"/>
            </w:tcBorders>
            <w:shd w:val="clear" w:color="000000" w:fill="FFFFFF"/>
            <w:vAlign w:val="center"/>
            <w:hideMark/>
          </w:tcPr>
          <w:p w14:paraId="22625109" w14:textId="77777777" w:rsidR="002B41BB" w:rsidRPr="004E5A6E" w:rsidRDefault="002B41BB" w:rsidP="002B41BB">
            <w:pPr>
              <w:jc w:val="center"/>
              <w:rPr>
                <w:color w:val="auto"/>
                <w:sz w:val="20"/>
                <w:szCs w:val="20"/>
                <w:lang w:val="sq-AL"/>
              </w:rPr>
            </w:pPr>
            <w:r w:rsidRPr="004E5A6E">
              <w:rPr>
                <w:color w:val="auto"/>
                <w:sz w:val="20"/>
                <w:szCs w:val="20"/>
                <w:lang w:val="sq-AL"/>
              </w:rPr>
              <w:t>33.8</w:t>
            </w:r>
          </w:p>
        </w:tc>
        <w:tc>
          <w:tcPr>
            <w:tcW w:w="451" w:type="pct"/>
            <w:tcBorders>
              <w:top w:val="nil"/>
              <w:left w:val="nil"/>
              <w:bottom w:val="dotted" w:sz="4" w:space="0" w:color="auto"/>
              <w:right w:val="dotted" w:sz="4" w:space="0" w:color="auto"/>
            </w:tcBorders>
            <w:shd w:val="clear" w:color="000000" w:fill="FFFFFF"/>
            <w:vAlign w:val="center"/>
            <w:hideMark/>
          </w:tcPr>
          <w:p w14:paraId="30CB9C4A" w14:textId="77777777" w:rsidR="002B41BB" w:rsidRPr="004E5A6E" w:rsidRDefault="002B41BB" w:rsidP="002B41BB">
            <w:pPr>
              <w:jc w:val="center"/>
              <w:rPr>
                <w:color w:val="auto"/>
                <w:sz w:val="20"/>
                <w:szCs w:val="20"/>
                <w:lang w:val="sq-AL"/>
              </w:rPr>
            </w:pPr>
            <w:r w:rsidRPr="004E5A6E">
              <w:rPr>
                <w:color w:val="auto"/>
                <w:sz w:val="20"/>
                <w:szCs w:val="20"/>
                <w:lang w:val="sq-AL"/>
              </w:rPr>
              <w:t>31.6</w:t>
            </w:r>
          </w:p>
        </w:tc>
        <w:tc>
          <w:tcPr>
            <w:tcW w:w="451" w:type="pct"/>
            <w:tcBorders>
              <w:top w:val="nil"/>
              <w:left w:val="nil"/>
              <w:bottom w:val="dotted" w:sz="4" w:space="0" w:color="auto"/>
              <w:right w:val="double" w:sz="6" w:space="0" w:color="auto"/>
            </w:tcBorders>
            <w:shd w:val="clear" w:color="000000" w:fill="FFFFFF"/>
            <w:vAlign w:val="center"/>
            <w:hideMark/>
          </w:tcPr>
          <w:p w14:paraId="0E378A71" w14:textId="77777777" w:rsidR="002B41BB" w:rsidRPr="004E5A6E" w:rsidRDefault="002B41BB" w:rsidP="002B41BB">
            <w:pPr>
              <w:jc w:val="center"/>
              <w:rPr>
                <w:color w:val="auto"/>
                <w:sz w:val="20"/>
                <w:szCs w:val="20"/>
                <w:lang w:val="sq-AL"/>
              </w:rPr>
            </w:pPr>
            <w:r w:rsidRPr="004E5A6E">
              <w:rPr>
                <w:color w:val="auto"/>
                <w:sz w:val="20"/>
                <w:szCs w:val="20"/>
                <w:lang w:val="sq-AL"/>
              </w:rPr>
              <w:t>30.7</w:t>
            </w:r>
          </w:p>
        </w:tc>
      </w:tr>
      <w:tr w:rsidR="002B41BB" w:rsidRPr="004E5A6E" w14:paraId="6B1D585D" w14:textId="77777777" w:rsidTr="002B41BB">
        <w:trPr>
          <w:trHeight w:val="420"/>
        </w:trPr>
        <w:tc>
          <w:tcPr>
            <w:tcW w:w="1918" w:type="pct"/>
            <w:tcBorders>
              <w:top w:val="nil"/>
              <w:left w:val="double" w:sz="6" w:space="0" w:color="auto"/>
              <w:bottom w:val="dotted" w:sz="4" w:space="0" w:color="auto"/>
              <w:right w:val="nil"/>
            </w:tcBorders>
            <w:shd w:val="clear" w:color="000000" w:fill="FFFFFF"/>
            <w:vAlign w:val="center"/>
            <w:hideMark/>
          </w:tcPr>
          <w:p w14:paraId="7E1D41CD" w14:textId="77777777" w:rsidR="002B41BB" w:rsidRPr="004E5A6E" w:rsidRDefault="002B41BB" w:rsidP="002B41BB">
            <w:pPr>
              <w:rPr>
                <w:color w:val="auto"/>
                <w:sz w:val="20"/>
                <w:szCs w:val="20"/>
                <w:lang w:val="sq-AL"/>
              </w:rPr>
            </w:pPr>
            <w:r w:rsidRPr="004E5A6E">
              <w:rPr>
                <w:color w:val="auto"/>
                <w:sz w:val="20"/>
                <w:szCs w:val="20"/>
                <w:lang w:val="sq-AL"/>
              </w:rPr>
              <w:t>8. Neto Huamarrja/Huadhënja</w:t>
            </w:r>
          </w:p>
        </w:tc>
        <w:tc>
          <w:tcPr>
            <w:tcW w:w="378" w:type="pct"/>
            <w:tcBorders>
              <w:top w:val="nil"/>
              <w:left w:val="single" w:sz="4" w:space="0" w:color="auto"/>
              <w:bottom w:val="dotted" w:sz="4" w:space="0" w:color="auto"/>
              <w:right w:val="single" w:sz="8" w:space="0" w:color="auto"/>
            </w:tcBorders>
            <w:shd w:val="clear" w:color="000000" w:fill="FFFFFF"/>
            <w:vAlign w:val="center"/>
            <w:hideMark/>
          </w:tcPr>
          <w:p w14:paraId="437261BD" w14:textId="77777777" w:rsidR="002B41BB" w:rsidRPr="004E5A6E" w:rsidRDefault="002B41BB" w:rsidP="002B41BB">
            <w:pPr>
              <w:jc w:val="center"/>
              <w:rPr>
                <w:color w:val="auto"/>
                <w:sz w:val="20"/>
                <w:szCs w:val="20"/>
                <w:lang w:val="sq-AL"/>
              </w:rPr>
            </w:pPr>
            <w:r w:rsidRPr="004E5A6E">
              <w:rPr>
                <w:color w:val="auto"/>
                <w:sz w:val="20"/>
                <w:szCs w:val="20"/>
                <w:lang w:val="sq-AL"/>
              </w:rPr>
              <w:t>EDP.B9</w:t>
            </w:r>
          </w:p>
        </w:tc>
        <w:tc>
          <w:tcPr>
            <w:tcW w:w="451" w:type="pct"/>
            <w:tcBorders>
              <w:top w:val="nil"/>
              <w:left w:val="nil"/>
              <w:bottom w:val="dotted" w:sz="4" w:space="0" w:color="auto"/>
              <w:right w:val="single" w:sz="8" w:space="0" w:color="auto"/>
            </w:tcBorders>
            <w:shd w:val="clear" w:color="000000" w:fill="FFFFFF"/>
            <w:vAlign w:val="center"/>
            <w:hideMark/>
          </w:tcPr>
          <w:p w14:paraId="161C6AB3" w14:textId="77777777" w:rsidR="002B41BB" w:rsidRPr="004E5A6E" w:rsidRDefault="002B41BB" w:rsidP="002B41BB">
            <w:pPr>
              <w:jc w:val="center"/>
              <w:rPr>
                <w:color w:val="auto"/>
                <w:sz w:val="20"/>
                <w:szCs w:val="20"/>
                <w:lang w:val="sq-AL"/>
              </w:rPr>
            </w:pPr>
            <w:r w:rsidRPr="004E5A6E">
              <w:rPr>
                <w:color w:val="auto"/>
                <w:sz w:val="20"/>
                <w:szCs w:val="20"/>
                <w:lang w:val="sq-AL"/>
              </w:rPr>
              <w:t>-205.4</w:t>
            </w:r>
          </w:p>
        </w:tc>
        <w:tc>
          <w:tcPr>
            <w:tcW w:w="451" w:type="pct"/>
            <w:tcBorders>
              <w:top w:val="nil"/>
              <w:left w:val="nil"/>
              <w:bottom w:val="dotted" w:sz="4" w:space="0" w:color="auto"/>
              <w:right w:val="dotted" w:sz="4" w:space="0" w:color="auto"/>
            </w:tcBorders>
            <w:shd w:val="clear" w:color="000000" w:fill="FFFFFF"/>
            <w:vAlign w:val="center"/>
            <w:hideMark/>
          </w:tcPr>
          <w:p w14:paraId="5B36231A" w14:textId="77777777" w:rsidR="002B41BB" w:rsidRPr="004E5A6E" w:rsidRDefault="002B41BB" w:rsidP="002B41BB">
            <w:pPr>
              <w:jc w:val="center"/>
              <w:rPr>
                <w:color w:val="auto"/>
                <w:sz w:val="20"/>
                <w:szCs w:val="20"/>
                <w:lang w:val="sq-AL"/>
              </w:rPr>
            </w:pPr>
            <w:r w:rsidRPr="004E5A6E">
              <w:rPr>
                <w:color w:val="auto"/>
                <w:sz w:val="20"/>
                <w:szCs w:val="20"/>
                <w:lang w:val="sq-AL"/>
              </w:rPr>
              <w:t>-2.9</w:t>
            </w:r>
          </w:p>
        </w:tc>
        <w:tc>
          <w:tcPr>
            <w:tcW w:w="451" w:type="pct"/>
            <w:tcBorders>
              <w:top w:val="nil"/>
              <w:left w:val="nil"/>
              <w:bottom w:val="dotted" w:sz="4" w:space="0" w:color="auto"/>
              <w:right w:val="dotted" w:sz="4" w:space="0" w:color="auto"/>
            </w:tcBorders>
            <w:shd w:val="clear" w:color="000000" w:fill="FFFFFF"/>
            <w:vAlign w:val="center"/>
            <w:hideMark/>
          </w:tcPr>
          <w:p w14:paraId="46ED80A0" w14:textId="77777777" w:rsidR="002B41BB" w:rsidRPr="004E5A6E" w:rsidRDefault="002B41BB" w:rsidP="002B41BB">
            <w:pPr>
              <w:jc w:val="center"/>
              <w:rPr>
                <w:color w:val="auto"/>
                <w:sz w:val="20"/>
                <w:szCs w:val="20"/>
                <w:lang w:val="sq-AL"/>
              </w:rPr>
            </w:pPr>
            <w:r w:rsidRPr="004E5A6E">
              <w:rPr>
                <w:color w:val="auto"/>
                <w:sz w:val="20"/>
                <w:szCs w:val="20"/>
                <w:lang w:val="sq-AL"/>
              </w:rPr>
              <w:t>-3.8</w:t>
            </w:r>
          </w:p>
        </w:tc>
        <w:tc>
          <w:tcPr>
            <w:tcW w:w="451" w:type="pct"/>
            <w:tcBorders>
              <w:top w:val="nil"/>
              <w:left w:val="nil"/>
              <w:bottom w:val="dotted" w:sz="4" w:space="0" w:color="auto"/>
              <w:right w:val="dotted" w:sz="4" w:space="0" w:color="auto"/>
            </w:tcBorders>
            <w:shd w:val="clear" w:color="000000" w:fill="FFFFFF"/>
            <w:vAlign w:val="center"/>
            <w:hideMark/>
          </w:tcPr>
          <w:p w14:paraId="206C4E59" w14:textId="77777777" w:rsidR="002B41BB" w:rsidRPr="004E5A6E" w:rsidRDefault="002B41BB" w:rsidP="002B41BB">
            <w:pPr>
              <w:jc w:val="center"/>
              <w:rPr>
                <w:color w:val="auto"/>
                <w:sz w:val="20"/>
                <w:szCs w:val="20"/>
                <w:lang w:val="sq-AL"/>
              </w:rPr>
            </w:pPr>
            <w:r w:rsidRPr="004E5A6E">
              <w:rPr>
                <w:color w:val="auto"/>
                <w:sz w:val="20"/>
                <w:szCs w:val="20"/>
                <w:lang w:val="sq-AL"/>
              </w:rPr>
              <w:t>-7.4</w:t>
            </w:r>
          </w:p>
        </w:tc>
        <w:tc>
          <w:tcPr>
            <w:tcW w:w="451" w:type="pct"/>
            <w:tcBorders>
              <w:top w:val="nil"/>
              <w:left w:val="nil"/>
              <w:bottom w:val="dotted" w:sz="4" w:space="0" w:color="auto"/>
              <w:right w:val="dotted" w:sz="4" w:space="0" w:color="auto"/>
            </w:tcBorders>
            <w:shd w:val="clear" w:color="000000" w:fill="FFFFFF"/>
            <w:vAlign w:val="center"/>
            <w:hideMark/>
          </w:tcPr>
          <w:p w14:paraId="76066619" w14:textId="77777777" w:rsidR="002B41BB" w:rsidRPr="004E5A6E" w:rsidRDefault="002B41BB" w:rsidP="002B41BB">
            <w:pPr>
              <w:jc w:val="center"/>
              <w:rPr>
                <w:color w:val="auto"/>
                <w:sz w:val="20"/>
                <w:szCs w:val="20"/>
                <w:lang w:val="sq-AL"/>
              </w:rPr>
            </w:pPr>
            <w:r w:rsidRPr="004E5A6E">
              <w:rPr>
                <w:color w:val="auto"/>
                <w:sz w:val="20"/>
                <w:szCs w:val="20"/>
                <w:lang w:val="sq-AL"/>
              </w:rPr>
              <w:t>-5.0</w:t>
            </w:r>
          </w:p>
        </w:tc>
        <w:tc>
          <w:tcPr>
            <w:tcW w:w="451" w:type="pct"/>
            <w:tcBorders>
              <w:top w:val="nil"/>
              <w:left w:val="nil"/>
              <w:bottom w:val="dotted" w:sz="4" w:space="0" w:color="auto"/>
              <w:right w:val="double" w:sz="6" w:space="0" w:color="auto"/>
            </w:tcBorders>
            <w:shd w:val="clear" w:color="000000" w:fill="FFFFFF"/>
            <w:vAlign w:val="center"/>
            <w:hideMark/>
          </w:tcPr>
          <w:p w14:paraId="6E87CF01" w14:textId="77777777" w:rsidR="002B41BB" w:rsidRPr="004E5A6E" w:rsidRDefault="002B41BB" w:rsidP="002B41BB">
            <w:pPr>
              <w:jc w:val="center"/>
              <w:rPr>
                <w:color w:val="auto"/>
                <w:sz w:val="20"/>
                <w:szCs w:val="20"/>
                <w:lang w:val="sq-AL"/>
              </w:rPr>
            </w:pPr>
            <w:r w:rsidRPr="004E5A6E">
              <w:rPr>
                <w:color w:val="auto"/>
                <w:sz w:val="20"/>
                <w:szCs w:val="20"/>
                <w:lang w:val="sq-AL"/>
              </w:rPr>
              <w:t>-4.2</w:t>
            </w:r>
          </w:p>
        </w:tc>
      </w:tr>
      <w:tr w:rsidR="002B41BB" w:rsidRPr="004E5A6E" w14:paraId="5D4BF397" w14:textId="77777777" w:rsidTr="002B41BB">
        <w:trPr>
          <w:trHeight w:val="465"/>
        </w:trPr>
        <w:tc>
          <w:tcPr>
            <w:tcW w:w="1918" w:type="pct"/>
            <w:tcBorders>
              <w:top w:val="nil"/>
              <w:left w:val="double" w:sz="6" w:space="0" w:color="auto"/>
              <w:bottom w:val="dotted" w:sz="4" w:space="0" w:color="auto"/>
              <w:right w:val="nil"/>
            </w:tcBorders>
            <w:shd w:val="clear" w:color="000000" w:fill="FFFFFF"/>
            <w:vAlign w:val="center"/>
            <w:hideMark/>
          </w:tcPr>
          <w:p w14:paraId="5FD3E37D" w14:textId="77777777" w:rsidR="002B41BB" w:rsidRPr="004E5A6E" w:rsidRDefault="002B41BB" w:rsidP="002B41BB">
            <w:pPr>
              <w:rPr>
                <w:color w:val="auto"/>
                <w:sz w:val="20"/>
                <w:szCs w:val="20"/>
                <w:lang w:val="sq-AL"/>
              </w:rPr>
            </w:pPr>
            <w:r w:rsidRPr="004E5A6E">
              <w:rPr>
                <w:color w:val="auto"/>
                <w:sz w:val="20"/>
                <w:szCs w:val="20"/>
                <w:lang w:val="sq-AL"/>
              </w:rPr>
              <w:t>9. Shpenzimet e Interesit</w:t>
            </w:r>
          </w:p>
        </w:tc>
        <w:tc>
          <w:tcPr>
            <w:tcW w:w="378" w:type="pct"/>
            <w:tcBorders>
              <w:top w:val="nil"/>
              <w:left w:val="single" w:sz="4" w:space="0" w:color="auto"/>
              <w:bottom w:val="dotted" w:sz="4" w:space="0" w:color="auto"/>
              <w:right w:val="single" w:sz="8" w:space="0" w:color="auto"/>
            </w:tcBorders>
            <w:shd w:val="clear" w:color="000000" w:fill="FFFFFF"/>
            <w:vAlign w:val="center"/>
            <w:hideMark/>
          </w:tcPr>
          <w:p w14:paraId="5ECB2E6A" w14:textId="77777777" w:rsidR="002B41BB" w:rsidRPr="004E5A6E" w:rsidRDefault="002B41BB" w:rsidP="002B41BB">
            <w:pPr>
              <w:jc w:val="center"/>
              <w:rPr>
                <w:color w:val="auto"/>
                <w:sz w:val="20"/>
                <w:szCs w:val="20"/>
                <w:lang w:val="sq-AL"/>
              </w:rPr>
            </w:pPr>
            <w:r w:rsidRPr="004E5A6E">
              <w:rPr>
                <w:color w:val="auto"/>
                <w:sz w:val="20"/>
                <w:szCs w:val="20"/>
                <w:lang w:val="sq-AL"/>
              </w:rPr>
              <w:t xml:space="preserve">EDP.D41 </w:t>
            </w:r>
          </w:p>
        </w:tc>
        <w:tc>
          <w:tcPr>
            <w:tcW w:w="451" w:type="pct"/>
            <w:tcBorders>
              <w:top w:val="nil"/>
              <w:left w:val="nil"/>
              <w:bottom w:val="dotted" w:sz="4" w:space="0" w:color="auto"/>
              <w:right w:val="single" w:sz="8" w:space="0" w:color="auto"/>
            </w:tcBorders>
            <w:shd w:val="clear" w:color="000000" w:fill="FFFFFF"/>
            <w:vAlign w:val="center"/>
            <w:hideMark/>
          </w:tcPr>
          <w:p w14:paraId="33C089F3" w14:textId="77777777" w:rsidR="002B41BB" w:rsidRPr="004E5A6E" w:rsidRDefault="002B41BB" w:rsidP="002B41BB">
            <w:pPr>
              <w:jc w:val="center"/>
              <w:rPr>
                <w:color w:val="auto"/>
                <w:sz w:val="20"/>
                <w:szCs w:val="20"/>
                <w:lang w:val="sq-AL"/>
              </w:rPr>
            </w:pPr>
            <w:r w:rsidRPr="004E5A6E">
              <w:rPr>
                <w:color w:val="auto"/>
                <w:sz w:val="20"/>
                <w:szCs w:val="20"/>
                <w:lang w:val="sq-AL"/>
              </w:rPr>
              <w:t>23.4</w:t>
            </w:r>
          </w:p>
        </w:tc>
        <w:tc>
          <w:tcPr>
            <w:tcW w:w="451" w:type="pct"/>
            <w:tcBorders>
              <w:top w:val="nil"/>
              <w:left w:val="nil"/>
              <w:bottom w:val="dotted" w:sz="4" w:space="0" w:color="auto"/>
              <w:right w:val="dotted" w:sz="4" w:space="0" w:color="auto"/>
            </w:tcBorders>
            <w:shd w:val="clear" w:color="000000" w:fill="FFFFFF"/>
            <w:vAlign w:val="center"/>
            <w:hideMark/>
          </w:tcPr>
          <w:p w14:paraId="7C790943" w14:textId="77777777" w:rsidR="002B41BB" w:rsidRPr="004E5A6E" w:rsidRDefault="002B41BB" w:rsidP="002B41BB">
            <w:pPr>
              <w:jc w:val="center"/>
              <w:rPr>
                <w:color w:val="auto"/>
                <w:sz w:val="20"/>
                <w:szCs w:val="20"/>
                <w:lang w:val="sq-AL"/>
              </w:rPr>
            </w:pPr>
            <w:r w:rsidRPr="004E5A6E">
              <w:rPr>
                <w:color w:val="auto"/>
                <w:sz w:val="20"/>
                <w:szCs w:val="20"/>
                <w:lang w:val="sq-AL"/>
              </w:rPr>
              <w:t>0.3</w:t>
            </w:r>
          </w:p>
        </w:tc>
        <w:tc>
          <w:tcPr>
            <w:tcW w:w="451" w:type="pct"/>
            <w:tcBorders>
              <w:top w:val="nil"/>
              <w:left w:val="nil"/>
              <w:bottom w:val="dotted" w:sz="4" w:space="0" w:color="auto"/>
              <w:right w:val="dotted" w:sz="4" w:space="0" w:color="auto"/>
            </w:tcBorders>
            <w:shd w:val="clear" w:color="000000" w:fill="FFFFFF"/>
            <w:vAlign w:val="center"/>
            <w:hideMark/>
          </w:tcPr>
          <w:p w14:paraId="4A655550" w14:textId="77777777" w:rsidR="002B41BB" w:rsidRPr="004E5A6E" w:rsidRDefault="002B41BB" w:rsidP="002B41BB">
            <w:pPr>
              <w:jc w:val="center"/>
              <w:rPr>
                <w:color w:val="auto"/>
                <w:sz w:val="20"/>
                <w:szCs w:val="20"/>
                <w:lang w:val="sq-AL"/>
              </w:rPr>
            </w:pPr>
            <w:r w:rsidRPr="004E5A6E">
              <w:rPr>
                <w:color w:val="auto"/>
                <w:sz w:val="20"/>
                <w:szCs w:val="20"/>
                <w:lang w:val="sq-AL"/>
              </w:rPr>
              <w:t>0.4</w:t>
            </w:r>
          </w:p>
        </w:tc>
        <w:tc>
          <w:tcPr>
            <w:tcW w:w="451" w:type="pct"/>
            <w:tcBorders>
              <w:top w:val="nil"/>
              <w:left w:val="nil"/>
              <w:bottom w:val="dotted" w:sz="4" w:space="0" w:color="auto"/>
              <w:right w:val="dotted" w:sz="4" w:space="0" w:color="auto"/>
            </w:tcBorders>
            <w:shd w:val="clear" w:color="000000" w:fill="FFFFFF"/>
            <w:vAlign w:val="center"/>
            <w:hideMark/>
          </w:tcPr>
          <w:p w14:paraId="2C86AF36" w14:textId="77777777" w:rsidR="002B41BB" w:rsidRPr="004E5A6E" w:rsidRDefault="002B41BB" w:rsidP="002B41BB">
            <w:pPr>
              <w:jc w:val="center"/>
              <w:rPr>
                <w:color w:val="auto"/>
                <w:sz w:val="20"/>
                <w:szCs w:val="20"/>
                <w:lang w:val="sq-AL"/>
              </w:rPr>
            </w:pPr>
            <w:r w:rsidRPr="004E5A6E">
              <w:rPr>
                <w:color w:val="auto"/>
                <w:sz w:val="20"/>
                <w:szCs w:val="20"/>
                <w:lang w:val="sq-AL"/>
              </w:rPr>
              <w:t>0.5</w:t>
            </w:r>
          </w:p>
        </w:tc>
        <w:tc>
          <w:tcPr>
            <w:tcW w:w="451" w:type="pct"/>
            <w:tcBorders>
              <w:top w:val="nil"/>
              <w:left w:val="nil"/>
              <w:bottom w:val="dotted" w:sz="4" w:space="0" w:color="auto"/>
              <w:right w:val="dotted" w:sz="4" w:space="0" w:color="auto"/>
            </w:tcBorders>
            <w:shd w:val="clear" w:color="000000" w:fill="FFFFFF"/>
            <w:vAlign w:val="center"/>
            <w:hideMark/>
          </w:tcPr>
          <w:p w14:paraId="45FC7997" w14:textId="77777777" w:rsidR="002B41BB" w:rsidRPr="004E5A6E" w:rsidRDefault="002B41BB" w:rsidP="002B41BB">
            <w:pPr>
              <w:jc w:val="center"/>
              <w:rPr>
                <w:color w:val="auto"/>
                <w:sz w:val="20"/>
                <w:szCs w:val="20"/>
                <w:lang w:val="sq-AL"/>
              </w:rPr>
            </w:pPr>
            <w:r w:rsidRPr="004E5A6E">
              <w:rPr>
                <w:color w:val="auto"/>
                <w:sz w:val="20"/>
                <w:szCs w:val="20"/>
                <w:lang w:val="sq-AL"/>
              </w:rPr>
              <w:t>0.7</w:t>
            </w:r>
          </w:p>
        </w:tc>
        <w:tc>
          <w:tcPr>
            <w:tcW w:w="451" w:type="pct"/>
            <w:tcBorders>
              <w:top w:val="nil"/>
              <w:left w:val="nil"/>
              <w:bottom w:val="dotted" w:sz="4" w:space="0" w:color="auto"/>
              <w:right w:val="double" w:sz="6" w:space="0" w:color="auto"/>
            </w:tcBorders>
            <w:shd w:val="clear" w:color="000000" w:fill="FFFFFF"/>
            <w:vAlign w:val="center"/>
            <w:hideMark/>
          </w:tcPr>
          <w:p w14:paraId="01D180EF" w14:textId="77777777" w:rsidR="002B41BB" w:rsidRPr="004E5A6E" w:rsidRDefault="002B41BB" w:rsidP="002B41BB">
            <w:pPr>
              <w:jc w:val="center"/>
              <w:rPr>
                <w:color w:val="auto"/>
                <w:sz w:val="20"/>
                <w:szCs w:val="20"/>
                <w:lang w:val="sq-AL"/>
              </w:rPr>
            </w:pPr>
            <w:r w:rsidRPr="004E5A6E">
              <w:rPr>
                <w:color w:val="auto"/>
                <w:sz w:val="20"/>
                <w:szCs w:val="20"/>
                <w:lang w:val="sq-AL"/>
              </w:rPr>
              <w:t>0.8</w:t>
            </w:r>
          </w:p>
        </w:tc>
      </w:tr>
      <w:tr w:rsidR="002B41BB" w:rsidRPr="004E5A6E" w14:paraId="2274D18B" w14:textId="77777777" w:rsidTr="002B41BB">
        <w:trPr>
          <w:trHeight w:val="420"/>
        </w:trPr>
        <w:tc>
          <w:tcPr>
            <w:tcW w:w="1918" w:type="pct"/>
            <w:tcBorders>
              <w:top w:val="nil"/>
              <w:left w:val="double" w:sz="6" w:space="0" w:color="auto"/>
              <w:bottom w:val="dotted" w:sz="4" w:space="0" w:color="auto"/>
              <w:right w:val="nil"/>
            </w:tcBorders>
            <w:shd w:val="clear" w:color="000000" w:fill="FFFFFF"/>
            <w:vAlign w:val="center"/>
            <w:hideMark/>
          </w:tcPr>
          <w:p w14:paraId="45CCCC7D" w14:textId="77777777" w:rsidR="002B41BB" w:rsidRPr="004E5A6E" w:rsidRDefault="002B41BB" w:rsidP="002B41BB">
            <w:pPr>
              <w:rPr>
                <w:color w:val="auto"/>
                <w:sz w:val="20"/>
                <w:szCs w:val="20"/>
                <w:lang w:val="sq-AL"/>
              </w:rPr>
            </w:pPr>
            <w:r w:rsidRPr="004E5A6E">
              <w:rPr>
                <w:color w:val="auto"/>
                <w:sz w:val="20"/>
                <w:szCs w:val="20"/>
                <w:lang w:val="sq-AL"/>
              </w:rPr>
              <w:t>10. Bilanci Primar[2]</w:t>
            </w:r>
          </w:p>
        </w:tc>
        <w:tc>
          <w:tcPr>
            <w:tcW w:w="378" w:type="pct"/>
            <w:tcBorders>
              <w:top w:val="nil"/>
              <w:left w:val="single" w:sz="4" w:space="0" w:color="auto"/>
              <w:bottom w:val="dotted" w:sz="4" w:space="0" w:color="auto"/>
              <w:right w:val="single" w:sz="8" w:space="0" w:color="auto"/>
            </w:tcBorders>
            <w:shd w:val="clear" w:color="000000" w:fill="FFFFFF"/>
            <w:vAlign w:val="center"/>
            <w:hideMark/>
          </w:tcPr>
          <w:p w14:paraId="5CCD9FB7"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451" w:type="pct"/>
            <w:tcBorders>
              <w:top w:val="nil"/>
              <w:left w:val="nil"/>
              <w:bottom w:val="dotted" w:sz="4" w:space="0" w:color="auto"/>
              <w:right w:val="single" w:sz="8" w:space="0" w:color="auto"/>
            </w:tcBorders>
            <w:shd w:val="clear" w:color="000000" w:fill="FFFFFF"/>
            <w:vAlign w:val="center"/>
            <w:hideMark/>
          </w:tcPr>
          <w:p w14:paraId="5775142F" w14:textId="77777777" w:rsidR="002B41BB" w:rsidRPr="004E5A6E" w:rsidRDefault="002B41BB" w:rsidP="002B41BB">
            <w:pPr>
              <w:jc w:val="center"/>
              <w:rPr>
                <w:color w:val="auto"/>
                <w:sz w:val="20"/>
                <w:szCs w:val="20"/>
                <w:lang w:val="sq-AL"/>
              </w:rPr>
            </w:pPr>
            <w:r w:rsidRPr="004E5A6E">
              <w:rPr>
                <w:color w:val="auto"/>
                <w:sz w:val="20"/>
                <w:szCs w:val="20"/>
                <w:lang w:val="sq-AL"/>
              </w:rPr>
              <w:t>-182.0</w:t>
            </w:r>
          </w:p>
        </w:tc>
        <w:tc>
          <w:tcPr>
            <w:tcW w:w="451" w:type="pct"/>
            <w:tcBorders>
              <w:top w:val="nil"/>
              <w:left w:val="nil"/>
              <w:bottom w:val="dotted" w:sz="4" w:space="0" w:color="auto"/>
              <w:right w:val="dotted" w:sz="4" w:space="0" w:color="auto"/>
            </w:tcBorders>
            <w:shd w:val="clear" w:color="000000" w:fill="FFFFFF"/>
            <w:vAlign w:val="center"/>
            <w:hideMark/>
          </w:tcPr>
          <w:p w14:paraId="41942DB5" w14:textId="77777777" w:rsidR="002B41BB" w:rsidRPr="004E5A6E" w:rsidRDefault="002B41BB" w:rsidP="002B41BB">
            <w:pPr>
              <w:jc w:val="center"/>
              <w:rPr>
                <w:color w:val="auto"/>
                <w:sz w:val="20"/>
                <w:szCs w:val="20"/>
                <w:lang w:val="sq-AL"/>
              </w:rPr>
            </w:pPr>
            <w:r w:rsidRPr="004E5A6E">
              <w:rPr>
                <w:color w:val="auto"/>
                <w:sz w:val="20"/>
                <w:szCs w:val="20"/>
                <w:lang w:val="sq-AL"/>
              </w:rPr>
              <w:t>-2.6</w:t>
            </w:r>
          </w:p>
        </w:tc>
        <w:tc>
          <w:tcPr>
            <w:tcW w:w="451" w:type="pct"/>
            <w:tcBorders>
              <w:top w:val="nil"/>
              <w:left w:val="nil"/>
              <w:bottom w:val="dotted" w:sz="4" w:space="0" w:color="auto"/>
              <w:right w:val="dotted" w:sz="4" w:space="0" w:color="auto"/>
            </w:tcBorders>
            <w:shd w:val="clear" w:color="000000" w:fill="FFFFFF"/>
            <w:vAlign w:val="center"/>
            <w:hideMark/>
          </w:tcPr>
          <w:p w14:paraId="6CAA6267" w14:textId="77777777" w:rsidR="002B41BB" w:rsidRPr="004E5A6E" w:rsidRDefault="002B41BB" w:rsidP="002B41BB">
            <w:pPr>
              <w:jc w:val="center"/>
              <w:rPr>
                <w:color w:val="auto"/>
                <w:sz w:val="20"/>
                <w:szCs w:val="20"/>
                <w:lang w:val="sq-AL"/>
              </w:rPr>
            </w:pPr>
            <w:r w:rsidRPr="004E5A6E">
              <w:rPr>
                <w:color w:val="auto"/>
                <w:sz w:val="20"/>
                <w:szCs w:val="20"/>
                <w:lang w:val="sq-AL"/>
              </w:rPr>
              <w:t>-3.4</w:t>
            </w:r>
          </w:p>
        </w:tc>
        <w:tc>
          <w:tcPr>
            <w:tcW w:w="451" w:type="pct"/>
            <w:tcBorders>
              <w:top w:val="nil"/>
              <w:left w:val="nil"/>
              <w:bottom w:val="dotted" w:sz="4" w:space="0" w:color="auto"/>
              <w:right w:val="dotted" w:sz="4" w:space="0" w:color="auto"/>
            </w:tcBorders>
            <w:shd w:val="clear" w:color="000000" w:fill="FFFFFF"/>
            <w:vAlign w:val="center"/>
            <w:hideMark/>
          </w:tcPr>
          <w:p w14:paraId="5F8DE79A" w14:textId="77777777" w:rsidR="002B41BB" w:rsidRPr="004E5A6E" w:rsidRDefault="002B41BB" w:rsidP="002B41BB">
            <w:pPr>
              <w:jc w:val="center"/>
              <w:rPr>
                <w:color w:val="auto"/>
                <w:sz w:val="20"/>
                <w:szCs w:val="20"/>
                <w:lang w:val="sq-AL"/>
              </w:rPr>
            </w:pPr>
            <w:r w:rsidRPr="004E5A6E">
              <w:rPr>
                <w:color w:val="auto"/>
                <w:sz w:val="20"/>
                <w:szCs w:val="20"/>
                <w:lang w:val="sq-AL"/>
              </w:rPr>
              <w:t>-6.8</w:t>
            </w:r>
          </w:p>
        </w:tc>
        <w:tc>
          <w:tcPr>
            <w:tcW w:w="451" w:type="pct"/>
            <w:tcBorders>
              <w:top w:val="nil"/>
              <w:left w:val="nil"/>
              <w:bottom w:val="dotted" w:sz="4" w:space="0" w:color="auto"/>
              <w:right w:val="dotted" w:sz="4" w:space="0" w:color="auto"/>
            </w:tcBorders>
            <w:shd w:val="clear" w:color="000000" w:fill="FFFFFF"/>
            <w:vAlign w:val="center"/>
            <w:hideMark/>
          </w:tcPr>
          <w:p w14:paraId="61FAE538" w14:textId="77777777" w:rsidR="002B41BB" w:rsidRPr="004E5A6E" w:rsidRDefault="002B41BB" w:rsidP="002B41BB">
            <w:pPr>
              <w:jc w:val="center"/>
              <w:rPr>
                <w:color w:val="auto"/>
                <w:sz w:val="20"/>
                <w:szCs w:val="20"/>
                <w:lang w:val="sq-AL"/>
              </w:rPr>
            </w:pPr>
            <w:r w:rsidRPr="004E5A6E">
              <w:rPr>
                <w:color w:val="auto"/>
                <w:sz w:val="20"/>
                <w:szCs w:val="20"/>
                <w:lang w:val="sq-AL"/>
              </w:rPr>
              <w:t>-4.3</w:t>
            </w:r>
          </w:p>
        </w:tc>
        <w:tc>
          <w:tcPr>
            <w:tcW w:w="451" w:type="pct"/>
            <w:tcBorders>
              <w:top w:val="nil"/>
              <w:left w:val="nil"/>
              <w:bottom w:val="dotted" w:sz="4" w:space="0" w:color="auto"/>
              <w:right w:val="double" w:sz="6" w:space="0" w:color="auto"/>
            </w:tcBorders>
            <w:shd w:val="clear" w:color="000000" w:fill="FFFFFF"/>
            <w:vAlign w:val="center"/>
            <w:hideMark/>
          </w:tcPr>
          <w:p w14:paraId="71389338" w14:textId="77777777" w:rsidR="002B41BB" w:rsidRPr="004E5A6E" w:rsidRDefault="002B41BB" w:rsidP="002B41BB">
            <w:pPr>
              <w:jc w:val="center"/>
              <w:rPr>
                <w:color w:val="auto"/>
                <w:sz w:val="20"/>
                <w:szCs w:val="20"/>
                <w:lang w:val="sq-AL"/>
              </w:rPr>
            </w:pPr>
            <w:r w:rsidRPr="004E5A6E">
              <w:rPr>
                <w:color w:val="auto"/>
                <w:sz w:val="20"/>
                <w:szCs w:val="20"/>
                <w:lang w:val="sq-AL"/>
              </w:rPr>
              <w:t>-3.5</w:t>
            </w:r>
          </w:p>
        </w:tc>
      </w:tr>
      <w:tr w:rsidR="002B41BB" w:rsidRPr="004E5A6E" w14:paraId="313B242D" w14:textId="77777777" w:rsidTr="002B41BB">
        <w:trPr>
          <w:trHeight w:val="540"/>
        </w:trPr>
        <w:tc>
          <w:tcPr>
            <w:tcW w:w="1918" w:type="pct"/>
            <w:tcBorders>
              <w:top w:val="nil"/>
              <w:left w:val="double" w:sz="6" w:space="0" w:color="auto"/>
              <w:bottom w:val="single" w:sz="8" w:space="0" w:color="auto"/>
              <w:right w:val="nil"/>
            </w:tcBorders>
            <w:shd w:val="clear" w:color="000000" w:fill="FFFFFF"/>
            <w:vAlign w:val="center"/>
            <w:hideMark/>
          </w:tcPr>
          <w:p w14:paraId="76978142" w14:textId="77777777" w:rsidR="002B41BB" w:rsidRPr="004E5A6E" w:rsidRDefault="002B41BB" w:rsidP="002B41BB">
            <w:pPr>
              <w:rPr>
                <w:color w:val="auto"/>
                <w:sz w:val="20"/>
                <w:szCs w:val="20"/>
                <w:lang w:val="sq-AL"/>
              </w:rPr>
            </w:pPr>
            <w:r w:rsidRPr="004E5A6E">
              <w:rPr>
                <w:color w:val="auto"/>
                <w:sz w:val="20"/>
                <w:szCs w:val="20"/>
                <w:lang w:val="sq-AL"/>
              </w:rPr>
              <w:t>11. Masat e njëhershme dhe masat e</w:t>
            </w:r>
            <w:r w:rsidRPr="004E5A6E">
              <w:rPr>
                <w:color w:val="auto"/>
                <w:sz w:val="20"/>
                <w:szCs w:val="20"/>
                <w:lang w:val="sq-AL"/>
              </w:rPr>
              <w:br/>
              <w:t>përkohshme[3]</w:t>
            </w:r>
          </w:p>
        </w:tc>
        <w:tc>
          <w:tcPr>
            <w:tcW w:w="378" w:type="pct"/>
            <w:tcBorders>
              <w:top w:val="nil"/>
              <w:left w:val="single" w:sz="4" w:space="0" w:color="auto"/>
              <w:bottom w:val="single" w:sz="8" w:space="0" w:color="auto"/>
              <w:right w:val="single" w:sz="8" w:space="0" w:color="auto"/>
            </w:tcBorders>
            <w:shd w:val="clear" w:color="000000" w:fill="FFFFFF"/>
            <w:vAlign w:val="center"/>
            <w:hideMark/>
          </w:tcPr>
          <w:p w14:paraId="2D46B0EC"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451" w:type="pct"/>
            <w:tcBorders>
              <w:top w:val="nil"/>
              <w:left w:val="nil"/>
              <w:bottom w:val="single" w:sz="8" w:space="0" w:color="auto"/>
              <w:right w:val="single" w:sz="8" w:space="0" w:color="auto"/>
            </w:tcBorders>
            <w:shd w:val="clear" w:color="000000" w:fill="FFFFFF"/>
            <w:vAlign w:val="center"/>
            <w:hideMark/>
          </w:tcPr>
          <w:p w14:paraId="0BFE0F9A"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single" w:sz="8" w:space="0" w:color="auto"/>
              <w:right w:val="dotted" w:sz="4" w:space="0" w:color="auto"/>
            </w:tcBorders>
            <w:shd w:val="clear" w:color="000000" w:fill="FFFFFF"/>
            <w:vAlign w:val="center"/>
            <w:hideMark/>
          </w:tcPr>
          <w:p w14:paraId="2CA92D76"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single" w:sz="8" w:space="0" w:color="auto"/>
              <w:right w:val="dotted" w:sz="4" w:space="0" w:color="auto"/>
            </w:tcBorders>
            <w:shd w:val="clear" w:color="000000" w:fill="FFFFFF"/>
            <w:vAlign w:val="center"/>
            <w:hideMark/>
          </w:tcPr>
          <w:p w14:paraId="7141C947"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single" w:sz="8" w:space="0" w:color="auto"/>
              <w:right w:val="dotted" w:sz="4" w:space="0" w:color="auto"/>
            </w:tcBorders>
            <w:shd w:val="clear" w:color="000000" w:fill="FFFFFF"/>
            <w:vAlign w:val="center"/>
            <w:hideMark/>
          </w:tcPr>
          <w:p w14:paraId="03D39897"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single" w:sz="8" w:space="0" w:color="auto"/>
              <w:right w:val="dotted" w:sz="4" w:space="0" w:color="auto"/>
            </w:tcBorders>
            <w:shd w:val="clear" w:color="000000" w:fill="FFFFFF"/>
            <w:vAlign w:val="center"/>
            <w:hideMark/>
          </w:tcPr>
          <w:p w14:paraId="67918CA1"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single" w:sz="8" w:space="0" w:color="auto"/>
              <w:right w:val="double" w:sz="6" w:space="0" w:color="auto"/>
            </w:tcBorders>
            <w:shd w:val="clear" w:color="000000" w:fill="FFFFFF"/>
            <w:vAlign w:val="center"/>
            <w:hideMark/>
          </w:tcPr>
          <w:p w14:paraId="55CCEA08"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r w:rsidR="002B41BB" w:rsidRPr="004E5A6E" w14:paraId="05417092" w14:textId="77777777" w:rsidTr="002B41BB">
        <w:trPr>
          <w:trHeight w:val="420"/>
        </w:trPr>
        <w:tc>
          <w:tcPr>
            <w:tcW w:w="5000" w:type="pct"/>
            <w:gridSpan w:val="8"/>
            <w:tcBorders>
              <w:top w:val="single" w:sz="8" w:space="0" w:color="auto"/>
              <w:left w:val="double" w:sz="6" w:space="0" w:color="auto"/>
              <w:bottom w:val="single" w:sz="8" w:space="0" w:color="auto"/>
              <w:right w:val="double" w:sz="6" w:space="0" w:color="000000"/>
            </w:tcBorders>
            <w:shd w:val="clear" w:color="000000" w:fill="FFFFFF"/>
            <w:vAlign w:val="center"/>
            <w:hideMark/>
          </w:tcPr>
          <w:p w14:paraId="44E7A212" w14:textId="77777777" w:rsidR="002B41BB" w:rsidRPr="004E5A6E" w:rsidRDefault="002B41BB" w:rsidP="002B41BB">
            <w:pPr>
              <w:jc w:val="center"/>
              <w:rPr>
                <w:b/>
                <w:bCs/>
                <w:color w:val="auto"/>
                <w:sz w:val="20"/>
                <w:szCs w:val="20"/>
                <w:lang w:val="sq-AL"/>
              </w:rPr>
            </w:pPr>
            <w:r w:rsidRPr="004E5A6E">
              <w:rPr>
                <w:b/>
                <w:bCs/>
                <w:color w:val="auto"/>
                <w:sz w:val="20"/>
                <w:szCs w:val="20"/>
                <w:lang w:val="sq-AL"/>
              </w:rPr>
              <w:t>Komponentët e të hyrave</w:t>
            </w:r>
          </w:p>
        </w:tc>
      </w:tr>
      <w:tr w:rsidR="002B41BB" w:rsidRPr="004E5A6E" w14:paraId="56CCF496" w14:textId="77777777" w:rsidTr="002B41BB">
        <w:trPr>
          <w:trHeight w:val="420"/>
        </w:trPr>
        <w:tc>
          <w:tcPr>
            <w:tcW w:w="1918" w:type="pct"/>
            <w:tcBorders>
              <w:top w:val="nil"/>
              <w:left w:val="double" w:sz="6" w:space="0" w:color="auto"/>
              <w:bottom w:val="dotted" w:sz="4" w:space="0" w:color="auto"/>
              <w:right w:val="nil"/>
            </w:tcBorders>
            <w:shd w:val="clear" w:color="000000" w:fill="FFFFFF"/>
            <w:vAlign w:val="center"/>
            <w:hideMark/>
          </w:tcPr>
          <w:p w14:paraId="3A885753" w14:textId="77777777" w:rsidR="002B41BB" w:rsidRPr="004E5A6E" w:rsidRDefault="002B41BB" w:rsidP="002B41BB">
            <w:pPr>
              <w:rPr>
                <w:color w:val="auto"/>
                <w:sz w:val="20"/>
                <w:szCs w:val="20"/>
                <w:lang w:val="sq-AL"/>
              </w:rPr>
            </w:pPr>
            <w:r w:rsidRPr="004E5A6E">
              <w:rPr>
                <w:color w:val="auto"/>
                <w:sz w:val="20"/>
                <w:szCs w:val="20"/>
                <w:lang w:val="sq-AL"/>
              </w:rPr>
              <w:t>12. Taksat Totale (12 = 12a+12b+12c)</w:t>
            </w:r>
          </w:p>
        </w:tc>
        <w:tc>
          <w:tcPr>
            <w:tcW w:w="378" w:type="pct"/>
            <w:tcBorders>
              <w:top w:val="nil"/>
              <w:left w:val="single" w:sz="8" w:space="0" w:color="auto"/>
              <w:bottom w:val="dotted" w:sz="4" w:space="0" w:color="auto"/>
              <w:right w:val="single" w:sz="8" w:space="0" w:color="auto"/>
            </w:tcBorders>
            <w:shd w:val="clear" w:color="000000" w:fill="FFFFFF"/>
            <w:vAlign w:val="center"/>
            <w:hideMark/>
          </w:tcPr>
          <w:p w14:paraId="1B8ACD2B" w14:textId="77777777" w:rsidR="002B41BB" w:rsidRPr="004E5A6E" w:rsidRDefault="002B41BB" w:rsidP="002B41BB">
            <w:pPr>
              <w:jc w:val="center"/>
              <w:rPr>
                <w:color w:val="auto"/>
                <w:sz w:val="20"/>
                <w:szCs w:val="20"/>
                <w:lang w:val="sq-AL"/>
              </w:rPr>
            </w:pPr>
            <w:bookmarkStart w:id="229" w:name="RANGE!C18"/>
            <w:bookmarkStart w:id="230" w:name="RANGE!C19"/>
            <w:bookmarkEnd w:id="229"/>
            <w:r w:rsidRPr="004E5A6E">
              <w:rPr>
                <w:color w:val="auto"/>
                <w:sz w:val="20"/>
                <w:szCs w:val="20"/>
                <w:lang w:val="sq-AL"/>
              </w:rPr>
              <w:t> </w:t>
            </w:r>
            <w:bookmarkEnd w:id="230"/>
          </w:p>
        </w:tc>
        <w:tc>
          <w:tcPr>
            <w:tcW w:w="451" w:type="pct"/>
            <w:tcBorders>
              <w:top w:val="nil"/>
              <w:left w:val="nil"/>
              <w:bottom w:val="dotted" w:sz="4" w:space="0" w:color="auto"/>
              <w:right w:val="single" w:sz="8" w:space="0" w:color="auto"/>
            </w:tcBorders>
            <w:shd w:val="clear" w:color="000000" w:fill="FFFFFF"/>
            <w:vAlign w:val="center"/>
            <w:hideMark/>
          </w:tcPr>
          <w:p w14:paraId="36ED9F12" w14:textId="77777777" w:rsidR="002B41BB" w:rsidRPr="004E5A6E" w:rsidRDefault="002B41BB" w:rsidP="002B41BB">
            <w:pPr>
              <w:jc w:val="center"/>
              <w:rPr>
                <w:color w:val="auto"/>
                <w:sz w:val="20"/>
                <w:szCs w:val="20"/>
                <w:lang w:val="sq-AL"/>
              </w:rPr>
            </w:pPr>
            <w:r w:rsidRPr="004E5A6E">
              <w:rPr>
                <w:color w:val="auto"/>
                <w:sz w:val="20"/>
                <w:szCs w:val="20"/>
                <w:lang w:val="sq-AL"/>
              </w:rPr>
              <w:t>1,707.6</w:t>
            </w:r>
          </w:p>
        </w:tc>
        <w:tc>
          <w:tcPr>
            <w:tcW w:w="451" w:type="pct"/>
            <w:tcBorders>
              <w:top w:val="nil"/>
              <w:left w:val="nil"/>
              <w:bottom w:val="dotted" w:sz="4" w:space="0" w:color="auto"/>
              <w:right w:val="dotted" w:sz="4" w:space="0" w:color="auto"/>
            </w:tcBorders>
            <w:shd w:val="clear" w:color="000000" w:fill="FFFFFF"/>
            <w:vAlign w:val="center"/>
            <w:hideMark/>
          </w:tcPr>
          <w:p w14:paraId="54FC5512" w14:textId="77777777" w:rsidR="002B41BB" w:rsidRPr="004E5A6E" w:rsidRDefault="002B41BB" w:rsidP="002B41BB">
            <w:pPr>
              <w:jc w:val="center"/>
              <w:rPr>
                <w:color w:val="auto"/>
                <w:sz w:val="20"/>
                <w:szCs w:val="20"/>
                <w:lang w:val="sq-AL"/>
              </w:rPr>
            </w:pPr>
            <w:r w:rsidRPr="004E5A6E">
              <w:rPr>
                <w:color w:val="auto"/>
                <w:sz w:val="20"/>
                <w:szCs w:val="20"/>
                <w:lang w:val="sq-AL"/>
              </w:rPr>
              <w:t>24.0</w:t>
            </w:r>
          </w:p>
        </w:tc>
        <w:tc>
          <w:tcPr>
            <w:tcW w:w="451" w:type="pct"/>
            <w:tcBorders>
              <w:top w:val="nil"/>
              <w:left w:val="nil"/>
              <w:bottom w:val="dotted" w:sz="4" w:space="0" w:color="auto"/>
              <w:right w:val="dotted" w:sz="4" w:space="0" w:color="auto"/>
            </w:tcBorders>
            <w:shd w:val="clear" w:color="000000" w:fill="FFFFFF"/>
            <w:vAlign w:val="center"/>
            <w:hideMark/>
          </w:tcPr>
          <w:p w14:paraId="6F588414" w14:textId="77777777" w:rsidR="002B41BB" w:rsidRPr="004E5A6E" w:rsidRDefault="002B41BB" w:rsidP="002B41BB">
            <w:pPr>
              <w:jc w:val="center"/>
              <w:rPr>
                <w:color w:val="auto"/>
                <w:sz w:val="20"/>
                <w:szCs w:val="20"/>
                <w:lang w:val="sq-AL"/>
              </w:rPr>
            </w:pPr>
            <w:r w:rsidRPr="004E5A6E">
              <w:rPr>
                <w:color w:val="auto"/>
                <w:sz w:val="20"/>
                <w:szCs w:val="20"/>
                <w:lang w:val="sq-AL"/>
              </w:rPr>
              <w:t>23.1</w:t>
            </w:r>
          </w:p>
        </w:tc>
        <w:tc>
          <w:tcPr>
            <w:tcW w:w="451" w:type="pct"/>
            <w:tcBorders>
              <w:top w:val="nil"/>
              <w:left w:val="nil"/>
              <w:bottom w:val="dotted" w:sz="4" w:space="0" w:color="auto"/>
              <w:right w:val="dotted" w:sz="4" w:space="0" w:color="auto"/>
            </w:tcBorders>
            <w:shd w:val="clear" w:color="000000" w:fill="FFFFFF"/>
            <w:vAlign w:val="center"/>
            <w:hideMark/>
          </w:tcPr>
          <w:p w14:paraId="31CFECBA" w14:textId="77777777" w:rsidR="002B41BB" w:rsidRPr="004E5A6E" w:rsidRDefault="002B41BB" w:rsidP="002B41BB">
            <w:pPr>
              <w:jc w:val="center"/>
              <w:rPr>
                <w:color w:val="auto"/>
                <w:sz w:val="20"/>
                <w:szCs w:val="20"/>
                <w:lang w:val="sq-AL"/>
              </w:rPr>
            </w:pPr>
            <w:r w:rsidRPr="004E5A6E">
              <w:rPr>
                <w:color w:val="auto"/>
                <w:sz w:val="20"/>
                <w:szCs w:val="20"/>
                <w:lang w:val="sq-AL"/>
              </w:rPr>
              <w:t>23.9</w:t>
            </w:r>
          </w:p>
        </w:tc>
        <w:tc>
          <w:tcPr>
            <w:tcW w:w="451" w:type="pct"/>
            <w:tcBorders>
              <w:top w:val="nil"/>
              <w:left w:val="nil"/>
              <w:bottom w:val="dotted" w:sz="4" w:space="0" w:color="auto"/>
              <w:right w:val="dotted" w:sz="4" w:space="0" w:color="auto"/>
            </w:tcBorders>
            <w:shd w:val="clear" w:color="000000" w:fill="FFFFFF"/>
            <w:vAlign w:val="center"/>
            <w:hideMark/>
          </w:tcPr>
          <w:p w14:paraId="10B95FFC" w14:textId="77777777" w:rsidR="002B41BB" w:rsidRPr="004E5A6E" w:rsidRDefault="002B41BB" w:rsidP="002B41BB">
            <w:pPr>
              <w:jc w:val="center"/>
              <w:rPr>
                <w:color w:val="auto"/>
                <w:sz w:val="20"/>
                <w:szCs w:val="20"/>
                <w:lang w:val="sq-AL"/>
              </w:rPr>
            </w:pPr>
            <w:r w:rsidRPr="004E5A6E">
              <w:rPr>
                <w:color w:val="auto"/>
                <w:sz w:val="20"/>
                <w:szCs w:val="20"/>
                <w:lang w:val="sq-AL"/>
              </w:rPr>
              <w:t>24.2</w:t>
            </w:r>
          </w:p>
        </w:tc>
        <w:tc>
          <w:tcPr>
            <w:tcW w:w="451" w:type="pct"/>
            <w:tcBorders>
              <w:top w:val="nil"/>
              <w:left w:val="nil"/>
              <w:bottom w:val="dotted" w:sz="4" w:space="0" w:color="auto"/>
              <w:right w:val="double" w:sz="6" w:space="0" w:color="auto"/>
            </w:tcBorders>
            <w:shd w:val="clear" w:color="000000" w:fill="FFFFFF"/>
            <w:vAlign w:val="center"/>
            <w:hideMark/>
          </w:tcPr>
          <w:p w14:paraId="32A3F3CE" w14:textId="77777777" w:rsidR="002B41BB" w:rsidRPr="004E5A6E" w:rsidRDefault="002B41BB" w:rsidP="002B41BB">
            <w:pPr>
              <w:jc w:val="center"/>
              <w:rPr>
                <w:color w:val="auto"/>
                <w:sz w:val="20"/>
                <w:szCs w:val="20"/>
                <w:lang w:val="sq-AL"/>
              </w:rPr>
            </w:pPr>
            <w:r w:rsidRPr="004E5A6E">
              <w:rPr>
                <w:color w:val="auto"/>
                <w:sz w:val="20"/>
                <w:szCs w:val="20"/>
                <w:lang w:val="sq-AL"/>
              </w:rPr>
              <w:t>24.0</w:t>
            </w:r>
          </w:p>
        </w:tc>
      </w:tr>
      <w:tr w:rsidR="002B41BB" w:rsidRPr="004E5A6E" w14:paraId="5022ADC9" w14:textId="77777777" w:rsidTr="002B41BB">
        <w:trPr>
          <w:trHeight w:val="420"/>
        </w:trPr>
        <w:tc>
          <w:tcPr>
            <w:tcW w:w="1918" w:type="pct"/>
            <w:tcBorders>
              <w:top w:val="nil"/>
              <w:left w:val="double" w:sz="6" w:space="0" w:color="auto"/>
              <w:bottom w:val="dotted" w:sz="4" w:space="0" w:color="auto"/>
              <w:right w:val="nil"/>
            </w:tcBorders>
            <w:shd w:val="clear" w:color="000000" w:fill="FFFFFF"/>
            <w:vAlign w:val="center"/>
            <w:hideMark/>
          </w:tcPr>
          <w:p w14:paraId="0FCFF4AA" w14:textId="77777777" w:rsidR="002B41BB" w:rsidRPr="004E5A6E" w:rsidRDefault="002B41BB" w:rsidP="002B41BB">
            <w:pPr>
              <w:rPr>
                <w:color w:val="auto"/>
                <w:sz w:val="20"/>
                <w:szCs w:val="20"/>
                <w:lang w:val="sq-AL"/>
              </w:rPr>
            </w:pPr>
            <w:r w:rsidRPr="004E5A6E">
              <w:rPr>
                <w:color w:val="auto"/>
                <w:sz w:val="20"/>
                <w:szCs w:val="20"/>
                <w:lang w:val="sq-AL"/>
              </w:rPr>
              <w:t xml:space="preserve">12a. Taksat mbi Prodhim dhe Import </w:t>
            </w:r>
          </w:p>
        </w:tc>
        <w:tc>
          <w:tcPr>
            <w:tcW w:w="378" w:type="pct"/>
            <w:tcBorders>
              <w:top w:val="nil"/>
              <w:left w:val="single" w:sz="8" w:space="0" w:color="auto"/>
              <w:bottom w:val="dotted" w:sz="4" w:space="0" w:color="auto"/>
              <w:right w:val="single" w:sz="8" w:space="0" w:color="auto"/>
            </w:tcBorders>
            <w:shd w:val="clear" w:color="000000" w:fill="FFFFFF"/>
            <w:vAlign w:val="center"/>
            <w:hideMark/>
          </w:tcPr>
          <w:p w14:paraId="37E9CCE3" w14:textId="77777777" w:rsidR="002B41BB" w:rsidRPr="004E5A6E" w:rsidRDefault="002B41BB" w:rsidP="002B41BB">
            <w:pPr>
              <w:jc w:val="center"/>
              <w:rPr>
                <w:color w:val="auto"/>
                <w:sz w:val="20"/>
                <w:szCs w:val="20"/>
                <w:lang w:val="sq-AL"/>
              </w:rPr>
            </w:pPr>
            <w:bookmarkStart w:id="231" w:name="RANGE!C20"/>
            <w:r w:rsidRPr="004E5A6E">
              <w:rPr>
                <w:color w:val="auto"/>
                <w:sz w:val="20"/>
                <w:szCs w:val="20"/>
                <w:lang w:val="sq-AL"/>
              </w:rPr>
              <w:t>D2</w:t>
            </w:r>
            <w:bookmarkEnd w:id="231"/>
          </w:p>
        </w:tc>
        <w:tc>
          <w:tcPr>
            <w:tcW w:w="451" w:type="pct"/>
            <w:tcBorders>
              <w:top w:val="nil"/>
              <w:left w:val="nil"/>
              <w:bottom w:val="dotted" w:sz="4" w:space="0" w:color="auto"/>
              <w:right w:val="single" w:sz="8" w:space="0" w:color="auto"/>
            </w:tcBorders>
            <w:shd w:val="clear" w:color="000000" w:fill="FFFFFF"/>
            <w:vAlign w:val="center"/>
            <w:hideMark/>
          </w:tcPr>
          <w:p w14:paraId="1F6603F9" w14:textId="77777777" w:rsidR="002B41BB" w:rsidRPr="004E5A6E" w:rsidRDefault="002B41BB" w:rsidP="002B41BB">
            <w:pPr>
              <w:jc w:val="center"/>
              <w:rPr>
                <w:color w:val="auto"/>
                <w:sz w:val="20"/>
                <w:szCs w:val="20"/>
                <w:lang w:val="sq-AL"/>
              </w:rPr>
            </w:pPr>
            <w:r w:rsidRPr="004E5A6E">
              <w:rPr>
                <w:color w:val="auto"/>
                <w:sz w:val="20"/>
                <w:szCs w:val="20"/>
                <w:lang w:val="sq-AL"/>
              </w:rPr>
              <w:t>1,415.3</w:t>
            </w:r>
          </w:p>
        </w:tc>
        <w:tc>
          <w:tcPr>
            <w:tcW w:w="451" w:type="pct"/>
            <w:tcBorders>
              <w:top w:val="nil"/>
              <w:left w:val="nil"/>
              <w:bottom w:val="dotted" w:sz="4" w:space="0" w:color="auto"/>
              <w:right w:val="dotted" w:sz="4" w:space="0" w:color="auto"/>
            </w:tcBorders>
            <w:shd w:val="clear" w:color="000000" w:fill="FFFFFF"/>
            <w:vAlign w:val="center"/>
            <w:hideMark/>
          </w:tcPr>
          <w:p w14:paraId="27B32354" w14:textId="77777777" w:rsidR="002B41BB" w:rsidRPr="004E5A6E" w:rsidRDefault="002B41BB" w:rsidP="002B41BB">
            <w:pPr>
              <w:jc w:val="center"/>
              <w:rPr>
                <w:color w:val="auto"/>
                <w:sz w:val="20"/>
                <w:szCs w:val="20"/>
                <w:lang w:val="sq-AL"/>
              </w:rPr>
            </w:pPr>
            <w:r w:rsidRPr="004E5A6E">
              <w:rPr>
                <w:color w:val="auto"/>
                <w:sz w:val="20"/>
                <w:szCs w:val="20"/>
                <w:lang w:val="sq-AL"/>
              </w:rPr>
              <w:t>19.9</w:t>
            </w:r>
          </w:p>
        </w:tc>
        <w:tc>
          <w:tcPr>
            <w:tcW w:w="451" w:type="pct"/>
            <w:tcBorders>
              <w:top w:val="nil"/>
              <w:left w:val="nil"/>
              <w:bottom w:val="dotted" w:sz="4" w:space="0" w:color="auto"/>
              <w:right w:val="dotted" w:sz="4" w:space="0" w:color="auto"/>
            </w:tcBorders>
            <w:shd w:val="clear" w:color="000000" w:fill="FFFFFF"/>
            <w:vAlign w:val="center"/>
            <w:hideMark/>
          </w:tcPr>
          <w:p w14:paraId="1E5F0604" w14:textId="77777777" w:rsidR="002B41BB" w:rsidRPr="004E5A6E" w:rsidRDefault="002B41BB" w:rsidP="002B41BB">
            <w:pPr>
              <w:jc w:val="center"/>
              <w:rPr>
                <w:color w:val="auto"/>
                <w:sz w:val="20"/>
                <w:szCs w:val="20"/>
                <w:lang w:val="sq-AL"/>
              </w:rPr>
            </w:pPr>
            <w:r w:rsidRPr="004E5A6E">
              <w:rPr>
                <w:color w:val="auto"/>
                <w:sz w:val="20"/>
                <w:szCs w:val="20"/>
                <w:lang w:val="sq-AL"/>
              </w:rPr>
              <w:t>19.1</w:t>
            </w:r>
          </w:p>
        </w:tc>
        <w:tc>
          <w:tcPr>
            <w:tcW w:w="451" w:type="pct"/>
            <w:tcBorders>
              <w:top w:val="nil"/>
              <w:left w:val="nil"/>
              <w:bottom w:val="dotted" w:sz="4" w:space="0" w:color="auto"/>
              <w:right w:val="dotted" w:sz="4" w:space="0" w:color="auto"/>
            </w:tcBorders>
            <w:shd w:val="clear" w:color="000000" w:fill="FFFFFF"/>
            <w:vAlign w:val="center"/>
            <w:hideMark/>
          </w:tcPr>
          <w:p w14:paraId="3E767948" w14:textId="77777777" w:rsidR="002B41BB" w:rsidRPr="004E5A6E" w:rsidRDefault="002B41BB" w:rsidP="002B41BB">
            <w:pPr>
              <w:jc w:val="center"/>
              <w:rPr>
                <w:color w:val="auto"/>
                <w:sz w:val="20"/>
                <w:szCs w:val="20"/>
                <w:lang w:val="sq-AL"/>
              </w:rPr>
            </w:pPr>
            <w:r w:rsidRPr="004E5A6E">
              <w:rPr>
                <w:color w:val="auto"/>
                <w:sz w:val="20"/>
                <w:szCs w:val="20"/>
                <w:lang w:val="sq-AL"/>
              </w:rPr>
              <w:t>19.8</w:t>
            </w:r>
          </w:p>
        </w:tc>
        <w:tc>
          <w:tcPr>
            <w:tcW w:w="451" w:type="pct"/>
            <w:tcBorders>
              <w:top w:val="nil"/>
              <w:left w:val="nil"/>
              <w:bottom w:val="dotted" w:sz="4" w:space="0" w:color="auto"/>
              <w:right w:val="dotted" w:sz="4" w:space="0" w:color="auto"/>
            </w:tcBorders>
            <w:shd w:val="clear" w:color="000000" w:fill="FFFFFF"/>
            <w:vAlign w:val="center"/>
            <w:hideMark/>
          </w:tcPr>
          <w:p w14:paraId="621790FA" w14:textId="77777777" w:rsidR="002B41BB" w:rsidRPr="004E5A6E" w:rsidRDefault="002B41BB" w:rsidP="002B41BB">
            <w:pPr>
              <w:jc w:val="center"/>
              <w:rPr>
                <w:color w:val="auto"/>
                <w:sz w:val="20"/>
                <w:szCs w:val="20"/>
                <w:lang w:val="sq-AL"/>
              </w:rPr>
            </w:pPr>
            <w:r w:rsidRPr="004E5A6E">
              <w:rPr>
                <w:color w:val="auto"/>
                <w:sz w:val="20"/>
                <w:szCs w:val="20"/>
                <w:lang w:val="sq-AL"/>
              </w:rPr>
              <w:t>19.9</w:t>
            </w:r>
          </w:p>
        </w:tc>
        <w:tc>
          <w:tcPr>
            <w:tcW w:w="451" w:type="pct"/>
            <w:tcBorders>
              <w:top w:val="nil"/>
              <w:left w:val="nil"/>
              <w:bottom w:val="dotted" w:sz="4" w:space="0" w:color="auto"/>
              <w:right w:val="double" w:sz="6" w:space="0" w:color="auto"/>
            </w:tcBorders>
            <w:shd w:val="clear" w:color="000000" w:fill="FFFFFF"/>
            <w:vAlign w:val="center"/>
            <w:hideMark/>
          </w:tcPr>
          <w:p w14:paraId="3D21AE26" w14:textId="77777777" w:rsidR="002B41BB" w:rsidRPr="004E5A6E" w:rsidRDefault="002B41BB" w:rsidP="002B41BB">
            <w:pPr>
              <w:jc w:val="center"/>
              <w:rPr>
                <w:color w:val="auto"/>
                <w:sz w:val="20"/>
                <w:szCs w:val="20"/>
                <w:lang w:val="sq-AL"/>
              </w:rPr>
            </w:pPr>
            <w:r w:rsidRPr="004E5A6E">
              <w:rPr>
                <w:color w:val="auto"/>
                <w:sz w:val="20"/>
                <w:szCs w:val="20"/>
                <w:lang w:val="sq-AL"/>
              </w:rPr>
              <w:t>19.7</w:t>
            </w:r>
          </w:p>
        </w:tc>
      </w:tr>
      <w:tr w:rsidR="002B41BB" w:rsidRPr="004E5A6E" w14:paraId="6D684A88" w14:textId="77777777" w:rsidTr="002B41BB">
        <w:trPr>
          <w:trHeight w:val="420"/>
        </w:trPr>
        <w:tc>
          <w:tcPr>
            <w:tcW w:w="1918" w:type="pct"/>
            <w:tcBorders>
              <w:top w:val="nil"/>
              <w:left w:val="double" w:sz="6" w:space="0" w:color="auto"/>
              <w:bottom w:val="dotted" w:sz="4" w:space="0" w:color="auto"/>
              <w:right w:val="nil"/>
            </w:tcBorders>
            <w:shd w:val="clear" w:color="000000" w:fill="FFFFFF"/>
            <w:vAlign w:val="center"/>
            <w:hideMark/>
          </w:tcPr>
          <w:p w14:paraId="5D71EAE2" w14:textId="77777777" w:rsidR="002B41BB" w:rsidRPr="004E5A6E" w:rsidRDefault="002B41BB" w:rsidP="002B41BB">
            <w:pPr>
              <w:rPr>
                <w:color w:val="auto"/>
                <w:sz w:val="20"/>
                <w:szCs w:val="20"/>
                <w:lang w:val="sq-AL"/>
              </w:rPr>
            </w:pPr>
            <w:r w:rsidRPr="004E5A6E">
              <w:rPr>
                <w:color w:val="auto"/>
                <w:sz w:val="20"/>
                <w:szCs w:val="20"/>
                <w:lang w:val="sq-AL"/>
              </w:rPr>
              <w:t>12b. Taksat aktuale në të ardhura dhe pasuri</w:t>
            </w:r>
          </w:p>
        </w:tc>
        <w:tc>
          <w:tcPr>
            <w:tcW w:w="378" w:type="pct"/>
            <w:tcBorders>
              <w:top w:val="nil"/>
              <w:left w:val="single" w:sz="8" w:space="0" w:color="auto"/>
              <w:bottom w:val="dotted" w:sz="4" w:space="0" w:color="auto"/>
              <w:right w:val="single" w:sz="8" w:space="0" w:color="auto"/>
            </w:tcBorders>
            <w:shd w:val="clear" w:color="000000" w:fill="FFFFFF"/>
            <w:vAlign w:val="center"/>
            <w:hideMark/>
          </w:tcPr>
          <w:p w14:paraId="764CCB65" w14:textId="77777777" w:rsidR="002B41BB" w:rsidRPr="004E5A6E" w:rsidRDefault="002B41BB" w:rsidP="002B41BB">
            <w:pPr>
              <w:jc w:val="center"/>
              <w:rPr>
                <w:color w:val="auto"/>
                <w:sz w:val="20"/>
                <w:szCs w:val="20"/>
                <w:lang w:val="sq-AL"/>
              </w:rPr>
            </w:pPr>
            <w:bookmarkStart w:id="232" w:name="RANGE!C21"/>
            <w:r w:rsidRPr="004E5A6E">
              <w:rPr>
                <w:color w:val="auto"/>
                <w:sz w:val="20"/>
                <w:szCs w:val="20"/>
                <w:lang w:val="sq-AL"/>
              </w:rPr>
              <w:t>D5</w:t>
            </w:r>
            <w:bookmarkEnd w:id="232"/>
          </w:p>
        </w:tc>
        <w:tc>
          <w:tcPr>
            <w:tcW w:w="451" w:type="pct"/>
            <w:tcBorders>
              <w:top w:val="nil"/>
              <w:left w:val="nil"/>
              <w:bottom w:val="dotted" w:sz="4" w:space="0" w:color="auto"/>
              <w:right w:val="single" w:sz="8" w:space="0" w:color="auto"/>
            </w:tcBorders>
            <w:shd w:val="clear" w:color="000000" w:fill="FFFFFF"/>
            <w:vAlign w:val="center"/>
            <w:hideMark/>
          </w:tcPr>
          <w:p w14:paraId="7B23E616" w14:textId="77777777" w:rsidR="002B41BB" w:rsidRPr="004E5A6E" w:rsidRDefault="002B41BB" w:rsidP="002B41BB">
            <w:pPr>
              <w:jc w:val="center"/>
              <w:rPr>
                <w:color w:val="auto"/>
                <w:sz w:val="20"/>
                <w:szCs w:val="20"/>
                <w:lang w:val="sq-AL"/>
              </w:rPr>
            </w:pPr>
            <w:r w:rsidRPr="004E5A6E">
              <w:rPr>
                <w:color w:val="auto"/>
                <w:sz w:val="20"/>
                <w:szCs w:val="20"/>
                <w:lang w:val="sq-AL"/>
              </w:rPr>
              <w:t>292.3</w:t>
            </w:r>
          </w:p>
        </w:tc>
        <w:tc>
          <w:tcPr>
            <w:tcW w:w="451" w:type="pct"/>
            <w:tcBorders>
              <w:top w:val="nil"/>
              <w:left w:val="nil"/>
              <w:bottom w:val="dotted" w:sz="4" w:space="0" w:color="auto"/>
              <w:right w:val="dotted" w:sz="4" w:space="0" w:color="auto"/>
            </w:tcBorders>
            <w:shd w:val="clear" w:color="000000" w:fill="FFFFFF"/>
            <w:vAlign w:val="center"/>
            <w:hideMark/>
          </w:tcPr>
          <w:p w14:paraId="2B3ED8B3" w14:textId="77777777" w:rsidR="002B41BB" w:rsidRPr="004E5A6E" w:rsidRDefault="002B41BB" w:rsidP="002B41BB">
            <w:pPr>
              <w:jc w:val="center"/>
              <w:rPr>
                <w:color w:val="auto"/>
                <w:sz w:val="20"/>
                <w:szCs w:val="20"/>
                <w:lang w:val="sq-AL"/>
              </w:rPr>
            </w:pPr>
            <w:r w:rsidRPr="004E5A6E">
              <w:rPr>
                <w:color w:val="auto"/>
                <w:sz w:val="20"/>
                <w:szCs w:val="20"/>
                <w:lang w:val="sq-AL"/>
              </w:rPr>
              <w:t>4.1</w:t>
            </w:r>
          </w:p>
        </w:tc>
        <w:tc>
          <w:tcPr>
            <w:tcW w:w="451" w:type="pct"/>
            <w:tcBorders>
              <w:top w:val="nil"/>
              <w:left w:val="nil"/>
              <w:bottom w:val="dotted" w:sz="4" w:space="0" w:color="auto"/>
              <w:right w:val="dotted" w:sz="4" w:space="0" w:color="auto"/>
            </w:tcBorders>
            <w:shd w:val="clear" w:color="000000" w:fill="FFFFFF"/>
            <w:vAlign w:val="center"/>
            <w:hideMark/>
          </w:tcPr>
          <w:p w14:paraId="250C0480" w14:textId="77777777" w:rsidR="002B41BB" w:rsidRPr="004E5A6E" w:rsidRDefault="002B41BB" w:rsidP="002B41BB">
            <w:pPr>
              <w:jc w:val="center"/>
              <w:rPr>
                <w:color w:val="auto"/>
                <w:sz w:val="20"/>
                <w:szCs w:val="20"/>
                <w:lang w:val="sq-AL"/>
              </w:rPr>
            </w:pPr>
            <w:r w:rsidRPr="004E5A6E">
              <w:rPr>
                <w:color w:val="auto"/>
                <w:sz w:val="20"/>
                <w:szCs w:val="20"/>
                <w:lang w:val="sq-AL"/>
              </w:rPr>
              <w:t>4.0</w:t>
            </w:r>
          </w:p>
        </w:tc>
        <w:tc>
          <w:tcPr>
            <w:tcW w:w="451" w:type="pct"/>
            <w:tcBorders>
              <w:top w:val="nil"/>
              <w:left w:val="nil"/>
              <w:bottom w:val="dotted" w:sz="4" w:space="0" w:color="auto"/>
              <w:right w:val="dotted" w:sz="4" w:space="0" w:color="auto"/>
            </w:tcBorders>
            <w:shd w:val="clear" w:color="000000" w:fill="FFFFFF"/>
            <w:vAlign w:val="center"/>
            <w:hideMark/>
          </w:tcPr>
          <w:p w14:paraId="59156230" w14:textId="77777777" w:rsidR="002B41BB" w:rsidRPr="004E5A6E" w:rsidRDefault="002B41BB" w:rsidP="002B41BB">
            <w:pPr>
              <w:jc w:val="center"/>
              <w:rPr>
                <w:color w:val="auto"/>
                <w:sz w:val="20"/>
                <w:szCs w:val="20"/>
                <w:lang w:val="sq-AL"/>
              </w:rPr>
            </w:pPr>
            <w:r w:rsidRPr="004E5A6E">
              <w:rPr>
                <w:color w:val="auto"/>
                <w:sz w:val="20"/>
                <w:szCs w:val="20"/>
                <w:lang w:val="sq-AL"/>
              </w:rPr>
              <w:t>4.1</w:t>
            </w:r>
          </w:p>
        </w:tc>
        <w:tc>
          <w:tcPr>
            <w:tcW w:w="451" w:type="pct"/>
            <w:tcBorders>
              <w:top w:val="nil"/>
              <w:left w:val="nil"/>
              <w:bottom w:val="dotted" w:sz="4" w:space="0" w:color="auto"/>
              <w:right w:val="dotted" w:sz="4" w:space="0" w:color="auto"/>
            </w:tcBorders>
            <w:shd w:val="clear" w:color="000000" w:fill="FFFFFF"/>
            <w:vAlign w:val="center"/>
            <w:hideMark/>
          </w:tcPr>
          <w:p w14:paraId="2464B46A" w14:textId="77777777" w:rsidR="002B41BB" w:rsidRPr="004E5A6E" w:rsidRDefault="002B41BB" w:rsidP="002B41BB">
            <w:pPr>
              <w:jc w:val="center"/>
              <w:rPr>
                <w:color w:val="auto"/>
                <w:sz w:val="20"/>
                <w:szCs w:val="20"/>
                <w:lang w:val="sq-AL"/>
              </w:rPr>
            </w:pPr>
            <w:r w:rsidRPr="004E5A6E">
              <w:rPr>
                <w:color w:val="auto"/>
                <w:sz w:val="20"/>
                <w:szCs w:val="20"/>
                <w:lang w:val="sq-AL"/>
              </w:rPr>
              <w:t>4.2</w:t>
            </w:r>
          </w:p>
        </w:tc>
        <w:tc>
          <w:tcPr>
            <w:tcW w:w="451" w:type="pct"/>
            <w:tcBorders>
              <w:top w:val="nil"/>
              <w:left w:val="nil"/>
              <w:bottom w:val="dotted" w:sz="4" w:space="0" w:color="auto"/>
              <w:right w:val="double" w:sz="6" w:space="0" w:color="auto"/>
            </w:tcBorders>
            <w:shd w:val="clear" w:color="000000" w:fill="FFFFFF"/>
            <w:vAlign w:val="center"/>
            <w:hideMark/>
          </w:tcPr>
          <w:p w14:paraId="466A0C57" w14:textId="77777777" w:rsidR="002B41BB" w:rsidRPr="004E5A6E" w:rsidRDefault="002B41BB" w:rsidP="002B41BB">
            <w:pPr>
              <w:jc w:val="center"/>
              <w:rPr>
                <w:color w:val="auto"/>
                <w:sz w:val="20"/>
                <w:szCs w:val="20"/>
                <w:lang w:val="sq-AL"/>
              </w:rPr>
            </w:pPr>
            <w:r w:rsidRPr="004E5A6E">
              <w:rPr>
                <w:color w:val="auto"/>
                <w:sz w:val="20"/>
                <w:szCs w:val="20"/>
                <w:lang w:val="sq-AL"/>
              </w:rPr>
              <w:t>4.3</w:t>
            </w:r>
          </w:p>
        </w:tc>
      </w:tr>
      <w:tr w:rsidR="002B41BB" w:rsidRPr="004E5A6E" w14:paraId="0C35B71F" w14:textId="77777777" w:rsidTr="002B41BB">
        <w:trPr>
          <w:trHeight w:val="420"/>
        </w:trPr>
        <w:tc>
          <w:tcPr>
            <w:tcW w:w="1918" w:type="pct"/>
            <w:tcBorders>
              <w:top w:val="nil"/>
              <w:left w:val="double" w:sz="6" w:space="0" w:color="auto"/>
              <w:bottom w:val="dotted" w:sz="4" w:space="0" w:color="auto"/>
              <w:right w:val="nil"/>
            </w:tcBorders>
            <w:shd w:val="clear" w:color="000000" w:fill="FFFFFF"/>
            <w:vAlign w:val="center"/>
            <w:hideMark/>
          </w:tcPr>
          <w:p w14:paraId="550036F2" w14:textId="77777777" w:rsidR="002B41BB" w:rsidRPr="004E5A6E" w:rsidRDefault="002B41BB" w:rsidP="002B41BB">
            <w:pPr>
              <w:rPr>
                <w:color w:val="auto"/>
                <w:sz w:val="20"/>
                <w:szCs w:val="20"/>
                <w:lang w:val="sq-AL"/>
              </w:rPr>
            </w:pPr>
            <w:r w:rsidRPr="004E5A6E">
              <w:rPr>
                <w:color w:val="auto"/>
                <w:sz w:val="20"/>
                <w:szCs w:val="20"/>
                <w:lang w:val="sq-AL"/>
              </w:rPr>
              <w:t xml:space="preserve">12c. Taksat mbi kapital </w:t>
            </w:r>
          </w:p>
        </w:tc>
        <w:tc>
          <w:tcPr>
            <w:tcW w:w="378" w:type="pct"/>
            <w:tcBorders>
              <w:top w:val="nil"/>
              <w:left w:val="single" w:sz="8" w:space="0" w:color="auto"/>
              <w:bottom w:val="dotted" w:sz="4" w:space="0" w:color="auto"/>
              <w:right w:val="single" w:sz="8" w:space="0" w:color="auto"/>
            </w:tcBorders>
            <w:shd w:val="clear" w:color="000000" w:fill="FFFFFF"/>
            <w:vAlign w:val="center"/>
            <w:hideMark/>
          </w:tcPr>
          <w:p w14:paraId="0448BF5B" w14:textId="77777777" w:rsidR="002B41BB" w:rsidRPr="004E5A6E" w:rsidRDefault="002B41BB" w:rsidP="002B41BB">
            <w:pPr>
              <w:jc w:val="center"/>
              <w:rPr>
                <w:color w:val="auto"/>
                <w:sz w:val="20"/>
                <w:szCs w:val="20"/>
                <w:lang w:val="sq-AL"/>
              </w:rPr>
            </w:pPr>
            <w:bookmarkStart w:id="233" w:name="RANGE!C22"/>
            <w:r w:rsidRPr="004E5A6E">
              <w:rPr>
                <w:color w:val="auto"/>
                <w:sz w:val="20"/>
                <w:szCs w:val="20"/>
                <w:lang w:val="sq-AL"/>
              </w:rPr>
              <w:t>D91</w:t>
            </w:r>
            <w:bookmarkEnd w:id="233"/>
          </w:p>
        </w:tc>
        <w:tc>
          <w:tcPr>
            <w:tcW w:w="451" w:type="pct"/>
            <w:tcBorders>
              <w:top w:val="nil"/>
              <w:left w:val="nil"/>
              <w:bottom w:val="dotted" w:sz="4" w:space="0" w:color="auto"/>
              <w:right w:val="single" w:sz="8" w:space="0" w:color="auto"/>
            </w:tcBorders>
            <w:shd w:val="clear" w:color="000000" w:fill="FFFFFF"/>
            <w:vAlign w:val="center"/>
            <w:hideMark/>
          </w:tcPr>
          <w:p w14:paraId="75E1A693"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dotted" w:sz="4" w:space="0" w:color="auto"/>
              <w:right w:val="dotted" w:sz="4" w:space="0" w:color="auto"/>
            </w:tcBorders>
            <w:shd w:val="clear" w:color="000000" w:fill="FFFFFF"/>
            <w:vAlign w:val="center"/>
            <w:hideMark/>
          </w:tcPr>
          <w:p w14:paraId="6CC04F29"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dotted" w:sz="4" w:space="0" w:color="auto"/>
              <w:right w:val="dotted" w:sz="4" w:space="0" w:color="auto"/>
            </w:tcBorders>
            <w:shd w:val="clear" w:color="000000" w:fill="FFFFFF"/>
            <w:vAlign w:val="center"/>
            <w:hideMark/>
          </w:tcPr>
          <w:p w14:paraId="28A9B82E"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dotted" w:sz="4" w:space="0" w:color="auto"/>
              <w:right w:val="dotted" w:sz="4" w:space="0" w:color="auto"/>
            </w:tcBorders>
            <w:shd w:val="clear" w:color="000000" w:fill="FFFFFF"/>
            <w:vAlign w:val="center"/>
            <w:hideMark/>
          </w:tcPr>
          <w:p w14:paraId="120B7FED"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dotted" w:sz="4" w:space="0" w:color="auto"/>
              <w:right w:val="dotted" w:sz="4" w:space="0" w:color="auto"/>
            </w:tcBorders>
            <w:shd w:val="clear" w:color="000000" w:fill="FFFFFF"/>
            <w:vAlign w:val="center"/>
            <w:hideMark/>
          </w:tcPr>
          <w:p w14:paraId="5E3757F3"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dotted" w:sz="4" w:space="0" w:color="auto"/>
              <w:right w:val="double" w:sz="6" w:space="0" w:color="auto"/>
            </w:tcBorders>
            <w:shd w:val="clear" w:color="000000" w:fill="FFFFFF"/>
            <w:vAlign w:val="center"/>
            <w:hideMark/>
          </w:tcPr>
          <w:p w14:paraId="0C35EF9B"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r w:rsidR="002B41BB" w:rsidRPr="004E5A6E" w14:paraId="1D75C57F" w14:textId="77777777" w:rsidTr="002B41BB">
        <w:trPr>
          <w:trHeight w:val="420"/>
        </w:trPr>
        <w:tc>
          <w:tcPr>
            <w:tcW w:w="1918" w:type="pct"/>
            <w:tcBorders>
              <w:top w:val="nil"/>
              <w:left w:val="double" w:sz="6" w:space="0" w:color="auto"/>
              <w:bottom w:val="dotted" w:sz="4" w:space="0" w:color="auto"/>
              <w:right w:val="nil"/>
            </w:tcBorders>
            <w:shd w:val="clear" w:color="000000" w:fill="FFFFFF"/>
            <w:vAlign w:val="center"/>
            <w:hideMark/>
          </w:tcPr>
          <w:p w14:paraId="03BEE161" w14:textId="77777777" w:rsidR="002B41BB" w:rsidRPr="004E5A6E" w:rsidRDefault="002B41BB" w:rsidP="002B41BB">
            <w:pPr>
              <w:rPr>
                <w:color w:val="auto"/>
                <w:sz w:val="20"/>
                <w:szCs w:val="20"/>
                <w:lang w:val="sq-AL"/>
              </w:rPr>
            </w:pPr>
            <w:r w:rsidRPr="004E5A6E">
              <w:rPr>
                <w:color w:val="auto"/>
                <w:sz w:val="20"/>
                <w:szCs w:val="20"/>
                <w:lang w:val="sq-AL"/>
              </w:rPr>
              <w:t>13. Kontributet Sociale</w:t>
            </w:r>
          </w:p>
        </w:tc>
        <w:tc>
          <w:tcPr>
            <w:tcW w:w="378" w:type="pct"/>
            <w:tcBorders>
              <w:top w:val="nil"/>
              <w:left w:val="single" w:sz="8" w:space="0" w:color="auto"/>
              <w:bottom w:val="dotted" w:sz="4" w:space="0" w:color="auto"/>
              <w:right w:val="single" w:sz="8" w:space="0" w:color="auto"/>
            </w:tcBorders>
            <w:shd w:val="clear" w:color="000000" w:fill="FFFFFF"/>
            <w:vAlign w:val="center"/>
            <w:hideMark/>
          </w:tcPr>
          <w:p w14:paraId="4CD8F3CB" w14:textId="77777777" w:rsidR="002B41BB" w:rsidRPr="004E5A6E" w:rsidRDefault="002B41BB" w:rsidP="002B41BB">
            <w:pPr>
              <w:jc w:val="center"/>
              <w:rPr>
                <w:color w:val="auto"/>
                <w:sz w:val="20"/>
                <w:szCs w:val="20"/>
                <w:lang w:val="sq-AL"/>
              </w:rPr>
            </w:pPr>
            <w:r w:rsidRPr="004E5A6E">
              <w:rPr>
                <w:color w:val="auto"/>
                <w:sz w:val="20"/>
                <w:szCs w:val="20"/>
                <w:lang w:val="sq-AL"/>
              </w:rPr>
              <w:t>D61</w:t>
            </w:r>
          </w:p>
        </w:tc>
        <w:tc>
          <w:tcPr>
            <w:tcW w:w="451" w:type="pct"/>
            <w:tcBorders>
              <w:top w:val="nil"/>
              <w:left w:val="nil"/>
              <w:bottom w:val="dotted" w:sz="4" w:space="0" w:color="auto"/>
              <w:right w:val="single" w:sz="8" w:space="0" w:color="auto"/>
            </w:tcBorders>
            <w:shd w:val="clear" w:color="000000" w:fill="FFFFFF"/>
            <w:vAlign w:val="center"/>
            <w:hideMark/>
          </w:tcPr>
          <w:p w14:paraId="3A0D9D5F"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dotted" w:sz="4" w:space="0" w:color="auto"/>
              <w:right w:val="dotted" w:sz="4" w:space="0" w:color="auto"/>
            </w:tcBorders>
            <w:shd w:val="clear" w:color="000000" w:fill="FFFFFF"/>
            <w:vAlign w:val="center"/>
            <w:hideMark/>
          </w:tcPr>
          <w:p w14:paraId="375B0B32"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dotted" w:sz="4" w:space="0" w:color="auto"/>
              <w:right w:val="dotted" w:sz="4" w:space="0" w:color="auto"/>
            </w:tcBorders>
            <w:shd w:val="clear" w:color="000000" w:fill="FFFFFF"/>
            <w:vAlign w:val="center"/>
            <w:hideMark/>
          </w:tcPr>
          <w:p w14:paraId="3AC95428"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dotted" w:sz="4" w:space="0" w:color="auto"/>
              <w:right w:val="dotted" w:sz="4" w:space="0" w:color="auto"/>
            </w:tcBorders>
            <w:shd w:val="clear" w:color="000000" w:fill="FFFFFF"/>
            <w:vAlign w:val="center"/>
            <w:hideMark/>
          </w:tcPr>
          <w:p w14:paraId="58AE57F3"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dotted" w:sz="4" w:space="0" w:color="auto"/>
              <w:right w:val="dotted" w:sz="4" w:space="0" w:color="auto"/>
            </w:tcBorders>
            <w:shd w:val="clear" w:color="000000" w:fill="FFFFFF"/>
            <w:vAlign w:val="center"/>
            <w:hideMark/>
          </w:tcPr>
          <w:p w14:paraId="3370E1D1"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dotted" w:sz="4" w:space="0" w:color="auto"/>
              <w:right w:val="double" w:sz="6" w:space="0" w:color="auto"/>
            </w:tcBorders>
            <w:shd w:val="clear" w:color="000000" w:fill="FFFFFF"/>
            <w:vAlign w:val="center"/>
            <w:hideMark/>
          </w:tcPr>
          <w:p w14:paraId="0C93CEEB"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r w:rsidR="002B41BB" w:rsidRPr="004E5A6E" w14:paraId="676CDC2E" w14:textId="77777777" w:rsidTr="002B41BB">
        <w:trPr>
          <w:trHeight w:val="420"/>
        </w:trPr>
        <w:tc>
          <w:tcPr>
            <w:tcW w:w="1918" w:type="pct"/>
            <w:tcBorders>
              <w:top w:val="nil"/>
              <w:left w:val="double" w:sz="6" w:space="0" w:color="auto"/>
              <w:bottom w:val="dotted" w:sz="4" w:space="0" w:color="auto"/>
              <w:right w:val="nil"/>
            </w:tcBorders>
            <w:shd w:val="clear" w:color="000000" w:fill="FFFFFF"/>
            <w:vAlign w:val="center"/>
            <w:hideMark/>
          </w:tcPr>
          <w:p w14:paraId="4A264E7C" w14:textId="77777777" w:rsidR="002B41BB" w:rsidRPr="004E5A6E" w:rsidRDefault="002B41BB" w:rsidP="002B41BB">
            <w:pPr>
              <w:rPr>
                <w:color w:val="auto"/>
                <w:sz w:val="20"/>
                <w:szCs w:val="20"/>
                <w:lang w:val="sq-AL"/>
              </w:rPr>
            </w:pPr>
            <w:r w:rsidRPr="004E5A6E">
              <w:rPr>
                <w:color w:val="auto"/>
                <w:sz w:val="20"/>
                <w:szCs w:val="20"/>
                <w:lang w:val="sq-AL"/>
              </w:rPr>
              <w:t>14. Të ardhurat mbi Pronën</w:t>
            </w:r>
          </w:p>
        </w:tc>
        <w:tc>
          <w:tcPr>
            <w:tcW w:w="378" w:type="pct"/>
            <w:tcBorders>
              <w:top w:val="nil"/>
              <w:left w:val="single" w:sz="8" w:space="0" w:color="auto"/>
              <w:bottom w:val="dotted" w:sz="4" w:space="0" w:color="auto"/>
              <w:right w:val="single" w:sz="8" w:space="0" w:color="auto"/>
            </w:tcBorders>
            <w:shd w:val="clear" w:color="000000" w:fill="FFFFFF"/>
            <w:vAlign w:val="center"/>
            <w:hideMark/>
          </w:tcPr>
          <w:p w14:paraId="3A9DD179" w14:textId="77777777" w:rsidR="002B41BB" w:rsidRPr="004E5A6E" w:rsidRDefault="002B41BB" w:rsidP="002B41BB">
            <w:pPr>
              <w:jc w:val="center"/>
              <w:rPr>
                <w:color w:val="auto"/>
                <w:sz w:val="20"/>
                <w:szCs w:val="20"/>
                <w:lang w:val="sq-AL"/>
              </w:rPr>
            </w:pPr>
            <w:r w:rsidRPr="004E5A6E">
              <w:rPr>
                <w:color w:val="auto"/>
                <w:sz w:val="20"/>
                <w:szCs w:val="20"/>
                <w:lang w:val="sq-AL"/>
              </w:rPr>
              <w:t>D4</w:t>
            </w:r>
          </w:p>
        </w:tc>
        <w:tc>
          <w:tcPr>
            <w:tcW w:w="451" w:type="pct"/>
            <w:tcBorders>
              <w:top w:val="nil"/>
              <w:left w:val="nil"/>
              <w:bottom w:val="dotted" w:sz="4" w:space="0" w:color="auto"/>
              <w:right w:val="single" w:sz="8" w:space="0" w:color="auto"/>
            </w:tcBorders>
            <w:shd w:val="clear" w:color="000000" w:fill="FFFFFF"/>
            <w:vAlign w:val="center"/>
            <w:hideMark/>
          </w:tcPr>
          <w:p w14:paraId="5379F469"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dotted" w:sz="4" w:space="0" w:color="auto"/>
              <w:right w:val="dotted" w:sz="4" w:space="0" w:color="auto"/>
            </w:tcBorders>
            <w:shd w:val="clear" w:color="000000" w:fill="FFFFFF"/>
            <w:vAlign w:val="center"/>
            <w:hideMark/>
          </w:tcPr>
          <w:p w14:paraId="08A237BD"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dotted" w:sz="4" w:space="0" w:color="auto"/>
              <w:right w:val="dotted" w:sz="4" w:space="0" w:color="auto"/>
            </w:tcBorders>
            <w:shd w:val="clear" w:color="000000" w:fill="FFFFFF"/>
            <w:vAlign w:val="center"/>
            <w:hideMark/>
          </w:tcPr>
          <w:p w14:paraId="52410E19"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dotted" w:sz="4" w:space="0" w:color="auto"/>
              <w:right w:val="dotted" w:sz="4" w:space="0" w:color="auto"/>
            </w:tcBorders>
            <w:shd w:val="clear" w:color="000000" w:fill="FFFFFF"/>
            <w:vAlign w:val="center"/>
            <w:hideMark/>
          </w:tcPr>
          <w:p w14:paraId="24C6B704"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dotted" w:sz="4" w:space="0" w:color="auto"/>
              <w:right w:val="dotted" w:sz="4" w:space="0" w:color="auto"/>
            </w:tcBorders>
            <w:shd w:val="clear" w:color="000000" w:fill="FFFFFF"/>
            <w:vAlign w:val="center"/>
            <w:hideMark/>
          </w:tcPr>
          <w:p w14:paraId="7667D770"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dotted" w:sz="4" w:space="0" w:color="auto"/>
              <w:right w:val="double" w:sz="6" w:space="0" w:color="auto"/>
            </w:tcBorders>
            <w:shd w:val="clear" w:color="000000" w:fill="FFFFFF"/>
            <w:vAlign w:val="center"/>
            <w:hideMark/>
          </w:tcPr>
          <w:p w14:paraId="08C0CC5E"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r w:rsidR="002B41BB" w:rsidRPr="004E5A6E" w14:paraId="66588FB7" w14:textId="77777777" w:rsidTr="002B41BB">
        <w:trPr>
          <w:trHeight w:val="420"/>
        </w:trPr>
        <w:tc>
          <w:tcPr>
            <w:tcW w:w="1918" w:type="pct"/>
            <w:tcBorders>
              <w:top w:val="nil"/>
              <w:left w:val="double" w:sz="6" w:space="0" w:color="auto"/>
              <w:bottom w:val="dotted" w:sz="4" w:space="0" w:color="auto"/>
              <w:right w:val="nil"/>
            </w:tcBorders>
            <w:shd w:val="clear" w:color="000000" w:fill="FFFFFF"/>
            <w:vAlign w:val="center"/>
            <w:hideMark/>
          </w:tcPr>
          <w:p w14:paraId="5647CD17" w14:textId="77777777" w:rsidR="002B41BB" w:rsidRPr="004E5A6E" w:rsidRDefault="002B41BB" w:rsidP="002B41BB">
            <w:pPr>
              <w:rPr>
                <w:color w:val="auto"/>
                <w:sz w:val="20"/>
                <w:szCs w:val="20"/>
                <w:lang w:val="sq-AL"/>
              </w:rPr>
            </w:pPr>
            <w:r w:rsidRPr="004E5A6E">
              <w:rPr>
                <w:color w:val="auto"/>
                <w:sz w:val="20"/>
                <w:szCs w:val="20"/>
                <w:lang w:val="sq-AL"/>
              </w:rPr>
              <w:t>15. Tjera (15 = 16-(12+13+14)) [4]</w:t>
            </w:r>
          </w:p>
        </w:tc>
        <w:tc>
          <w:tcPr>
            <w:tcW w:w="378" w:type="pct"/>
            <w:tcBorders>
              <w:top w:val="nil"/>
              <w:left w:val="single" w:sz="8" w:space="0" w:color="auto"/>
              <w:bottom w:val="dotted" w:sz="4" w:space="0" w:color="auto"/>
              <w:right w:val="single" w:sz="8" w:space="0" w:color="auto"/>
            </w:tcBorders>
            <w:shd w:val="clear" w:color="000000" w:fill="FFFFFF"/>
            <w:vAlign w:val="center"/>
            <w:hideMark/>
          </w:tcPr>
          <w:p w14:paraId="1B93D947"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451" w:type="pct"/>
            <w:tcBorders>
              <w:top w:val="nil"/>
              <w:left w:val="nil"/>
              <w:bottom w:val="dotted" w:sz="4" w:space="0" w:color="auto"/>
              <w:right w:val="single" w:sz="8" w:space="0" w:color="auto"/>
            </w:tcBorders>
            <w:shd w:val="clear" w:color="000000" w:fill="FFFFFF"/>
            <w:vAlign w:val="center"/>
            <w:hideMark/>
          </w:tcPr>
          <w:p w14:paraId="12033E2E" w14:textId="77777777" w:rsidR="002B41BB" w:rsidRPr="004E5A6E" w:rsidRDefault="002B41BB" w:rsidP="002B41BB">
            <w:pPr>
              <w:jc w:val="center"/>
              <w:rPr>
                <w:color w:val="auto"/>
                <w:sz w:val="20"/>
                <w:szCs w:val="20"/>
                <w:lang w:val="sq-AL"/>
              </w:rPr>
            </w:pPr>
            <w:r w:rsidRPr="004E5A6E">
              <w:rPr>
                <w:color w:val="auto"/>
                <w:sz w:val="20"/>
                <w:szCs w:val="20"/>
                <w:lang w:val="sq-AL"/>
              </w:rPr>
              <w:t>177.9</w:t>
            </w:r>
          </w:p>
        </w:tc>
        <w:tc>
          <w:tcPr>
            <w:tcW w:w="451" w:type="pct"/>
            <w:tcBorders>
              <w:top w:val="nil"/>
              <w:left w:val="nil"/>
              <w:bottom w:val="dotted" w:sz="4" w:space="0" w:color="auto"/>
              <w:right w:val="dotted" w:sz="4" w:space="0" w:color="auto"/>
            </w:tcBorders>
            <w:shd w:val="clear" w:color="000000" w:fill="FFFFFF"/>
            <w:vAlign w:val="center"/>
            <w:hideMark/>
          </w:tcPr>
          <w:p w14:paraId="217525D5" w14:textId="77777777" w:rsidR="002B41BB" w:rsidRPr="004E5A6E" w:rsidRDefault="002B41BB" w:rsidP="002B41BB">
            <w:pPr>
              <w:jc w:val="center"/>
              <w:rPr>
                <w:color w:val="auto"/>
                <w:sz w:val="20"/>
                <w:szCs w:val="20"/>
                <w:lang w:val="sq-AL"/>
              </w:rPr>
            </w:pPr>
            <w:r w:rsidRPr="004E5A6E">
              <w:rPr>
                <w:color w:val="auto"/>
                <w:sz w:val="20"/>
                <w:szCs w:val="20"/>
                <w:lang w:val="sq-AL"/>
              </w:rPr>
              <w:t>2.5</w:t>
            </w:r>
          </w:p>
        </w:tc>
        <w:tc>
          <w:tcPr>
            <w:tcW w:w="451" w:type="pct"/>
            <w:tcBorders>
              <w:top w:val="nil"/>
              <w:left w:val="nil"/>
              <w:bottom w:val="dotted" w:sz="4" w:space="0" w:color="auto"/>
              <w:right w:val="dotted" w:sz="4" w:space="0" w:color="auto"/>
            </w:tcBorders>
            <w:shd w:val="clear" w:color="000000" w:fill="FFFFFF"/>
            <w:vAlign w:val="center"/>
            <w:hideMark/>
          </w:tcPr>
          <w:p w14:paraId="26391BEC" w14:textId="77777777" w:rsidR="002B41BB" w:rsidRPr="004E5A6E" w:rsidRDefault="002B41BB" w:rsidP="002B41BB">
            <w:pPr>
              <w:jc w:val="center"/>
              <w:rPr>
                <w:color w:val="auto"/>
                <w:sz w:val="20"/>
                <w:szCs w:val="20"/>
                <w:lang w:val="sq-AL"/>
              </w:rPr>
            </w:pPr>
            <w:r w:rsidRPr="004E5A6E">
              <w:rPr>
                <w:color w:val="auto"/>
                <w:sz w:val="20"/>
                <w:szCs w:val="20"/>
                <w:lang w:val="sq-AL"/>
              </w:rPr>
              <w:t>2.6</w:t>
            </w:r>
          </w:p>
        </w:tc>
        <w:tc>
          <w:tcPr>
            <w:tcW w:w="451" w:type="pct"/>
            <w:tcBorders>
              <w:top w:val="nil"/>
              <w:left w:val="nil"/>
              <w:bottom w:val="dotted" w:sz="4" w:space="0" w:color="auto"/>
              <w:right w:val="dotted" w:sz="4" w:space="0" w:color="auto"/>
            </w:tcBorders>
            <w:shd w:val="clear" w:color="000000" w:fill="FFFFFF"/>
            <w:vAlign w:val="center"/>
            <w:hideMark/>
          </w:tcPr>
          <w:p w14:paraId="77F0E168" w14:textId="77777777" w:rsidR="002B41BB" w:rsidRPr="004E5A6E" w:rsidRDefault="002B41BB" w:rsidP="002B41BB">
            <w:pPr>
              <w:jc w:val="center"/>
              <w:rPr>
                <w:color w:val="auto"/>
                <w:sz w:val="20"/>
                <w:szCs w:val="20"/>
                <w:lang w:val="sq-AL"/>
              </w:rPr>
            </w:pPr>
            <w:r w:rsidRPr="004E5A6E">
              <w:rPr>
                <w:color w:val="auto"/>
                <w:sz w:val="20"/>
                <w:szCs w:val="20"/>
                <w:lang w:val="sq-AL"/>
              </w:rPr>
              <w:t>2.5</w:t>
            </w:r>
          </w:p>
        </w:tc>
        <w:tc>
          <w:tcPr>
            <w:tcW w:w="451" w:type="pct"/>
            <w:tcBorders>
              <w:top w:val="nil"/>
              <w:left w:val="nil"/>
              <w:bottom w:val="dotted" w:sz="4" w:space="0" w:color="auto"/>
              <w:right w:val="dotted" w:sz="4" w:space="0" w:color="auto"/>
            </w:tcBorders>
            <w:shd w:val="clear" w:color="000000" w:fill="FFFFFF"/>
            <w:vAlign w:val="center"/>
            <w:hideMark/>
          </w:tcPr>
          <w:p w14:paraId="6F044738" w14:textId="77777777" w:rsidR="002B41BB" w:rsidRPr="004E5A6E" w:rsidRDefault="002B41BB" w:rsidP="002B41BB">
            <w:pPr>
              <w:jc w:val="center"/>
              <w:rPr>
                <w:color w:val="auto"/>
                <w:sz w:val="20"/>
                <w:szCs w:val="20"/>
                <w:lang w:val="sq-AL"/>
              </w:rPr>
            </w:pPr>
            <w:r w:rsidRPr="004E5A6E">
              <w:rPr>
                <w:color w:val="auto"/>
                <w:sz w:val="20"/>
                <w:szCs w:val="20"/>
                <w:lang w:val="sq-AL"/>
              </w:rPr>
              <w:t>2.5</w:t>
            </w:r>
          </w:p>
        </w:tc>
        <w:tc>
          <w:tcPr>
            <w:tcW w:w="451" w:type="pct"/>
            <w:tcBorders>
              <w:top w:val="nil"/>
              <w:left w:val="nil"/>
              <w:bottom w:val="dotted" w:sz="4" w:space="0" w:color="auto"/>
              <w:right w:val="double" w:sz="6" w:space="0" w:color="auto"/>
            </w:tcBorders>
            <w:shd w:val="clear" w:color="000000" w:fill="FFFFFF"/>
            <w:vAlign w:val="center"/>
            <w:hideMark/>
          </w:tcPr>
          <w:p w14:paraId="122D13AD" w14:textId="77777777" w:rsidR="002B41BB" w:rsidRPr="004E5A6E" w:rsidRDefault="002B41BB" w:rsidP="002B41BB">
            <w:pPr>
              <w:jc w:val="center"/>
              <w:rPr>
                <w:color w:val="auto"/>
                <w:sz w:val="20"/>
                <w:szCs w:val="20"/>
                <w:lang w:val="sq-AL"/>
              </w:rPr>
            </w:pPr>
            <w:r w:rsidRPr="004E5A6E">
              <w:rPr>
                <w:color w:val="auto"/>
                <w:sz w:val="20"/>
                <w:szCs w:val="20"/>
                <w:lang w:val="sq-AL"/>
              </w:rPr>
              <w:t>2.5</w:t>
            </w:r>
          </w:p>
        </w:tc>
      </w:tr>
      <w:tr w:rsidR="002B41BB" w:rsidRPr="004E5A6E" w14:paraId="2CC0E59B" w14:textId="77777777" w:rsidTr="002B41BB">
        <w:trPr>
          <w:trHeight w:val="420"/>
        </w:trPr>
        <w:tc>
          <w:tcPr>
            <w:tcW w:w="1918" w:type="pct"/>
            <w:tcBorders>
              <w:top w:val="nil"/>
              <w:left w:val="double" w:sz="6" w:space="0" w:color="auto"/>
              <w:bottom w:val="dotted" w:sz="4" w:space="0" w:color="auto"/>
              <w:right w:val="nil"/>
            </w:tcBorders>
            <w:shd w:val="clear" w:color="000000" w:fill="FFFFFF"/>
            <w:vAlign w:val="center"/>
            <w:hideMark/>
          </w:tcPr>
          <w:p w14:paraId="6E8E3E56" w14:textId="77777777" w:rsidR="002B41BB" w:rsidRPr="004E5A6E" w:rsidRDefault="002B41BB" w:rsidP="002B41BB">
            <w:pPr>
              <w:rPr>
                <w:color w:val="auto"/>
                <w:sz w:val="20"/>
                <w:szCs w:val="20"/>
                <w:lang w:val="sq-AL"/>
              </w:rPr>
            </w:pPr>
            <w:r w:rsidRPr="004E5A6E">
              <w:rPr>
                <w:color w:val="auto"/>
                <w:sz w:val="20"/>
                <w:szCs w:val="20"/>
                <w:lang w:val="sq-AL"/>
              </w:rPr>
              <w:t>16 = 6.Të Hyrat Totale</w:t>
            </w:r>
          </w:p>
        </w:tc>
        <w:tc>
          <w:tcPr>
            <w:tcW w:w="378" w:type="pct"/>
            <w:tcBorders>
              <w:top w:val="nil"/>
              <w:left w:val="single" w:sz="8" w:space="0" w:color="auto"/>
              <w:bottom w:val="dotted" w:sz="4" w:space="0" w:color="auto"/>
              <w:right w:val="single" w:sz="8" w:space="0" w:color="auto"/>
            </w:tcBorders>
            <w:shd w:val="clear" w:color="000000" w:fill="FFFFFF"/>
            <w:vAlign w:val="center"/>
            <w:hideMark/>
          </w:tcPr>
          <w:p w14:paraId="61FA67CB" w14:textId="77777777" w:rsidR="002B41BB" w:rsidRPr="004E5A6E" w:rsidRDefault="002B41BB" w:rsidP="002B41BB">
            <w:pPr>
              <w:jc w:val="center"/>
              <w:rPr>
                <w:color w:val="auto"/>
                <w:sz w:val="20"/>
                <w:szCs w:val="20"/>
                <w:lang w:val="sq-AL"/>
              </w:rPr>
            </w:pPr>
            <w:r w:rsidRPr="004E5A6E">
              <w:rPr>
                <w:color w:val="auto"/>
                <w:sz w:val="20"/>
                <w:szCs w:val="20"/>
                <w:lang w:val="sq-AL"/>
              </w:rPr>
              <w:t>TR</w:t>
            </w:r>
          </w:p>
        </w:tc>
        <w:tc>
          <w:tcPr>
            <w:tcW w:w="451" w:type="pct"/>
            <w:tcBorders>
              <w:top w:val="nil"/>
              <w:left w:val="nil"/>
              <w:bottom w:val="dotted" w:sz="4" w:space="0" w:color="auto"/>
              <w:right w:val="single" w:sz="8" w:space="0" w:color="auto"/>
            </w:tcBorders>
            <w:shd w:val="clear" w:color="000000" w:fill="FFFFFF"/>
            <w:vAlign w:val="center"/>
            <w:hideMark/>
          </w:tcPr>
          <w:p w14:paraId="5E6CCF01" w14:textId="77777777" w:rsidR="002B41BB" w:rsidRPr="004E5A6E" w:rsidRDefault="002B41BB" w:rsidP="002B41BB">
            <w:pPr>
              <w:jc w:val="center"/>
              <w:rPr>
                <w:color w:val="auto"/>
                <w:sz w:val="20"/>
                <w:szCs w:val="20"/>
                <w:lang w:val="sq-AL"/>
              </w:rPr>
            </w:pPr>
            <w:r w:rsidRPr="004E5A6E">
              <w:rPr>
                <w:color w:val="auto"/>
                <w:sz w:val="20"/>
                <w:szCs w:val="20"/>
                <w:lang w:val="sq-AL"/>
              </w:rPr>
              <w:t>1,885.5</w:t>
            </w:r>
          </w:p>
        </w:tc>
        <w:tc>
          <w:tcPr>
            <w:tcW w:w="451" w:type="pct"/>
            <w:tcBorders>
              <w:top w:val="nil"/>
              <w:left w:val="nil"/>
              <w:bottom w:val="dotted" w:sz="4" w:space="0" w:color="auto"/>
              <w:right w:val="dotted" w:sz="4" w:space="0" w:color="auto"/>
            </w:tcBorders>
            <w:shd w:val="clear" w:color="000000" w:fill="FFFFFF"/>
            <w:vAlign w:val="center"/>
            <w:hideMark/>
          </w:tcPr>
          <w:p w14:paraId="0F4E47A9" w14:textId="77777777" w:rsidR="002B41BB" w:rsidRPr="004E5A6E" w:rsidRDefault="002B41BB" w:rsidP="002B41BB">
            <w:pPr>
              <w:jc w:val="center"/>
              <w:rPr>
                <w:color w:val="auto"/>
                <w:sz w:val="20"/>
                <w:szCs w:val="20"/>
                <w:lang w:val="sq-AL"/>
              </w:rPr>
            </w:pPr>
            <w:r w:rsidRPr="004E5A6E">
              <w:rPr>
                <w:color w:val="auto"/>
                <w:sz w:val="20"/>
                <w:szCs w:val="20"/>
                <w:lang w:val="sq-AL"/>
              </w:rPr>
              <w:t>26.5</w:t>
            </w:r>
          </w:p>
        </w:tc>
        <w:tc>
          <w:tcPr>
            <w:tcW w:w="451" w:type="pct"/>
            <w:tcBorders>
              <w:top w:val="nil"/>
              <w:left w:val="nil"/>
              <w:bottom w:val="dotted" w:sz="4" w:space="0" w:color="auto"/>
              <w:right w:val="dotted" w:sz="4" w:space="0" w:color="auto"/>
            </w:tcBorders>
            <w:shd w:val="clear" w:color="000000" w:fill="FFFFFF"/>
            <w:vAlign w:val="center"/>
            <w:hideMark/>
          </w:tcPr>
          <w:p w14:paraId="491FE042" w14:textId="77777777" w:rsidR="002B41BB" w:rsidRPr="004E5A6E" w:rsidRDefault="002B41BB" w:rsidP="002B41BB">
            <w:pPr>
              <w:jc w:val="center"/>
              <w:rPr>
                <w:color w:val="auto"/>
                <w:sz w:val="20"/>
                <w:szCs w:val="20"/>
                <w:lang w:val="sq-AL"/>
              </w:rPr>
            </w:pPr>
            <w:r w:rsidRPr="004E5A6E">
              <w:rPr>
                <w:color w:val="auto"/>
                <w:sz w:val="20"/>
                <w:szCs w:val="20"/>
                <w:lang w:val="sq-AL"/>
              </w:rPr>
              <w:t>25.8</w:t>
            </w:r>
          </w:p>
        </w:tc>
        <w:tc>
          <w:tcPr>
            <w:tcW w:w="451" w:type="pct"/>
            <w:tcBorders>
              <w:top w:val="nil"/>
              <w:left w:val="nil"/>
              <w:bottom w:val="dotted" w:sz="4" w:space="0" w:color="auto"/>
              <w:right w:val="dotted" w:sz="4" w:space="0" w:color="auto"/>
            </w:tcBorders>
            <w:shd w:val="clear" w:color="000000" w:fill="FFFFFF"/>
            <w:vAlign w:val="center"/>
            <w:hideMark/>
          </w:tcPr>
          <w:p w14:paraId="66EB10DA" w14:textId="77777777" w:rsidR="002B41BB" w:rsidRPr="004E5A6E" w:rsidRDefault="002B41BB" w:rsidP="002B41BB">
            <w:pPr>
              <w:jc w:val="center"/>
              <w:rPr>
                <w:color w:val="auto"/>
                <w:sz w:val="20"/>
                <w:szCs w:val="20"/>
                <w:lang w:val="sq-AL"/>
              </w:rPr>
            </w:pPr>
            <w:r w:rsidRPr="004E5A6E">
              <w:rPr>
                <w:color w:val="auto"/>
                <w:sz w:val="20"/>
                <w:szCs w:val="20"/>
                <w:lang w:val="sq-AL"/>
              </w:rPr>
              <w:t>26.4</w:t>
            </w:r>
          </w:p>
        </w:tc>
        <w:tc>
          <w:tcPr>
            <w:tcW w:w="451" w:type="pct"/>
            <w:tcBorders>
              <w:top w:val="nil"/>
              <w:left w:val="nil"/>
              <w:bottom w:val="dotted" w:sz="4" w:space="0" w:color="auto"/>
              <w:right w:val="dotted" w:sz="4" w:space="0" w:color="auto"/>
            </w:tcBorders>
            <w:shd w:val="clear" w:color="000000" w:fill="FFFFFF"/>
            <w:vAlign w:val="center"/>
            <w:hideMark/>
          </w:tcPr>
          <w:p w14:paraId="62F262F8" w14:textId="77777777" w:rsidR="002B41BB" w:rsidRPr="004E5A6E" w:rsidRDefault="002B41BB" w:rsidP="002B41BB">
            <w:pPr>
              <w:jc w:val="center"/>
              <w:rPr>
                <w:color w:val="auto"/>
                <w:sz w:val="20"/>
                <w:szCs w:val="20"/>
                <w:lang w:val="sq-AL"/>
              </w:rPr>
            </w:pPr>
            <w:r w:rsidRPr="004E5A6E">
              <w:rPr>
                <w:color w:val="auto"/>
                <w:sz w:val="20"/>
                <w:szCs w:val="20"/>
                <w:lang w:val="sq-AL"/>
              </w:rPr>
              <w:t>26.7</w:t>
            </w:r>
          </w:p>
        </w:tc>
        <w:tc>
          <w:tcPr>
            <w:tcW w:w="451" w:type="pct"/>
            <w:tcBorders>
              <w:top w:val="nil"/>
              <w:left w:val="nil"/>
              <w:bottom w:val="dotted" w:sz="4" w:space="0" w:color="auto"/>
              <w:right w:val="double" w:sz="6" w:space="0" w:color="auto"/>
            </w:tcBorders>
            <w:shd w:val="clear" w:color="000000" w:fill="FFFFFF"/>
            <w:vAlign w:val="center"/>
            <w:hideMark/>
          </w:tcPr>
          <w:p w14:paraId="07CBB3E4" w14:textId="77777777" w:rsidR="002B41BB" w:rsidRPr="004E5A6E" w:rsidRDefault="002B41BB" w:rsidP="002B41BB">
            <w:pPr>
              <w:jc w:val="center"/>
              <w:rPr>
                <w:color w:val="auto"/>
                <w:sz w:val="20"/>
                <w:szCs w:val="20"/>
                <w:lang w:val="sq-AL"/>
              </w:rPr>
            </w:pPr>
            <w:r w:rsidRPr="004E5A6E">
              <w:rPr>
                <w:color w:val="auto"/>
                <w:sz w:val="20"/>
                <w:szCs w:val="20"/>
                <w:lang w:val="sq-AL"/>
              </w:rPr>
              <w:t>26.5</w:t>
            </w:r>
          </w:p>
        </w:tc>
      </w:tr>
      <w:tr w:rsidR="002B41BB" w:rsidRPr="004E5A6E" w14:paraId="6D0F5BD7" w14:textId="77777777" w:rsidTr="002B41BB">
        <w:trPr>
          <w:trHeight w:val="420"/>
        </w:trPr>
        <w:tc>
          <w:tcPr>
            <w:tcW w:w="1918" w:type="pct"/>
            <w:tcBorders>
              <w:top w:val="nil"/>
              <w:left w:val="double" w:sz="6" w:space="0" w:color="auto"/>
              <w:bottom w:val="single" w:sz="8" w:space="0" w:color="auto"/>
              <w:right w:val="nil"/>
            </w:tcBorders>
            <w:shd w:val="clear" w:color="auto" w:fill="auto"/>
            <w:noWrap/>
            <w:vAlign w:val="bottom"/>
            <w:hideMark/>
          </w:tcPr>
          <w:p w14:paraId="7F35327D" w14:textId="77777777" w:rsidR="002B41BB" w:rsidRPr="004E5A6E" w:rsidRDefault="002B41BB" w:rsidP="002B41BB">
            <w:pPr>
              <w:rPr>
                <w:rFonts w:ascii="Arial" w:hAnsi="Arial" w:cs="Arial"/>
                <w:color w:val="auto"/>
                <w:sz w:val="20"/>
                <w:szCs w:val="20"/>
                <w:lang w:val="sq-AL"/>
              </w:rPr>
            </w:pPr>
            <w:r w:rsidRPr="004E5A6E">
              <w:rPr>
                <w:rFonts w:ascii="Arial" w:hAnsi="Arial" w:cs="Arial"/>
                <w:color w:val="auto"/>
                <w:sz w:val="20"/>
                <w:szCs w:val="20"/>
                <w:lang w:val="sq-AL"/>
              </w:rPr>
              <w:lastRenderedPageBreak/>
              <w:t>p.m.: Barra Tatimore  (D2+D5+D61+D91-D995) [5]</w:t>
            </w:r>
          </w:p>
        </w:tc>
        <w:tc>
          <w:tcPr>
            <w:tcW w:w="378" w:type="pct"/>
            <w:tcBorders>
              <w:top w:val="nil"/>
              <w:left w:val="single" w:sz="8" w:space="0" w:color="auto"/>
              <w:bottom w:val="single" w:sz="8" w:space="0" w:color="000000"/>
              <w:right w:val="single" w:sz="8" w:space="0" w:color="auto"/>
            </w:tcBorders>
            <w:shd w:val="clear" w:color="000000" w:fill="FFFFFF"/>
            <w:vAlign w:val="center"/>
            <w:hideMark/>
          </w:tcPr>
          <w:p w14:paraId="36DED4AE"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451" w:type="pct"/>
            <w:tcBorders>
              <w:top w:val="nil"/>
              <w:left w:val="nil"/>
              <w:bottom w:val="single" w:sz="8" w:space="0" w:color="auto"/>
              <w:right w:val="single" w:sz="8" w:space="0" w:color="auto"/>
            </w:tcBorders>
            <w:shd w:val="clear" w:color="000000" w:fill="FFFFFF"/>
            <w:vAlign w:val="center"/>
            <w:hideMark/>
          </w:tcPr>
          <w:p w14:paraId="1D91E703" w14:textId="77777777" w:rsidR="002B41BB" w:rsidRPr="004E5A6E" w:rsidRDefault="002B41BB" w:rsidP="002B41BB">
            <w:pPr>
              <w:jc w:val="center"/>
              <w:rPr>
                <w:color w:val="auto"/>
                <w:sz w:val="20"/>
                <w:szCs w:val="20"/>
                <w:lang w:val="sq-AL"/>
              </w:rPr>
            </w:pPr>
            <w:r w:rsidRPr="004E5A6E">
              <w:rPr>
                <w:color w:val="auto"/>
                <w:sz w:val="20"/>
                <w:szCs w:val="20"/>
                <w:lang w:val="sq-AL"/>
              </w:rPr>
              <w:t>1,707.6</w:t>
            </w:r>
          </w:p>
        </w:tc>
        <w:tc>
          <w:tcPr>
            <w:tcW w:w="451" w:type="pct"/>
            <w:tcBorders>
              <w:top w:val="nil"/>
              <w:left w:val="nil"/>
              <w:bottom w:val="single" w:sz="8" w:space="0" w:color="000000"/>
              <w:right w:val="dotted" w:sz="4" w:space="0" w:color="auto"/>
            </w:tcBorders>
            <w:shd w:val="clear" w:color="000000" w:fill="FFFFFF"/>
            <w:vAlign w:val="center"/>
            <w:hideMark/>
          </w:tcPr>
          <w:p w14:paraId="015822BA" w14:textId="77777777" w:rsidR="002B41BB" w:rsidRPr="004E5A6E" w:rsidRDefault="002B41BB" w:rsidP="002B41BB">
            <w:pPr>
              <w:jc w:val="center"/>
              <w:rPr>
                <w:color w:val="auto"/>
                <w:sz w:val="20"/>
                <w:szCs w:val="20"/>
                <w:lang w:val="sq-AL"/>
              </w:rPr>
            </w:pPr>
            <w:r w:rsidRPr="004E5A6E">
              <w:rPr>
                <w:color w:val="auto"/>
                <w:sz w:val="20"/>
                <w:szCs w:val="20"/>
                <w:lang w:val="sq-AL"/>
              </w:rPr>
              <w:t>24.0</w:t>
            </w:r>
          </w:p>
        </w:tc>
        <w:tc>
          <w:tcPr>
            <w:tcW w:w="451" w:type="pct"/>
            <w:tcBorders>
              <w:top w:val="nil"/>
              <w:left w:val="nil"/>
              <w:bottom w:val="single" w:sz="8" w:space="0" w:color="000000"/>
              <w:right w:val="dotted" w:sz="4" w:space="0" w:color="auto"/>
            </w:tcBorders>
            <w:shd w:val="clear" w:color="000000" w:fill="FFFFFF"/>
            <w:vAlign w:val="center"/>
            <w:hideMark/>
          </w:tcPr>
          <w:p w14:paraId="2D38FBBC" w14:textId="77777777" w:rsidR="002B41BB" w:rsidRPr="004E5A6E" w:rsidRDefault="002B41BB" w:rsidP="002B41BB">
            <w:pPr>
              <w:jc w:val="center"/>
              <w:rPr>
                <w:color w:val="auto"/>
                <w:sz w:val="20"/>
                <w:szCs w:val="20"/>
                <w:lang w:val="sq-AL"/>
              </w:rPr>
            </w:pPr>
            <w:r w:rsidRPr="004E5A6E">
              <w:rPr>
                <w:color w:val="auto"/>
                <w:sz w:val="20"/>
                <w:szCs w:val="20"/>
                <w:lang w:val="sq-AL"/>
              </w:rPr>
              <w:t>23.1</w:t>
            </w:r>
          </w:p>
        </w:tc>
        <w:tc>
          <w:tcPr>
            <w:tcW w:w="451" w:type="pct"/>
            <w:tcBorders>
              <w:top w:val="nil"/>
              <w:left w:val="nil"/>
              <w:bottom w:val="single" w:sz="8" w:space="0" w:color="000000"/>
              <w:right w:val="dotted" w:sz="4" w:space="0" w:color="auto"/>
            </w:tcBorders>
            <w:shd w:val="clear" w:color="000000" w:fill="FFFFFF"/>
            <w:vAlign w:val="center"/>
            <w:hideMark/>
          </w:tcPr>
          <w:p w14:paraId="7E1E1DAE" w14:textId="77777777" w:rsidR="002B41BB" w:rsidRPr="004E5A6E" w:rsidRDefault="002B41BB" w:rsidP="002B41BB">
            <w:pPr>
              <w:jc w:val="center"/>
              <w:rPr>
                <w:color w:val="auto"/>
                <w:sz w:val="20"/>
                <w:szCs w:val="20"/>
                <w:lang w:val="sq-AL"/>
              </w:rPr>
            </w:pPr>
            <w:r w:rsidRPr="004E5A6E">
              <w:rPr>
                <w:color w:val="auto"/>
                <w:sz w:val="20"/>
                <w:szCs w:val="20"/>
                <w:lang w:val="sq-AL"/>
              </w:rPr>
              <w:t>23.9</w:t>
            </w:r>
          </w:p>
        </w:tc>
        <w:tc>
          <w:tcPr>
            <w:tcW w:w="451" w:type="pct"/>
            <w:tcBorders>
              <w:top w:val="nil"/>
              <w:left w:val="nil"/>
              <w:bottom w:val="single" w:sz="8" w:space="0" w:color="000000"/>
              <w:right w:val="dotted" w:sz="4" w:space="0" w:color="auto"/>
            </w:tcBorders>
            <w:shd w:val="clear" w:color="000000" w:fill="FFFFFF"/>
            <w:vAlign w:val="center"/>
            <w:hideMark/>
          </w:tcPr>
          <w:p w14:paraId="6465A55E" w14:textId="77777777" w:rsidR="002B41BB" w:rsidRPr="004E5A6E" w:rsidRDefault="002B41BB" w:rsidP="002B41BB">
            <w:pPr>
              <w:jc w:val="center"/>
              <w:rPr>
                <w:color w:val="auto"/>
                <w:sz w:val="20"/>
                <w:szCs w:val="20"/>
                <w:lang w:val="sq-AL"/>
              </w:rPr>
            </w:pPr>
            <w:r w:rsidRPr="004E5A6E">
              <w:rPr>
                <w:color w:val="auto"/>
                <w:sz w:val="20"/>
                <w:szCs w:val="20"/>
                <w:lang w:val="sq-AL"/>
              </w:rPr>
              <w:t>24.2</w:t>
            </w:r>
          </w:p>
        </w:tc>
        <w:tc>
          <w:tcPr>
            <w:tcW w:w="451" w:type="pct"/>
            <w:tcBorders>
              <w:top w:val="nil"/>
              <w:left w:val="nil"/>
              <w:bottom w:val="single" w:sz="8" w:space="0" w:color="auto"/>
              <w:right w:val="double" w:sz="6" w:space="0" w:color="auto"/>
            </w:tcBorders>
            <w:shd w:val="clear" w:color="000000" w:fill="FFFFFF"/>
            <w:vAlign w:val="center"/>
            <w:hideMark/>
          </w:tcPr>
          <w:p w14:paraId="2A85E0D7" w14:textId="77777777" w:rsidR="002B41BB" w:rsidRPr="004E5A6E" w:rsidRDefault="002B41BB" w:rsidP="002B41BB">
            <w:pPr>
              <w:jc w:val="center"/>
              <w:rPr>
                <w:color w:val="auto"/>
                <w:sz w:val="20"/>
                <w:szCs w:val="20"/>
                <w:lang w:val="sq-AL"/>
              </w:rPr>
            </w:pPr>
            <w:r w:rsidRPr="004E5A6E">
              <w:rPr>
                <w:color w:val="auto"/>
                <w:sz w:val="20"/>
                <w:szCs w:val="20"/>
                <w:lang w:val="sq-AL"/>
              </w:rPr>
              <w:t>24.0</w:t>
            </w:r>
          </w:p>
        </w:tc>
      </w:tr>
      <w:tr w:rsidR="002B41BB" w:rsidRPr="004E5A6E" w14:paraId="087EA837" w14:textId="77777777" w:rsidTr="002B41BB">
        <w:trPr>
          <w:trHeight w:val="420"/>
        </w:trPr>
        <w:tc>
          <w:tcPr>
            <w:tcW w:w="5000" w:type="pct"/>
            <w:gridSpan w:val="8"/>
            <w:tcBorders>
              <w:top w:val="nil"/>
              <w:left w:val="double" w:sz="6" w:space="0" w:color="auto"/>
              <w:bottom w:val="single" w:sz="8" w:space="0" w:color="auto"/>
              <w:right w:val="double" w:sz="6" w:space="0" w:color="000000"/>
            </w:tcBorders>
            <w:shd w:val="clear" w:color="000000" w:fill="FFFFFF"/>
            <w:vAlign w:val="center"/>
            <w:hideMark/>
          </w:tcPr>
          <w:p w14:paraId="014328BE" w14:textId="77777777" w:rsidR="002B41BB" w:rsidRPr="004E5A6E" w:rsidRDefault="002B41BB" w:rsidP="002B41BB">
            <w:pPr>
              <w:jc w:val="center"/>
              <w:rPr>
                <w:b/>
                <w:bCs/>
                <w:color w:val="auto"/>
                <w:sz w:val="20"/>
                <w:szCs w:val="20"/>
                <w:lang w:val="sq-AL"/>
              </w:rPr>
            </w:pPr>
            <w:r w:rsidRPr="004E5A6E">
              <w:rPr>
                <w:b/>
                <w:bCs/>
                <w:color w:val="auto"/>
                <w:sz w:val="20"/>
                <w:szCs w:val="20"/>
                <w:lang w:val="sq-AL"/>
              </w:rPr>
              <w:t>Komponentet e zgjedhura të shpenzimeve</w:t>
            </w:r>
          </w:p>
        </w:tc>
      </w:tr>
      <w:tr w:rsidR="002B41BB" w:rsidRPr="004E5A6E" w14:paraId="0EEB9CEC" w14:textId="77777777" w:rsidTr="002B41BB">
        <w:trPr>
          <w:trHeight w:val="420"/>
        </w:trPr>
        <w:tc>
          <w:tcPr>
            <w:tcW w:w="1918" w:type="pct"/>
            <w:tcBorders>
              <w:top w:val="nil"/>
              <w:left w:val="double" w:sz="6" w:space="0" w:color="auto"/>
              <w:bottom w:val="dotted" w:sz="4" w:space="0" w:color="auto"/>
              <w:right w:val="nil"/>
            </w:tcBorders>
            <w:shd w:val="clear" w:color="000000" w:fill="FFFFFF"/>
            <w:vAlign w:val="center"/>
            <w:hideMark/>
          </w:tcPr>
          <w:p w14:paraId="7E07F961" w14:textId="77777777" w:rsidR="002B41BB" w:rsidRPr="004E5A6E" w:rsidRDefault="002B41BB" w:rsidP="002B41BB">
            <w:pPr>
              <w:rPr>
                <w:color w:val="auto"/>
                <w:sz w:val="20"/>
                <w:szCs w:val="20"/>
                <w:lang w:val="sq-AL"/>
              </w:rPr>
            </w:pPr>
            <w:r w:rsidRPr="004E5A6E">
              <w:rPr>
                <w:color w:val="auto"/>
                <w:sz w:val="20"/>
                <w:szCs w:val="20"/>
                <w:lang w:val="sq-AL"/>
              </w:rPr>
              <w:t xml:space="preserve">16. Konsumi i Përgjithshëm </w:t>
            </w:r>
          </w:p>
        </w:tc>
        <w:tc>
          <w:tcPr>
            <w:tcW w:w="378" w:type="pct"/>
            <w:tcBorders>
              <w:top w:val="nil"/>
              <w:left w:val="single" w:sz="8" w:space="0" w:color="auto"/>
              <w:bottom w:val="dotted" w:sz="4" w:space="0" w:color="auto"/>
              <w:right w:val="single" w:sz="8" w:space="0" w:color="auto"/>
            </w:tcBorders>
            <w:shd w:val="clear" w:color="000000" w:fill="FFFFFF"/>
            <w:vAlign w:val="center"/>
            <w:hideMark/>
          </w:tcPr>
          <w:p w14:paraId="12F6FACF" w14:textId="77777777" w:rsidR="002B41BB" w:rsidRPr="004E5A6E" w:rsidRDefault="002B41BB" w:rsidP="002B41BB">
            <w:pPr>
              <w:jc w:val="center"/>
              <w:rPr>
                <w:color w:val="auto"/>
                <w:sz w:val="20"/>
                <w:szCs w:val="20"/>
                <w:lang w:val="sq-AL"/>
              </w:rPr>
            </w:pPr>
            <w:r w:rsidRPr="004E5A6E">
              <w:rPr>
                <w:color w:val="auto"/>
                <w:sz w:val="20"/>
                <w:szCs w:val="20"/>
                <w:lang w:val="sq-AL"/>
              </w:rPr>
              <w:t>P32</w:t>
            </w:r>
          </w:p>
        </w:tc>
        <w:tc>
          <w:tcPr>
            <w:tcW w:w="451" w:type="pct"/>
            <w:tcBorders>
              <w:top w:val="nil"/>
              <w:left w:val="nil"/>
              <w:bottom w:val="dotted" w:sz="4" w:space="0" w:color="auto"/>
              <w:right w:val="single" w:sz="8" w:space="0" w:color="auto"/>
            </w:tcBorders>
            <w:shd w:val="clear" w:color="000000" w:fill="FFFFFF"/>
            <w:vAlign w:val="center"/>
            <w:hideMark/>
          </w:tcPr>
          <w:p w14:paraId="28009D1C" w14:textId="77777777" w:rsidR="002B41BB" w:rsidRPr="004E5A6E" w:rsidRDefault="002B41BB" w:rsidP="002B41BB">
            <w:pPr>
              <w:jc w:val="center"/>
              <w:rPr>
                <w:color w:val="auto"/>
                <w:sz w:val="20"/>
                <w:szCs w:val="20"/>
                <w:lang w:val="sq-AL"/>
              </w:rPr>
            </w:pPr>
            <w:r w:rsidRPr="004E5A6E">
              <w:rPr>
                <w:color w:val="auto"/>
                <w:sz w:val="20"/>
                <w:szCs w:val="20"/>
                <w:lang w:val="sq-AL"/>
              </w:rPr>
              <w:t>911.5</w:t>
            </w:r>
          </w:p>
        </w:tc>
        <w:tc>
          <w:tcPr>
            <w:tcW w:w="451" w:type="pct"/>
            <w:tcBorders>
              <w:top w:val="nil"/>
              <w:left w:val="nil"/>
              <w:bottom w:val="dotted" w:sz="4" w:space="0" w:color="auto"/>
              <w:right w:val="dotted" w:sz="4" w:space="0" w:color="auto"/>
            </w:tcBorders>
            <w:shd w:val="clear" w:color="000000" w:fill="FFFFFF"/>
            <w:vAlign w:val="center"/>
            <w:hideMark/>
          </w:tcPr>
          <w:p w14:paraId="3A9800B5" w14:textId="77777777" w:rsidR="002B41BB" w:rsidRPr="004E5A6E" w:rsidRDefault="002B41BB" w:rsidP="002B41BB">
            <w:pPr>
              <w:jc w:val="center"/>
              <w:rPr>
                <w:color w:val="auto"/>
                <w:sz w:val="20"/>
                <w:szCs w:val="20"/>
                <w:lang w:val="sq-AL"/>
              </w:rPr>
            </w:pPr>
            <w:r w:rsidRPr="004E5A6E">
              <w:rPr>
                <w:color w:val="auto"/>
                <w:sz w:val="20"/>
                <w:szCs w:val="20"/>
                <w:lang w:val="sq-AL"/>
              </w:rPr>
              <w:t>12.8</w:t>
            </w:r>
          </w:p>
        </w:tc>
        <w:tc>
          <w:tcPr>
            <w:tcW w:w="451" w:type="pct"/>
            <w:tcBorders>
              <w:top w:val="nil"/>
              <w:left w:val="nil"/>
              <w:bottom w:val="dotted" w:sz="4" w:space="0" w:color="auto"/>
              <w:right w:val="dotted" w:sz="4" w:space="0" w:color="auto"/>
            </w:tcBorders>
            <w:shd w:val="clear" w:color="000000" w:fill="FFFFFF"/>
            <w:vAlign w:val="center"/>
            <w:hideMark/>
          </w:tcPr>
          <w:p w14:paraId="745FE8CE" w14:textId="77777777" w:rsidR="002B41BB" w:rsidRPr="004E5A6E" w:rsidRDefault="002B41BB" w:rsidP="002B41BB">
            <w:pPr>
              <w:jc w:val="center"/>
              <w:rPr>
                <w:color w:val="auto"/>
                <w:sz w:val="20"/>
                <w:szCs w:val="20"/>
                <w:lang w:val="sq-AL"/>
              </w:rPr>
            </w:pPr>
            <w:r w:rsidRPr="004E5A6E">
              <w:rPr>
                <w:color w:val="auto"/>
                <w:sz w:val="20"/>
                <w:szCs w:val="20"/>
                <w:lang w:val="sq-AL"/>
              </w:rPr>
              <w:t>13.9</w:t>
            </w:r>
          </w:p>
        </w:tc>
        <w:tc>
          <w:tcPr>
            <w:tcW w:w="451" w:type="pct"/>
            <w:tcBorders>
              <w:top w:val="nil"/>
              <w:left w:val="nil"/>
              <w:bottom w:val="dotted" w:sz="4" w:space="0" w:color="auto"/>
              <w:right w:val="dotted" w:sz="4" w:space="0" w:color="auto"/>
            </w:tcBorders>
            <w:shd w:val="clear" w:color="000000" w:fill="FFFFFF"/>
            <w:vAlign w:val="center"/>
            <w:hideMark/>
          </w:tcPr>
          <w:p w14:paraId="1E732ADD" w14:textId="77777777" w:rsidR="002B41BB" w:rsidRPr="004E5A6E" w:rsidRDefault="002B41BB" w:rsidP="002B41BB">
            <w:pPr>
              <w:jc w:val="center"/>
              <w:rPr>
                <w:color w:val="auto"/>
                <w:sz w:val="20"/>
                <w:szCs w:val="20"/>
                <w:lang w:val="sq-AL"/>
              </w:rPr>
            </w:pPr>
            <w:r w:rsidRPr="004E5A6E">
              <w:rPr>
                <w:color w:val="auto"/>
                <w:sz w:val="20"/>
                <w:szCs w:val="20"/>
                <w:lang w:val="sq-AL"/>
              </w:rPr>
              <w:t>13.5</w:t>
            </w:r>
          </w:p>
        </w:tc>
        <w:tc>
          <w:tcPr>
            <w:tcW w:w="451" w:type="pct"/>
            <w:tcBorders>
              <w:top w:val="nil"/>
              <w:left w:val="nil"/>
              <w:bottom w:val="dotted" w:sz="4" w:space="0" w:color="auto"/>
              <w:right w:val="dotted" w:sz="4" w:space="0" w:color="auto"/>
            </w:tcBorders>
            <w:shd w:val="clear" w:color="000000" w:fill="FFFFFF"/>
            <w:vAlign w:val="center"/>
            <w:hideMark/>
          </w:tcPr>
          <w:p w14:paraId="434015DC" w14:textId="77777777" w:rsidR="002B41BB" w:rsidRPr="004E5A6E" w:rsidRDefault="002B41BB" w:rsidP="002B41BB">
            <w:pPr>
              <w:jc w:val="center"/>
              <w:rPr>
                <w:color w:val="auto"/>
                <w:sz w:val="20"/>
                <w:szCs w:val="20"/>
                <w:lang w:val="sq-AL"/>
              </w:rPr>
            </w:pPr>
            <w:r w:rsidRPr="004E5A6E">
              <w:rPr>
                <w:color w:val="auto"/>
                <w:sz w:val="20"/>
                <w:szCs w:val="20"/>
                <w:lang w:val="sq-AL"/>
              </w:rPr>
              <w:t>13.2</w:t>
            </w:r>
          </w:p>
        </w:tc>
        <w:tc>
          <w:tcPr>
            <w:tcW w:w="451" w:type="pct"/>
            <w:tcBorders>
              <w:top w:val="nil"/>
              <w:left w:val="nil"/>
              <w:bottom w:val="dotted" w:sz="4" w:space="0" w:color="auto"/>
              <w:right w:val="double" w:sz="6" w:space="0" w:color="auto"/>
            </w:tcBorders>
            <w:shd w:val="clear" w:color="000000" w:fill="FFFFFF"/>
            <w:vAlign w:val="center"/>
            <w:hideMark/>
          </w:tcPr>
          <w:p w14:paraId="0C936DE5" w14:textId="77777777" w:rsidR="002B41BB" w:rsidRPr="004E5A6E" w:rsidRDefault="002B41BB" w:rsidP="002B41BB">
            <w:pPr>
              <w:jc w:val="center"/>
              <w:rPr>
                <w:color w:val="auto"/>
                <w:sz w:val="20"/>
                <w:szCs w:val="20"/>
                <w:lang w:val="sq-AL"/>
              </w:rPr>
            </w:pPr>
            <w:r w:rsidRPr="004E5A6E">
              <w:rPr>
                <w:color w:val="auto"/>
                <w:sz w:val="20"/>
                <w:szCs w:val="20"/>
                <w:lang w:val="sq-AL"/>
              </w:rPr>
              <w:t>12.5</w:t>
            </w:r>
          </w:p>
        </w:tc>
      </w:tr>
      <w:tr w:rsidR="002B41BB" w:rsidRPr="004E5A6E" w14:paraId="0E2BECC7" w14:textId="77777777" w:rsidTr="002B41BB">
        <w:trPr>
          <w:trHeight w:val="420"/>
        </w:trPr>
        <w:tc>
          <w:tcPr>
            <w:tcW w:w="1918" w:type="pct"/>
            <w:tcBorders>
              <w:top w:val="nil"/>
              <w:left w:val="double" w:sz="6" w:space="0" w:color="auto"/>
              <w:bottom w:val="dotted" w:sz="4" w:space="0" w:color="auto"/>
              <w:right w:val="nil"/>
            </w:tcBorders>
            <w:shd w:val="clear" w:color="000000" w:fill="FFFFFF"/>
            <w:vAlign w:val="center"/>
            <w:hideMark/>
          </w:tcPr>
          <w:p w14:paraId="7FEFBC15" w14:textId="77777777" w:rsidR="002B41BB" w:rsidRPr="004E5A6E" w:rsidRDefault="002B41BB" w:rsidP="002B41BB">
            <w:pPr>
              <w:rPr>
                <w:color w:val="auto"/>
                <w:sz w:val="20"/>
                <w:szCs w:val="20"/>
                <w:lang w:val="sq-AL"/>
              </w:rPr>
            </w:pPr>
            <w:r w:rsidRPr="004E5A6E">
              <w:rPr>
                <w:color w:val="auto"/>
                <w:sz w:val="20"/>
                <w:szCs w:val="20"/>
                <w:lang w:val="sq-AL"/>
              </w:rPr>
              <w:t>17. Totali i Transfereve Sociale</w:t>
            </w:r>
          </w:p>
        </w:tc>
        <w:tc>
          <w:tcPr>
            <w:tcW w:w="378" w:type="pct"/>
            <w:tcBorders>
              <w:top w:val="nil"/>
              <w:left w:val="single" w:sz="8" w:space="0" w:color="auto"/>
              <w:bottom w:val="dotted" w:sz="4" w:space="0" w:color="auto"/>
              <w:right w:val="single" w:sz="8" w:space="0" w:color="auto"/>
            </w:tcBorders>
            <w:shd w:val="clear" w:color="000000" w:fill="FFFFFF"/>
            <w:vAlign w:val="center"/>
            <w:hideMark/>
          </w:tcPr>
          <w:p w14:paraId="2B0F743B" w14:textId="77777777" w:rsidR="002B41BB" w:rsidRPr="004E5A6E" w:rsidRDefault="002B41BB" w:rsidP="002B41BB">
            <w:pPr>
              <w:jc w:val="center"/>
              <w:rPr>
                <w:color w:val="auto"/>
                <w:sz w:val="20"/>
                <w:szCs w:val="20"/>
                <w:lang w:val="sq-AL"/>
              </w:rPr>
            </w:pPr>
            <w:r w:rsidRPr="004E5A6E">
              <w:rPr>
                <w:color w:val="auto"/>
                <w:sz w:val="20"/>
                <w:szCs w:val="20"/>
                <w:lang w:val="sq-AL"/>
              </w:rPr>
              <w:t>D62 + D63</w:t>
            </w:r>
          </w:p>
        </w:tc>
        <w:tc>
          <w:tcPr>
            <w:tcW w:w="451" w:type="pct"/>
            <w:tcBorders>
              <w:top w:val="nil"/>
              <w:left w:val="nil"/>
              <w:bottom w:val="dotted" w:sz="4" w:space="0" w:color="auto"/>
              <w:right w:val="single" w:sz="8" w:space="0" w:color="auto"/>
            </w:tcBorders>
            <w:shd w:val="clear" w:color="000000" w:fill="FFFFFF"/>
            <w:vAlign w:val="center"/>
            <w:hideMark/>
          </w:tcPr>
          <w:p w14:paraId="0AEAC5FE" w14:textId="77777777" w:rsidR="002B41BB" w:rsidRPr="004E5A6E" w:rsidRDefault="002B41BB" w:rsidP="002B41BB">
            <w:pPr>
              <w:jc w:val="center"/>
              <w:rPr>
                <w:color w:val="auto"/>
                <w:sz w:val="20"/>
                <w:szCs w:val="20"/>
                <w:lang w:val="sq-AL"/>
              </w:rPr>
            </w:pPr>
            <w:r w:rsidRPr="004E5A6E">
              <w:rPr>
                <w:color w:val="auto"/>
                <w:sz w:val="20"/>
                <w:szCs w:val="20"/>
                <w:lang w:val="sq-AL"/>
              </w:rPr>
              <w:t>627.3</w:t>
            </w:r>
          </w:p>
        </w:tc>
        <w:tc>
          <w:tcPr>
            <w:tcW w:w="451" w:type="pct"/>
            <w:tcBorders>
              <w:top w:val="nil"/>
              <w:left w:val="nil"/>
              <w:bottom w:val="dotted" w:sz="4" w:space="0" w:color="auto"/>
              <w:right w:val="dotted" w:sz="4" w:space="0" w:color="auto"/>
            </w:tcBorders>
            <w:shd w:val="clear" w:color="000000" w:fill="FFFFFF"/>
            <w:vAlign w:val="center"/>
            <w:hideMark/>
          </w:tcPr>
          <w:p w14:paraId="6BBA4A7B" w14:textId="77777777" w:rsidR="002B41BB" w:rsidRPr="004E5A6E" w:rsidRDefault="002B41BB" w:rsidP="002B41BB">
            <w:pPr>
              <w:jc w:val="center"/>
              <w:rPr>
                <w:color w:val="auto"/>
                <w:sz w:val="20"/>
                <w:szCs w:val="20"/>
                <w:lang w:val="sq-AL"/>
              </w:rPr>
            </w:pPr>
            <w:r w:rsidRPr="004E5A6E">
              <w:rPr>
                <w:color w:val="auto"/>
                <w:sz w:val="20"/>
                <w:szCs w:val="20"/>
                <w:lang w:val="sq-AL"/>
              </w:rPr>
              <w:t>8.8</w:t>
            </w:r>
          </w:p>
        </w:tc>
        <w:tc>
          <w:tcPr>
            <w:tcW w:w="451" w:type="pct"/>
            <w:tcBorders>
              <w:top w:val="nil"/>
              <w:left w:val="nil"/>
              <w:bottom w:val="dotted" w:sz="4" w:space="0" w:color="auto"/>
              <w:right w:val="dotted" w:sz="4" w:space="0" w:color="auto"/>
            </w:tcBorders>
            <w:shd w:val="clear" w:color="000000" w:fill="FFFFFF"/>
            <w:vAlign w:val="center"/>
            <w:hideMark/>
          </w:tcPr>
          <w:p w14:paraId="64C84D23" w14:textId="77777777" w:rsidR="002B41BB" w:rsidRPr="004E5A6E" w:rsidRDefault="002B41BB" w:rsidP="002B41BB">
            <w:pPr>
              <w:jc w:val="center"/>
              <w:rPr>
                <w:color w:val="auto"/>
                <w:sz w:val="20"/>
                <w:szCs w:val="20"/>
                <w:lang w:val="sq-AL"/>
              </w:rPr>
            </w:pPr>
            <w:r w:rsidRPr="004E5A6E">
              <w:rPr>
                <w:color w:val="auto"/>
                <w:sz w:val="20"/>
                <w:szCs w:val="20"/>
                <w:lang w:val="sq-AL"/>
              </w:rPr>
              <w:t>12.4</w:t>
            </w:r>
          </w:p>
        </w:tc>
        <w:tc>
          <w:tcPr>
            <w:tcW w:w="451" w:type="pct"/>
            <w:tcBorders>
              <w:top w:val="nil"/>
              <w:left w:val="nil"/>
              <w:bottom w:val="dotted" w:sz="4" w:space="0" w:color="auto"/>
              <w:right w:val="dotted" w:sz="4" w:space="0" w:color="auto"/>
            </w:tcBorders>
            <w:shd w:val="clear" w:color="000000" w:fill="FFFFFF"/>
            <w:vAlign w:val="center"/>
            <w:hideMark/>
          </w:tcPr>
          <w:p w14:paraId="73442CAD" w14:textId="77777777" w:rsidR="002B41BB" w:rsidRPr="004E5A6E" w:rsidRDefault="002B41BB" w:rsidP="002B41BB">
            <w:pPr>
              <w:jc w:val="center"/>
              <w:rPr>
                <w:color w:val="auto"/>
                <w:sz w:val="20"/>
                <w:szCs w:val="20"/>
                <w:lang w:val="sq-AL"/>
              </w:rPr>
            </w:pPr>
            <w:r w:rsidRPr="004E5A6E">
              <w:rPr>
                <w:color w:val="auto"/>
                <w:sz w:val="20"/>
                <w:szCs w:val="20"/>
                <w:lang w:val="sq-AL"/>
              </w:rPr>
              <w:t>10.5</w:t>
            </w:r>
          </w:p>
        </w:tc>
        <w:tc>
          <w:tcPr>
            <w:tcW w:w="451" w:type="pct"/>
            <w:tcBorders>
              <w:top w:val="nil"/>
              <w:left w:val="nil"/>
              <w:bottom w:val="dotted" w:sz="4" w:space="0" w:color="auto"/>
              <w:right w:val="dotted" w:sz="4" w:space="0" w:color="auto"/>
            </w:tcBorders>
            <w:shd w:val="clear" w:color="000000" w:fill="FFFFFF"/>
            <w:vAlign w:val="center"/>
            <w:hideMark/>
          </w:tcPr>
          <w:p w14:paraId="1972D772" w14:textId="77777777" w:rsidR="002B41BB" w:rsidRPr="004E5A6E" w:rsidRDefault="002B41BB" w:rsidP="002B41BB">
            <w:pPr>
              <w:jc w:val="center"/>
              <w:rPr>
                <w:color w:val="auto"/>
                <w:sz w:val="20"/>
                <w:szCs w:val="20"/>
                <w:lang w:val="sq-AL"/>
              </w:rPr>
            </w:pPr>
            <w:r w:rsidRPr="004E5A6E">
              <w:rPr>
                <w:color w:val="auto"/>
                <w:sz w:val="20"/>
                <w:szCs w:val="20"/>
                <w:lang w:val="sq-AL"/>
              </w:rPr>
              <w:t>8.7</w:t>
            </w:r>
          </w:p>
        </w:tc>
        <w:tc>
          <w:tcPr>
            <w:tcW w:w="451" w:type="pct"/>
            <w:tcBorders>
              <w:top w:val="nil"/>
              <w:left w:val="nil"/>
              <w:bottom w:val="dotted" w:sz="4" w:space="0" w:color="auto"/>
              <w:right w:val="double" w:sz="6" w:space="0" w:color="auto"/>
            </w:tcBorders>
            <w:shd w:val="clear" w:color="000000" w:fill="FFFFFF"/>
            <w:vAlign w:val="center"/>
            <w:hideMark/>
          </w:tcPr>
          <w:p w14:paraId="65BFE7C9" w14:textId="77777777" w:rsidR="002B41BB" w:rsidRPr="004E5A6E" w:rsidRDefault="002B41BB" w:rsidP="002B41BB">
            <w:pPr>
              <w:jc w:val="center"/>
              <w:rPr>
                <w:color w:val="auto"/>
                <w:sz w:val="20"/>
                <w:szCs w:val="20"/>
                <w:lang w:val="sq-AL"/>
              </w:rPr>
            </w:pPr>
            <w:r w:rsidRPr="004E5A6E">
              <w:rPr>
                <w:color w:val="auto"/>
                <w:sz w:val="20"/>
                <w:szCs w:val="20"/>
                <w:lang w:val="sq-AL"/>
              </w:rPr>
              <w:t>8.3</w:t>
            </w:r>
          </w:p>
        </w:tc>
      </w:tr>
      <w:tr w:rsidR="002B41BB" w:rsidRPr="004E5A6E" w14:paraId="4E7626FC" w14:textId="77777777" w:rsidTr="002B41BB">
        <w:trPr>
          <w:trHeight w:val="420"/>
        </w:trPr>
        <w:tc>
          <w:tcPr>
            <w:tcW w:w="1918" w:type="pct"/>
            <w:tcBorders>
              <w:top w:val="nil"/>
              <w:left w:val="double" w:sz="6" w:space="0" w:color="auto"/>
              <w:bottom w:val="dotted" w:sz="4" w:space="0" w:color="auto"/>
              <w:right w:val="nil"/>
            </w:tcBorders>
            <w:shd w:val="clear" w:color="000000" w:fill="FFFFFF"/>
            <w:vAlign w:val="center"/>
            <w:hideMark/>
          </w:tcPr>
          <w:p w14:paraId="46275134" w14:textId="77777777" w:rsidR="002B41BB" w:rsidRPr="004E5A6E" w:rsidRDefault="002B41BB" w:rsidP="002B41BB">
            <w:pPr>
              <w:rPr>
                <w:color w:val="auto"/>
                <w:sz w:val="20"/>
                <w:szCs w:val="20"/>
                <w:lang w:val="sq-AL"/>
              </w:rPr>
            </w:pPr>
            <w:r w:rsidRPr="004E5A6E">
              <w:rPr>
                <w:color w:val="auto"/>
                <w:sz w:val="20"/>
                <w:szCs w:val="20"/>
                <w:lang w:val="sq-AL"/>
              </w:rPr>
              <w:t xml:space="preserve">17a. Transferet Sociale në Mallra </w:t>
            </w:r>
          </w:p>
        </w:tc>
        <w:tc>
          <w:tcPr>
            <w:tcW w:w="378" w:type="pct"/>
            <w:tcBorders>
              <w:top w:val="nil"/>
              <w:left w:val="single" w:sz="8" w:space="0" w:color="auto"/>
              <w:bottom w:val="dotted" w:sz="4" w:space="0" w:color="auto"/>
              <w:right w:val="single" w:sz="8" w:space="0" w:color="auto"/>
            </w:tcBorders>
            <w:shd w:val="clear" w:color="000000" w:fill="FFFFFF"/>
            <w:vAlign w:val="center"/>
            <w:hideMark/>
          </w:tcPr>
          <w:p w14:paraId="6D631998" w14:textId="77777777" w:rsidR="002B41BB" w:rsidRPr="004E5A6E" w:rsidRDefault="002B41BB" w:rsidP="002B41BB">
            <w:pPr>
              <w:jc w:val="center"/>
              <w:rPr>
                <w:color w:val="auto"/>
                <w:sz w:val="20"/>
                <w:szCs w:val="20"/>
                <w:lang w:val="sq-AL"/>
              </w:rPr>
            </w:pPr>
            <w:r w:rsidRPr="004E5A6E">
              <w:rPr>
                <w:color w:val="auto"/>
                <w:sz w:val="20"/>
                <w:szCs w:val="20"/>
                <w:lang w:val="sq-AL"/>
              </w:rPr>
              <w:t>P31 = D63</w:t>
            </w:r>
          </w:p>
        </w:tc>
        <w:tc>
          <w:tcPr>
            <w:tcW w:w="451" w:type="pct"/>
            <w:tcBorders>
              <w:top w:val="nil"/>
              <w:left w:val="nil"/>
              <w:bottom w:val="dotted" w:sz="4" w:space="0" w:color="auto"/>
              <w:right w:val="single" w:sz="8" w:space="0" w:color="auto"/>
            </w:tcBorders>
            <w:shd w:val="clear" w:color="000000" w:fill="FFFFFF"/>
            <w:vAlign w:val="center"/>
            <w:hideMark/>
          </w:tcPr>
          <w:p w14:paraId="0DD9D708"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dotted" w:sz="4" w:space="0" w:color="auto"/>
              <w:right w:val="dotted" w:sz="4" w:space="0" w:color="auto"/>
            </w:tcBorders>
            <w:shd w:val="clear" w:color="000000" w:fill="FFFFFF"/>
            <w:vAlign w:val="center"/>
            <w:hideMark/>
          </w:tcPr>
          <w:p w14:paraId="791AF64A"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dotted" w:sz="4" w:space="0" w:color="auto"/>
              <w:right w:val="dotted" w:sz="4" w:space="0" w:color="auto"/>
            </w:tcBorders>
            <w:shd w:val="clear" w:color="000000" w:fill="FFFFFF"/>
            <w:vAlign w:val="center"/>
            <w:hideMark/>
          </w:tcPr>
          <w:p w14:paraId="1A67716B"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dotted" w:sz="4" w:space="0" w:color="auto"/>
              <w:right w:val="dotted" w:sz="4" w:space="0" w:color="auto"/>
            </w:tcBorders>
            <w:shd w:val="clear" w:color="000000" w:fill="FFFFFF"/>
            <w:vAlign w:val="center"/>
            <w:hideMark/>
          </w:tcPr>
          <w:p w14:paraId="0D76C527"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dotted" w:sz="4" w:space="0" w:color="auto"/>
              <w:right w:val="dotted" w:sz="4" w:space="0" w:color="auto"/>
            </w:tcBorders>
            <w:shd w:val="clear" w:color="000000" w:fill="FFFFFF"/>
            <w:vAlign w:val="center"/>
            <w:hideMark/>
          </w:tcPr>
          <w:p w14:paraId="20763440"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dotted" w:sz="4" w:space="0" w:color="auto"/>
              <w:right w:val="double" w:sz="6" w:space="0" w:color="auto"/>
            </w:tcBorders>
            <w:shd w:val="clear" w:color="000000" w:fill="FFFFFF"/>
            <w:vAlign w:val="center"/>
            <w:hideMark/>
          </w:tcPr>
          <w:p w14:paraId="71BF2EDF"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r w:rsidR="002B41BB" w:rsidRPr="004E5A6E" w14:paraId="00419503" w14:textId="77777777" w:rsidTr="002B41BB">
        <w:trPr>
          <w:trHeight w:val="420"/>
        </w:trPr>
        <w:tc>
          <w:tcPr>
            <w:tcW w:w="1918" w:type="pct"/>
            <w:tcBorders>
              <w:top w:val="nil"/>
              <w:left w:val="double" w:sz="6" w:space="0" w:color="auto"/>
              <w:bottom w:val="dotted" w:sz="4" w:space="0" w:color="auto"/>
              <w:right w:val="nil"/>
            </w:tcBorders>
            <w:shd w:val="clear" w:color="000000" w:fill="FFFFFF"/>
            <w:vAlign w:val="center"/>
            <w:hideMark/>
          </w:tcPr>
          <w:p w14:paraId="25C262B2" w14:textId="77777777" w:rsidR="002B41BB" w:rsidRPr="004E5A6E" w:rsidRDefault="002B41BB" w:rsidP="002B41BB">
            <w:pPr>
              <w:rPr>
                <w:color w:val="auto"/>
                <w:sz w:val="20"/>
                <w:szCs w:val="20"/>
                <w:lang w:val="sq-AL"/>
              </w:rPr>
            </w:pPr>
            <w:r w:rsidRPr="004E5A6E">
              <w:rPr>
                <w:color w:val="auto"/>
                <w:sz w:val="20"/>
                <w:szCs w:val="20"/>
                <w:lang w:val="sq-AL"/>
              </w:rPr>
              <w:t>17b. Transferet Sociale përveç në Mallra/2</w:t>
            </w:r>
          </w:p>
        </w:tc>
        <w:tc>
          <w:tcPr>
            <w:tcW w:w="378" w:type="pct"/>
            <w:tcBorders>
              <w:top w:val="nil"/>
              <w:left w:val="single" w:sz="8" w:space="0" w:color="auto"/>
              <w:bottom w:val="dotted" w:sz="4" w:space="0" w:color="auto"/>
              <w:right w:val="single" w:sz="8" w:space="0" w:color="auto"/>
            </w:tcBorders>
            <w:shd w:val="clear" w:color="000000" w:fill="FFFFFF"/>
            <w:vAlign w:val="center"/>
            <w:hideMark/>
          </w:tcPr>
          <w:p w14:paraId="2D5115A4" w14:textId="77777777" w:rsidR="002B41BB" w:rsidRPr="004E5A6E" w:rsidRDefault="002B41BB" w:rsidP="002B41BB">
            <w:pPr>
              <w:jc w:val="center"/>
              <w:rPr>
                <w:color w:val="auto"/>
                <w:sz w:val="20"/>
                <w:szCs w:val="20"/>
                <w:lang w:val="sq-AL"/>
              </w:rPr>
            </w:pPr>
            <w:r w:rsidRPr="004E5A6E">
              <w:rPr>
                <w:color w:val="auto"/>
                <w:sz w:val="20"/>
                <w:szCs w:val="20"/>
                <w:lang w:val="sq-AL"/>
              </w:rPr>
              <w:t>D62</w:t>
            </w:r>
          </w:p>
        </w:tc>
        <w:tc>
          <w:tcPr>
            <w:tcW w:w="451" w:type="pct"/>
            <w:tcBorders>
              <w:top w:val="nil"/>
              <w:left w:val="nil"/>
              <w:bottom w:val="dotted" w:sz="4" w:space="0" w:color="auto"/>
              <w:right w:val="single" w:sz="8" w:space="0" w:color="auto"/>
            </w:tcBorders>
            <w:shd w:val="clear" w:color="000000" w:fill="FFFFFF"/>
            <w:vAlign w:val="center"/>
            <w:hideMark/>
          </w:tcPr>
          <w:p w14:paraId="1AB7F94A" w14:textId="77777777" w:rsidR="002B41BB" w:rsidRPr="004E5A6E" w:rsidRDefault="002B41BB" w:rsidP="002B41BB">
            <w:pPr>
              <w:jc w:val="center"/>
              <w:rPr>
                <w:color w:val="auto"/>
                <w:sz w:val="20"/>
                <w:szCs w:val="20"/>
                <w:lang w:val="sq-AL"/>
              </w:rPr>
            </w:pPr>
            <w:r w:rsidRPr="004E5A6E">
              <w:rPr>
                <w:color w:val="auto"/>
                <w:sz w:val="20"/>
                <w:szCs w:val="20"/>
                <w:lang w:val="sq-AL"/>
              </w:rPr>
              <w:t>627.3</w:t>
            </w:r>
          </w:p>
        </w:tc>
        <w:tc>
          <w:tcPr>
            <w:tcW w:w="451" w:type="pct"/>
            <w:tcBorders>
              <w:top w:val="nil"/>
              <w:left w:val="nil"/>
              <w:bottom w:val="dotted" w:sz="4" w:space="0" w:color="auto"/>
              <w:right w:val="dotted" w:sz="4" w:space="0" w:color="auto"/>
            </w:tcBorders>
            <w:shd w:val="clear" w:color="000000" w:fill="FFFFFF"/>
            <w:vAlign w:val="center"/>
            <w:hideMark/>
          </w:tcPr>
          <w:p w14:paraId="1EE35504" w14:textId="77777777" w:rsidR="002B41BB" w:rsidRPr="004E5A6E" w:rsidRDefault="002B41BB" w:rsidP="002B41BB">
            <w:pPr>
              <w:jc w:val="center"/>
              <w:rPr>
                <w:color w:val="auto"/>
                <w:sz w:val="20"/>
                <w:szCs w:val="20"/>
                <w:lang w:val="sq-AL"/>
              </w:rPr>
            </w:pPr>
            <w:r w:rsidRPr="004E5A6E">
              <w:rPr>
                <w:color w:val="auto"/>
                <w:sz w:val="20"/>
                <w:szCs w:val="20"/>
                <w:lang w:val="sq-AL"/>
              </w:rPr>
              <w:t>8.8</w:t>
            </w:r>
          </w:p>
        </w:tc>
        <w:tc>
          <w:tcPr>
            <w:tcW w:w="451" w:type="pct"/>
            <w:tcBorders>
              <w:top w:val="nil"/>
              <w:left w:val="nil"/>
              <w:bottom w:val="dotted" w:sz="4" w:space="0" w:color="auto"/>
              <w:right w:val="dotted" w:sz="4" w:space="0" w:color="auto"/>
            </w:tcBorders>
            <w:shd w:val="clear" w:color="000000" w:fill="FFFFFF"/>
            <w:vAlign w:val="center"/>
            <w:hideMark/>
          </w:tcPr>
          <w:p w14:paraId="124138B9" w14:textId="77777777" w:rsidR="002B41BB" w:rsidRPr="004E5A6E" w:rsidRDefault="002B41BB" w:rsidP="002B41BB">
            <w:pPr>
              <w:jc w:val="center"/>
              <w:rPr>
                <w:color w:val="auto"/>
                <w:sz w:val="20"/>
                <w:szCs w:val="20"/>
                <w:lang w:val="sq-AL"/>
              </w:rPr>
            </w:pPr>
            <w:r w:rsidRPr="004E5A6E">
              <w:rPr>
                <w:color w:val="auto"/>
                <w:sz w:val="20"/>
                <w:szCs w:val="20"/>
                <w:lang w:val="sq-AL"/>
              </w:rPr>
              <w:t>12.4</w:t>
            </w:r>
          </w:p>
        </w:tc>
        <w:tc>
          <w:tcPr>
            <w:tcW w:w="451" w:type="pct"/>
            <w:tcBorders>
              <w:top w:val="nil"/>
              <w:left w:val="nil"/>
              <w:bottom w:val="dotted" w:sz="4" w:space="0" w:color="auto"/>
              <w:right w:val="dotted" w:sz="4" w:space="0" w:color="auto"/>
            </w:tcBorders>
            <w:shd w:val="clear" w:color="000000" w:fill="FFFFFF"/>
            <w:vAlign w:val="center"/>
            <w:hideMark/>
          </w:tcPr>
          <w:p w14:paraId="6B29C282" w14:textId="77777777" w:rsidR="002B41BB" w:rsidRPr="004E5A6E" w:rsidRDefault="002B41BB" w:rsidP="002B41BB">
            <w:pPr>
              <w:jc w:val="center"/>
              <w:rPr>
                <w:color w:val="auto"/>
                <w:sz w:val="20"/>
                <w:szCs w:val="20"/>
                <w:lang w:val="sq-AL"/>
              </w:rPr>
            </w:pPr>
            <w:r w:rsidRPr="004E5A6E">
              <w:rPr>
                <w:color w:val="auto"/>
                <w:sz w:val="20"/>
                <w:szCs w:val="20"/>
                <w:lang w:val="sq-AL"/>
              </w:rPr>
              <w:t>10.5</w:t>
            </w:r>
          </w:p>
        </w:tc>
        <w:tc>
          <w:tcPr>
            <w:tcW w:w="451" w:type="pct"/>
            <w:tcBorders>
              <w:top w:val="nil"/>
              <w:left w:val="nil"/>
              <w:bottom w:val="dotted" w:sz="4" w:space="0" w:color="auto"/>
              <w:right w:val="dotted" w:sz="4" w:space="0" w:color="auto"/>
            </w:tcBorders>
            <w:shd w:val="clear" w:color="000000" w:fill="FFFFFF"/>
            <w:vAlign w:val="center"/>
            <w:hideMark/>
          </w:tcPr>
          <w:p w14:paraId="3C17E2FF" w14:textId="77777777" w:rsidR="002B41BB" w:rsidRPr="004E5A6E" w:rsidRDefault="002B41BB" w:rsidP="002B41BB">
            <w:pPr>
              <w:jc w:val="center"/>
              <w:rPr>
                <w:color w:val="auto"/>
                <w:sz w:val="20"/>
                <w:szCs w:val="20"/>
                <w:lang w:val="sq-AL"/>
              </w:rPr>
            </w:pPr>
            <w:r w:rsidRPr="004E5A6E">
              <w:rPr>
                <w:color w:val="auto"/>
                <w:sz w:val="20"/>
                <w:szCs w:val="20"/>
                <w:lang w:val="sq-AL"/>
              </w:rPr>
              <w:t>8.7</w:t>
            </w:r>
          </w:p>
        </w:tc>
        <w:tc>
          <w:tcPr>
            <w:tcW w:w="451" w:type="pct"/>
            <w:tcBorders>
              <w:top w:val="nil"/>
              <w:left w:val="nil"/>
              <w:bottom w:val="dotted" w:sz="4" w:space="0" w:color="auto"/>
              <w:right w:val="double" w:sz="6" w:space="0" w:color="auto"/>
            </w:tcBorders>
            <w:shd w:val="clear" w:color="000000" w:fill="FFFFFF"/>
            <w:vAlign w:val="center"/>
            <w:hideMark/>
          </w:tcPr>
          <w:p w14:paraId="7B6C2E85" w14:textId="77777777" w:rsidR="002B41BB" w:rsidRPr="004E5A6E" w:rsidRDefault="002B41BB" w:rsidP="002B41BB">
            <w:pPr>
              <w:jc w:val="center"/>
              <w:rPr>
                <w:color w:val="auto"/>
                <w:sz w:val="20"/>
                <w:szCs w:val="20"/>
                <w:lang w:val="sq-AL"/>
              </w:rPr>
            </w:pPr>
            <w:r w:rsidRPr="004E5A6E">
              <w:rPr>
                <w:color w:val="auto"/>
                <w:sz w:val="20"/>
                <w:szCs w:val="20"/>
                <w:lang w:val="sq-AL"/>
              </w:rPr>
              <w:t>8.3</w:t>
            </w:r>
          </w:p>
        </w:tc>
      </w:tr>
      <w:tr w:rsidR="002B41BB" w:rsidRPr="004E5A6E" w14:paraId="2B2A48CF" w14:textId="77777777" w:rsidTr="002B41BB">
        <w:trPr>
          <w:trHeight w:val="420"/>
        </w:trPr>
        <w:tc>
          <w:tcPr>
            <w:tcW w:w="1918" w:type="pct"/>
            <w:tcBorders>
              <w:top w:val="nil"/>
              <w:left w:val="double" w:sz="6" w:space="0" w:color="auto"/>
              <w:bottom w:val="dotted" w:sz="4" w:space="0" w:color="auto"/>
              <w:right w:val="nil"/>
            </w:tcBorders>
            <w:shd w:val="clear" w:color="000000" w:fill="FFFFFF"/>
            <w:vAlign w:val="center"/>
            <w:hideMark/>
          </w:tcPr>
          <w:p w14:paraId="6EFE4EC2" w14:textId="77777777" w:rsidR="002B41BB" w:rsidRPr="004E5A6E" w:rsidRDefault="002B41BB" w:rsidP="002B41BB">
            <w:pPr>
              <w:rPr>
                <w:color w:val="auto"/>
                <w:sz w:val="20"/>
                <w:szCs w:val="20"/>
                <w:lang w:val="sq-AL"/>
              </w:rPr>
            </w:pPr>
            <w:r w:rsidRPr="004E5A6E">
              <w:rPr>
                <w:color w:val="auto"/>
                <w:sz w:val="20"/>
                <w:szCs w:val="20"/>
                <w:lang w:val="sq-AL"/>
              </w:rPr>
              <w:t>18 = 9. Shpenzimet e Interesit (përfshirë.</w:t>
            </w:r>
            <w:r w:rsidRPr="004E5A6E">
              <w:rPr>
                <w:color w:val="auto"/>
                <w:sz w:val="20"/>
                <w:szCs w:val="20"/>
                <w:lang w:val="sq-AL"/>
              </w:rPr>
              <w:br/>
              <w:t xml:space="preserve">FISIM) </w:t>
            </w:r>
          </w:p>
        </w:tc>
        <w:tc>
          <w:tcPr>
            <w:tcW w:w="378" w:type="pct"/>
            <w:tcBorders>
              <w:top w:val="nil"/>
              <w:left w:val="single" w:sz="8" w:space="0" w:color="auto"/>
              <w:bottom w:val="dotted" w:sz="4" w:space="0" w:color="auto"/>
              <w:right w:val="single" w:sz="8" w:space="0" w:color="auto"/>
            </w:tcBorders>
            <w:shd w:val="clear" w:color="000000" w:fill="FFFFFF"/>
            <w:vAlign w:val="center"/>
            <w:hideMark/>
          </w:tcPr>
          <w:p w14:paraId="2D204AEF" w14:textId="77777777" w:rsidR="002B41BB" w:rsidRPr="004E5A6E" w:rsidRDefault="002B41BB" w:rsidP="002B41BB">
            <w:pPr>
              <w:jc w:val="center"/>
              <w:rPr>
                <w:color w:val="auto"/>
                <w:sz w:val="20"/>
                <w:szCs w:val="20"/>
                <w:lang w:val="sq-AL"/>
              </w:rPr>
            </w:pPr>
            <w:r w:rsidRPr="004E5A6E">
              <w:rPr>
                <w:color w:val="auto"/>
                <w:sz w:val="20"/>
                <w:szCs w:val="20"/>
                <w:lang w:val="sq-AL"/>
              </w:rPr>
              <w:t>EDP.D41 + FISIM</w:t>
            </w:r>
          </w:p>
        </w:tc>
        <w:tc>
          <w:tcPr>
            <w:tcW w:w="451" w:type="pct"/>
            <w:tcBorders>
              <w:top w:val="nil"/>
              <w:left w:val="nil"/>
              <w:bottom w:val="dotted" w:sz="4" w:space="0" w:color="auto"/>
              <w:right w:val="single" w:sz="8" w:space="0" w:color="auto"/>
            </w:tcBorders>
            <w:shd w:val="clear" w:color="000000" w:fill="FFFFFF"/>
            <w:vAlign w:val="center"/>
            <w:hideMark/>
          </w:tcPr>
          <w:p w14:paraId="4AE78E9C" w14:textId="77777777" w:rsidR="002B41BB" w:rsidRPr="004E5A6E" w:rsidRDefault="002B41BB" w:rsidP="002B41BB">
            <w:pPr>
              <w:jc w:val="center"/>
              <w:rPr>
                <w:color w:val="auto"/>
                <w:sz w:val="20"/>
                <w:szCs w:val="20"/>
                <w:lang w:val="sq-AL"/>
              </w:rPr>
            </w:pPr>
            <w:r w:rsidRPr="004E5A6E">
              <w:rPr>
                <w:color w:val="auto"/>
                <w:sz w:val="20"/>
                <w:szCs w:val="20"/>
                <w:lang w:val="sq-AL"/>
              </w:rPr>
              <w:t>23.4</w:t>
            </w:r>
          </w:p>
        </w:tc>
        <w:tc>
          <w:tcPr>
            <w:tcW w:w="451" w:type="pct"/>
            <w:tcBorders>
              <w:top w:val="nil"/>
              <w:left w:val="nil"/>
              <w:bottom w:val="dotted" w:sz="4" w:space="0" w:color="auto"/>
              <w:right w:val="dotted" w:sz="4" w:space="0" w:color="auto"/>
            </w:tcBorders>
            <w:shd w:val="clear" w:color="000000" w:fill="FFFFFF"/>
            <w:vAlign w:val="center"/>
            <w:hideMark/>
          </w:tcPr>
          <w:p w14:paraId="3056E412" w14:textId="77777777" w:rsidR="002B41BB" w:rsidRPr="004E5A6E" w:rsidRDefault="002B41BB" w:rsidP="002B41BB">
            <w:pPr>
              <w:jc w:val="center"/>
              <w:rPr>
                <w:color w:val="auto"/>
                <w:sz w:val="20"/>
                <w:szCs w:val="20"/>
                <w:lang w:val="sq-AL"/>
              </w:rPr>
            </w:pPr>
            <w:r w:rsidRPr="004E5A6E">
              <w:rPr>
                <w:color w:val="auto"/>
                <w:sz w:val="20"/>
                <w:szCs w:val="20"/>
                <w:lang w:val="sq-AL"/>
              </w:rPr>
              <w:t>0.3</w:t>
            </w:r>
          </w:p>
        </w:tc>
        <w:tc>
          <w:tcPr>
            <w:tcW w:w="451" w:type="pct"/>
            <w:tcBorders>
              <w:top w:val="nil"/>
              <w:left w:val="nil"/>
              <w:bottom w:val="dotted" w:sz="4" w:space="0" w:color="auto"/>
              <w:right w:val="dotted" w:sz="4" w:space="0" w:color="auto"/>
            </w:tcBorders>
            <w:shd w:val="clear" w:color="000000" w:fill="FFFFFF"/>
            <w:vAlign w:val="center"/>
            <w:hideMark/>
          </w:tcPr>
          <w:p w14:paraId="10784183" w14:textId="77777777" w:rsidR="002B41BB" w:rsidRPr="004E5A6E" w:rsidRDefault="002B41BB" w:rsidP="002B41BB">
            <w:pPr>
              <w:jc w:val="center"/>
              <w:rPr>
                <w:color w:val="auto"/>
                <w:sz w:val="20"/>
                <w:szCs w:val="20"/>
                <w:lang w:val="sq-AL"/>
              </w:rPr>
            </w:pPr>
            <w:r w:rsidRPr="004E5A6E">
              <w:rPr>
                <w:color w:val="auto"/>
                <w:sz w:val="20"/>
                <w:szCs w:val="20"/>
                <w:lang w:val="sq-AL"/>
              </w:rPr>
              <w:t>0.4</w:t>
            </w:r>
          </w:p>
        </w:tc>
        <w:tc>
          <w:tcPr>
            <w:tcW w:w="451" w:type="pct"/>
            <w:tcBorders>
              <w:top w:val="nil"/>
              <w:left w:val="nil"/>
              <w:bottom w:val="dotted" w:sz="4" w:space="0" w:color="auto"/>
              <w:right w:val="dotted" w:sz="4" w:space="0" w:color="auto"/>
            </w:tcBorders>
            <w:shd w:val="clear" w:color="000000" w:fill="FFFFFF"/>
            <w:vAlign w:val="center"/>
            <w:hideMark/>
          </w:tcPr>
          <w:p w14:paraId="7075F031" w14:textId="77777777" w:rsidR="002B41BB" w:rsidRPr="004E5A6E" w:rsidRDefault="002B41BB" w:rsidP="002B41BB">
            <w:pPr>
              <w:jc w:val="center"/>
              <w:rPr>
                <w:color w:val="auto"/>
                <w:sz w:val="20"/>
                <w:szCs w:val="20"/>
                <w:lang w:val="sq-AL"/>
              </w:rPr>
            </w:pPr>
            <w:r w:rsidRPr="004E5A6E">
              <w:rPr>
                <w:color w:val="auto"/>
                <w:sz w:val="20"/>
                <w:szCs w:val="20"/>
                <w:lang w:val="sq-AL"/>
              </w:rPr>
              <w:t>0.5</w:t>
            </w:r>
          </w:p>
        </w:tc>
        <w:tc>
          <w:tcPr>
            <w:tcW w:w="451" w:type="pct"/>
            <w:tcBorders>
              <w:top w:val="nil"/>
              <w:left w:val="nil"/>
              <w:bottom w:val="dotted" w:sz="4" w:space="0" w:color="auto"/>
              <w:right w:val="dotted" w:sz="4" w:space="0" w:color="auto"/>
            </w:tcBorders>
            <w:shd w:val="clear" w:color="000000" w:fill="FFFFFF"/>
            <w:vAlign w:val="center"/>
            <w:hideMark/>
          </w:tcPr>
          <w:p w14:paraId="778C6B14" w14:textId="77777777" w:rsidR="002B41BB" w:rsidRPr="004E5A6E" w:rsidRDefault="002B41BB" w:rsidP="002B41BB">
            <w:pPr>
              <w:jc w:val="center"/>
              <w:rPr>
                <w:color w:val="auto"/>
                <w:sz w:val="20"/>
                <w:szCs w:val="20"/>
                <w:lang w:val="sq-AL"/>
              </w:rPr>
            </w:pPr>
            <w:r w:rsidRPr="004E5A6E">
              <w:rPr>
                <w:color w:val="auto"/>
                <w:sz w:val="20"/>
                <w:szCs w:val="20"/>
                <w:lang w:val="sq-AL"/>
              </w:rPr>
              <w:t>0.7</w:t>
            </w:r>
          </w:p>
        </w:tc>
        <w:tc>
          <w:tcPr>
            <w:tcW w:w="451" w:type="pct"/>
            <w:tcBorders>
              <w:top w:val="nil"/>
              <w:left w:val="nil"/>
              <w:bottom w:val="dotted" w:sz="4" w:space="0" w:color="auto"/>
              <w:right w:val="double" w:sz="6" w:space="0" w:color="auto"/>
            </w:tcBorders>
            <w:shd w:val="clear" w:color="000000" w:fill="FFFFFF"/>
            <w:vAlign w:val="center"/>
            <w:hideMark/>
          </w:tcPr>
          <w:p w14:paraId="60F4D207" w14:textId="77777777" w:rsidR="002B41BB" w:rsidRPr="004E5A6E" w:rsidRDefault="002B41BB" w:rsidP="002B41BB">
            <w:pPr>
              <w:jc w:val="center"/>
              <w:rPr>
                <w:color w:val="auto"/>
                <w:sz w:val="20"/>
                <w:szCs w:val="20"/>
                <w:lang w:val="sq-AL"/>
              </w:rPr>
            </w:pPr>
            <w:r w:rsidRPr="004E5A6E">
              <w:rPr>
                <w:color w:val="auto"/>
                <w:sz w:val="20"/>
                <w:szCs w:val="20"/>
                <w:lang w:val="sq-AL"/>
              </w:rPr>
              <w:t>0.8</w:t>
            </w:r>
          </w:p>
        </w:tc>
      </w:tr>
      <w:tr w:rsidR="002B41BB" w:rsidRPr="004E5A6E" w14:paraId="280E8783" w14:textId="77777777" w:rsidTr="002B41BB">
        <w:trPr>
          <w:trHeight w:val="420"/>
        </w:trPr>
        <w:tc>
          <w:tcPr>
            <w:tcW w:w="1918" w:type="pct"/>
            <w:tcBorders>
              <w:top w:val="nil"/>
              <w:left w:val="double" w:sz="6" w:space="0" w:color="auto"/>
              <w:bottom w:val="dotted" w:sz="4" w:space="0" w:color="auto"/>
              <w:right w:val="nil"/>
            </w:tcBorders>
            <w:shd w:val="clear" w:color="000000" w:fill="FFFFFF"/>
            <w:vAlign w:val="center"/>
            <w:hideMark/>
          </w:tcPr>
          <w:p w14:paraId="1038071E" w14:textId="77777777" w:rsidR="002B41BB" w:rsidRPr="004E5A6E" w:rsidRDefault="002B41BB" w:rsidP="002B41BB">
            <w:pPr>
              <w:rPr>
                <w:color w:val="auto"/>
                <w:sz w:val="20"/>
                <w:szCs w:val="20"/>
                <w:lang w:val="sq-AL"/>
              </w:rPr>
            </w:pPr>
            <w:r w:rsidRPr="004E5A6E">
              <w:rPr>
                <w:color w:val="auto"/>
                <w:sz w:val="20"/>
                <w:szCs w:val="20"/>
                <w:lang w:val="sq-AL"/>
              </w:rPr>
              <w:t>19. Subvencionet</w:t>
            </w:r>
          </w:p>
        </w:tc>
        <w:tc>
          <w:tcPr>
            <w:tcW w:w="378" w:type="pct"/>
            <w:tcBorders>
              <w:top w:val="nil"/>
              <w:left w:val="single" w:sz="8" w:space="0" w:color="auto"/>
              <w:bottom w:val="dotted" w:sz="4" w:space="0" w:color="auto"/>
              <w:right w:val="single" w:sz="8" w:space="0" w:color="auto"/>
            </w:tcBorders>
            <w:shd w:val="clear" w:color="000000" w:fill="FFFFFF"/>
            <w:vAlign w:val="center"/>
            <w:hideMark/>
          </w:tcPr>
          <w:p w14:paraId="5075BC2D" w14:textId="77777777" w:rsidR="002B41BB" w:rsidRPr="004E5A6E" w:rsidRDefault="002B41BB" w:rsidP="002B41BB">
            <w:pPr>
              <w:jc w:val="center"/>
              <w:rPr>
                <w:color w:val="auto"/>
                <w:sz w:val="20"/>
                <w:szCs w:val="20"/>
                <w:lang w:val="sq-AL"/>
              </w:rPr>
            </w:pPr>
            <w:r w:rsidRPr="004E5A6E">
              <w:rPr>
                <w:color w:val="auto"/>
                <w:sz w:val="20"/>
                <w:szCs w:val="20"/>
                <w:lang w:val="sq-AL"/>
              </w:rPr>
              <w:t>D3</w:t>
            </w:r>
          </w:p>
        </w:tc>
        <w:tc>
          <w:tcPr>
            <w:tcW w:w="451" w:type="pct"/>
            <w:tcBorders>
              <w:top w:val="nil"/>
              <w:left w:val="nil"/>
              <w:bottom w:val="dotted" w:sz="4" w:space="0" w:color="auto"/>
              <w:right w:val="single" w:sz="8" w:space="0" w:color="auto"/>
            </w:tcBorders>
            <w:shd w:val="clear" w:color="000000" w:fill="FFFFFF"/>
            <w:vAlign w:val="center"/>
            <w:hideMark/>
          </w:tcPr>
          <w:p w14:paraId="4FC0DF9E"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dotted" w:sz="4" w:space="0" w:color="auto"/>
              <w:right w:val="dotted" w:sz="4" w:space="0" w:color="auto"/>
            </w:tcBorders>
            <w:shd w:val="clear" w:color="000000" w:fill="FFFFFF"/>
            <w:vAlign w:val="center"/>
            <w:hideMark/>
          </w:tcPr>
          <w:p w14:paraId="354F7F00"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dotted" w:sz="4" w:space="0" w:color="auto"/>
              <w:right w:val="dotted" w:sz="4" w:space="0" w:color="auto"/>
            </w:tcBorders>
            <w:shd w:val="clear" w:color="000000" w:fill="FFFFFF"/>
            <w:vAlign w:val="center"/>
            <w:hideMark/>
          </w:tcPr>
          <w:p w14:paraId="45C7EB3B"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dotted" w:sz="4" w:space="0" w:color="auto"/>
              <w:right w:val="dotted" w:sz="4" w:space="0" w:color="auto"/>
            </w:tcBorders>
            <w:shd w:val="clear" w:color="000000" w:fill="FFFFFF"/>
            <w:vAlign w:val="center"/>
            <w:hideMark/>
          </w:tcPr>
          <w:p w14:paraId="2198142C"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dotted" w:sz="4" w:space="0" w:color="auto"/>
              <w:right w:val="dotted" w:sz="4" w:space="0" w:color="auto"/>
            </w:tcBorders>
            <w:shd w:val="clear" w:color="000000" w:fill="FFFFFF"/>
            <w:vAlign w:val="center"/>
            <w:hideMark/>
          </w:tcPr>
          <w:p w14:paraId="624A9860"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dotted" w:sz="4" w:space="0" w:color="auto"/>
              <w:right w:val="double" w:sz="6" w:space="0" w:color="auto"/>
            </w:tcBorders>
            <w:shd w:val="clear" w:color="000000" w:fill="FFFFFF"/>
            <w:vAlign w:val="center"/>
            <w:hideMark/>
          </w:tcPr>
          <w:p w14:paraId="62C48426"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r w:rsidR="002B41BB" w:rsidRPr="004E5A6E" w14:paraId="5F8751F1" w14:textId="77777777" w:rsidTr="002B41BB">
        <w:trPr>
          <w:trHeight w:val="420"/>
        </w:trPr>
        <w:tc>
          <w:tcPr>
            <w:tcW w:w="1918" w:type="pct"/>
            <w:tcBorders>
              <w:top w:val="nil"/>
              <w:left w:val="double" w:sz="6" w:space="0" w:color="auto"/>
              <w:bottom w:val="dotted" w:sz="4" w:space="0" w:color="auto"/>
              <w:right w:val="nil"/>
            </w:tcBorders>
            <w:shd w:val="clear" w:color="000000" w:fill="FFFFFF"/>
            <w:vAlign w:val="center"/>
            <w:hideMark/>
          </w:tcPr>
          <w:p w14:paraId="50718109" w14:textId="77777777" w:rsidR="002B41BB" w:rsidRPr="004E5A6E" w:rsidRDefault="002B41BB" w:rsidP="002B41BB">
            <w:pPr>
              <w:rPr>
                <w:color w:val="auto"/>
                <w:sz w:val="20"/>
                <w:szCs w:val="20"/>
                <w:lang w:val="sq-AL"/>
              </w:rPr>
            </w:pPr>
            <w:r w:rsidRPr="004E5A6E">
              <w:rPr>
                <w:color w:val="auto"/>
                <w:sz w:val="20"/>
                <w:szCs w:val="20"/>
                <w:lang w:val="sq-AL"/>
              </w:rPr>
              <w:t xml:space="preserve">20. Formimi bruto I Kapitalit Fiks </w:t>
            </w:r>
          </w:p>
        </w:tc>
        <w:tc>
          <w:tcPr>
            <w:tcW w:w="378" w:type="pct"/>
            <w:tcBorders>
              <w:top w:val="nil"/>
              <w:left w:val="single" w:sz="8" w:space="0" w:color="auto"/>
              <w:bottom w:val="dotted" w:sz="4" w:space="0" w:color="auto"/>
              <w:right w:val="single" w:sz="8" w:space="0" w:color="auto"/>
            </w:tcBorders>
            <w:shd w:val="clear" w:color="000000" w:fill="FFFFFF"/>
            <w:vAlign w:val="center"/>
            <w:hideMark/>
          </w:tcPr>
          <w:p w14:paraId="2D7004F2" w14:textId="77777777" w:rsidR="002B41BB" w:rsidRPr="004E5A6E" w:rsidRDefault="002B41BB" w:rsidP="002B41BB">
            <w:pPr>
              <w:jc w:val="center"/>
              <w:rPr>
                <w:color w:val="auto"/>
                <w:sz w:val="20"/>
                <w:szCs w:val="20"/>
                <w:lang w:val="sq-AL"/>
              </w:rPr>
            </w:pPr>
            <w:r w:rsidRPr="004E5A6E">
              <w:rPr>
                <w:color w:val="auto"/>
                <w:sz w:val="20"/>
                <w:szCs w:val="20"/>
                <w:lang w:val="sq-AL"/>
              </w:rPr>
              <w:t>P51</w:t>
            </w:r>
          </w:p>
        </w:tc>
        <w:tc>
          <w:tcPr>
            <w:tcW w:w="451" w:type="pct"/>
            <w:tcBorders>
              <w:top w:val="nil"/>
              <w:left w:val="nil"/>
              <w:bottom w:val="dotted" w:sz="4" w:space="0" w:color="auto"/>
              <w:right w:val="single" w:sz="8" w:space="0" w:color="auto"/>
            </w:tcBorders>
            <w:shd w:val="clear" w:color="000000" w:fill="FFFFFF"/>
            <w:vAlign w:val="center"/>
            <w:hideMark/>
          </w:tcPr>
          <w:p w14:paraId="3D7A871D" w14:textId="77777777" w:rsidR="002B41BB" w:rsidRPr="004E5A6E" w:rsidRDefault="002B41BB" w:rsidP="002B41BB">
            <w:pPr>
              <w:jc w:val="center"/>
              <w:rPr>
                <w:color w:val="auto"/>
                <w:sz w:val="20"/>
                <w:szCs w:val="20"/>
                <w:lang w:val="sq-AL"/>
              </w:rPr>
            </w:pPr>
            <w:r w:rsidRPr="004E5A6E">
              <w:rPr>
                <w:color w:val="auto"/>
                <w:sz w:val="20"/>
                <w:szCs w:val="20"/>
                <w:lang w:val="sq-AL"/>
              </w:rPr>
              <w:t>531.2</w:t>
            </w:r>
          </w:p>
        </w:tc>
        <w:tc>
          <w:tcPr>
            <w:tcW w:w="451" w:type="pct"/>
            <w:tcBorders>
              <w:top w:val="nil"/>
              <w:left w:val="nil"/>
              <w:bottom w:val="dotted" w:sz="4" w:space="0" w:color="auto"/>
              <w:right w:val="dotted" w:sz="4" w:space="0" w:color="auto"/>
            </w:tcBorders>
            <w:shd w:val="clear" w:color="000000" w:fill="FFFFFF"/>
            <w:vAlign w:val="center"/>
            <w:hideMark/>
          </w:tcPr>
          <w:p w14:paraId="209E3D27" w14:textId="77777777" w:rsidR="002B41BB" w:rsidRPr="004E5A6E" w:rsidRDefault="002B41BB" w:rsidP="002B41BB">
            <w:pPr>
              <w:jc w:val="center"/>
              <w:rPr>
                <w:color w:val="auto"/>
                <w:sz w:val="20"/>
                <w:szCs w:val="20"/>
                <w:lang w:val="sq-AL"/>
              </w:rPr>
            </w:pPr>
            <w:r w:rsidRPr="004E5A6E">
              <w:rPr>
                <w:color w:val="auto"/>
                <w:sz w:val="20"/>
                <w:szCs w:val="20"/>
                <w:lang w:val="sq-AL"/>
              </w:rPr>
              <w:t>7.5</w:t>
            </w:r>
          </w:p>
        </w:tc>
        <w:tc>
          <w:tcPr>
            <w:tcW w:w="451" w:type="pct"/>
            <w:tcBorders>
              <w:top w:val="nil"/>
              <w:left w:val="nil"/>
              <w:bottom w:val="dotted" w:sz="4" w:space="0" w:color="auto"/>
              <w:right w:val="dotted" w:sz="4" w:space="0" w:color="auto"/>
            </w:tcBorders>
            <w:shd w:val="clear" w:color="000000" w:fill="FFFFFF"/>
            <w:vAlign w:val="center"/>
            <w:hideMark/>
          </w:tcPr>
          <w:p w14:paraId="719CBDEF" w14:textId="77777777" w:rsidR="002B41BB" w:rsidRPr="004E5A6E" w:rsidRDefault="002B41BB" w:rsidP="002B41BB">
            <w:pPr>
              <w:jc w:val="center"/>
              <w:rPr>
                <w:color w:val="auto"/>
                <w:sz w:val="20"/>
                <w:szCs w:val="20"/>
                <w:lang w:val="sq-AL"/>
              </w:rPr>
            </w:pPr>
            <w:r w:rsidRPr="004E5A6E">
              <w:rPr>
                <w:color w:val="auto"/>
                <w:sz w:val="20"/>
                <w:szCs w:val="20"/>
                <w:lang w:val="sq-AL"/>
              </w:rPr>
              <w:t>5.4</w:t>
            </w:r>
          </w:p>
        </w:tc>
        <w:tc>
          <w:tcPr>
            <w:tcW w:w="451" w:type="pct"/>
            <w:tcBorders>
              <w:top w:val="nil"/>
              <w:left w:val="nil"/>
              <w:bottom w:val="dotted" w:sz="4" w:space="0" w:color="auto"/>
              <w:right w:val="dotted" w:sz="4" w:space="0" w:color="auto"/>
            </w:tcBorders>
            <w:shd w:val="clear" w:color="000000" w:fill="FFFFFF"/>
            <w:vAlign w:val="center"/>
            <w:hideMark/>
          </w:tcPr>
          <w:p w14:paraId="252F5F94" w14:textId="77777777" w:rsidR="002B41BB" w:rsidRPr="004E5A6E" w:rsidRDefault="002B41BB" w:rsidP="002B41BB">
            <w:pPr>
              <w:jc w:val="center"/>
              <w:rPr>
                <w:color w:val="auto"/>
                <w:sz w:val="20"/>
                <w:szCs w:val="20"/>
                <w:lang w:val="sq-AL"/>
              </w:rPr>
            </w:pPr>
            <w:r w:rsidRPr="004E5A6E">
              <w:rPr>
                <w:color w:val="auto"/>
                <w:sz w:val="20"/>
                <w:szCs w:val="20"/>
                <w:lang w:val="sq-AL"/>
              </w:rPr>
              <w:t>8.6</w:t>
            </w:r>
          </w:p>
        </w:tc>
        <w:tc>
          <w:tcPr>
            <w:tcW w:w="451" w:type="pct"/>
            <w:tcBorders>
              <w:top w:val="nil"/>
              <w:left w:val="nil"/>
              <w:bottom w:val="dotted" w:sz="4" w:space="0" w:color="auto"/>
              <w:right w:val="dotted" w:sz="4" w:space="0" w:color="auto"/>
            </w:tcBorders>
            <w:shd w:val="clear" w:color="000000" w:fill="FFFFFF"/>
            <w:vAlign w:val="center"/>
            <w:hideMark/>
          </w:tcPr>
          <w:p w14:paraId="25727E05" w14:textId="77777777" w:rsidR="002B41BB" w:rsidRPr="004E5A6E" w:rsidRDefault="002B41BB" w:rsidP="002B41BB">
            <w:pPr>
              <w:jc w:val="center"/>
              <w:rPr>
                <w:color w:val="auto"/>
                <w:sz w:val="20"/>
                <w:szCs w:val="20"/>
                <w:lang w:val="sq-AL"/>
              </w:rPr>
            </w:pPr>
            <w:r w:rsidRPr="004E5A6E">
              <w:rPr>
                <w:color w:val="auto"/>
                <w:sz w:val="20"/>
                <w:szCs w:val="20"/>
                <w:lang w:val="sq-AL"/>
              </w:rPr>
              <w:t>9.0</w:t>
            </w:r>
          </w:p>
        </w:tc>
        <w:tc>
          <w:tcPr>
            <w:tcW w:w="451" w:type="pct"/>
            <w:tcBorders>
              <w:top w:val="nil"/>
              <w:left w:val="nil"/>
              <w:bottom w:val="dotted" w:sz="4" w:space="0" w:color="auto"/>
              <w:right w:val="double" w:sz="6" w:space="0" w:color="auto"/>
            </w:tcBorders>
            <w:shd w:val="clear" w:color="000000" w:fill="FFFFFF"/>
            <w:vAlign w:val="center"/>
            <w:hideMark/>
          </w:tcPr>
          <w:p w14:paraId="345943B5" w14:textId="77777777" w:rsidR="002B41BB" w:rsidRPr="004E5A6E" w:rsidRDefault="002B41BB" w:rsidP="002B41BB">
            <w:pPr>
              <w:jc w:val="center"/>
              <w:rPr>
                <w:color w:val="auto"/>
                <w:sz w:val="20"/>
                <w:szCs w:val="20"/>
                <w:lang w:val="sq-AL"/>
              </w:rPr>
            </w:pPr>
            <w:r w:rsidRPr="004E5A6E">
              <w:rPr>
                <w:color w:val="auto"/>
                <w:sz w:val="20"/>
                <w:szCs w:val="20"/>
                <w:lang w:val="sq-AL"/>
              </w:rPr>
              <w:t>9.1</w:t>
            </w:r>
          </w:p>
        </w:tc>
      </w:tr>
      <w:tr w:rsidR="002B41BB" w:rsidRPr="004E5A6E" w14:paraId="71074F73" w14:textId="77777777" w:rsidTr="002B41BB">
        <w:trPr>
          <w:trHeight w:val="420"/>
        </w:trPr>
        <w:tc>
          <w:tcPr>
            <w:tcW w:w="1918" w:type="pct"/>
            <w:tcBorders>
              <w:top w:val="nil"/>
              <w:left w:val="double" w:sz="6" w:space="0" w:color="auto"/>
              <w:bottom w:val="dotted" w:sz="4" w:space="0" w:color="auto"/>
              <w:right w:val="nil"/>
            </w:tcBorders>
            <w:shd w:val="clear" w:color="000000" w:fill="FFFFFF"/>
            <w:vAlign w:val="center"/>
            <w:hideMark/>
          </w:tcPr>
          <w:p w14:paraId="655F6690" w14:textId="77777777" w:rsidR="002B41BB" w:rsidRPr="004E5A6E" w:rsidRDefault="002B41BB" w:rsidP="002B41BB">
            <w:pPr>
              <w:rPr>
                <w:color w:val="auto"/>
                <w:sz w:val="20"/>
                <w:szCs w:val="20"/>
                <w:lang w:val="sq-AL"/>
              </w:rPr>
            </w:pPr>
            <w:r w:rsidRPr="004E5A6E">
              <w:rPr>
                <w:color w:val="auto"/>
                <w:sz w:val="20"/>
                <w:szCs w:val="20"/>
                <w:lang w:val="sq-AL"/>
              </w:rPr>
              <w:t>21.Tjera (21 = 22-(16+17+18+19+20) [6]</w:t>
            </w:r>
          </w:p>
        </w:tc>
        <w:tc>
          <w:tcPr>
            <w:tcW w:w="378" w:type="pct"/>
            <w:tcBorders>
              <w:top w:val="nil"/>
              <w:left w:val="single" w:sz="8" w:space="0" w:color="auto"/>
              <w:bottom w:val="dotted" w:sz="4" w:space="0" w:color="auto"/>
              <w:right w:val="single" w:sz="8" w:space="0" w:color="auto"/>
            </w:tcBorders>
            <w:shd w:val="clear" w:color="000000" w:fill="FFFFFF"/>
            <w:vAlign w:val="center"/>
            <w:hideMark/>
          </w:tcPr>
          <w:p w14:paraId="17EE7E41"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451" w:type="pct"/>
            <w:tcBorders>
              <w:top w:val="nil"/>
              <w:left w:val="nil"/>
              <w:bottom w:val="dotted" w:sz="4" w:space="0" w:color="auto"/>
              <w:right w:val="single" w:sz="8" w:space="0" w:color="auto"/>
            </w:tcBorders>
            <w:shd w:val="clear" w:color="000000" w:fill="FFFFFF"/>
            <w:vAlign w:val="center"/>
            <w:hideMark/>
          </w:tcPr>
          <w:p w14:paraId="336E3238"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dotted" w:sz="4" w:space="0" w:color="auto"/>
              <w:right w:val="dotted" w:sz="4" w:space="0" w:color="auto"/>
            </w:tcBorders>
            <w:shd w:val="clear" w:color="000000" w:fill="FFFFFF"/>
            <w:vAlign w:val="center"/>
            <w:hideMark/>
          </w:tcPr>
          <w:p w14:paraId="2589676F"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dotted" w:sz="4" w:space="0" w:color="auto"/>
              <w:right w:val="dotted" w:sz="4" w:space="0" w:color="auto"/>
            </w:tcBorders>
            <w:shd w:val="clear" w:color="000000" w:fill="FFFFFF"/>
            <w:vAlign w:val="center"/>
            <w:hideMark/>
          </w:tcPr>
          <w:p w14:paraId="2351E60B"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1" w:type="pct"/>
            <w:tcBorders>
              <w:top w:val="nil"/>
              <w:left w:val="nil"/>
              <w:bottom w:val="dotted" w:sz="4" w:space="0" w:color="auto"/>
              <w:right w:val="dotted" w:sz="4" w:space="0" w:color="auto"/>
            </w:tcBorders>
            <w:shd w:val="clear" w:color="000000" w:fill="FFFFFF"/>
            <w:vAlign w:val="center"/>
            <w:hideMark/>
          </w:tcPr>
          <w:p w14:paraId="17F2E9DF" w14:textId="77777777" w:rsidR="002B41BB" w:rsidRPr="004E5A6E" w:rsidRDefault="002B41BB" w:rsidP="002B41BB">
            <w:pPr>
              <w:jc w:val="center"/>
              <w:rPr>
                <w:color w:val="auto"/>
                <w:sz w:val="20"/>
                <w:szCs w:val="20"/>
                <w:lang w:val="sq-AL"/>
              </w:rPr>
            </w:pPr>
            <w:r w:rsidRPr="004E5A6E">
              <w:rPr>
                <w:color w:val="auto"/>
                <w:sz w:val="20"/>
                <w:szCs w:val="20"/>
                <w:lang w:val="sq-AL"/>
              </w:rPr>
              <w:t>0.7</w:t>
            </w:r>
          </w:p>
        </w:tc>
        <w:tc>
          <w:tcPr>
            <w:tcW w:w="451" w:type="pct"/>
            <w:tcBorders>
              <w:top w:val="nil"/>
              <w:left w:val="nil"/>
              <w:bottom w:val="dotted" w:sz="4" w:space="0" w:color="auto"/>
              <w:right w:val="dotted" w:sz="4" w:space="0" w:color="auto"/>
            </w:tcBorders>
            <w:shd w:val="clear" w:color="000000" w:fill="FFFFFF"/>
            <w:vAlign w:val="center"/>
            <w:hideMark/>
          </w:tcPr>
          <w:p w14:paraId="5D02DA7D" w14:textId="77777777" w:rsidR="002B41BB" w:rsidRPr="004E5A6E" w:rsidRDefault="002B41BB" w:rsidP="002B41BB">
            <w:pPr>
              <w:jc w:val="center"/>
              <w:rPr>
                <w:color w:val="auto"/>
                <w:sz w:val="20"/>
                <w:szCs w:val="20"/>
                <w:lang w:val="sq-AL"/>
              </w:rPr>
            </w:pPr>
            <w:r w:rsidRPr="004E5A6E">
              <w:rPr>
                <w:color w:val="auto"/>
                <w:sz w:val="20"/>
                <w:szCs w:val="20"/>
                <w:lang w:val="sq-AL"/>
              </w:rPr>
              <w:t>0.1</w:t>
            </w:r>
          </w:p>
        </w:tc>
        <w:tc>
          <w:tcPr>
            <w:tcW w:w="451" w:type="pct"/>
            <w:tcBorders>
              <w:top w:val="nil"/>
              <w:left w:val="nil"/>
              <w:bottom w:val="dotted" w:sz="4" w:space="0" w:color="auto"/>
              <w:right w:val="double" w:sz="6" w:space="0" w:color="auto"/>
            </w:tcBorders>
            <w:shd w:val="clear" w:color="000000" w:fill="FFFFFF"/>
            <w:vAlign w:val="center"/>
            <w:hideMark/>
          </w:tcPr>
          <w:p w14:paraId="5184DC61" w14:textId="77777777" w:rsidR="002B41BB" w:rsidRPr="004E5A6E" w:rsidRDefault="002B41BB" w:rsidP="002B41BB">
            <w:pPr>
              <w:jc w:val="center"/>
              <w:rPr>
                <w:color w:val="auto"/>
                <w:sz w:val="20"/>
                <w:szCs w:val="20"/>
                <w:lang w:val="sq-AL"/>
              </w:rPr>
            </w:pPr>
            <w:r w:rsidRPr="004E5A6E">
              <w:rPr>
                <w:color w:val="auto"/>
                <w:sz w:val="20"/>
                <w:szCs w:val="20"/>
                <w:lang w:val="sq-AL"/>
              </w:rPr>
              <w:t>0.1</w:t>
            </w:r>
          </w:p>
        </w:tc>
      </w:tr>
      <w:tr w:rsidR="002B41BB" w:rsidRPr="004E5A6E" w14:paraId="637B541C" w14:textId="77777777" w:rsidTr="002B41BB">
        <w:trPr>
          <w:trHeight w:val="420"/>
        </w:trPr>
        <w:tc>
          <w:tcPr>
            <w:tcW w:w="1918" w:type="pct"/>
            <w:tcBorders>
              <w:top w:val="nil"/>
              <w:left w:val="double" w:sz="6" w:space="0" w:color="auto"/>
              <w:bottom w:val="dotted" w:sz="4" w:space="0" w:color="auto"/>
              <w:right w:val="nil"/>
            </w:tcBorders>
            <w:shd w:val="clear" w:color="000000" w:fill="FFFFFF"/>
            <w:vAlign w:val="center"/>
            <w:hideMark/>
          </w:tcPr>
          <w:p w14:paraId="407FE34B" w14:textId="77777777" w:rsidR="002B41BB" w:rsidRPr="004E5A6E" w:rsidRDefault="002B41BB" w:rsidP="002B41BB">
            <w:pPr>
              <w:rPr>
                <w:color w:val="auto"/>
                <w:sz w:val="20"/>
                <w:szCs w:val="20"/>
                <w:lang w:val="sq-AL"/>
              </w:rPr>
            </w:pPr>
            <w:r w:rsidRPr="004E5A6E">
              <w:rPr>
                <w:color w:val="auto"/>
                <w:sz w:val="20"/>
                <w:szCs w:val="20"/>
                <w:lang w:val="sq-AL"/>
              </w:rPr>
              <w:t xml:space="preserve">22. Shpenzimet Totale </w:t>
            </w:r>
          </w:p>
        </w:tc>
        <w:tc>
          <w:tcPr>
            <w:tcW w:w="378" w:type="pct"/>
            <w:tcBorders>
              <w:top w:val="nil"/>
              <w:left w:val="single" w:sz="8" w:space="0" w:color="auto"/>
              <w:bottom w:val="dotted" w:sz="4" w:space="0" w:color="auto"/>
              <w:right w:val="single" w:sz="8" w:space="0" w:color="auto"/>
            </w:tcBorders>
            <w:shd w:val="clear" w:color="000000" w:fill="FFFFFF"/>
            <w:vAlign w:val="center"/>
            <w:hideMark/>
          </w:tcPr>
          <w:p w14:paraId="053F791C" w14:textId="77777777" w:rsidR="002B41BB" w:rsidRPr="004E5A6E" w:rsidRDefault="002B41BB" w:rsidP="002B41BB">
            <w:pPr>
              <w:jc w:val="center"/>
              <w:rPr>
                <w:color w:val="auto"/>
                <w:sz w:val="20"/>
                <w:szCs w:val="20"/>
                <w:lang w:val="sq-AL"/>
              </w:rPr>
            </w:pPr>
            <w:r w:rsidRPr="004E5A6E">
              <w:rPr>
                <w:color w:val="auto"/>
                <w:sz w:val="20"/>
                <w:szCs w:val="20"/>
                <w:lang w:val="sq-AL"/>
              </w:rPr>
              <w:t>TE [1]</w:t>
            </w:r>
          </w:p>
        </w:tc>
        <w:tc>
          <w:tcPr>
            <w:tcW w:w="451" w:type="pct"/>
            <w:tcBorders>
              <w:top w:val="nil"/>
              <w:left w:val="nil"/>
              <w:bottom w:val="dotted" w:sz="4" w:space="0" w:color="auto"/>
              <w:right w:val="single" w:sz="8" w:space="0" w:color="auto"/>
            </w:tcBorders>
            <w:shd w:val="clear" w:color="000000" w:fill="FFFFFF"/>
            <w:vAlign w:val="center"/>
            <w:hideMark/>
          </w:tcPr>
          <w:p w14:paraId="6F15D7DF" w14:textId="77777777" w:rsidR="002B41BB" w:rsidRPr="004E5A6E" w:rsidRDefault="002B41BB" w:rsidP="002B41BB">
            <w:pPr>
              <w:jc w:val="center"/>
              <w:rPr>
                <w:color w:val="auto"/>
                <w:sz w:val="20"/>
                <w:szCs w:val="20"/>
                <w:lang w:val="sq-AL"/>
              </w:rPr>
            </w:pPr>
            <w:r w:rsidRPr="004E5A6E">
              <w:rPr>
                <w:color w:val="auto"/>
                <w:sz w:val="20"/>
                <w:szCs w:val="20"/>
                <w:lang w:val="sq-AL"/>
              </w:rPr>
              <w:t>2,090.9</w:t>
            </w:r>
          </w:p>
        </w:tc>
        <w:tc>
          <w:tcPr>
            <w:tcW w:w="451" w:type="pct"/>
            <w:tcBorders>
              <w:top w:val="nil"/>
              <w:left w:val="nil"/>
              <w:bottom w:val="dotted" w:sz="4" w:space="0" w:color="auto"/>
              <w:right w:val="dotted" w:sz="4" w:space="0" w:color="auto"/>
            </w:tcBorders>
            <w:shd w:val="clear" w:color="000000" w:fill="FFFFFF"/>
            <w:vAlign w:val="center"/>
            <w:hideMark/>
          </w:tcPr>
          <w:p w14:paraId="340788C3" w14:textId="77777777" w:rsidR="002B41BB" w:rsidRPr="004E5A6E" w:rsidRDefault="002B41BB" w:rsidP="002B41BB">
            <w:pPr>
              <w:jc w:val="center"/>
              <w:rPr>
                <w:color w:val="auto"/>
                <w:sz w:val="20"/>
                <w:szCs w:val="20"/>
                <w:lang w:val="sq-AL"/>
              </w:rPr>
            </w:pPr>
            <w:r w:rsidRPr="004E5A6E">
              <w:rPr>
                <w:color w:val="auto"/>
                <w:sz w:val="20"/>
                <w:szCs w:val="20"/>
                <w:lang w:val="sq-AL"/>
              </w:rPr>
              <w:t>29.4</w:t>
            </w:r>
          </w:p>
        </w:tc>
        <w:tc>
          <w:tcPr>
            <w:tcW w:w="451" w:type="pct"/>
            <w:tcBorders>
              <w:top w:val="nil"/>
              <w:left w:val="nil"/>
              <w:bottom w:val="dotted" w:sz="4" w:space="0" w:color="auto"/>
              <w:right w:val="dotted" w:sz="4" w:space="0" w:color="auto"/>
            </w:tcBorders>
            <w:shd w:val="clear" w:color="000000" w:fill="FFFFFF"/>
            <w:vAlign w:val="center"/>
            <w:hideMark/>
          </w:tcPr>
          <w:p w14:paraId="20167955" w14:textId="77777777" w:rsidR="002B41BB" w:rsidRPr="004E5A6E" w:rsidRDefault="002B41BB" w:rsidP="002B41BB">
            <w:pPr>
              <w:jc w:val="center"/>
              <w:rPr>
                <w:color w:val="auto"/>
                <w:sz w:val="20"/>
                <w:szCs w:val="20"/>
                <w:lang w:val="sq-AL"/>
              </w:rPr>
            </w:pPr>
            <w:r w:rsidRPr="004E5A6E">
              <w:rPr>
                <w:color w:val="auto"/>
                <w:sz w:val="20"/>
                <w:szCs w:val="20"/>
                <w:lang w:val="sq-AL"/>
              </w:rPr>
              <w:t>32.1</w:t>
            </w:r>
          </w:p>
        </w:tc>
        <w:tc>
          <w:tcPr>
            <w:tcW w:w="451" w:type="pct"/>
            <w:tcBorders>
              <w:top w:val="nil"/>
              <w:left w:val="nil"/>
              <w:bottom w:val="dotted" w:sz="4" w:space="0" w:color="auto"/>
              <w:right w:val="dotted" w:sz="4" w:space="0" w:color="auto"/>
            </w:tcBorders>
            <w:shd w:val="clear" w:color="000000" w:fill="FFFFFF"/>
            <w:vAlign w:val="center"/>
            <w:hideMark/>
          </w:tcPr>
          <w:p w14:paraId="19397937" w14:textId="77777777" w:rsidR="002B41BB" w:rsidRPr="004E5A6E" w:rsidRDefault="002B41BB" w:rsidP="002B41BB">
            <w:pPr>
              <w:jc w:val="center"/>
              <w:rPr>
                <w:color w:val="auto"/>
                <w:sz w:val="20"/>
                <w:szCs w:val="20"/>
                <w:lang w:val="sq-AL"/>
              </w:rPr>
            </w:pPr>
            <w:r w:rsidRPr="004E5A6E">
              <w:rPr>
                <w:color w:val="auto"/>
                <w:sz w:val="20"/>
                <w:szCs w:val="20"/>
                <w:lang w:val="sq-AL"/>
              </w:rPr>
              <w:t>33.8</w:t>
            </w:r>
          </w:p>
        </w:tc>
        <w:tc>
          <w:tcPr>
            <w:tcW w:w="451" w:type="pct"/>
            <w:tcBorders>
              <w:top w:val="nil"/>
              <w:left w:val="nil"/>
              <w:bottom w:val="dotted" w:sz="4" w:space="0" w:color="auto"/>
              <w:right w:val="dotted" w:sz="4" w:space="0" w:color="auto"/>
            </w:tcBorders>
            <w:shd w:val="clear" w:color="000000" w:fill="FFFFFF"/>
            <w:vAlign w:val="center"/>
            <w:hideMark/>
          </w:tcPr>
          <w:p w14:paraId="4CEBE375" w14:textId="77777777" w:rsidR="002B41BB" w:rsidRPr="004E5A6E" w:rsidRDefault="002B41BB" w:rsidP="002B41BB">
            <w:pPr>
              <w:jc w:val="center"/>
              <w:rPr>
                <w:color w:val="auto"/>
                <w:sz w:val="20"/>
                <w:szCs w:val="20"/>
                <w:lang w:val="sq-AL"/>
              </w:rPr>
            </w:pPr>
            <w:r w:rsidRPr="004E5A6E">
              <w:rPr>
                <w:color w:val="auto"/>
                <w:sz w:val="20"/>
                <w:szCs w:val="20"/>
                <w:lang w:val="sq-AL"/>
              </w:rPr>
              <w:t>31.6</w:t>
            </w:r>
          </w:p>
        </w:tc>
        <w:tc>
          <w:tcPr>
            <w:tcW w:w="451" w:type="pct"/>
            <w:tcBorders>
              <w:top w:val="nil"/>
              <w:left w:val="nil"/>
              <w:bottom w:val="dotted" w:sz="4" w:space="0" w:color="auto"/>
              <w:right w:val="double" w:sz="6" w:space="0" w:color="auto"/>
            </w:tcBorders>
            <w:shd w:val="clear" w:color="000000" w:fill="FFFFFF"/>
            <w:vAlign w:val="center"/>
            <w:hideMark/>
          </w:tcPr>
          <w:p w14:paraId="1081ED5A" w14:textId="77777777" w:rsidR="002B41BB" w:rsidRPr="004E5A6E" w:rsidRDefault="002B41BB" w:rsidP="002B41BB">
            <w:pPr>
              <w:jc w:val="center"/>
              <w:rPr>
                <w:color w:val="auto"/>
                <w:sz w:val="20"/>
                <w:szCs w:val="20"/>
                <w:lang w:val="sq-AL"/>
              </w:rPr>
            </w:pPr>
            <w:r w:rsidRPr="004E5A6E">
              <w:rPr>
                <w:color w:val="auto"/>
                <w:sz w:val="20"/>
                <w:szCs w:val="20"/>
                <w:lang w:val="sq-AL"/>
              </w:rPr>
              <w:t>30.7</w:t>
            </w:r>
          </w:p>
        </w:tc>
      </w:tr>
      <w:tr w:rsidR="002B41BB" w:rsidRPr="004E5A6E" w14:paraId="3A01CCA5" w14:textId="77777777" w:rsidTr="002B41BB">
        <w:trPr>
          <w:trHeight w:val="345"/>
        </w:trPr>
        <w:tc>
          <w:tcPr>
            <w:tcW w:w="1918" w:type="pct"/>
            <w:tcBorders>
              <w:top w:val="nil"/>
              <w:left w:val="double" w:sz="6" w:space="0" w:color="auto"/>
              <w:bottom w:val="double" w:sz="6" w:space="0" w:color="auto"/>
              <w:right w:val="nil"/>
            </w:tcBorders>
            <w:shd w:val="clear" w:color="000000" w:fill="FFFFFF"/>
            <w:vAlign w:val="bottom"/>
            <w:hideMark/>
          </w:tcPr>
          <w:p w14:paraId="0D569BC7" w14:textId="77777777" w:rsidR="002B41BB" w:rsidRPr="004E5A6E" w:rsidRDefault="002B41BB" w:rsidP="002B41BB">
            <w:pPr>
              <w:rPr>
                <w:color w:val="auto"/>
                <w:sz w:val="20"/>
                <w:szCs w:val="20"/>
                <w:lang w:val="sq-AL"/>
              </w:rPr>
            </w:pPr>
            <w:r w:rsidRPr="004E5A6E">
              <w:rPr>
                <w:color w:val="auto"/>
                <w:sz w:val="20"/>
                <w:szCs w:val="20"/>
                <w:lang w:val="sq-AL"/>
              </w:rPr>
              <w:t>p.m.  Kompenzimi I punëtorëve</w:t>
            </w:r>
          </w:p>
        </w:tc>
        <w:tc>
          <w:tcPr>
            <w:tcW w:w="378" w:type="pct"/>
            <w:tcBorders>
              <w:top w:val="nil"/>
              <w:left w:val="single" w:sz="8" w:space="0" w:color="auto"/>
              <w:bottom w:val="double" w:sz="6" w:space="0" w:color="auto"/>
              <w:right w:val="single" w:sz="8" w:space="0" w:color="auto"/>
            </w:tcBorders>
            <w:shd w:val="clear" w:color="000000" w:fill="FFFFFF"/>
            <w:vAlign w:val="bottom"/>
            <w:hideMark/>
          </w:tcPr>
          <w:p w14:paraId="4EA2E075" w14:textId="77777777" w:rsidR="002B41BB" w:rsidRPr="004E5A6E" w:rsidRDefault="002B41BB" w:rsidP="002B41BB">
            <w:pPr>
              <w:jc w:val="center"/>
              <w:rPr>
                <w:color w:val="auto"/>
                <w:sz w:val="20"/>
                <w:szCs w:val="20"/>
                <w:lang w:val="sq-AL"/>
              </w:rPr>
            </w:pPr>
            <w:r w:rsidRPr="004E5A6E">
              <w:rPr>
                <w:color w:val="auto"/>
                <w:sz w:val="20"/>
                <w:szCs w:val="20"/>
                <w:lang w:val="sq-AL"/>
              </w:rPr>
              <w:t>D1</w:t>
            </w:r>
          </w:p>
        </w:tc>
        <w:tc>
          <w:tcPr>
            <w:tcW w:w="451" w:type="pct"/>
            <w:tcBorders>
              <w:top w:val="nil"/>
              <w:left w:val="nil"/>
              <w:bottom w:val="double" w:sz="6" w:space="0" w:color="auto"/>
              <w:right w:val="single" w:sz="8" w:space="0" w:color="auto"/>
            </w:tcBorders>
            <w:shd w:val="clear" w:color="000000" w:fill="FFFFFF"/>
            <w:vAlign w:val="bottom"/>
            <w:hideMark/>
          </w:tcPr>
          <w:p w14:paraId="5989C710" w14:textId="77777777" w:rsidR="002B41BB" w:rsidRPr="004E5A6E" w:rsidRDefault="002B41BB" w:rsidP="002B41BB">
            <w:pPr>
              <w:jc w:val="center"/>
              <w:rPr>
                <w:color w:val="auto"/>
                <w:sz w:val="20"/>
                <w:szCs w:val="20"/>
                <w:lang w:val="sq-AL"/>
              </w:rPr>
            </w:pPr>
            <w:r w:rsidRPr="004E5A6E">
              <w:rPr>
                <w:color w:val="auto"/>
                <w:sz w:val="20"/>
                <w:szCs w:val="20"/>
                <w:lang w:val="sq-AL"/>
              </w:rPr>
              <w:t>616.0</w:t>
            </w:r>
          </w:p>
        </w:tc>
        <w:tc>
          <w:tcPr>
            <w:tcW w:w="451" w:type="pct"/>
            <w:tcBorders>
              <w:top w:val="nil"/>
              <w:left w:val="nil"/>
              <w:bottom w:val="double" w:sz="6" w:space="0" w:color="auto"/>
              <w:right w:val="dotted" w:sz="4" w:space="0" w:color="auto"/>
            </w:tcBorders>
            <w:shd w:val="clear" w:color="000000" w:fill="FFFFFF"/>
            <w:vAlign w:val="bottom"/>
            <w:hideMark/>
          </w:tcPr>
          <w:p w14:paraId="15A6937F" w14:textId="77777777" w:rsidR="002B41BB" w:rsidRPr="004E5A6E" w:rsidRDefault="002B41BB" w:rsidP="002B41BB">
            <w:pPr>
              <w:jc w:val="center"/>
              <w:rPr>
                <w:color w:val="auto"/>
                <w:sz w:val="20"/>
                <w:szCs w:val="20"/>
                <w:lang w:val="sq-AL"/>
              </w:rPr>
            </w:pPr>
            <w:r w:rsidRPr="004E5A6E">
              <w:rPr>
                <w:color w:val="auto"/>
                <w:sz w:val="20"/>
                <w:szCs w:val="20"/>
                <w:lang w:val="sq-AL"/>
              </w:rPr>
              <w:t>8.7</w:t>
            </w:r>
          </w:p>
        </w:tc>
        <w:tc>
          <w:tcPr>
            <w:tcW w:w="451" w:type="pct"/>
            <w:tcBorders>
              <w:top w:val="nil"/>
              <w:left w:val="nil"/>
              <w:bottom w:val="double" w:sz="6" w:space="0" w:color="auto"/>
              <w:right w:val="dotted" w:sz="4" w:space="0" w:color="auto"/>
            </w:tcBorders>
            <w:shd w:val="clear" w:color="000000" w:fill="FFFFFF"/>
            <w:vAlign w:val="bottom"/>
            <w:hideMark/>
          </w:tcPr>
          <w:p w14:paraId="32752B15" w14:textId="77777777" w:rsidR="002B41BB" w:rsidRPr="004E5A6E" w:rsidRDefault="002B41BB" w:rsidP="002B41BB">
            <w:pPr>
              <w:jc w:val="center"/>
              <w:rPr>
                <w:color w:val="auto"/>
                <w:sz w:val="20"/>
                <w:szCs w:val="20"/>
                <w:lang w:val="sq-AL"/>
              </w:rPr>
            </w:pPr>
            <w:r w:rsidRPr="004E5A6E">
              <w:rPr>
                <w:color w:val="auto"/>
                <w:sz w:val="20"/>
                <w:szCs w:val="20"/>
                <w:lang w:val="sq-AL"/>
              </w:rPr>
              <w:t>9.8</w:t>
            </w:r>
          </w:p>
        </w:tc>
        <w:tc>
          <w:tcPr>
            <w:tcW w:w="451" w:type="pct"/>
            <w:tcBorders>
              <w:top w:val="nil"/>
              <w:left w:val="nil"/>
              <w:bottom w:val="double" w:sz="6" w:space="0" w:color="auto"/>
              <w:right w:val="dotted" w:sz="4" w:space="0" w:color="auto"/>
            </w:tcBorders>
            <w:shd w:val="clear" w:color="000000" w:fill="FFFFFF"/>
            <w:vAlign w:val="bottom"/>
            <w:hideMark/>
          </w:tcPr>
          <w:p w14:paraId="54028418" w14:textId="77777777" w:rsidR="002B41BB" w:rsidRPr="004E5A6E" w:rsidRDefault="002B41BB" w:rsidP="002B41BB">
            <w:pPr>
              <w:jc w:val="center"/>
              <w:rPr>
                <w:color w:val="auto"/>
                <w:sz w:val="20"/>
                <w:szCs w:val="20"/>
                <w:lang w:val="sq-AL"/>
              </w:rPr>
            </w:pPr>
            <w:r w:rsidRPr="004E5A6E">
              <w:rPr>
                <w:color w:val="auto"/>
                <w:sz w:val="20"/>
                <w:szCs w:val="20"/>
                <w:lang w:val="sq-AL"/>
              </w:rPr>
              <w:t>9.0</w:t>
            </w:r>
          </w:p>
        </w:tc>
        <w:tc>
          <w:tcPr>
            <w:tcW w:w="451" w:type="pct"/>
            <w:tcBorders>
              <w:top w:val="nil"/>
              <w:left w:val="nil"/>
              <w:bottom w:val="double" w:sz="6" w:space="0" w:color="auto"/>
              <w:right w:val="dotted" w:sz="4" w:space="0" w:color="auto"/>
            </w:tcBorders>
            <w:shd w:val="clear" w:color="000000" w:fill="FFFFFF"/>
            <w:vAlign w:val="bottom"/>
            <w:hideMark/>
          </w:tcPr>
          <w:p w14:paraId="7F9260C9" w14:textId="77777777" w:rsidR="002B41BB" w:rsidRPr="004E5A6E" w:rsidRDefault="002B41BB" w:rsidP="002B41BB">
            <w:pPr>
              <w:jc w:val="center"/>
              <w:rPr>
                <w:color w:val="auto"/>
                <w:sz w:val="20"/>
                <w:szCs w:val="20"/>
                <w:lang w:val="sq-AL"/>
              </w:rPr>
            </w:pPr>
            <w:r w:rsidRPr="004E5A6E">
              <w:rPr>
                <w:color w:val="auto"/>
                <w:sz w:val="20"/>
                <w:szCs w:val="20"/>
                <w:lang w:val="sq-AL"/>
              </w:rPr>
              <w:t>8.5</w:t>
            </w:r>
          </w:p>
        </w:tc>
        <w:tc>
          <w:tcPr>
            <w:tcW w:w="451" w:type="pct"/>
            <w:tcBorders>
              <w:top w:val="nil"/>
              <w:left w:val="nil"/>
              <w:bottom w:val="double" w:sz="6" w:space="0" w:color="auto"/>
              <w:right w:val="double" w:sz="6" w:space="0" w:color="auto"/>
            </w:tcBorders>
            <w:shd w:val="clear" w:color="000000" w:fill="FFFFFF"/>
            <w:vAlign w:val="bottom"/>
            <w:hideMark/>
          </w:tcPr>
          <w:p w14:paraId="2D97F795" w14:textId="77777777" w:rsidR="002B41BB" w:rsidRPr="004E5A6E" w:rsidRDefault="002B41BB" w:rsidP="002B41BB">
            <w:pPr>
              <w:jc w:val="center"/>
              <w:rPr>
                <w:color w:val="auto"/>
                <w:sz w:val="20"/>
                <w:szCs w:val="20"/>
                <w:lang w:val="sq-AL"/>
              </w:rPr>
            </w:pPr>
            <w:r w:rsidRPr="004E5A6E">
              <w:rPr>
                <w:color w:val="auto"/>
                <w:sz w:val="20"/>
                <w:szCs w:val="20"/>
                <w:lang w:val="sq-AL"/>
              </w:rPr>
              <w:t>8.1</w:t>
            </w:r>
          </w:p>
        </w:tc>
      </w:tr>
      <w:tr w:rsidR="002B41BB" w:rsidRPr="004E5A6E" w14:paraId="20912A39" w14:textId="77777777" w:rsidTr="002B41BB">
        <w:trPr>
          <w:trHeight w:val="168"/>
        </w:trPr>
        <w:tc>
          <w:tcPr>
            <w:tcW w:w="1918" w:type="pct"/>
            <w:tcBorders>
              <w:top w:val="nil"/>
              <w:left w:val="nil"/>
              <w:bottom w:val="nil"/>
              <w:right w:val="nil"/>
            </w:tcBorders>
            <w:shd w:val="clear" w:color="auto" w:fill="auto"/>
            <w:noWrap/>
            <w:vAlign w:val="bottom"/>
            <w:hideMark/>
          </w:tcPr>
          <w:p w14:paraId="7214B4A6" w14:textId="77777777" w:rsidR="002B41BB" w:rsidRPr="004E5A6E" w:rsidRDefault="002B41BB" w:rsidP="002B41BB">
            <w:pPr>
              <w:rPr>
                <w:color w:val="auto"/>
                <w:sz w:val="12"/>
                <w:szCs w:val="12"/>
                <w:lang w:val="sq-AL"/>
              </w:rPr>
            </w:pPr>
            <w:r w:rsidRPr="004E5A6E">
              <w:rPr>
                <w:color w:val="auto"/>
                <w:sz w:val="12"/>
                <w:szCs w:val="12"/>
                <w:lang w:val="sq-AL"/>
              </w:rPr>
              <w:t>[1]   E përshtatur për rrjedhat e ardhshme të shkëmbimit, kështu që  TR-TE = EDP.B9.</w:t>
            </w:r>
          </w:p>
        </w:tc>
        <w:tc>
          <w:tcPr>
            <w:tcW w:w="378" w:type="pct"/>
            <w:tcBorders>
              <w:top w:val="nil"/>
              <w:left w:val="nil"/>
              <w:bottom w:val="nil"/>
              <w:right w:val="nil"/>
            </w:tcBorders>
            <w:shd w:val="clear" w:color="auto" w:fill="auto"/>
            <w:noWrap/>
            <w:vAlign w:val="bottom"/>
            <w:hideMark/>
          </w:tcPr>
          <w:p w14:paraId="1F6334ED" w14:textId="77777777" w:rsidR="002B41BB" w:rsidRPr="004E5A6E" w:rsidRDefault="002B41BB" w:rsidP="002B41BB">
            <w:pPr>
              <w:rPr>
                <w:color w:val="auto"/>
                <w:sz w:val="12"/>
                <w:szCs w:val="12"/>
                <w:lang w:val="sq-AL"/>
              </w:rPr>
            </w:pPr>
          </w:p>
        </w:tc>
        <w:tc>
          <w:tcPr>
            <w:tcW w:w="451" w:type="pct"/>
            <w:tcBorders>
              <w:top w:val="nil"/>
              <w:left w:val="nil"/>
              <w:bottom w:val="nil"/>
              <w:right w:val="nil"/>
            </w:tcBorders>
            <w:shd w:val="clear" w:color="auto" w:fill="auto"/>
            <w:noWrap/>
            <w:vAlign w:val="bottom"/>
            <w:hideMark/>
          </w:tcPr>
          <w:p w14:paraId="3BF21BE0" w14:textId="77777777" w:rsidR="002B41BB" w:rsidRPr="004E5A6E" w:rsidRDefault="002B41BB" w:rsidP="002B41BB">
            <w:pPr>
              <w:rPr>
                <w:color w:val="auto"/>
                <w:sz w:val="20"/>
                <w:szCs w:val="20"/>
                <w:lang w:val="sq-AL"/>
              </w:rPr>
            </w:pPr>
          </w:p>
        </w:tc>
        <w:tc>
          <w:tcPr>
            <w:tcW w:w="451" w:type="pct"/>
            <w:tcBorders>
              <w:top w:val="nil"/>
              <w:left w:val="nil"/>
              <w:bottom w:val="nil"/>
              <w:right w:val="nil"/>
            </w:tcBorders>
            <w:shd w:val="clear" w:color="auto" w:fill="auto"/>
            <w:noWrap/>
            <w:vAlign w:val="bottom"/>
            <w:hideMark/>
          </w:tcPr>
          <w:p w14:paraId="5224278E" w14:textId="77777777" w:rsidR="002B41BB" w:rsidRPr="004E5A6E" w:rsidRDefault="002B41BB" w:rsidP="002B41BB">
            <w:pPr>
              <w:rPr>
                <w:color w:val="auto"/>
                <w:sz w:val="20"/>
                <w:szCs w:val="20"/>
                <w:lang w:val="sq-AL"/>
              </w:rPr>
            </w:pPr>
          </w:p>
        </w:tc>
        <w:tc>
          <w:tcPr>
            <w:tcW w:w="451" w:type="pct"/>
            <w:tcBorders>
              <w:top w:val="nil"/>
              <w:left w:val="nil"/>
              <w:bottom w:val="nil"/>
              <w:right w:val="nil"/>
            </w:tcBorders>
            <w:shd w:val="clear" w:color="auto" w:fill="auto"/>
            <w:noWrap/>
            <w:vAlign w:val="bottom"/>
            <w:hideMark/>
          </w:tcPr>
          <w:p w14:paraId="500E61DB" w14:textId="77777777" w:rsidR="002B41BB" w:rsidRPr="004E5A6E" w:rsidRDefault="002B41BB" w:rsidP="002B41BB">
            <w:pPr>
              <w:rPr>
                <w:color w:val="auto"/>
                <w:sz w:val="20"/>
                <w:szCs w:val="20"/>
                <w:lang w:val="sq-AL"/>
              </w:rPr>
            </w:pPr>
          </w:p>
        </w:tc>
        <w:tc>
          <w:tcPr>
            <w:tcW w:w="451" w:type="pct"/>
            <w:tcBorders>
              <w:top w:val="nil"/>
              <w:left w:val="nil"/>
              <w:bottom w:val="nil"/>
              <w:right w:val="nil"/>
            </w:tcBorders>
            <w:shd w:val="clear" w:color="auto" w:fill="auto"/>
            <w:noWrap/>
            <w:vAlign w:val="bottom"/>
            <w:hideMark/>
          </w:tcPr>
          <w:p w14:paraId="52CCDE48" w14:textId="77777777" w:rsidR="002B41BB" w:rsidRPr="004E5A6E" w:rsidRDefault="002B41BB" w:rsidP="002B41BB">
            <w:pPr>
              <w:rPr>
                <w:color w:val="auto"/>
                <w:sz w:val="20"/>
                <w:szCs w:val="20"/>
                <w:lang w:val="sq-AL"/>
              </w:rPr>
            </w:pPr>
          </w:p>
        </w:tc>
        <w:tc>
          <w:tcPr>
            <w:tcW w:w="451" w:type="pct"/>
            <w:tcBorders>
              <w:top w:val="nil"/>
              <w:left w:val="nil"/>
              <w:bottom w:val="nil"/>
              <w:right w:val="nil"/>
            </w:tcBorders>
            <w:shd w:val="clear" w:color="auto" w:fill="auto"/>
            <w:noWrap/>
            <w:vAlign w:val="bottom"/>
            <w:hideMark/>
          </w:tcPr>
          <w:p w14:paraId="18785430" w14:textId="77777777" w:rsidR="002B41BB" w:rsidRPr="004E5A6E" w:rsidRDefault="002B41BB" w:rsidP="002B41BB">
            <w:pPr>
              <w:rPr>
                <w:color w:val="auto"/>
                <w:sz w:val="20"/>
                <w:szCs w:val="20"/>
                <w:lang w:val="sq-AL"/>
              </w:rPr>
            </w:pPr>
          </w:p>
        </w:tc>
        <w:tc>
          <w:tcPr>
            <w:tcW w:w="451" w:type="pct"/>
            <w:tcBorders>
              <w:top w:val="nil"/>
              <w:left w:val="nil"/>
              <w:bottom w:val="nil"/>
              <w:right w:val="nil"/>
            </w:tcBorders>
            <w:shd w:val="clear" w:color="000000" w:fill="FFFFFF"/>
            <w:noWrap/>
            <w:vAlign w:val="center"/>
            <w:hideMark/>
          </w:tcPr>
          <w:p w14:paraId="5B427BB8" w14:textId="77777777" w:rsidR="002B41BB" w:rsidRPr="004E5A6E" w:rsidRDefault="002B41BB" w:rsidP="002B41BB">
            <w:pPr>
              <w:rPr>
                <w:color w:val="auto"/>
                <w:sz w:val="12"/>
                <w:szCs w:val="12"/>
                <w:lang w:val="sq-AL"/>
              </w:rPr>
            </w:pPr>
            <w:r w:rsidRPr="004E5A6E">
              <w:rPr>
                <w:color w:val="auto"/>
                <w:sz w:val="12"/>
                <w:szCs w:val="12"/>
                <w:lang w:val="sq-AL"/>
              </w:rPr>
              <w:t> </w:t>
            </w:r>
          </w:p>
        </w:tc>
      </w:tr>
      <w:tr w:rsidR="002B41BB" w:rsidRPr="004E5A6E" w14:paraId="4FD37582" w14:textId="77777777" w:rsidTr="002B41BB">
        <w:trPr>
          <w:trHeight w:val="156"/>
        </w:trPr>
        <w:tc>
          <w:tcPr>
            <w:tcW w:w="1918" w:type="pct"/>
            <w:tcBorders>
              <w:top w:val="nil"/>
              <w:left w:val="nil"/>
              <w:bottom w:val="nil"/>
              <w:right w:val="nil"/>
            </w:tcBorders>
            <w:shd w:val="clear" w:color="000000" w:fill="FFFFFF"/>
            <w:noWrap/>
            <w:vAlign w:val="bottom"/>
            <w:hideMark/>
          </w:tcPr>
          <w:p w14:paraId="7C0D8127" w14:textId="77777777" w:rsidR="002B41BB" w:rsidRPr="004E5A6E" w:rsidRDefault="002B41BB" w:rsidP="002B41BB">
            <w:pPr>
              <w:rPr>
                <w:color w:val="auto"/>
                <w:sz w:val="12"/>
                <w:szCs w:val="12"/>
                <w:lang w:val="sq-AL"/>
              </w:rPr>
            </w:pPr>
            <w:r w:rsidRPr="004E5A6E">
              <w:rPr>
                <w:color w:val="auto"/>
                <w:sz w:val="12"/>
                <w:szCs w:val="12"/>
                <w:lang w:val="sq-AL"/>
              </w:rPr>
              <w:t>[2]   Bilanci primar është kalkuluar si (EDP B.9,  8) plus (EDP D.41, zëri 9).</w:t>
            </w:r>
          </w:p>
        </w:tc>
        <w:tc>
          <w:tcPr>
            <w:tcW w:w="378" w:type="pct"/>
            <w:tcBorders>
              <w:top w:val="nil"/>
              <w:left w:val="nil"/>
              <w:bottom w:val="nil"/>
              <w:right w:val="nil"/>
            </w:tcBorders>
            <w:shd w:val="clear" w:color="000000" w:fill="FFFFFF"/>
            <w:noWrap/>
            <w:vAlign w:val="center"/>
            <w:hideMark/>
          </w:tcPr>
          <w:p w14:paraId="2D20BB11" w14:textId="77777777" w:rsidR="002B41BB" w:rsidRPr="004E5A6E" w:rsidRDefault="002B41BB" w:rsidP="002B41BB">
            <w:pPr>
              <w:jc w:val="both"/>
              <w:rPr>
                <w:color w:val="auto"/>
                <w:sz w:val="12"/>
                <w:szCs w:val="12"/>
                <w:lang w:val="sq-AL"/>
              </w:rPr>
            </w:pPr>
            <w:r w:rsidRPr="004E5A6E">
              <w:rPr>
                <w:color w:val="auto"/>
                <w:sz w:val="12"/>
                <w:szCs w:val="12"/>
                <w:lang w:val="sq-AL"/>
              </w:rPr>
              <w:t> </w:t>
            </w:r>
          </w:p>
        </w:tc>
        <w:tc>
          <w:tcPr>
            <w:tcW w:w="451" w:type="pct"/>
            <w:tcBorders>
              <w:top w:val="nil"/>
              <w:left w:val="nil"/>
              <w:bottom w:val="nil"/>
              <w:right w:val="nil"/>
            </w:tcBorders>
            <w:shd w:val="clear" w:color="000000" w:fill="FFFFFF"/>
            <w:noWrap/>
            <w:vAlign w:val="center"/>
            <w:hideMark/>
          </w:tcPr>
          <w:p w14:paraId="5BB5456E" w14:textId="77777777" w:rsidR="002B41BB" w:rsidRPr="004E5A6E" w:rsidRDefault="002B41BB" w:rsidP="002B41BB">
            <w:pPr>
              <w:rPr>
                <w:color w:val="auto"/>
                <w:sz w:val="12"/>
                <w:szCs w:val="12"/>
                <w:lang w:val="sq-AL"/>
              </w:rPr>
            </w:pPr>
            <w:r w:rsidRPr="004E5A6E">
              <w:rPr>
                <w:color w:val="auto"/>
                <w:sz w:val="12"/>
                <w:szCs w:val="12"/>
                <w:lang w:val="sq-AL"/>
              </w:rPr>
              <w:t> </w:t>
            </w:r>
          </w:p>
        </w:tc>
        <w:tc>
          <w:tcPr>
            <w:tcW w:w="451" w:type="pct"/>
            <w:tcBorders>
              <w:top w:val="nil"/>
              <w:left w:val="nil"/>
              <w:bottom w:val="nil"/>
              <w:right w:val="nil"/>
            </w:tcBorders>
            <w:shd w:val="clear" w:color="000000" w:fill="FFFFFF"/>
            <w:noWrap/>
            <w:vAlign w:val="center"/>
            <w:hideMark/>
          </w:tcPr>
          <w:p w14:paraId="54356706" w14:textId="77777777" w:rsidR="002B41BB" w:rsidRPr="004E5A6E" w:rsidRDefault="002B41BB" w:rsidP="002B41BB">
            <w:pPr>
              <w:rPr>
                <w:color w:val="auto"/>
                <w:sz w:val="12"/>
                <w:szCs w:val="12"/>
                <w:lang w:val="sq-AL"/>
              </w:rPr>
            </w:pPr>
            <w:r w:rsidRPr="004E5A6E">
              <w:rPr>
                <w:color w:val="auto"/>
                <w:sz w:val="12"/>
                <w:szCs w:val="12"/>
                <w:lang w:val="sq-AL"/>
              </w:rPr>
              <w:t> </w:t>
            </w:r>
          </w:p>
        </w:tc>
        <w:tc>
          <w:tcPr>
            <w:tcW w:w="451" w:type="pct"/>
            <w:tcBorders>
              <w:top w:val="nil"/>
              <w:left w:val="nil"/>
              <w:bottom w:val="nil"/>
              <w:right w:val="nil"/>
            </w:tcBorders>
            <w:shd w:val="clear" w:color="000000" w:fill="FFFFFF"/>
            <w:noWrap/>
            <w:vAlign w:val="center"/>
            <w:hideMark/>
          </w:tcPr>
          <w:p w14:paraId="1FBE37C2" w14:textId="77777777" w:rsidR="002B41BB" w:rsidRPr="004E5A6E" w:rsidRDefault="002B41BB" w:rsidP="002B41BB">
            <w:pPr>
              <w:rPr>
                <w:color w:val="auto"/>
                <w:sz w:val="12"/>
                <w:szCs w:val="12"/>
                <w:lang w:val="sq-AL"/>
              </w:rPr>
            </w:pPr>
            <w:r w:rsidRPr="004E5A6E">
              <w:rPr>
                <w:color w:val="auto"/>
                <w:sz w:val="12"/>
                <w:szCs w:val="12"/>
                <w:lang w:val="sq-AL"/>
              </w:rPr>
              <w:t> </w:t>
            </w:r>
          </w:p>
        </w:tc>
        <w:tc>
          <w:tcPr>
            <w:tcW w:w="451" w:type="pct"/>
            <w:tcBorders>
              <w:top w:val="nil"/>
              <w:left w:val="nil"/>
              <w:bottom w:val="nil"/>
              <w:right w:val="nil"/>
            </w:tcBorders>
            <w:shd w:val="clear" w:color="000000" w:fill="FFFFFF"/>
            <w:noWrap/>
            <w:vAlign w:val="center"/>
            <w:hideMark/>
          </w:tcPr>
          <w:p w14:paraId="5F6DDA80" w14:textId="77777777" w:rsidR="002B41BB" w:rsidRPr="004E5A6E" w:rsidRDefault="002B41BB" w:rsidP="002B41BB">
            <w:pPr>
              <w:rPr>
                <w:color w:val="auto"/>
                <w:sz w:val="12"/>
                <w:szCs w:val="12"/>
                <w:lang w:val="sq-AL"/>
              </w:rPr>
            </w:pPr>
            <w:r w:rsidRPr="004E5A6E">
              <w:rPr>
                <w:color w:val="auto"/>
                <w:sz w:val="12"/>
                <w:szCs w:val="12"/>
                <w:lang w:val="sq-AL"/>
              </w:rPr>
              <w:t> </w:t>
            </w:r>
          </w:p>
        </w:tc>
        <w:tc>
          <w:tcPr>
            <w:tcW w:w="451" w:type="pct"/>
            <w:tcBorders>
              <w:top w:val="nil"/>
              <w:left w:val="nil"/>
              <w:bottom w:val="nil"/>
              <w:right w:val="nil"/>
            </w:tcBorders>
            <w:shd w:val="clear" w:color="000000" w:fill="FFFFFF"/>
            <w:noWrap/>
            <w:vAlign w:val="center"/>
            <w:hideMark/>
          </w:tcPr>
          <w:p w14:paraId="14645637" w14:textId="77777777" w:rsidR="002B41BB" w:rsidRPr="004E5A6E" w:rsidRDefault="002B41BB" w:rsidP="002B41BB">
            <w:pPr>
              <w:rPr>
                <w:color w:val="auto"/>
                <w:sz w:val="12"/>
                <w:szCs w:val="12"/>
                <w:lang w:val="sq-AL"/>
              </w:rPr>
            </w:pPr>
            <w:r w:rsidRPr="004E5A6E">
              <w:rPr>
                <w:color w:val="auto"/>
                <w:sz w:val="12"/>
                <w:szCs w:val="12"/>
                <w:lang w:val="sq-AL"/>
              </w:rPr>
              <w:t> </w:t>
            </w:r>
          </w:p>
        </w:tc>
        <w:tc>
          <w:tcPr>
            <w:tcW w:w="451" w:type="pct"/>
            <w:tcBorders>
              <w:top w:val="nil"/>
              <w:left w:val="nil"/>
              <w:bottom w:val="nil"/>
              <w:right w:val="nil"/>
            </w:tcBorders>
            <w:shd w:val="clear" w:color="000000" w:fill="FFFFFF"/>
            <w:noWrap/>
            <w:vAlign w:val="center"/>
            <w:hideMark/>
          </w:tcPr>
          <w:p w14:paraId="684C3D2A" w14:textId="77777777" w:rsidR="002B41BB" w:rsidRPr="004E5A6E" w:rsidRDefault="002B41BB" w:rsidP="002B41BB">
            <w:pPr>
              <w:rPr>
                <w:color w:val="auto"/>
                <w:sz w:val="12"/>
                <w:szCs w:val="12"/>
                <w:lang w:val="sq-AL"/>
              </w:rPr>
            </w:pPr>
            <w:r w:rsidRPr="004E5A6E">
              <w:rPr>
                <w:color w:val="auto"/>
                <w:sz w:val="12"/>
                <w:szCs w:val="12"/>
                <w:lang w:val="sq-AL"/>
              </w:rPr>
              <w:t> </w:t>
            </w:r>
          </w:p>
        </w:tc>
      </w:tr>
      <w:tr w:rsidR="002B41BB" w:rsidRPr="004E5A6E" w14:paraId="4630311A" w14:textId="77777777" w:rsidTr="002B41BB">
        <w:trPr>
          <w:trHeight w:val="156"/>
        </w:trPr>
        <w:tc>
          <w:tcPr>
            <w:tcW w:w="1918" w:type="pct"/>
            <w:tcBorders>
              <w:top w:val="nil"/>
              <w:left w:val="nil"/>
              <w:bottom w:val="nil"/>
              <w:right w:val="nil"/>
            </w:tcBorders>
            <w:shd w:val="clear" w:color="000000" w:fill="FFFFFF"/>
            <w:noWrap/>
            <w:vAlign w:val="center"/>
            <w:hideMark/>
          </w:tcPr>
          <w:p w14:paraId="7E4FE2BA" w14:textId="77777777" w:rsidR="002B41BB" w:rsidRPr="004E5A6E" w:rsidRDefault="002B41BB" w:rsidP="002B41BB">
            <w:pPr>
              <w:rPr>
                <w:color w:val="auto"/>
                <w:sz w:val="12"/>
                <w:szCs w:val="12"/>
                <w:lang w:val="sq-AL"/>
              </w:rPr>
            </w:pPr>
            <w:r w:rsidRPr="004E5A6E">
              <w:rPr>
                <w:color w:val="auto"/>
                <w:sz w:val="12"/>
                <w:szCs w:val="12"/>
                <w:lang w:val="sq-AL"/>
              </w:rPr>
              <w:t>[3]   Shenja plus tregon deficitin e zvogëluar për masat e njëhershme</w:t>
            </w:r>
          </w:p>
        </w:tc>
        <w:tc>
          <w:tcPr>
            <w:tcW w:w="378" w:type="pct"/>
            <w:tcBorders>
              <w:top w:val="nil"/>
              <w:left w:val="nil"/>
              <w:bottom w:val="nil"/>
              <w:right w:val="nil"/>
            </w:tcBorders>
            <w:shd w:val="clear" w:color="000000" w:fill="FFFFFF"/>
            <w:noWrap/>
            <w:vAlign w:val="center"/>
            <w:hideMark/>
          </w:tcPr>
          <w:p w14:paraId="59B9E5FE" w14:textId="77777777" w:rsidR="002B41BB" w:rsidRPr="004E5A6E" w:rsidRDefault="002B41BB" w:rsidP="002B41BB">
            <w:pPr>
              <w:jc w:val="both"/>
              <w:rPr>
                <w:color w:val="auto"/>
                <w:sz w:val="12"/>
                <w:szCs w:val="12"/>
                <w:lang w:val="sq-AL"/>
              </w:rPr>
            </w:pPr>
            <w:r w:rsidRPr="004E5A6E">
              <w:rPr>
                <w:color w:val="auto"/>
                <w:sz w:val="12"/>
                <w:szCs w:val="12"/>
                <w:lang w:val="sq-AL"/>
              </w:rPr>
              <w:t> </w:t>
            </w:r>
          </w:p>
        </w:tc>
        <w:tc>
          <w:tcPr>
            <w:tcW w:w="451" w:type="pct"/>
            <w:tcBorders>
              <w:top w:val="nil"/>
              <w:left w:val="nil"/>
              <w:bottom w:val="nil"/>
              <w:right w:val="nil"/>
            </w:tcBorders>
            <w:shd w:val="clear" w:color="000000" w:fill="FFFFFF"/>
            <w:noWrap/>
            <w:vAlign w:val="center"/>
            <w:hideMark/>
          </w:tcPr>
          <w:p w14:paraId="4BB914D1" w14:textId="77777777" w:rsidR="002B41BB" w:rsidRPr="004E5A6E" w:rsidRDefault="002B41BB" w:rsidP="002B41BB">
            <w:pPr>
              <w:rPr>
                <w:color w:val="auto"/>
                <w:sz w:val="12"/>
                <w:szCs w:val="12"/>
                <w:lang w:val="sq-AL"/>
              </w:rPr>
            </w:pPr>
            <w:r w:rsidRPr="004E5A6E">
              <w:rPr>
                <w:color w:val="auto"/>
                <w:sz w:val="12"/>
                <w:szCs w:val="12"/>
                <w:lang w:val="sq-AL"/>
              </w:rPr>
              <w:t> </w:t>
            </w:r>
          </w:p>
        </w:tc>
        <w:tc>
          <w:tcPr>
            <w:tcW w:w="451" w:type="pct"/>
            <w:tcBorders>
              <w:top w:val="nil"/>
              <w:left w:val="nil"/>
              <w:bottom w:val="nil"/>
              <w:right w:val="nil"/>
            </w:tcBorders>
            <w:shd w:val="clear" w:color="000000" w:fill="FFFFFF"/>
            <w:noWrap/>
            <w:vAlign w:val="center"/>
            <w:hideMark/>
          </w:tcPr>
          <w:p w14:paraId="16608413" w14:textId="77777777" w:rsidR="002B41BB" w:rsidRPr="004E5A6E" w:rsidRDefault="002B41BB" w:rsidP="002B41BB">
            <w:pPr>
              <w:rPr>
                <w:color w:val="auto"/>
                <w:sz w:val="12"/>
                <w:szCs w:val="12"/>
                <w:lang w:val="sq-AL"/>
              </w:rPr>
            </w:pPr>
            <w:r w:rsidRPr="004E5A6E">
              <w:rPr>
                <w:color w:val="auto"/>
                <w:sz w:val="12"/>
                <w:szCs w:val="12"/>
                <w:lang w:val="sq-AL"/>
              </w:rPr>
              <w:t> </w:t>
            </w:r>
          </w:p>
        </w:tc>
        <w:tc>
          <w:tcPr>
            <w:tcW w:w="451" w:type="pct"/>
            <w:tcBorders>
              <w:top w:val="nil"/>
              <w:left w:val="nil"/>
              <w:bottom w:val="nil"/>
              <w:right w:val="nil"/>
            </w:tcBorders>
            <w:shd w:val="clear" w:color="000000" w:fill="FFFFFF"/>
            <w:noWrap/>
            <w:vAlign w:val="center"/>
            <w:hideMark/>
          </w:tcPr>
          <w:p w14:paraId="0FB780D5" w14:textId="77777777" w:rsidR="002B41BB" w:rsidRPr="004E5A6E" w:rsidRDefault="002B41BB" w:rsidP="002B41BB">
            <w:pPr>
              <w:rPr>
                <w:color w:val="auto"/>
                <w:sz w:val="12"/>
                <w:szCs w:val="12"/>
                <w:lang w:val="sq-AL"/>
              </w:rPr>
            </w:pPr>
            <w:r w:rsidRPr="004E5A6E">
              <w:rPr>
                <w:color w:val="auto"/>
                <w:sz w:val="12"/>
                <w:szCs w:val="12"/>
                <w:lang w:val="sq-AL"/>
              </w:rPr>
              <w:t> </w:t>
            </w:r>
          </w:p>
        </w:tc>
        <w:tc>
          <w:tcPr>
            <w:tcW w:w="451" w:type="pct"/>
            <w:tcBorders>
              <w:top w:val="nil"/>
              <w:left w:val="nil"/>
              <w:bottom w:val="nil"/>
              <w:right w:val="nil"/>
            </w:tcBorders>
            <w:shd w:val="clear" w:color="000000" w:fill="FFFFFF"/>
            <w:noWrap/>
            <w:vAlign w:val="center"/>
            <w:hideMark/>
          </w:tcPr>
          <w:p w14:paraId="0DD61A23" w14:textId="77777777" w:rsidR="002B41BB" w:rsidRPr="004E5A6E" w:rsidRDefault="002B41BB" w:rsidP="002B41BB">
            <w:pPr>
              <w:rPr>
                <w:color w:val="auto"/>
                <w:sz w:val="12"/>
                <w:szCs w:val="12"/>
                <w:lang w:val="sq-AL"/>
              </w:rPr>
            </w:pPr>
            <w:r w:rsidRPr="004E5A6E">
              <w:rPr>
                <w:color w:val="auto"/>
                <w:sz w:val="12"/>
                <w:szCs w:val="12"/>
                <w:lang w:val="sq-AL"/>
              </w:rPr>
              <w:t> </w:t>
            </w:r>
          </w:p>
        </w:tc>
        <w:tc>
          <w:tcPr>
            <w:tcW w:w="451" w:type="pct"/>
            <w:tcBorders>
              <w:top w:val="nil"/>
              <w:left w:val="nil"/>
              <w:bottom w:val="nil"/>
              <w:right w:val="nil"/>
            </w:tcBorders>
            <w:shd w:val="clear" w:color="000000" w:fill="FFFFFF"/>
            <w:noWrap/>
            <w:vAlign w:val="center"/>
            <w:hideMark/>
          </w:tcPr>
          <w:p w14:paraId="69B57160" w14:textId="77777777" w:rsidR="002B41BB" w:rsidRPr="004E5A6E" w:rsidRDefault="002B41BB" w:rsidP="002B41BB">
            <w:pPr>
              <w:rPr>
                <w:color w:val="auto"/>
                <w:sz w:val="12"/>
                <w:szCs w:val="12"/>
                <w:lang w:val="sq-AL"/>
              </w:rPr>
            </w:pPr>
            <w:r w:rsidRPr="004E5A6E">
              <w:rPr>
                <w:color w:val="auto"/>
                <w:sz w:val="12"/>
                <w:szCs w:val="12"/>
                <w:lang w:val="sq-AL"/>
              </w:rPr>
              <w:t> </w:t>
            </w:r>
          </w:p>
        </w:tc>
        <w:tc>
          <w:tcPr>
            <w:tcW w:w="451" w:type="pct"/>
            <w:tcBorders>
              <w:top w:val="nil"/>
              <w:left w:val="nil"/>
              <w:bottom w:val="nil"/>
              <w:right w:val="nil"/>
            </w:tcBorders>
            <w:shd w:val="clear" w:color="000000" w:fill="FFFFFF"/>
            <w:noWrap/>
            <w:vAlign w:val="center"/>
            <w:hideMark/>
          </w:tcPr>
          <w:p w14:paraId="70CB66B5" w14:textId="77777777" w:rsidR="002B41BB" w:rsidRPr="004E5A6E" w:rsidRDefault="002B41BB" w:rsidP="002B41BB">
            <w:pPr>
              <w:rPr>
                <w:color w:val="auto"/>
                <w:sz w:val="12"/>
                <w:szCs w:val="12"/>
                <w:lang w:val="sq-AL"/>
              </w:rPr>
            </w:pPr>
            <w:r w:rsidRPr="004E5A6E">
              <w:rPr>
                <w:color w:val="auto"/>
                <w:sz w:val="12"/>
                <w:szCs w:val="12"/>
                <w:lang w:val="sq-AL"/>
              </w:rPr>
              <w:t> </w:t>
            </w:r>
          </w:p>
        </w:tc>
      </w:tr>
      <w:tr w:rsidR="002B41BB" w:rsidRPr="004E5A6E" w14:paraId="07A1AF39" w14:textId="77777777" w:rsidTr="002B41BB">
        <w:trPr>
          <w:trHeight w:val="156"/>
        </w:trPr>
        <w:tc>
          <w:tcPr>
            <w:tcW w:w="1918" w:type="pct"/>
            <w:tcBorders>
              <w:top w:val="nil"/>
              <w:left w:val="nil"/>
              <w:bottom w:val="nil"/>
              <w:right w:val="nil"/>
            </w:tcBorders>
            <w:shd w:val="clear" w:color="000000" w:fill="FFFFFF"/>
            <w:noWrap/>
            <w:vAlign w:val="bottom"/>
            <w:hideMark/>
          </w:tcPr>
          <w:p w14:paraId="41D89C52" w14:textId="77777777" w:rsidR="002B41BB" w:rsidRPr="004E5A6E" w:rsidRDefault="002B41BB" w:rsidP="002B41BB">
            <w:pPr>
              <w:rPr>
                <w:color w:val="auto"/>
                <w:sz w:val="12"/>
                <w:szCs w:val="12"/>
                <w:lang w:val="sq-AL"/>
              </w:rPr>
            </w:pPr>
            <w:r w:rsidRPr="004E5A6E">
              <w:rPr>
                <w:color w:val="auto"/>
                <w:sz w:val="12"/>
                <w:szCs w:val="12"/>
                <w:lang w:val="sq-AL"/>
              </w:rPr>
              <w:t>[4]   P.11+P.12+P.131+D.39+D.7+D.9 (përveç D.91).</w:t>
            </w:r>
          </w:p>
        </w:tc>
        <w:tc>
          <w:tcPr>
            <w:tcW w:w="378" w:type="pct"/>
            <w:tcBorders>
              <w:top w:val="nil"/>
              <w:left w:val="nil"/>
              <w:bottom w:val="nil"/>
              <w:right w:val="nil"/>
            </w:tcBorders>
            <w:shd w:val="clear" w:color="000000" w:fill="FFFFFF"/>
            <w:noWrap/>
            <w:vAlign w:val="center"/>
            <w:hideMark/>
          </w:tcPr>
          <w:p w14:paraId="2DF1C284" w14:textId="77777777" w:rsidR="002B41BB" w:rsidRPr="004E5A6E" w:rsidRDefault="002B41BB" w:rsidP="002B41BB">
            <w:pPr>
              <w:rPr>
                <w:color w:val="auto"/>
                <w:sz w:val="12"/>
                <w:szCs w:val="12"/>
                <w:lang w:val="sq-AL"/>
              </w:rPr>
            </w:pPr>
            <w:r w:rsidRPr="004E5A6E">
              <w:rPr>
                <w:color w:val="auto"/>
                <w:sz w:val="12"/>
                <w:szCs w:val="12"/>
                <w:lang w:val="sq-AL"/>
              </w:rPr>
              <w:t> </w:t>
            </w:r>
          </w:p>
        </w:tc>
        <w:tc>
          <w:tcPr>
            <w:tcW w:w="451" w:type="pct"/>
            <w:tcBorders>
              <w:top w:val="nil"/>
              <w:left w:val="nil"/>
              <w:bottom w:val="nil"/>
              <w:right w:val="nil"/>
            </w:tcBorders>
            <w:shd w:val="clear" w:color="000000" w:fill="FFFFFF"/>
            <w:noWrap/>
            <w:vAlign w:val="center"/>
            <w:hideMark/>
          </w:tcPr>
          <w:p w14:paraId="2EC01BCB" w14:textId="77777777" w:rsidR="002B41BB" w:rsidRPr="004E5A6E" w:rsidRDefault="002B41BB" w:rsidP="002B41BB">
            <w:pPr>
              <w:rPr>
                <w:color w:val="auto"/>
                <w:sz w:val="12"/>
                <w:szCs w:val="12"/>
                <w:lang w:val="sq-AL"/>
              </w:rPr>
            </w:pPr>
            <w:r w:rsidRPr="004E5A6E">
              <w:rPr>
                <w:color w:val="auto"/>
                <w:sz w:val="12"/>
                <w:szCs w:val="12"/>
                <w:lang w:val="sq-AL"/>
              </w:rPr>
              <w:t> </w:t>
            </w:r>
          </w:p>
        </w:tc>
        <w:tc>
          <w:tcPr>
            <w:tcW w:w="451" w:type="pct"/>
            <w:tcBorders>
              <w:top w:val="nil"/>
              <w:left w:val="nil"/>
              <w:bottom w:val="nil"/>
              <w:right w:val="nil"/>
            </w:tcBorders>
            <w:shd w:val="clear" w:color="000000" w:fill="FFFFFF"/>
            <w:noWrap/>
            <w:vAlign w:val="center"/>
            <w:hideMark/>
          </w:tcPr>
          <w:p w14:paraId="1AF70C6C" w14:textId="77777777" w:rsidR="002B41BB" w:rsidRPr="004E5A6E" w:rsidRDefault="002B41BB" w:rsidP="002B41BB">
            <w:pPr>
              <w:rPr>
                <w:color w:val="auto"/>
                <w:sz w:val="12"/>
                <w:szCs w:val="12"/>
                <w:lang w:val="sq-AL"/>
              </w:rPr>
            </w:pPr>
            <w:r w:rsidRPr="004E5A6E">
              <w:rPr>
                <w:color w:val="auto"/>
                <w:sz w:val="12"/>
                <w:szCs w:val="12"/>
                <w:lang w:val="sq-AL"/>
              </w:rPr>
              <w:t> </w:t>
            </w:r>
          </w:p>
        </w:tc>
        <w:tc>
          <w:tcPr>
            <w:tcW w:w="451" w:type="pct"/>
            <w:tcBorders>
              <w:top w:val="nil"/>
              <w:left w:val="nil"/>
              <w:bottom w:val="nil"/>
              <w:right w:val="nil"/>
            </w:tcBorders>
            <w:shd w:val="clear" w:color="000000" w:fill="FFFFFF"/>
            <w:noWrap/>
            <w:vAlign w:val="center"/>
            <w:hideMark/>
          </w:tcPr>
          <w:p w14:paraId="12A43E43" w14:textId="77777777" w:rsidR="002B41BB" w:rsidRPr="004E5A6E" w:rsidRDefault="002B41BB" w:rsidP="002B41BB">
            <w:pPr>
              <w:rPr>
                <w:color w:val="auto"/>
                <w:sz w:val="12"/>
                <w:szCs w:val="12"/>
                <w:lang w:val="sq-AL"/>
              </w:rPr>
            </w:pPr>
            <w:r w:rsidRPr="004E5A6E">
              <w:rPr>
                <w:color w:val="auto"/>
                <w:sz w:val="12"/>
                <w:szCs w:val="12"/>
                <w:lang w:val="sq-AL"/>
              </w:rPr>
              <w:t> </w:t>
            </w:r>
          </w:p>
        </w:tc>
        <w:tc>
          <w:tcPr>
            <w:tcW w:w="451" w:type="pct"/>
            <w:tcBorders>
              <w:top w:val="nil"/>
              <w:left w:val="nil"/>
              <w:bottom w:val="nil"/>
              <w:right w:val="nil"/>
            </w:tcBorders>
            <w:shd w:val="clear" w:color="000000" w:fill="FFFFFF"/>
            <w:noWrap/>
            <w:vAlign w:val="center"/>
            <w:hideMark/>
          </w:tcPr>
          <w:p w14:paraId="41F55E91" w14:textId="77777777" w:rsidR="002B41BB" w:rsidRPr="004E5A6E" w:rsidRDefault="002B41BB" w:rsidP="002B41BB">
            <w:pPr>
              <w:rPr>
                <w:color w:val="auto"/>
                <w:sz w:val="12"/>
                <w:szCs w:val="12"/>
                <w:lang w:val="sq-AL"/>
              </w:rPr>
            </w:pPr>
            <w:r w:rsidRPr="004E5A6E">
              <w:rPr>
                <w:color w:val="auto"/>
                <w:sz w:val="12"/>
                <w:szCs w:val="12"/>
                <w:lang w:val="sq-AL"/>
              </w:rPr>
              <w:t> </w:t>
            </w:r>
          </w:p>
        </w:tc>
        <w:tc>
          <w:tcPr>
            <w:tcW w:w="451" w:type="pct"/>
            <w:tcBorders>
              <w:top w:val="nil"/>
              <w:left w:val="nil"/>
              <w:bottom w:val="nil"/>
              <w:right w:val="nil"/>
            </w:tcBorders>
            <w:shd w:val="clear" w:color="000000" w:fill="FFFFFF"/>
            <w:noWrap/>
            <w:vAlign w:val="center"/>
            <w:hideMark/>
          </w:tcPr>
          <w:p w14:paraId="7D39AC6D" w14:textId="77777777" w:rsidR="002B41BB" w:rsidRPr="004E5A6E" w:rsidRDefault="002B41BB" w:rsidP="002B41BB">
            <w:pPr>
              <w:rPr>
                <w:color w:val="auto"/>
                <w:sz w:val="12"/>
                <w:szCs w:val="12"/>
                <w:lang w:val="sq-AL"/>
              </w:rPr>
            </w:pPr>
            <w:r w:rsidRPr="004E5A6E">
              <w:rPr>
                <w:color w:val="auto"/>
                <w:sz w:val="12"/>
                <w:szCs w:val="12"/>
                <w:lang w:val="sq-AL"/>
              </w:rPr>
              <w:t> </w:t>
            </w:r>
          </w:p>
        </w:tc>
        <w:tc>
          <w:tcPr>
            <w:tcW w:w="451" w:type="pct"/>
            <w:tcBorders>
              <w:top w:val="nil"/>
              <w:left w:val="nil"/>
              <w:bottom w:val="nil"/>
              <w:right w:val="nil"/>
            </w:tcBorders>
            <w:shd w:val="clear" w:color="000000" w:fill="FFFFFF"/>
            <w:noWrap/>
            <w:vAlign w:val="center"/>
            <w:hideMark/>
          </w:tcPr>
          <w:p w14:paraId="2898C3F1" w14:textId="77777777" w:rsidR="002B41BB" w:rsidRPr="004E5A6E" w:rsidRDefault="002B41BB" w:rsidP="002B41BB">
            <w:pPr>
              <w:rPr>
                <w:color w:val="auto"/>
                <w:sz w:val="12"/>
                <w:szCs w:val="12"/>
                <w:lang w:val="sq-AL"/>
              </w:rPr>
            </w:pPr>
            <w:r w:rsidRPr="004E5A6E">
              <w:rPr>
                <w:color w:val="auto"/>
                <w:sz w:val="12"/>
                <w:szCs w:val="12"/>
                <w:lang w:val="sq-AL"/>
              </w:rPr>
              <w:t> </w:t>
            </w:r>
          </w:p>
        </w:tc>
      </w:tr>
      <w:tr w:rsidR="002B41BB" w:rsidRPr="004E5A6E" w14:paraId="06C0856C" w14:textId="77777777" w:rsidTr="002B41BB">
        <w:trPr>
          <w:trHeight w:val="156"/>
        </w:trPr>
        <w:tc>
          <w:tcPr>
            <w:tcW w:w="2295" w:type="pct"/>
            <w:gridSpan w:val="2"/>
            <w:tcBorders>
              <w:top w:val="nil"/>
              <w:left w:val="nil"/>
              <w:bottom w:val="nil"/>
              <w:right w:val="nil"/>
            </w:tcBorders>
            <w:shd w:val="clear" w:color="000000" w:fill="FFFFFF"/>
            <w:noWrap/>
            <w:vAlign w:val="bottom"/>
            <w:hideMark/>
          </w:tcPr>
          <w:p w14:paraId="60CBD9CC" w14:textId="77777777" w:rsidR="002B41BB" w:rsidRPr="004E5A6E" w:rsidRDefault="002B41BB" w:rsidP="002B41BB">
            <w:pPr>
              <w:rPr>
                <w:color w:val="auto"/>
                <w:sz w:val="12"/>
                <w:szCs w:val="12"/>
                <w:lang w:val="sq-AL"/>
              </w:rPr>
            </w:pPr>
            <w:r w:rsidRPr="004E5A6E">
              <w:rPr>
                <w:color w:val="auto"/>
                <w:sz w:val="12"/>
                <w:szCs w:val="12"/>
                <w:lang w:val="sq-AL"/>
              </w:rPr>
              <w:t>[5]   Përfshirë edhe ato të mbledhura nga BE-ja, si dhe tatimet dhe kontributet sociale(D995)</w:t>
            </w:r>
          </w:p>
        </w:tc>
        <w:tc>
          <w:tcPr>
            <w:tcW w:w="451" w:type="pct"/>
            <w:tcBorders>
              <w:top w:val="nil"/>
              <w:left w:val="nil"/>
              <w:bottom w:val="nil"/>
              <w:right w:val="nil"/>
            </w:tcBorders>
            <w:shd w:val="clear" w:color="000000" w:fill="FFFFFF"/>
            <w:noWrap/>
            <w:vAlign w:val="center"/>
            <w:hideMark/>
          </w:tcPr>
          <w:p w14:paraId="076F5AE1" w14:textId="77777777" w:rsidR="002B41BB" w:rsidRPr="004E5A6E" w:rsidRDefault="002B41BB" w:rsidP="002B41BB">
            <w:pPr>
              <w:rPr>
                <w:color w:val="auto"/>
                <w:sz w:val="12"/>
                <w:szCs w:val="12"/>
                <w:lang w:val="sq-AL"/>
              </w:rPr>
            </w:pPr>
            <w:r w:rsidRPr="004E5A6E">
              <w:rPr>
                <w:color w:val="auto"/>
                <w:sz w:val="12"/>
                <w:szCs w:val="12"/>
                <w:lang w:val="sq-AL"/>
              </w:rPr>
              <w:t> </w:t>
            </w:r>
          </w:p>
        </w:tc>
        <w:tc>
          <w:tcPr>
            <w:tcW w:w="451" w:type="pct"/>
            <w:tcBorders>
              <w:top w:val="nil"/>
              <w:left w:val="nil"/>
              <w:bottom w:val="nil"/>
              <w:right w:val="nil"/>
            </w:tcBorders>
            <w:shd w:val="clear" w:color="000000" w:fill="FFFFFF"/>
            <w:noWrap/>
            <w:vAlign w:val="center"/>
            <w:hideMark/>
          </w:tcPr>
          <w:p w14:paraId="55FE0F34" w14:textId="77777777" w:rsidR="002B41BB" w:rsidRPr="004E5A6E" w:rsidRDefault="002B41BB" w:rsidP="002B41BB">
            <w:pPr>
              <w:rPr>
                <w:color w:val="auto"/>
                <w:sz w:val="12"/>
                <w:szCs w:val="12"/>
                <w:lang w:val="sq-AL"/>
              </w:rPr>
            </w:pPr>
            <w:r w:rsidRPr="004E5A6E">
              <w:rPr>
                <w:color w:val="auto"/>
                <w:sz w:val="12"/>
                <w:szCs w:val="12"/>
                <w:lang w:val="sq-AL"/>
              </w:rPr>
              <w:t> </w:t>
            </w:r>
          </w:p>
        </w:tc>
        <w:tc>
          <w:tcPr>
            <w:tcW w:w="451" w:type="pct"/>
            <w:tcBorders>
              <w:top w:val="nil"/>
              <w:left w:val="nil"/>
              <w:bottom w:val="nil"/>
              <w:right w:val="nil"/>
            </w:tcBorders>
            <w:shd w:val="clear" w:color="000000" w:fill="FFFFFF"/>
            <w:noWrap/>
            <w:vAlign w:val="center"/>
            <w:hideMark/>
          </w:tcPr>
          <w:p w14:paraId="0E9A10D7" w14:textId="77777777" w:rsidR="002B41BB" w:rsidRPr="004E5A6E" w:rsidRDefault="002B41BB" w:rsidP="002B41BB">
            <w:pPr>
              <w:rPr>
                <w:color w:val="auto"/>
                <w:sz w:val="12"/>
                <w:szCs w:val="12"/>
                <w:lang w:val="sq-AL"/>
              </w:rPr>
            </w:pPr>
            <w:r w:rsidRPr="004E5A6E">
              <w:rPr>
                <w:color w:val="auto"/>
                <w:sz w:val="12"/>
                <w:szCs w:val="12"/>
                <w:lang w:val="sq-AL"/>
              </w:rPr>
              <w:t> </w:t>
            </w:r>
          </w:p>
        </w:tc>
        <w:tc>
          <w:tcPr>
            <w:tcW w:w="451" w:type="pct"/>
            <w:tcBorders>
              <w:top w:val="nil"/>
              <w:left w:val="nil"/>
              <w:bottom w:val="nil"/>
              <w:right w:val="nil"/>
            </w:tcBorders>
            <w:shd w:val="clear" w:color="000000" w:fill="FFFFFF"/>
            <w:noWrap/>
            <w:vAlign w:val="center"/>
            <w:hideMark/>
          </w:tcPr>
          <w:p w14:paraId="4784BE81" w14:textId="77777777" w:rsidR="002B41BB" w:rsidRPr="004E5A6E" w:rsidRDefault="002B41BB" w:rsidP="002B41BB">
            <w:pPr>
              <w:rPr>
                <w:color w:val="auto"/>
                <w:sz w:val="12"/>
                <w:szCs w:val="12"/>
                <w:lang w:val="sq-AL"/>
              </w:rPr>
            </w:pPr>
            <w:r w:rsidRPr="004E5A6E">
              <w:rPr>
                <w:color w:val="auto"/>
                <w:sz w:val="12"/>
                <w:szCs w:val="12"/>
                <w:lang w:val="sq-AL"/>
              </w:rPr>
              <w:t> </w:t>
            </w:r>
          </w:p>
        </w:tc>
        <w:tc>
          <w:tcPr>
            <w:tcW w:w="451" w:type="pct"/>
            <w:tcBorders>
              <w:top w:val="nil"/>
              <w:left w:val="nil"/>
              <w:bottom w:val="nil"/>
              <w:right w:val="nil"/>
            </w:tcBorders>
            <w:shd w:val="clear" w:color="000000" w:fill="FFFFFF"/>
            <w:noWrap/>
            <w:vAlign w:val="center"/>
            <w:hideMark/>
          </w:tcPr>
          <w:p w14:paraId="4A8D2FC2" w14:textId="77777777" w:rsidR="002B41BB" w:rsidRPr="004E5A6E" w:rsidRDefault="002B41BB" w:rsidP="002B41BB">
            <w:pPr>
              <w:rPr>
                <w:color w:val="auto"/>
                <w:sz w:val="12"/>
                <w:szCs w:val="12"/>
                <w:lang w:val="sq-AL"/>
              </w:rPr>
            </w:pPr>
            <w:r w:rsidRPr="004E5A6E">
              <w:rPr>
                <w:color w:val="auto"/>
                <w:sz w:val="12"/>
                <w:szCs w:val="12"/>
                <w:lang w:val="sq-AL"/>
              </w:rPr>
              <w:t> </w:t>
            </w:r>
          </w:p>
        </w:tc>
        <w:tc>
          <w:tcPr>
            <w:tcW w:w="451" w:type="pct"/>
            <w:tcBorders>
              <w:top w:val="nil"/>
              <w:left w:val="nil"/>
              <w:bottom w:val="nil"/>
              <w:right w:val="nil"/>
            </w:tcBorders>
            <w:shd w:val="clear" w:color="000000" w:fill="FFFFFF"/>
            <w:noWrap/>
            <w:vAlign w:val="center"/>
            <w:hideMark/>
          </w:tcPr>
          <w:p w14:paraId="256DF79A" w14:textId="77777777" w:rsidR="002B41BB" w:rsidRPr="004E5A6E" w:rsidRDefault="002B41BB" w:rsidP="002B41BB">
            <w:pPr>
              <w:rPr>
                <w:color w:val="auto"/>
                <w:sz w:val="12"/>
                <w:szCs w:val="12"/>
                <w:lang w:val="sq-AL"/>
              </w:rPr>
            </w:pPr>
            <w:r w:rsidRPr="004E5A6E">
              <w:rPr>
                <w:color w:val="auto"/>
                <w:sz w:val="12"/>
                <w:szCs w:val="12"/>
                <w:lang w:val="sq-AL"/>
              </w:rPr>
              <w:t> </w:t>
            </w:r>
          </w:p>
        </w:tc>
      </w:tr>
      <w:tr w:rsidR="002B41BB" w:rsidRPr="004E5A6E" w14:paraId="602AEDCB" w14:textId="77777777" w:rsidTr="002B41BB">
        <w:trPr>
          <w:trHeight w:val="156"/>
        </w:trPr>
        <w:tc>
          <w:tcPr>
            <w:tcW w:w="1918" w:type="pct"/>
            <w:tcBorders>
              <w:top w:val="nil"/>
              <w:left w:val="nil"/>
              <w:bottom w:val="nil"/>
              <w:right w:val="nil"/>
            </w:tcBorders>
            <w:shd w:val="clear" w:color="000000" w:fill="FFFFFF"/>
            <w:noWrap/>
            <w:vAlign w:val="bottom"/>
            <w:hideMark/>
          </w:tcPr>
          <w:p w14:paraId="22CB35BC" w14:textId="77777777" w:rsidR="002B41BB" w:rsidRPr="004E5A6E" w:rsidRDefault="002B41BB" w:rsidP="002B41BB">
            <w:pPr>
              <w:rPr>
                <w:color w:val="auto"/>
                <w:sz w:val="12"/>
                <w:szCs w:val="12"/>
                <w:lang w:val="sq-AL"/>
              </w:rPr>
            </w:pPr>
            <w:r w:rsidRPr="004E5A6E">
              <w:rPr>
                <w:color w:val="auto"/>
                <w:sz w:val="12"/>
                <w:szCs w:val="12"/>
                <w:lang w:val="sq-AL"/>
              </w:rPr>
              <w:t>[6]   D.29+D4 (përveç D.41)+ D.5+D.7+D.9+P.52+P.53+K.2+D.8.</w:t>
            </w:r>
          </w:p>
        </w:tc>
        <w:tc>
          <w:tcPr>
            <w:tcW w:w="378" w:type="pct"/>
            <w:tcBorders>
              <w:top w:val="nil"/>
              <w:left w:val="nil"/>
              <w:bottom w:val="nil"/>
              <w:right w:val="nil"/>
            </w:tcBorders>
            <w:shd w:val="clear" w:color="000000" w:fill="FFFFFF"/>
            <w:noWrap/>
            <w:vAlign w:val="center"/>
            <w:hideMark/>
          </w:tcPr>
          <w:p w14:paraId="68D93B4C" w14:textId="77777777" w:rsidR="002B41BB" w:rsidRPr="004E5A6E" w:rsidRDefault="002B41BB" w:rsidP="002B41BB">
            <w:pPr>
              <w:rPr>
                <w:color w:val="auto"/>
                <w:sz w:val="12"/>
                <w:szCs w:val="12"/>
                <w:lang w:val="sq-AL"/>
              </w:rPr>
            </w:pPr>
            <w:r w:rsidRPr="004E5A6E">
              <w:rPr>
                <w:color w:val="auto"/>
                <w:sz w:val="12"/>
                <w:szCs w:val="12"/>
                <w:lang w:val="sq-AL"/>
              </w:rPr>
              <w:t> </w:t>
            </w:r>
          </w:p>
        </w:tc>
        <w:tc>
          <w:tcPr>
            <w:tcW w:w="451" w:type="pct"/>
            <w:tcBorders>
              <w:top w:val="nil"/>
              <w:left w:val="nil"/>
              <w:bottom w:val="nil"/>
              <w:right w:val="nil"/>
            </w:tcBorders>
            <w:shd w:val="clear" w:color="000000" w:fill="FFFFFF"/>
            <w:noWrap/>
            <w:vAlign w:val="center"/>
            <w:hideMark/>
          </w:tcPr>
          <w:p w14:paraId="70C4AFD1" w14:textId="77777777" w:rsidR="002B41BB" w:rsidRPr="004E5A6E" w:rsidRDefault="002B41BB" w:rsidP="002B41BB">
            <w:pPr>
              <w:rPr>
                <w:color w:val="auto"/>
                <w:sz w:val="12"/>
                <w:szCs w:val="12"/>
                <w:lang w:val="sq-AL"/>
              </w:rPr>
            </w:pPr>
            <w:r w:rsidRPr="004E5A6E">
              <w:rPr>
                <w:color w:val="auto"/>
                <w:sz w:val="12"/>
                <w:szCs w:val="12"/>
                <w:lang w:val="sq-AL"/>
              </w:rPr>
              <w:t> </w:t>
            </w:r>
          </w:p>
        </w:tc>
        <w:tc>
          <w:tcPr>
            <w:tcW w:w="451" w:type="pct"/>
            <w:tcBorders>
              <w:top w:val="nil"/>
              <w:left w:val="nil"/>
              <w:bottom w:val="nil"/>
              <w:right w:val="nil"/>
            </w:tcBorders>
            <w:shd w:val="clear" w:color="000000" w:fill="FFFFFF"/>
            <w:noWrap/>
            <w:vAlign w:val="center"/>
            <w:hideMark/>
          </w:tcPr>
          <w:p w14:paraId="4499E3A1" w14:textId="77777777" w:rsidR="002B41BB" w:rsidRPr="004E5A6E" w:rsidRDefault="002B41BB" w:rsidP="002B41BB">
            <w:pPr>
              <w:rPr>
                <w:color w:val="auto"/>
                <w:sz w:val="12"/>
                <w:szCs w:val="12"/>
                <w:lang w:val="sq-AL"/>
              </w:rPr>
            </w:pPr>
            <w:r w:rsidRPr="004E5A6E">
              <w:rPr>
                <w:color w:val="auto"/>
                <w:sz w:val="12"/>
                <w:szCs w:val="12"/>
                <w:lang w:val="sq-AL"/>
              </w:rPr>
              <w:t> </w:t>
            </w:r>
          </w:p>
        </w:tc>
        <w:tc>
          <w:tcPr>
            <w:tcW w:w="451" w:type="pct"/>
            <w:tcBorders>
              <w:top w:val="nil"/>
              <w:left w:val="nil"/>
              <w:bottom w:val="nil"/>
              <w:right w:val="nil"/>
            </w:tcBorders>
            <w:shd w:val="clear" w:color="000000" w:fill="FFFFFF"/>
            <w:noWrap/>
            <w:vAlign w:val="center"/>
            <w:hideMark/>
          </w:tcPr>
          <w:p w14:paraId="5EBE7752" w14:textId="77777777" w:rsidR="002B41BB" w:rsidRPr="004E5A6E" w:rsidRDefault="002B41BB" w:rsidP="002B41BB">
            <w:pPr>
              <w:rPr>
                <w:color w:val="auto"/>
                <w:sz w:val="12"/>
                <w:szCs w:val="12"/>
                <w:lang w:val="sq-AL"/>
              </w:rPr>
            </w:pPr>
            <w:r w:rsidRPr="004E5A6E">
              <w:rPr>
                <w:color w:val="auto"/>
                <w:sz w:val="12"/>
                <w:szCs w:val="12"/>
                <w:lang w:val="sq-AL"/>
              </w:rPr>
              <w:t> </w:t>
            </w:r>
          </w:p>
        </w:tc>
        <w:tc>
          <w:tcPr>
            <w:tcW w:w="451" w:type="pct"/>
            <w:tcBorders>
              <w:top w:val="nil"/>
              <w:left w:val="nil"/>
              <w:bottom w:val="nil"/>
              <w:right w:val="nil"/>
            </w:tcBorders>
            <w:shd w:val="clear" w:color="000000" w:fill="FFFFFF"/>
            <w:noWrap/>
            <w:vAlign w:val="center"/>
            <w:hideMark/>
          </w:tcPr>
          <w:p w14:paraId="4BF46AD7" w14:textId="77777777" w:rsidR="002B41BB" w:rsidRPr="004E5A6E" w:rsidRDefault="002B41BB" w:rsidP="002B41BB">
            <w:pPr>
              <w:rPr>
                <w:color w:val="auto"/>
                <w:sz w:val="12"/>
                <w:szCs w:val="12"/>
                <w:lang w:val="sq-AL"/>
              </w:rPr>
            </w:pPr>
            <w:r w:rsidRPr="004E5A6E">
              <w:rPr>
                <w:color w:val="auto"/>
                <w:sz w:val="12"/>
                <w:szCs w:val="12"/>
                <w:lang w:val="sq-AL"/>
              </w:rPr>
              <w:t> </w:t>
            </w:r>
          </w:p>
        </w:tc>
        <w:tc>
          <w:tcPr>
            <w:tcW w:w="451" w:type="pct"/>
            <w:tcBorders>
              <w:top w:val="nil"/>
              <w:left w:val="nil"/>
              <w:bottom w:val="nil"/>
              <w:right w:val="nil"/>
            </w:tcBorders>
            <w:shd w:val="clear" w:color="000000" w:fill="FFFFFF"/>
            <w:noWrap/>
            <w:vAlign w:val="center"/>
            <w:hideMark/>
          </w:tcPr>
          <w:p w14:paraId="7AB3A314" w14:textId="77777777" w:rsidR="002B41BB" w:rsidRPr="004E5A6E" w:rsidRDefault="002B41BB" w:rsidP="002B41BB">
            <w:pPr>
              <w:rPr>
                <w:color w:val="auto"/>
                <w:sz w:val="12"/>
                <w:szCs w:val="12"/>
                <w:lang w:val="sq-AL"/>
              </w:rPr>
            </w:pPr>
            <w:r w:rsidRPr="004E5A6E">
              <w:rPr>
                <w:color w:val="auto"/>
                <w:sz w:val="12"/>
                <w:szCs w:val="12"/>
                <w:lang w:val="sq-AL"/>
              </w:rPr>
              <w:t> </w:t>
            </w:r>
          </w:p>
        </w:tc>
        <w:tc>
          <w:tcPr>
            <w:tcW w:w="451" w:type="pct"/>
            <w:tcBorders>
              <w:top w:val="nil"/>
              <w:left w:val="nil"/>
              <w:bottom w:val="nil"/>
              <w:right w:val="nil"/>
            </w:tcBorders>
            <w:shd w:val="clear" w:color="000000" w:fill="FFFFFF"/>
            <w:noWrap/>
            <w:vAlign w:val="center"/>
            <w:hideMark/>
          </w:tcPr>
          <w:p w14:paraId="58842276" w14:textId="77777777" w:rsidR="002B41BB" w:rsidRPr="004E5A6E" w:rsidRDefault="002B41BB" w:rsidP="002B41BB">
            <w:pPr>
              <w:rPr>
                <w:color w:val="auto"/>
                <w:sz w:val="12"/>
                <w:szCs w:val="12"/>
                <w:lang w:val="sq-AL"/>
              </w:rPr>
            </w:pPr>
            <w:r w:rsidRPr="004E5A6E">
              <w:rPr>
                <w:color w:val="auto"/>
                <w:sz w:val="12"/>
                <w:szCs w:val="12"/>
                <w:lang w:val="sq-AL"/>
              </w:rPr>
              <w:t> </w:t>
            </w:r>
          </w:p>
        </w:tc>
      </w:tr>
    </w:tbl>
    <w:p w14:paraId="035C8ABE" w14:textId="2A824CC5" w:rsidR="006A2FA3" w:rsidRPr="004E5A6E" w:rsidRDefault="006A2FA3" w:rsidP="00693151">
      <w:pPr>
        <w:rPr>
          <w:highlight w:val="yellow"/>
          <w:lang w:val="sq-AL"/>
        </w:rPr>
      </w:pPr>
    </w:p>
    <w:p w14:paraId="63C7F556" w14:textId="47B45DD0" w:rsidR="002B41BB" w:rsidRPr="004E5A6E" w:rsidRDefault="002B41BB" w:rsidP="00693151">
      <w:pPr>
        <w:rPr>
          <w:highlight w:val="yellow"/>
          <w:lang w:val="sq-AL"/>
        </w:rPr>
      </w:pPr>
    </w:p>
    <w:tbl>
      <w:tblPr>
        <w:tblW w:w="5000" w:type="pct"/>
        <w:tblLook w:val="04A0" w:firstRow="1" w:lastRow="0" w:firstColumn="1" w:lastColumn="0" w:noHBand="0" w:noVBand="1"/>
      </w:tblPr>
      <w:tblGrid>
        <w:gridCol w:w="4226"/>
        <w:gridCol w:w="502"/>
        <w:gridCol w:w="881"/>
        <w:gridCol w:w="603"/>
        <w:gridCol w:w="603"/>
        <w:gridCol w:w="603"/>
        <w:gridCol w:w="603"/>
        <w:gridCol w:w="603"/>
      </w:tblGrid>
      <w:tr w:rsidR="002B41BB" w:rsidRPr="004E5A6E" w14:paraId="1E559A2A" w14:textId="77777777" w:rsidTr="002B41BB">
        <w:trPr>
          <w:trHeight w:val="276"/>
        </w:trPr>
        <w:tc>
          <w:tcPr>
            <w:tcW w:w="2315" w:type="pct"/>
            <w:gridSpan w:val="2"/>
            <w:tcBorders>
              <w:top w:val="nil"/>
              <w:left w:val="nil"/>
              <w:bottom w:val="nil"/>
              <w:right w:val="nil"/>
            </w:tcBorders>
            <w:shd w:val="clear" w:color="000000" w:fill="FFFFFF"/>
            <w:noWrap/>
            <w:vAlign w:val="center"/>
            <w:hideMark/>
          </w:tcPr>
          <w:p w14:paraId="4FE53CB4" w14:textId="77777777" w:rsidR="002B41BB" w:rsidRPr="004E5A6E" w:rsidRDefault="002B41BB" w:rsidP="002B41BB">
            <w:pPr>
              <w:rPr>
                <w:b/>
                <w:bCs/>
                <w:color w:val="auto"/>
                <w:sz w:val="20"/>
                <w:szCs w:val="20"/>
                <w:lang w:val="sq-AL"/>
              </w:rPr>
            </w:pPr>
            <w:r w:rsidRPr="004E5A6E">
              <w:rPr>
                <w:b/>
                <w:bCs/>
                <w:color w:val="auto"/>
                <w:sz w:val="20"/>
                <w:szCs w:val="20"/>
                <w:lang w:val="sq-AL"/>
              </w:rPr>
              <w:t>Tabela 2b:  Prospektet buxhetore të qeverisë së përgjtihshme</w:t>
            </w:r>
          </w:p>
        </w:tc>
        <w:tc>
          <w:tcPr>
            <w:tcW w:w="383" w:type="pct"/>
            <w:tcBorders>
              <w:top w:val="nil"/>
              <w:left w:val="nil"/>
              <w:bottom w:val="nil"/>
              <w:right w:val="nil"/>
            </w:tcBorders>
            <w:shd w:val="clear" w:color="000000" w:fill="FFFFFF"/>
            <w:noWrap/>
            <w:vAlign w:val="center"/>
            <w:hideMark/>
          </w:tcPr>
          <w:p w14:paraId="2856A96C" w14:textId="77777777" w:rsidR="002B41BB" w:rsidRPr="004E5A6E" w:rsidRDefault="002B41BB" w:rsidP="002B41BB">
            <w:pPr>
              <w:rPr>
                <w:color w:val="auto"/>
                <w:sz w:val="20"/>
                <w:szCs w:val="20"/>
                <w:lang w:val="sq-AL"/>
              </w:rPr>
            </w:pPr>
            <w:r w:rsidRPr="004E5A6E">
              <w:rPr>
                <w:color w:val="auto"/>
                <w:sz w:val="20"/>
                <w:szCs w:val="20"/>
                <w:lang w:val="sq-AL"/>
              </w:rPr>
              <w:t> </w:t>
            </w:r>
          </w:p>
        </w:tc>
        <w:tc>
          <w:tcPr>
            <w:tcW w:w="460" w:type="pct"/>
            <w:tcBorders>
              <w:top w:val="nil"/>
              <w:left w:val="nil"/>
              <w:bottom w:val="nil"/>
              <w:right w:val="nil"/>
            </w:tcBorders>
            <w:shd w:val="clear" w:color="000000" w:fill="FFFFFF"/>
            <w:noWrap/>
            <w:vAlign w:val="center"/>
            <w:hideMark/>
          </w:tcPr>
          <w:p w14:paraId="1FAE5A85" w14:textId="77777777" w:rsidR="002B41BB" w:rsidRPr="004E5A6E" w:rsidRDefault="002B41BB" w:rsidP="002B41BB">
            <w:pPr>
              <w:rPr>
                <w:color w:val="auto"/>
                <w:sz w:val="20"/>
                <w:szCs w:val="20"/>
                <w:lang w:val="sq-AL"/>
              </w:rPr>
            </w:pPr>
            <w:r w:rsidRPr="004E5A6E">
              <w:rPr>
                <w:color w:val="auto"/>
                <w:sz w:val="20"/>
                <w:szCs w:val="20"/>
                <w:lang w:val="sq-AL"/>
              </w:rPr>
              <w:t> </w:t>
            </w:r>
          </w:p>
        </w:tc>
        <w:tc>
          <w:tcPr>
            <w:tcW w:w="460" w:type="pct"/>
            <w:tcBorders>
              <w:top w:val="nil"/>
              <w:left w:val="nil"/>
              <w:bottom w:val="nil"/>
              <w:right w:val="nil"/>
            </w:tcBorders>
            <w:shd w:val="clear" w:color="000000" w:fill="FFFFFF"/>
            <w:noWrap/>
            <w:vAlign w:val="center"/>
            <w:hideMark/>
          </w:tcPr>
          <w:p w14:paraId="7ED36253" w14:textId="77777777" w:rsidR="002B41BB" w:rsidRPr="004E5A6E" w:rsidRDefault="002B41BB" w:rsidP="002B41BB">
            <w:pPr>
              <w:rPr>
                <w:color w:val="auto"/>
                <w:sz w:val="20"/>
                <w:szCs w:val="20"/>
                <w:lang w:val="sq-AL"/>
              </w:rPr>
            </w:pPr>
            <w:r w:rsidRPr="004E5A6E">
              <w:rPr>
                <w:color w:val="auto"/>
                <w:sz w:val="20"/>
                <w:szCs w:val="20"/>
                <w:lang w:val="sq-AL"/>
              </w:rPr>
              <w:t> </w:t>
            </w:r>
          </w:p>
        </w:tc>
        <w:tc>
          <w:tcPr>
            <w:tcW w:w="460" w:type="pct"/>
            <w:tcBorders>
              <w:top w:val="nil"/>
              <w:left w:val="nil"/>
              <w:bottom w:val="nil"/>
              <w:right w:val="nil"/>
            </w:tcBorders>
            <w:shd w:val="clear" w:color="000000" w:fill="FFFFFF"/>
            <w:noWrap/>
            <w:vAlign w:val="center"/>
            <w:hideMark/>
          </w:tcPr>
          <w:p w14:paraId="0E700B55" w14:textId="77777777" w:rsidR="002B41BB" w:rsidRPr="004E5A6E" w:rsidRDefault="002B41BB" w:rsidP="002B41BB">
            <w:pPr>
              <w:rPr>
                <w:color w:val="auto"/>
                <w:sz w:val="20"/>
                <w:szCs w:val="20"/>
                <w:lang w:val="sq-AL"/>
              </w:rPr>
            </w:pPr>
            <w:r w:rsidRPr="004E5A6E">
              <w:rPr>
                <w:color w:val="auto"/>
                <w:sz w:val="20"/>
                <w:szCs w:val="20"/>
                <w:lang w:val="sq-AL"/>
              </w:rPr>
              <w:t> </w:t>
            </w:r>
          </w:p>
        </w:tc>
        <w:tc>
          <w:tcPr>
            <w:tcW w:w="460" w:type="pct"/>
            <w:tcBorders>
              <w:top w:val="nil"/>
              <w:left w:val="nil"/>
              <w:bottom w:val="nil"/>
              <w:right w:val="nil"/>
            </w:tcBorders>
            <w:shd w:val="clear" w:color="000000" w:fill="FFFFFF"/>
            <w:noWrap/>
            <w:vAlign w:val="center"/>
            <w:hideMark/>
          </w:tcPr>
          <w:p w14:paraId="7B6F750C" w14:textId="77777777" w:rsidR="002B41BB" w:rsidRPr="004E5A6E" w:rsidRDefault="002B41BB" w:rsidP="002B41BB">
            <w:pPr>
              <w:rPr>
                <w:color w:val="auto"/>
                <w:sz w:val="20"/>
                <w:szCs w:val="20"/>
                <w:lang w:val="sq-AL"/>
              </w:rPr>
            </w:pPr>
            <w:r w:rsidRPr="004E5A6E">
              <w:rPr>
                <w:color w:val="auto"/>
                <w:sz w:val="20"/>
                <w:szCs w:val="20"/>
                <w:lang w:val="sq-AL"/>
              </w:rPr>
              <w:t> </w:t>
            </w:r>
          </w:p>
        </w:tc>
        <w:tc>
          <w:tcPr>
            <w:tcW w:w="460" w:type="pct"/>
            <w:tcBorders>
              <w:top w:val="nil"/>
              <w:left w:val="nil"/>
              <w:bottom w:val="nil"/>
              <w:right w:val="nil"/>
            </w:tcBorders>
            <w:shd w:val="clear" w:color="000000" w:fill="FFFFFF"/>
            <w:noWrap/>
            <w:vAlign w:val="center"/>
            <w:hideMark/>
          </w:tcPr>
          <w:p w14:paraId="7DEA3DE6" w14:textId="77777777" w:rsidR="002B41BB" w:rsidRPr="004E5A6E" w:rsidRDefault="002B41BB" w:rsidP="002B41BB">
            <w:pPr>
              <w:rPr>
                <w:color w:val="auto"/>
                <w:sz w:val="20"/>
                <w:szCs w:val="20"/>
                <w:lang w:val="sq-AL"/>
              </w:rPr>
            </w:pPr>
            <w:r w:rsidRPr="004E5A6E">
              <w:rPr>
                <w:color w:val="auto"/>
                <w:sz w:val="20"/>
                <w:szCs w:val="20"/>
                <w:lang w:val="sq-AL"/>
              </w:rPr>
              <w:t> </w:t>
            </w:r>
          </w:p>
        </w:tc>
      </w:tr>
      <w:tr w:rsidR="002B41BB" w:rsidRPr="004E5A6E" w14:paraId="22927326" w14:textId="77777777" w:rsidTr="002B41BB">
        <w:trPr>
          <w:trHeight w:val="276"/>
        </w:trPr>
        <w:tc>
          <w:tcPr>
            <w:tcW w:w="2082" w:type="pct"/>
            <w:tcBorders>
              <w:top w:val="double" w:sz="6" w:space="0" w:color="auto"/>
              <w:left w:val="double" w:sz="6" w:space="0" w:color="auto"/>
              <w:bottom w:val="nil"/>
              <w:right w:val="nil"/>
            </w:tcBorders>
            <w:shd w:val="clear" w:color="000000" w:fill="FFFFFF"/>
            <w:vAlign w:val="center"/>
            <w:hideMark/>
          </w:tcPr>
          <w:p w14:paraId="55080F9A" w14:textId="77777777" w:rsidR="002B41BB" w:rsidRPr="004E5A6E" w:rsidRDefault="002B41BB" w:rsidP="002B41BB">
            <w:pPr>
              <w:rPr>
                <w:color w:val="auto"/>
                <w:sz w:val="20"/>
                <w:szCs w:val="20"/>
                <w:lang w:val="sq-AL"/>
              </w:rPr>
            </w:pPr>
            <w:r w:rsidRPr="004E5A6E">
              <w:rPr>
                <w:color w:val="auto"/>
                <w:sz w:val="20"/>
                <w:szCs w:val="20"/>
                <w:lang w:val="sq-AL"/>
              </w:rPr>
              <w:t> </w:t>
            </w:r>
          </w:p>
        </w:tc>
        <w:tc>
          <w:tcPr>
            <w:tcW w:w="234" w:type="pct"/>
            <w:vMerge w:val="restart"/>
            <w:tcBorders>
              <w:top w:val="double" w:sz="6" w:space="0" w:color="auto"/>
              <w:left w:val="nil"/>
              <w:bottom w:val="double" w:sz="6" w:space="0" w:color="000000"/>
              <w:right w:val="single" w:sz="8" w:space="0" w:color="auto"/>
            </w:tcBorders>
            <w:shd w:val="clear" w:color="000000" w:fill="FFFFFF"/>
            <w:vAlign w:val="center"/>
            <w:hideMark/>
          </w:tcPr>
          <w:p w14:paraId="314B78B0"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383" w:type="pct"/>
            <w:vMerge w:val="restart"/>
            <w:tcBorders>
              <w:top w:val="double" w:sz="6" w:space="0" w:color="auto"/>
              <w:left w:val="single" w:sz="8" w:space="0" w:color="auto"/>
              <w:bottom w:val="double" w:sz="6" w:space="0" w:color="000000"/>
              <w:right w:val="single" w:sz="8" w:space="0" w:color="auto"/>
            </w:tcBorders>
            <w:shd w:val="clear" w:color="000000" w:fill="FFFFFF"/>
            <w:vAlign w:val="center"/>
            <w:hideMark/>
          </w:tcPr>
          <w:p w14:paraId="3761C770" w14:textId="77777777" w:rsidR="002B41BB" w:rsidRPr="004E5A6E" w:rsidRDefault="002B41BB" w:rsidP="002B41BB">
            <w:pPr>
              <w:jc w:val="center"/>
              <w:rPr>
                <w:color w:val="auto"/>
                <w:sz w:val="20"/>
                <w:szCs w:val="20"/>
                <w:lang w:val="sq-AL"/>
              </w:rPr>
            </w:pPr>
            <w:r w:rsidRPr="004E5A6E">
              <w:rPr>
                <w:color w:val="auto"/>
                <w:sz w:val="20"/>
                <w:szCs w:val="20"/>
                <w:lang w:val="sq-AL"/>
              </w:rPr>
              <w:t>ESA code</w:t>
            </w:r>
          </w:p>
        </w:tc>
        <w:tc>
          <w:tcPr>
            <w:tcW w:w="460" w:type="pct"/>
            <w:tcBorders>
              <w:top w:val="double" w:sz="6" w:space="0" w:color="auto"/>
              <w:left w:val="nil"/>
              <w:bottom w:val="dotted" w:sz="4" w:space="0" w:color="auto"/>
              <w:right w:val="dotted" w:sz="4" w:space="0" w:color="auto"/>
            </w:tcBorders>
            <w:shd w:val="clear" w:color="000000" w:fill="FFFFFF"/>
            <w:vAlign w:val="center"/>
            <w:hideMark/>
          </w:tcPr>
          <w:p w14:paraId="3D2CE2D0" w14:textId="77777777" w:rsidR="002B41BB" w:rsidRPr="004E5A6E" w:rsidRDefault="002B41BB" w:rsidP="002B41BB">
            <w:pPr>
              <w:jc w:val="center"/>
              <w:rPr>
                <w:color w:val="auto"/>
                <w:sz w:val="20"/>
                <w:szCs w:val="20"/>
                <w:lang w:val="sq-AL"/>
              </w:rPr>
            </w:pPr>
            <w:r w:rsidRPr="004E5A6E">
              <w:rPr>
                <w:color w:val="auto"/>
                <w:sz w:val="20"/>
                <w:szCs w:val="20"/>
                <w:lang w:val="sq-AL"/>
              </w:rPr>
              <w:t>2019</w:t>
            </w:r>
          </w:p>
        </w:tc>
        <w:tc>
          <w:tcPr>
            <w:tcW w:w="460" w:type="pct"/>
            <w:tcBorders>
              <w:top w:val="double" w:sz="6" w:space="0" w:color="auto"/>
              <w:left w:val="nil"/>
              <w:bottom w:val="dotted" w:sz="4" w:space="0" w:color="auto"/>
              <w:right w:val="dotted" w:sz="4" w:space="0" w:color="auto"/>
            </w:tcBorders>
            <w:shd w:val="clear" w:color="000000" w:fill="FFFFFF"/>
            <w:vAlign w:val="center"/>
            <w:hideMark/>
          </w:tcPr>
          <w:p w14:paraId="7E061834" w14:textId="77777777" w:rsidR="002B41BB" w:rsidRPr="004E5A6E" w:rsidRDefault="002B41BB" w:rsidP="002B41BB">
            <w:pPr>
              <w:jc w:val="center"/>
              <w:rPr>
                <w:color w:val="auto"/>
                <w:sz w:val="20"/>
                <w:szCs w:val="20"/>
                <w:lang w:val="sq-AL"/>
              </w:rPr>
            </w:pPr>
            <w:r w:rsidRPr="004E5A6E">
              <w:rPr>
                <w:color w:val="auto"/>
                <w:sz w:val="20"/>
                <w:szCs w:val="20"/>
                <w:lang w:val="sq-AL"/>
              </w:rPr>
              <w:t>2020</w:t>
            </w:r>
          </w:p>
        </w:tc>
        <w:tc>
          <w:tcPr>
            <w:tcW w:w="460" w:type="pct"/>
            <w:tcBorders>
              <w:top w:val="double" w:sz="6" w:space="0" w:color="auto"/>
              <w:left w:val="nil"/>
              <w:bottom w:val="dotted" w:sz="4" w:space="0" w:color="auto"/>
              <w:right w:val="dotted" w:sz="4" w:space="0" w:color="auto"/>
            </w:tcBorders>
            <w:shd w:val="clear" w:color="000000" w:fill="FFFFFF"/>
            <w:vAlign w:val="center"/>
            <w:hideMark/>
          </w:tcPr>
          <w:p w14:paraId="4ADB9081" w14:textId="77777777" w:rsidR="002B41BB" w:rsidRPr="004E5A6E" w:rsidRDefault="002B41BB" w:rsidP="002B41BB">
            <w:pPr>
              <w:jc w:val="center"/>
              <w:rPr>
                <w:color w:val="auto"/>
                <w:sz w:val="20"/>
                <w:szCs w:val="20"/>
                <w:lang w:val="sq-AL"/>
              </w:rPr>
            </w:pPr>
            <w:r w:rsidRPr="004E5A6E">
              <w:rPr>
                <w:color w:val="auto"/>
                <w:sz w:val="20"/>
                <w:szCs w:val="20"/>
                <w:lang w:val="sq-AL"/>
              </w:rPr>
              <w:t>2021</w:t>
            </w:r>
          </w:p>
        </w:tc>
        <w:tc>
          <w:tcPr>
            <w:tcW w:w="460" w:type="pct"/>
            <w:tcBorders>
              <w:top w:val="double" w:sz="6" w:space="0" w:color="auto"/>
              <w:left w:val="nil"/>
              <w:bottom w:val="dotted" w:sz="4" w:space="0" w:color="auto"/>
              <w:right w:val="dotted" w:sz="4" w:space="0" w:color="auto"/>
            </w:tcBorders>
            <w:shd w:val="clear" w:color="000000" w:fill="FFFFFF"/>
            <w:vAlign w:val="center"/>
            <w:hideMark/>
          </w:tcPr>
          <w:p w14:paraId="64438A64" w14:textId="77777777" w:rsidR="002B41BB" w:rsidRPr="004E5A6E" w:rsidRDefault="002B41BB" w:rsidP="002B41BB">
            <w:pPr>
              <w:jc w:val="center"/>
              <w:rPr>
                <w:color w:val="auto"/>
                <w:sz w:val="20"/>
                <w:szCs w:val="20"/>
                <w:lang w:val="sq-AL"/>
              </w:rPr>
            </w:pPr>
            <w:r w:rsidRPr="004E5A6E">
              <w:rPr>
                <w:color w:val="auto"/>
                <w:sz w:val="20"/>
                <w:szCs w:val="20"/>
                <w:lang w:val="sq-AL"/>
              </w:rPr>
              <w:t>2022</w:t>
            </w:r>
          </w:p>
        </w:tc>
        <w:tc>
          <w:tcPr>
            <w:tcW w:w="460" w:type="pct"/>
            <w:tcBorders>
              <w:top w:val="double" w:sz="6" w:space="0" w:color="auto"/>
              <w:left w:val="nil"/>
              <w:bottom w:val="dotted" w:sz="4" w:space="0" w:color="auto"/>
              <w:right w:val="double" w:sz="6" w:space="0" w:color="auto"/>
            </w:tcBorders>
            <w:shd w:val="clear" w:color="000000" w:fill="FFFFFF"/>
            <w:vAlign w:val="center"/>
            <w:hideMark/>
          </w:tcPr>
          <w:p w14:paraId="0E20FCE4" w14:textId="77777777" w:rsidR="002B41BB" w:rsidRPr="004E5A6E" w:rsidRDefault="002B41BB" w:rsidP="002B41BB">
            <w:pPr>
              <w:jc w:val="center"/>
              <w:rPr>
                <w:color w:val="auto"/>
                <w:sz w:val="20"/>
                <w:szCs w:val="20"/>
                <w:lang w:val="sq-AL"/>
              </w:rPr>
            </w:pPr>
            <w:r w:rsidRPr="004E5A6E">
              <w:rPr>
                <w:color w:val="auto"/>
                <w:sz w:val="20"/>
                <w:szCs w:val="20"/>
                <w:lang w:val="sq-AL"/>
              </w:rPr>
              <w:t>2023</w:t>
            </w:r>
          </w:p>
        </w:tc>
      </w:tr>
      <w:tr w:rsidR="002B41BB" w:rsidRPr="004E5A6E" w14:paraId="53207E2D" w14:textId="77777777" w:rsidTr="002B41BB">
        <w:trPr>
          <w:trHeight w:val="642"/>
        </w:trPr>
        <w:tc>
          <w:tcPr>
            <w:tcW w:w="2082" w:type="pct"/>
            <w:tcBorders>
              <w:top w:val="nil"/>
              <w:left w:val="double" w:sz="6" w:space="0" w:color="auto"/>
              <w:bottom w:val="double" w:sz="6" w:space="0" w:color="auto"/>
              <w:right w:val="nil"/>
            </w:tcBorders>
            <w:shd w:val="clear" w:color="000000" w:fill="FFFFFF"/>
            <w:vAlign w:val="center"/>
            <w:hideMark/>
          </w:tcPr>
          <w:p w14:paraId="675834BF" w14:textId="77777777" w:rsidR="002B41BB" w:rsidRPr="004E5A6E" w:rsidRDefault="002B41BB" w:rsidP="002B41BB">
            <w:pPr>
              <w:rPr>
                <w:color w:val="auto"/>
                <w:sz w:val="20"/>
                <w:szCs w:val="20"/>
                <w:lang w:val="sq-AL"/>
              </w:rPr>
            </w:pPr>
            <w:r w:rsidRPr="004E5A6E">
              <w:rPr>
                <w:color w:val="auto"/>
                <w:sz w:val="20"/>
                <w:szCs w:val="20"/>
                <w:lang w:val="sq-AL"/>
              </w:rPr>
              <w:t> </w:t>
            </w:r>
          </w:p>
        </w:tc>
        <w:tc>
          <w:tcPr>
            <w:tcW w:w="234" w:type="pct"/>
            <w:vMerge/>
            <w:tcBorders>
              <w:top w:val="double" w:sz="6" w:space="0" w:color="auto"/>
              <w:left w:val="nil"/>
              <w:bottom w:val="double" w:sz="6" w:space="0" w:color="000000"/>
              <w:right w:val="single" w:sz="8" w:space="0" w:color="auto"/>
            </w:tcBorders>
            <w:vAlign w:val="center"/>
            <w:hideMark/>
          </w:tcPr>
          <w:p w14:paraId="3DEC6937" w14:textId="77777777" w:rsidR="002B41BB" w:rsidRPr="004E5A6E" w:rsidRDefault="002B41BB" w:rsidP="002B41BB">
            <w:pPr>
              <w:rPr>
                <w:color w:val="auto"/>
                <w:sz w:val="20"/>
                <w:szCs w:val="20"/>
                <w:lang w:val="sq-AL"/>
              </w:rPr>
            </w:pPr>
          </w:p>
        </w:tc>
        <w:tc>
          <w:tcPr>
            <w:tcW w:w="383" w:type="pct"/>
            <w:vMerge/>
            <w:tcBorders>
              <w:top w:val="double" w:sz="6" w:space="0" w:color="auto"/>
              <w:left w:val="single" w:sz="8" w:space="0" w:color="auto"/>
              <w:bottom w:val="double" w:sz="6" w:space="0" w:color="000000"/>
              <w:right w:val="single" w:sz="8" w:space="0" w:color="auto"/>
            </w:tcBorders>
            <w:vAlign w:val="center"/>
            <w:hideMark/>
          </w:tcPr>
          <w:p w14:paraId="318D370D" w14:textId="77777777" w:rsidR="002B41BB" w:rsidRPr="004E5A6E" w:rsidRDefault="002B41BB" w:rsidP="002B41BB">
            <w:pPr>
              <w:rPr>
                <w:color w:val="auto"/>
                <w:sz w:val="20"/>
                <w:szCs w:val="20"/>
                <w:lang w:val="sq-AL"/>
              </w:rPr>
            </w:pPr>
          </w:p>
        </w:tc>
        <w:tc>
          <w:tcPr>
            <w:tcW w:w="2301" w:type="pct"/>
            <w:gridSpan w:val="5"/>
            <w:tcBorders>
              <w:top w:val="dotted" w:sz="4" w:space="0" w:color="auto"/>
              <w:left w:val="nil"/>
              <w:bottom w:val="double" w:sz="6" w:space="0" w:color="auto"/>
              <w:right w:val="double" w:sz="6" w:space="0" w:color="000000"/>
            </w:tcBorders>
            <w:shd w:val="clear" w:color="000000" w:fill="FFFFFF"/>
            <w:vAlign w:val="center"/>
            <w:hideMark/>
          </w:tcPr>
          <w:p w14:paraId="1185BFEC"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r>
      <w:tr w:rsidR="002B41BB" w:rsidRPr="004E5A6E" w14:paraId="34874922" w14:textId="77777777" w:rsidTr="002B41BB">
        <w:trPr>
          <w:trHeight w:val="540"/>
        </w:trPr>
        <w:tc>
          <w:tcPr>
            <w:tcW w:w="2082" w:type="pct"/>
            <w:tcBorders>
              <w:top w:val="nil"/>
              <w:left w:val="double" w:sz="6" w:space="0" w:color="auto"/>
              <w:bottom w:val="single" w:sz="8" w:space="0" w:color="auto"/>
              <w:right w:val="nil"/>
            </w:tcBorders>
            <w:shd w:val="clear" w:color="000000" w:fill="FFFFFF"/>
            <w:vAlign w:val="center"/>
            <w:hideMark/>
          </w:tcPr>
          <w:p w14:paraId="20955C17" w14:textId="77777777" w:rsidR="002B41BB" w:rsidRPr="004E5A6E" w:rsidRDefault="002B41BB" w:rsidP="002B41BB">
            <w:pPr>
              <w:rPr>
                <w:b/>
                <w:bCs/>
                <w:color w:val="auto"/>
                <w:sz w:val="20"/>
                <w:szCs w:val="20"/>
                <w:lang w:val="sq-AL"/>
              </w:rPr>
            </w:pPr>
            <w:r w:rsidRPr="004E5A6E">
              <w:rPr>
                <w:b/>
                <w:bCs/>
                <w:color w:val="auto"/>
                <w:sz w:val="20"/>
                <w:szCs w:val="20"/>
                <w:lang w:val="sq-AL"/>
              </w:rPr>
              <w:t>Neto huadhënia (B9) nga nën-sektorët</w:t>
            </w:r>
          </w:p>
        </w:tc>
        <w:tc>
          <w:tcPr>
            <w:tcW w:w="234" w:type="pct"/>
            <w:tcBorders>
              <w:top w:val="nil"/>
              <w:left w:val="nil"/>
              <w:bottom w:val="single" w:sz="8" w:space="0" w:color="auto"/>
              <w:right w:val="nil"/>
            </w:tcBorders>
            <w:shd w:val="clear" w:color="000000" w:fill="FFFFFF"/>
            <w:vAlign w:val="center"/>
            <w:hideMark/>
          </w:tcPr>
          <w:p w14:paraId="1CFAACBC" w14:textId="77777777" w:rsidR="002B41BB" w:rsidRPr="004E5A6E" w:rsidRDefault="002B41BB" w:rsidP="002B41BB">
            <w:pPr>
              <w:rPr>
                <w:b/>
                <w:bCs/>
                <w:color w:val="auto"/>
                <w:sz w:val="20"/>
                <w:szCs w:val="20"/>
                <w:lang w:val="sq-AL"/>
              </w:rPr>
            </w:pPr>
            <w:r w:rsidRPr="004E5A6E">
              <w:rPr>
                <w:b/>
                <w:bCs/>
                <w:color w:val="auto"/>
                <w:sz w:val="20"/>
                <w:szCs w:val="20"/>
                <w:lang w:val="sq-AL"/>
              </w:rPr>
              <w:t> </w:t>
            </w:r>
          </w:p>
        </w:tc>
        <w:tc>
          <w:tcPr>
            <w:tcW w:w="383" w:type="pct"/>
            <w:tcBorders>
              <w:top w:val="nil"/>
              <w:left w:val="nil"/>
              <w:bottom w:val="single" w:sz="8" w:space="0" w:color="auto"/>
              <w:right w:val="nil"/>
            </w:tcBorders>
            <w:shd w:val="clear" w:color="000000" w:fill="FFFFFF"/>
            <w:vAlign w:val="center"/>
            <w:hideMark/>
          </w:tcPr>
          <w:p w14:paraId="57C15B9F" w14:textId="77777777" w:rsidR="002B41BB" w:rsidRPr="004E5A6E" w:rsidRDefault="002B41BB" w:rsidP="002B41BB">
            <w:pPr>
              <w:rPr>
                <w:b/>
                <w:bCs/>
                <w:color w:val="auto"/>
                <w:sz w:val="20"/>
                <w:szCs w:val="20"/>
                <w:lang w:val="sq-AL"/>
              </w:rPr>
            </w:pPr>
            <w:r w:rsidRPr="004E5A6E">
              <w:rPr>
                <w:b/>
                <w:bCs/>
                <w:color w:val="auto"/>
                <w:sz w:val="20"/>
                <w:szCs w:val="20"/>
                <w:lang w:val="sq-AL"/>
              </w:rPr>
              <w:t> </w:t>
            </w:r>
          </w:p>
        </w:tc>
        <w:tc>
          <w:tcPr>
            <w:tcW w:w="460" w:type="pct"/>
            <w:tcBorders>
              <w:top w:val="nil"/>
              <w:left w:val="nil"/>
              <w:bottom w:val="single" w:sz="8" w:space="0" w:color="auto"/>
              <w:right w:val="nil"/>
            </w:tcBorders>
            <w:shd w:val="clear" w:color="000000" w:fill="FFFFFF"/>
            <w:vAlign w:val="center"/>
            <w:hideMark/>
          </w:tcPr>
          <w:p w14:paraId="2FE4CCDD" w14:textId="77777777" w:rsidR="002B41BB" w:rsidRPr="004E5A6E" w:rsidRDefault="002B41BB" w:rsidP="002B41BB">
            <w:pPr>
              <w:rPr>
                <w:b/>
                <w:bCs/>
                <w:color w:val="auto"/>
                <w:sz w:val="20"/>
                <w:szCs w:val="20"/>
                <w:lang w:val="sq-AL"/>
              </w:rPr>
            </w:pPr>
            <w:r w:rsidRPr="004E5A6E">
              <w:rPr>
                <w:b/>
                <w:bCs/>
                <w:color w:val="auto"/>
                <w:sz w:val="20"/>
                <w:szCs w:val="20"/>
                <w:lang w:val="sq-AL"/>
              </w:rPr>
              <w:t> </w:t>
            </w:r>
          </w:p>
        </w:tc>
        <w:tc>
          <w:tcPr>
            <w:tcW w:w="460" w:type="pct"/>
            <w:tcBorders>
              <w:top w:val="nil"/>
              <w:left w:val="nil"/>
              <w:bottom w:val="single" w:sz="8" w:space="0" w:color="auto"/>
              <w:right w:val="nil"/>
            </w:tcBorders>
            <w:shd w:val="clear" w:color="000000" w:fill="FFFFFF"/>
            <w:vAlign w:val="center"/>
            <w:hideMark/>
          </w:tcPr>
          <w:p w14:paraId="7793F58D" w14:textId="77777777" w:rsidR="002B41BB" w:rsidRPr="004E5A6E" w:rsidRDefault="002B41BB" w:rsidP="002B41BB">
            <w:pPr>
              <w:rPr>
                <w:b/>
                <w:bCs/>
                <w:color w:val="auto"/>
                <w:sz w:val="20"/>
                <w:szCs w:val="20"/>
                <w:lang w:val="sq-AL"/>
              </w:rPr>
            </w:pPr>
            <w:r w:rsidRPr="004E5A6E">
              <w:rPr>
                <w:b/>
                <w:bCs/>
                <w:color w:val="auto"/>
                <w:sz w:val="20"/>
                <w:szCs w:val="20"/>
                <w:lang w:val="sq-AL"/>
              </w:rPr>
              <w:t> </w:t>
            </w:r>
          </w:p>
        </w:tc>
        <w:tc>
          <w:tcPr>
            <w:tcW w:w="460" w:type="pct"/>
            <w:tcBorders>
              <w:top w:val="nil"/>
              <w:left w:val="nil"/>
              <w:bottom w:val="single" w:sz="8" w:space="0" w:color="auto"/>
              <w:right w:val="nil"/>
            </w:tcBorders>
            <w:shd w:val="clear" w:color="000000" w:fill="FFFFFF"/>
            <w:vAlign w:val="center"/>
            <w:hideMark/>
          </w:tcPr>
          <w:p w14:paraId="02401611" w14:textId="77777777" w:rsidR="002B41BB" w:rsidRPr="004E5A6E" w:rsidRDefault="002B41BB" w:rsidP="002B41BB">
            <w:pPr>
              <w:rPr>
                <w:b/>
                <w:bCs/>
                <w:color w:val="auto"/>
                <w:sz w:val="20"/>
                <w:szCs w:val="20"/>
                <w:lang w:val="sq-AL"/>
              </w:rPr>
            </w:pPr>
            <w:r w:rsidRPr="004E5A6E">
              <w:rPr>
                <w:b/>
                <w:bCs/>
                <w:color w:val="auto"/>
                <w:sz w:val="20"/>
                <w:szCs w:val="20"/>
                <w:lang w:val="sq-AL"/>
              </w:rPr>
              <w:t> </w:t>
            </w:r>
          </w:p>
        </w:tc>
        <w:tc>
          <w:tcPr>
            <w:tcW w:w="460" w:type="pct"/>
            <w:tcBorders>
              <w:top w:val="nil"/>
              <w:left w:val="nil"/>
              <w:bottom w:val="single" w:sz="8" w:space="0" w:color="auto"/>
              <w:right w:val="nil"/>
            </w:tcBorders>
            <w:shd w:val="clear" w:color="000000" w:fill="FFFFFF"/>
            <w:vAlign w:val="center"/>
            <w:hideMark/>
          </w:tcPr>
          <w:p w14:paraId="6F9B36C1" w14:textId="77777777" w:rsidR="002B41BB" w:rsidRPr="004E5A6E" w:rsidRDefault="002B41BB" w:rsidP="002B41BB">
            <w:pPr>
              <w:rPr>
                <w:b/>
                <w:bCs/>
                <w:color w:val="auto"/>
                <w:sz w:val="20"/>
                <w:szCs w:val="20"/>
                <w:lang w:val="sq-AL"/>
              </w:rPr>
            </w:pPr>
            <w:r w:rsidRPr="004E5A6E">
              <w:rPr>
                <w:b/>
                <w:bCs/>
                <w:color w:val="auto"/>
                <w:sz w:val="20"/>
                <w:szCs w:val="20"/>
                <w:lang w:val="sq-AL"/>
              </w:rPr>
              <w:t> </w:t>
            </w:r>
          </w:p>
        </w:tc>
        <w:tc>
          <w:tcPr>
            <w:tcW w:w="460" w:type="pct"/>
            <w:tcBorders>
              <w:top w:val="nil"/>
              <w:left w:val="nil"/>
              <w:bottom w:val="single" w:sz="8" w:space="0" w:color="auto"/>
              <w:right w:val="double" w:sz="6" w:space="0" w:color="auto"/>
            </w:tcBorders>
            <w:shd w:val="clear" w:color="000000" w:fill="FFFFFF"/>
            <w:vAlign w:val="center"/>
            <w:hideMark/>
          </w:tcPr>
          <w:p w14:paraId="30908D3E" w14:textId="77777777" w:rsidR="002B41BB" w:rsidRPr="004E5A6E" w:rsidRDefault="002B41BB" w:rsidP="002B41BB">
            <w:pPr>
              <w:rPr>
                <w:b/>
                <w:bCs/>
                <w:color w:val="auto"/>
                <w:sz w:val="20"/>
                <w:szCs w:val="20"/>
                <w:lang w:val="sq-AL"/>
              </w:rPr>
            </w:pPr>
            <w:r w:rsidRPr="004E5A6E">
              <w:rPr>
                <w:b/>
                <w:bCs/>
                <w:color w:val="auto"/>
                <w:sz w:val="20"/>
                <w:szCs w:val="20"/>
                <w:lang w:val="sq-AL"/>
              </w:rPr>
              <w:t> </w:t>
            </w:r>
          </w:p>
        </w:tc>
      </w:tr>
      <w:tr w:rsidR="002B41BB" w:rsidRPr="004E5A6E" w14:paraId="26345219" w14:textId="77777777" w:rsidTr="002B41BB">
        <w:trPr>
          <w:trHeight w:val="420"/>
        </w:trPr>
        <w:tc>
          <w:tcPr>
            <w:tcW w:w="2082" w:type="pct"/>
            <w:tcBorders>
              <w:top w:val="nil"/>
              <w:left w:val="double" w:sz="6" w:space="0" w:color="auto"/>
              <w:bottom w:val="dotted" w:sz="4" w:space="0" w:color="auto"/>
              <w:right w:val="nil"/>
            </w:tcBorders>
            <w:shd w:val="clear" w:color="000000" w:fill="FFFFFF"/>
            <w:vAlign w:val="center"/>
            <w:hideMark/>
          </w:tcPr>
          <w:p w14:paraId="450D6D60" w14:textId="77777777" w:rsidR="002B41BB" w:rsidRPr="004E5A6E" w:rsidRDefault="002B41BB" w:rsidP="002B41BB">
            <w:pPr>
              <w:rPr>
                <w:color w:val="auto"/>
                <w:sz w:val="20"/>
                <w:szCs w:val="20"/>
                <w:lang w:val="sq-AL"/>
              </w:rPr>
            </w:pPr>
            <w:r w:rsidRPr="004E5A6E">
              <w:rPr>
                <w:color w:val="auto"/>
                <w:sz w:val="20"/>
                <w:szCs w:val="20"/>
                <w:lang w:val="sq-AL"/>
              </w:rPr>
              <w:t>1. Qeveria e Përgjithshme/1</w:t>
            </w:r>
          </w:p>
        </w:tc>
        <w:tc>
          <w:tcPr>
            <w:tcW w:w="234" w:type="pct"/>
            <w:tcBorders>
              <w:top w:val="nil"/>
              <w:left w:val="nil"/>
              <w:bottom w:val="dotted" w:sz="4" w:space="0" w:color="auto"/>
              <w:right w:val="single" w:sz="8" w:space="0" w:color="auto"/>
            </w:tcBorders>
            <w:shd w:val="clear" w:color="000000" w:fill="FFFFFF"/>
            <w:vAlign w:val="center"/>
            <w:hideMark/>
          </w:tcPr>
          <w:p w14:paraId="2F29D56A"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383" w:type="pct"/>
            <w:tcBorders>
              <w:top w:val="nil"/>
              <w:left w:val="nil"/>
              <w:bottom w:val="dotted" w:sz="4" w:space="0" w:color="auto"/>
              <w:right w:val="single" w:sz="8" w:space="0" w:color="auto"/>
            </w:tcBorders>
            <w:shd w:val="clear" w:color="000000" w:fill="FFFFFF"/>
            <w:vAlign w:val="center"/>
            <w:hideMark/>
          </w:tcPr>
          <w:p w14:paraId="72ED1FAB" w14:textId="77777777" w:rsidR="002B41BB" w:rsidRPr="004E5A6E" w:rsidRDefault="002B41BB" w:rsidP="002B41BB">
            <w:pPr>
              <w:jc w:val="center"/>
              <w:rPr>
                <w:color w:val="auto"/>
                <w:sz w:val="20"/>
                <w:szCs w:val="20"/>
                <w:lang w:val="sq-AL"/>
              </w:rPr>
            </w:pPr>
            <w:r w:rsidRPr="004E5A6E">
              <w:rPr>
                <w:color w:val="auto"/>
                <w:sz w:val="20"/>
                <w:szCs w:val="20"/>
                <w:lang w:val="sq-AL"/>
              </w:rPr>
              <w:t>S13</w:t>
            </w:r>
          </w:p>
        </w:tc>
        <w:tc>
          <w:tcPr>
            <w:tcW w:w="460" w:type="pct"/>
            <w:tcBorders>
              <w:top w:val="nil"/>
              <w:left w:val="nil"/>
              <w:bottom w:val="dotted" w:sz="4" w:space="0" w:color="auto"/>
              <w:right w:val="dotted" w:sz="4" w:space="0" w:color="auto"/>
            </w:tcBorders>
            <w:shd w:val="clear" w:color="000000" w:fill="FFFFFF"/>
            <w:vAlign w:val="center"/>
            <w:hideMark/>
          </w:tcPr>
          <w:p w14:paraId="0DE4CD00" w14:textId="77777777" w:rsidR="002B41BB" w:rsidRPr="004E5A6E" w:rsidRDefault="002B41BB" w:rsidP="002B41BB">
            <w:pPr>
              <w:jc w:val="center"/>
              <w:rPr>
                <w:color w:val="auto"/>
                <w:sz w:val="20"/>
                <w:szCs w:val="20"/>
                <w:lang w:val="sq-AL"/>
              </w:rPr>
            </w:pPr>
            <w:r w:rsidRPr="004E5A6E">
              <w:rPr>
                <w:color w:val="auto"/>
                <w:sz w:val="20"/>
                <w:szCs w:val="20"/>
                <w:lang w:val="sq-AL"/>
              </w:rPr>
              <w:t>-205</w:t>
            </w:r>
          </w:p>
        </w:tc>
        <w:tc>
          <w:tcPr>
            <w:tcW w:w="460" w:type="pct"/>
            <w:tcBorders>
              <w:top w:val="nil"/>
              <w:left w:val="nil"/>
              <w:bottom w:val="dotted" w:sz="4" w:space="0" w:color="auto"/>
              <w:right w:val="dotted" w:sz="4" w:space="0" w:color="auto"/>
            </w:tcBorders>
            <w:shd w:val="clear" w:color="000000" w:fill="FFFFFF"/>
            <w:vAlign w:val="center"/>
            <w:hideMark/>
          </w:tcPr>
          <w:p w14:paraId="1D991F71" w14:textId="77777777" w:rsidR="002B41BB" w:rsidRPr="004E5A6E" w:rsidRDefault="002B41BB" w:rsidP="002B41BB">
            <w:pPr>
              <w:jc w:val="center"/>
              <w:rPr>
                <w:color w:val="auto"/>
                <w:sz w:val="20"/>
                <w:szCs w:val="20"/>
                <w:lang w:val="sq-AL"/>
              </w:rPr>
            </w:pPr>
            <w:r w:rsidRPr="004E5A6E">
              <w:rPr>
                <w:color w:val="auto"/>
                <w:sz w:val="20"/>
                <w:szCs w:val="20"/>
                <w:lang w:val="sq-AL"/>
              </w:rPr>
              <w:t>-254</w:t>
            </w:r>
          </w:p>
        </w:tc>
        <w:tc>
          <w:tcPr>
            <w:tcW w:w="460" w:type="pct"/>
            <w:tcBorders>
              <w:top w:val="nil"/>
              <w:left w:val="nil"/>
              <w:bottom w:val="dotted" w:sz="4" w:space="0" w:color="auto"/>
              <w:right w:val="dotted" w:sz="4" w:space="0" w:color="auto"/>
            </w:tcBorders>
            <w:shd w:val="clear" w:color="000000" w:fill="FFFFFF"/>
            <w:vAlign w:val="center"/>
            <w:hideMark/>
          </w:tcPr>
          <w:p w14:paraId="1657EC7F" w14:textId="77777777" w:rsidR="002B41BB" w:rsidRPr="004E5A6E" w:rsidRDefault="002B41BB" w:rsidP="002B41BB">
            <w:pPr>
              <w:jc w:val="center"/>
              <w:rPr>
                <w:color w:val="auto"/>
                <w:sz w:val="20"/>
                <w:szCs w:val="20"/>
                <w:lang w:val="sq-AL"/>
              </w:rPr>
            </w:pPr>
            <w:r w:rsidRPr="004E5A6E">
              <w:rPr>
                <w:color w:val="auto"/>
                <w:sz w:val="20"/>
                <w:szCs w:val="20"/>
                <w:lang w:val="sq-AL"/>
              </w:rPr>
              <w:t>-527</w:t>
            </w:r>
          </w:p>
        </w:tc>
        <w:tc>
          <w:tcPr>
            <w:tcW w:w="460" w:type="pct"/>
            <w:tcBorders>
              <w:top w:val="nil"/>
              <w:left w:val="nil"/>
              <w:bottom w:val="dotted" w:sz="4" w:space="0" w:color="auto"/>
              <w:right w:val="dotted" w:sz="4" w:space="0" w:color="auto"/>
            </w:tcBorders>
            <w:shd w:val="clear" w:color="000000" w:fill="FFFFFF"/>
            <w:vAlign w:val="center"/>
            <w:hideMark/>
          </w:tcPr>
          <w:p w14:paraId="461891B0" w14:textId="77777777" w:rsidR="002B41BB" w:rsidRPr="004E5A6E" w:rsidRDefault="002B41BB" w:rsidP="002B41BB">
            <w:pPr>
              <w:jc w:val="center"/>
              <w:rPr>
                <w:color w:val="auto"/>
                <w:sz w:val="20"/>
                <w:szCs w:val="20"/>
                <w:lang w:val="sq-AL"/>
              </w:rPr>
            </w:pPr>
            <w:r w:rsidRPr="004E5A6E">
              <w:rPr>
                <w:color w:val="auto"/>
                <w:sz w:val="20"/>
                <w:szCs w:val="20"/>
                <w:lang w:val="sq-AL"/>
              </w:rPr>
              <w:t>-374</w:t>
            </w:r>
          </w:p>
        </w:tc>
        <w:tc>
          <w:tcPr>
            <w:tcW w:w="460" w:type="pct"/>
            <w:tcBorders>
              <w:top w:val="nil"/>
              <w:left w:val="nil"/>
              <w:bottom w:val="dotted" w:sz="4" w:space="0" w:color="auto"/>
              <w:right w:val="double" w:sz="6" w:space="0" w:color="auto"/>
            </w:tcBorders>
            <w:shd w:val="clear" w:color="000000" w:fill="FFFFFF"/>
            <w:vAlign w:val="center"/>
            <w:hideMark/>
          </w:tcPr>
          <w:p w14:paraId="3799E6B4" w14:textId="77777777" w:rsidR="002B41BB" w:rsidRPr="004E5A6E" w:rsidRDefault="002B41BB" w:rsidP="002B41BB">
            <w:pPr>
              <w:jc w:val="center"/>
              <w:rPr>
                <w:color w:val="auto"/>
                <w:sz w:val="20"/>
                <w:szCs w:val="20"/>
                <w:lang w:val="sq-AL"/>
              </w:rPr>
            </w:pPr>
            <w:r w:rsidRPr="004E5A6E">
              <w:rPr>
                <w:color w:val="auto"/>
                <w:sz w:val="20"/>
                <w:szCs w:val="20"/>
                <w:lang w:val="sq-AL"/>
              </w:rPr>
              <w:t>-337</w:t>
            </w:r>
          </w:p>
        </w:tc>
      </w:tr>
      <w:tr w:rsidR="002B41BB" w:rsidRPr="004E5A6E" w14:paraId="60C67E86" w14:textId="77777777" w:rsidTr="002B41BB">
        <w:trPr>
          <w:trHeight w:val="420"/>
        </w:trPr>
        <w:tc>
          <w:tcPr>
            <w:tcW w:w="2082" w:type="pct"/>
            <w:tcBorders>
              <w:top w:val="nil"/>
              <w:left w:val="double" w:sz="6" w:space="0" w:color="auto"/>
              <w:bottom w:val="dotted" w:sz="4" w:space="0" w:color="auto"/>
              <w:right w:val="nil"/>
            </w:tcBorders>
            <w:shd w:val="clear" w:color="000000" w:fill="FFFFFF"/>
            <w:vAlign w:val="center"/>
            <w:hideMark/>
          </w:tcPr>
          <w:p w14:paraId="403E403B" w14:textId="77777777" w:rsidR="002B41BB" w:rsidRPr="004E5A6E" w:rsidRDefault="002B41BB" w:rsidP="002B41BB">
            <w:pPr>
              <w:rPr>
                <w:color w:val="auto"/>
                <w:sz w:val="20"/>
                <w:szCs w:val="20"/>
                <w:lang w:val="sq-AL"/>
              </w:rPr>
            </w:pPr>
            <w:r w:rsidRPr="004E5A6E">
              <w:rPr>
                <w:color w:val="auto"/>
                <w:sz w:val="20"/>
                <w:szCs w:val="20"/>
                <w:lang w:val="sq-AL"/>
              </w:rPr>
              <w:t>2. Qeveria Qëndrore</w:t>
            </w:r>
          </w:p>
        </w:tc>
        <w:tc>
          <w:tcPr>
            <w:tcW w:w="234" w:type="pct"/>
            <w:tcBorders>
              <w:top w:val="nil"/>
              <w:left w:val="nil"/>
              <w:bottom w:val="dotted" w:sz="4" w:space="0" w:color="auto"/>
              <w:right w:val="single" w:sz="8" w:space="0" w:color="auto"/>
            </w:tcBorders>
            <w:shd w:val="clear" w:color="000000" w:fill="FFFFFF"/>
            <w:vAlign w:val="center"/>
            <w:hideMark/>
          </w:tcPr>
          <w:p w14:paraId="2F32E549"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383" w:type="pct"/>
            <w:tcBorders>
              <w:top w:val="nil"/>
              <w:left w:val="nil"/>
              <w:bottom w:val="dotted" w:sz="4" w:space="0" w:color="auto"/>
              <w:right w:val="single" w:sz="8" w:space="0" w:color="auto"/>
            </w:tcBorders>
            <w:shd w:val="clear" w:color="000000" w:fill="FFFFFF"/>
            <w:vAlign w:val="center"/>
            <w:hideMark/>
          </w:tcPr>
          <w:p w14:paraId="4E92F0CB" w14:textId="77777777" w:rsidR="002B41BB" w:rsidRPr="004E5A6E" w:rsidRDefault="002B41BB" w:rsidP="002B41BB">
            <w:pPr>
              <w:jc w:val="center"/>
              <w:rPr>
                <w:color w:val="auto"/>
                <w:sz w:val="20"/>
                <w:szCs w:val="20"/>
                <w:lang w:val="sq-AL"/>
              </w:rPr>
            </w:pPr>
            <w:r w:rsidRPr="004E5A6E">
              <w:rPr>
                <w:color w:val="auto"/>
                <w:sz w:val="20"/>
                <w:szCs w:val="20"/>
                <w:lang w:val="sq-AL"/>
              </w:rPr>
              <w:t>S1311</w:t>
            </w:r>
          </w:p>
        </w:tc>
        <w:tc>
          <w:tcPr>
            <w:tcW w:w="460" w:type="pct"/>
            <w:tcBorders>
              <w:top w:val="nil"/>
              <w:left w:val="nil"/>
              <w:bottom w:val="dotted" w:sz="4" w:space="0" w:color="auto"/>
              <w:right w:val="dotted" w:sz="4" w:space="0" w:color="auto"/>
            </w:tcBorders>
            <w:shd w:val="clear" w:color="000000" w:fill="FFFFFF"/>
            <w:vAlign w:val="center"/>
            <w:hideMark/>
          </w:tcPr>
          <w:p w14:paraId="762C7C53"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60" w:type="pct"/>
            <w:tcBorders>
              <w:top w:val="nil"/>
              <w:left w:val="nil"/>
              <w:bottom w:val="dotted" w:sz="4" w:space="0" w:color="auto"/>
              <w:right w:val="dotted" w:sz="4" w:space="0" w:color="auto"/>
            </w:tcBorders>
            <w:shd w:val="clear" w:color="000000" w:fill="FFFFFF"/>
            <w:vAlign w:val="center"/>
            <w:hideMark/>
          </w:tcPr>
          <w:p w14:paraId="23AA8187"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60" w:type="pct"/>
            <w:tcBorders>
              <w:top w:val="nil"/>
              <w:left w:val="nil"/>
              <w:bottom w:val="dotted" w:sz="4" w:space="0" w:color="auto"/>
              <w:right w:val="dotted" w:sz="4" w:space="0" w:color="auto"/>
            </w:tcBorders>
            <w:shd w:val="clear" w:color="000000" w:fill="FFFFFF"/>
            <w:vAlign w:val="center"/>
            <w:hideMark/>
          </w:tcPr>
          <w:p w14:paraId="5F37D7CE"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60" w:type="pct"/>
            <w:tcBorders>
              <w:top w:val="nil"/>
              <w:left w:val="nil"/>
              <w:bottom w:val="dotted" w:sz="4" w:space="0" w:color="auto"/>
              <w:right w:val="dotted" w:sz="4" w:space="0" w:color="auto"/>
            </w:tcBorders>
            <w:shd w:val="clear" w:color="000000" w:fill="FFFFFF"/>
            <w:vAlign w:val="center"/>
            <w:hideMark/>
          </w:tcPr>
          <w:p w14:paraId="7C5EE9C7"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60" w:type="pct"/>
            <w:tcBorders>
              <w:top w:val="nil"/>
              <w:left w:val="nil"/>
              <w:bottom w:val="dotted" w:sz="4" w:space="0" w:color="auto"/>
              <w:right w:val="double" w:sz="6" w:space="0" w:color="auto"/>
            </w:tcBorders>
            <w:shd w:val="clear" w:color="000000" w:fill="FFFFFF"/>
            <w:vAlign w:val="center"/>
            <w:hideMark/>
          </w:tcPr>
          <w:p w14:paraId="603B5F5E"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r w:rsidR="002B41BB" w:rsidRPr="004E5A6E" w14:paraId="5922B36C" w14:textId="77777777" w:rsidTr="002B41BB">
        <w:trPr>
          <w:trHeight w:val="420"/>
        </w:trPr>
        <w:tc>
          <w:tcPr>
            <w:tcW w:w="2082" w:type="pct"/>
            <w:tcBorders>
              <w:top w:val="nil"/>
              <w:left w:val="double" w:sz="6" w:space="0" w:color="auto"/>
              <w:bottom w:val="dotted" w:sz="4" w:space="0" w:color="auto"/>
              <w:right w:val="nil"/>
            </w:tcBorders>
            <w:shd w:val="clear" w:color="000000" w:fill="FFFFFF"/>
            <w:vAlign w:val="center"/>
            <w:hideMark/>
          </w:tcPr>
          <w:p w14:paraId="39F0D1AB" w14:textId="77777777" w:rsidR="002B41BB" w:rsidRPr="004E5A6E" w:rsidRDefault="002B41BB" w:rsidP="002B41BB">
            <w:pPr>
              <w:rPr>
                <w:color w:val="auto"/>
                <w:sz w:val="20"/>
                <w:szCs w:val="20"/>
                <w:lang w:val="sq-AL"/>
              </w:rPr>
            </w:pPr>
            <w:r w:rsidRPr="004E5A6E">
              <w:rPr>
                <w:color w:val="auto"/>
                <w:sz w:val="20"/>
                <w:szCs w:val="20"/>
                <w:lang w:val="sq-AL"/>
              </w:rPr>
              <w:t>3. Qeveria Shtetërore</w:t>
            </w:r>
          </w:p>
        </w:tc>
        <w:tc>
          <w:tcPr>
            <w:tcW w:w="234" w:type="pct"/>
            <w:tcBorders>
              <w:top w:val="nil"/>
              <w:left w:val="nil"/>
              <w:bottom w:val="dotted" w:sz="4" w:space="0" w:color="auto"/>
              <w:right w:val="single" w:sz="8" w:space="0" w:color="auto"/>
            </w:tcBorders>
            <w:shd w:val="clear" w:color="000000" w:fill="FFFFFF"/>
            <w:vAlign w:val="center"/>
            <w:hideMark/>
          </w:tcPr>
          <w:p w14:paraId="66A851AE"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383" w:type="pct"/>
            <w:tcBorders>
              <w:top w:val="nil"/>
              <w:left w:val="nil"/>
              <w:bottom w:val="dotted" w:sz="4" w:space="0" w:color="auto"/>
              <w:right w:val="single" w:sz="8" w:space="0" w:color="auto"/>
            </w:tcBorders>
            <w:shd w:val="clear" w:color="000000" w:fill="FFFFFF"/>
            <w:vAlign w:val="center"/>
            <w:hideMark/>
          </w:tcPr>
          <w:p w14:paraId="625261C4" w14:textId="77777777" w:rsidR="002B41BB" w:rsidRPr="004E5A6E" w:rsidRDefault="002B41BB" w:rsidP="002B41BB">
            <w:pPr>
              <w:jc w:val="center"/>
              <w:rPr>
                <w:color w:val="auto"/>
                <w:sz w:val="20"/>
                <w:szCs w:val="20"/>
                <w:lang w:val="sq-AL"/>
              </w:rPr>
            </w:pPr>
            <w:r w:rsidRPr="004E5A6E">
              <w:rPr>
                <w:color w:val="auto"/>
                <w:sz w:val="20"/>
                <w:szCs w:val="20"/>
                <w:lang w:val="sq-AL"/>
              </w:rPr>
              <w:t>S1312</w:t>
            </w:r>
          </w:p>
        </w:tc>
        <w:tc>
          <w:tcPr>
            <w:tcW w:w="460" w:type="pct"/>
            <w:tcBorders>
              <w:top w:val="nil"/>
              <w:left w:val="nil"/>
              <w:bottom w:val="dotted" w:sz="4" w:space="0" w:color="auto"/>
              <w:right w:val="dotted" w:sz="4" w:space="0" w:color="auto"/>
            </w:tcBorders>
            <w:shd w:val="clear" w:color="000000" w:fill="FFFFFF"/>
            <w:vAlign w:val="center"/>
            <w:hideMark/>
          </w:tcPr>
          <w:p w14:paraId="0D7D8914"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60" w:type="pct"/>
            <w:tcBorders>
              <w:top w:val="nil"/>
              <w:left w:val="nil"/>
              <w:bottom w:val="dotted" w:sz="4" w:space="0" w:color="auto"/>
              <w:right w:val="dotted" w:sz="4" w:space="0" w:color="auto"/>
            </w:tcBorders>
            <w:shd w:val="clear" w:color="000000" w:fill="FFFFFF"/>
            <w:vAlign w:val="center"/>
            <w:hideMark/>
          </w:tcPr>
          <w:p w14:paraId="240074D2"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60" w:type="pct"/>
            <w:tcBorders>
              <w:top w:val="nil"/>
              <w:left w:val="nil"/>
              <w:bottom w:val="dotted" w:sz="4" w:space="0" w:color="auto"/>
              <w:right w:val="dotted" w:sz="4" w:space="0" w:color="auto"/>
            </w:tcBorders>
            <w:shd w:val="clear" w:color="000000" w:fill="FFFFFF"/>
            <w:vAlign w:val="center"/>
            <w:hideMark/>
          </w:tcPr>
          <w:p w14:paraId="408E6ABD"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60" w:type="pct"/>
            <w:tcBorders>
              <w:top w:val="nil"/>
              <w:left w:val="nil"/>
              <w:bottom w:val="dotted" w:sz="4" w:space="0" w:color="auto"/>
              <w:right w:val="dotted" w:sz="4" w:space="0" w:color="auto"/>
            </w:tcBorders>
            <w:shd w:val="clear" w:color="000000" w:fill="FFFFFF"/>
            <w:vAlign w:val="center"/>
            <w:hideMark/>
          </w:tcPr>
          <w:p w14:paraId="32A1B552"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60" w:type="pct"/>
            <w:tcBorders>
              <w:top w:val="nil"/>
              <w:left w:val="nil"/>
              <w:bottom w:val="dotted" w:sz="4" w:space="0" w:color="auto"/>
              <w:right w:val="double" w:sz="6" w:space="0" w:color="auto"/>
            </w:tcBorders>
            <w:shd w:val="clear" w:color="000000" w:fill="FFFFFF"/>
            <w:vAlign w:val="center"/>
            <w:hideMark/>
          </w:tcPr>
          <w:p w14:paraId="00B5CA68"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r w:rsidR="002B41BB" w:rsidRPr="004E5A6E" w14:paraId="7AD212C4" w14:textId="77777777" w:rsidTr="002B41BB">
        <w:trPr>
          <w:trHeight w:val="420"/>
        </w:trPr>
        <w:tc>
          <w:tcPr>
            <w:tcW w:w="2082" w:type="pct"/>
            <w:tcBorders>
              <w:top w:val="nil"/>
              <w:left w:val="double" w:sz="6" w:space="0" w:color="auto"/>
              <w:bottom w:val="dotted" w:sz="4" w:space="0" w:color="auto"/>
              <w:right w:val="nil"/>
            </w:tcBorders>
            <w:shd w:val="clear" w:color="000000" w:fill="FFFFFF"/>
            <w:vAlign w:val="center"/>
            <w:hideMark/>
          </w:tcPr>
          <w:p w14:paraId="234A268E" w14:textId="77777777" w:rsidR="002B41BB" w:rsidRPr="004E5A6E" w:rsidRDefault="002B41BB" w:rsidP="002B41BB">
            <w:pPr>
              <w:rPr>
                <w:color w:val="auto"/>
                <w:sz w:val="20"/>
                <w:szCs w:val="20"/>
                <w:lang w:val="sq-AL"/>
              </w:rPr>
            </w:pPr>
            <w:r w:rsidRPr="004E5A6E">
              <w:rPr>
                <w:color w:val="auto"/>
                <w:sz w:val="20"/>
                <w:szCs w:val="20"/>
                <w:lang w:val="sq-AL"/>
              </w:rPr>
              <w:t>4. Qeveria Lokale</w:t>
            </w:r>
          </w:p>
        </w:tc>
        <w:tc>
          <w:tcPr>
            <w:tcW w:w="234" w:type="pct"/>
            <w:tcBorders>
              <w:top w:val="nil"/>
              <w:left w:val="nil"/>
              <w:bottom w:val="dotted" w:sz="4" w:space="0" w:color="auto"/>
              <w:right w:val="single" w:sz="8" w:space="0" w:color="auto"/>
            </w:tcBorders>
            <w:shd w:val="clear" w:color="000000" w:fill="FFFFFF"/>
            <w:vAlign w:val="center"/>
            <w:hideMark/>
          </w:tcPr>
          <w:p w14:paraId="6EB5DF3D"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383" w:type="pct"/>
            <w:tcBorders>
              <w:top w:val="nil"/>
              <w:left w:val="nil"/>
              <w:bottom w:val="dotted" w:sz="4" w:space="0" w:color="auto"/>
              <w:right w:val="single" w:sz="8" w:space="0" w:color="auto"/>
            </w:tcBorders>
            <w:shd w:val="clear" w:color="000000" w:fill="FFFFFF"/>
            <w:vAlign w:val="center"/>
            <w:hideMark/>
          </w:tcPr>
          <w:p w14:paraId="52421634" w14:textId="77777777" w:rsidR="002B41BB" w:rsidRPr="004E5A6E" w:rsidRDefault="002B41BB" w:rsidP="002B41BB">
            <w:pPr>
              <w:jc w:val="center"/>
              <w:rPr>
                <w:color w:val="auto"/>
                <w:sz w:val="20"/>
                <w:szCs w:val="20"/>
                <w:lang w:val="sq-AL"/>
              </w:rPr>
            </w:pPr>
            <w:r w:rsidRPr="004E5A6E">
              <w:rPr>
                <w:color w:val="auto"/>
                <w:sz w:val="20"/>
                <w:szCs w:val="20"/>
                <w:lang w:val="sq-AL"/>
              </w:rPr>
              <w:t>S1313</w:t>
            </w:r>
          </w:p>
        </w:tc>
        <w:tc>
          <w:tcPr>
            <w:tcW w:w="460" w:type="pct"/>
            <w:tcBorders>
              <w:top w:val="nil"/>
              <w:left w:val="nil"/>
              <w:bottom w:val="dotted" w:sz="4" w:space="0" w:color="auto"/>
              <w:right w:val="dotted" w:sz="4" w:space="0" w:color="auto"/>
            </w:tcBorders>
            <w:shd w:val="clear" w:color="000000" w:fill="FFFFFF"/>
            <w:vAlign w:val="center"/>
            <w:hideMark/>
          </w:tcPr>
          <w:p w14:paraId="4C5AAA39"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60" w:type="pct"/>
            <w:tcBorders>
              <w:top w:val="nil"/>
              <w:left w:val="nil"/>
              <w:bottom w:val="dotted" w:sz="4" w:space="0" w:color="auto"/>
              <w:right w:val="dotted" w:sz="4" w:space="0" w:color="auto"/>
            </w:tcBorders>
            <w:shd w:val="clear" w:color="000000" w:fill="FFFFFF"/>
            <w:vAlign w:val="center"/>
            <w:hideMark/>
          </w:tcPr>
          <w:p w14:paraId="4D4124AC"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60" w:type="pct"/>
            <w:tcBorders>
              <w:top w:val="nil"/>
              <w:left w:val="nil"/>
              <w:bottom w:val="dotted" w:sz="4" w:space="0" w:color="auto"/>
              <w:right w:val="dotted" w:sz="4" w:space="0" w:color="auto"/>
            </w:tcBorders>
            <w:shd w:val="clear" w:color="000000" w:fill="FFFFFF"/>
            <w:vAlign w:val="center"/>
            <w:hideMark/>
          </w:tcPr>
          <w:p w14:paraId="5728BDC3"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60" w:type="pct"/>
            <w:tcBorders>
              <w:top w:val="nil"/>
              <w:left w:val="nil"/>
              <w:bottom w:val="dotted" w:sz="4" w:space="0" w:color="auto"/>
              <w:right w:val="dotted" w:sz="4" w:space="0" w:color="auto"/>
            </w:tcBorders>
            <w:shd w:val="clear" w:color="000000" w:fill="FFFFFF"/>
            <w:vAlign w:val="center"/>
            <w:hideMark/>
          </w:tcPr>
          <w:p w14:paraId="5104D587"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60" w:type="pct"/>
            <w:tcBorders>
              <w:top w:val="nil"/>
              <w:left w:val="nil"/>
              <w:bottom w:val="dotted" w:sz="4" w:space="0" w:color="auto"/>
              <w:right w:val="double" w:sz="6" w:space="0" w:color="auto"/>
            </w:tcBorders>
            <w:shd w:val="clear" w:color="000000" w:fill="FFFFFF"/>
            <w:vAlign w:val="center"/>
            <w:hideMark/>
          </w:tcPr>
          <w:p w14:paraId="41808744"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r w:rsidR="002B41BB" w:rsidRPr="004E5A6E" w14:paraId="080180E2" w14:textId="77777777" w:rsidTr="002B41BB">
        <w:trPr>
          <w:trHeight w:val="420"/>
        </w:trPr>
        <w:tc>
          <w:tcPr>
            <w:tcW w:w="2082" w:type="pct"/>
            <w:tcBorders>
              <w:top w:val="nil"/>
              <w:left w:val="double" w:sz="6" w:space="0" w:color="auto"/>
              <w:bottom w:val="single" w:sz="8" w:space="0" w:color="auto"/>
              <w:right w:val="nil"/>
            </w:tcBorders>
            <w:shd w:val="clear" w:color="000000" w:fill="FFFFFF"/>
            <w:vAlign w:val="center"/>
            <w:hideMark/>
          </w:tcPr>
          <w:p w14:paraId="6826EBF3" w14:textId="77777777" w:rsidR="002B41BB" w:rsidRPr="004E5A6E" w:rsidRDefault="002B41BB" w:rsidP="002B41BB">
            <w:pPr>
              <w:rPr>
                <w:color w:val="auto"/>
                <w:sz w:val="20"/>
                <w:szCs w:val="20"/>
                <w:lang w:val="sq-AL"/>
              </w:rPr>
            </w:pPr>
            <w:r w:rsidRPr="004E5A6E">
              <w:rPr>
                <w:color w:val="auto"/>
                <w:sz w:val="20"/>
                <w:szCs w:val="20"/>
                <w:lang w:val="sq-AL"/>
              </w:rPr>
              <w:t>5. Fondi I sigurimit shoqëror</w:t>
            </w:r>
          </w:p>
        </w:tc>
        <w:tc>
          <w:tcPr>
            <w:tcW w:w="234" w:type="pct"/>
            <w:tcBorders>
              <w:top w:val="nil"/>
              <w:left w:val="nil"/>
              <w:bottom w:val="single" w:sz="8" w:space="0" w:color="auto"/>
              <w:right w:val="single" w:sz="8" w:space="0" w:color="auto"/>
            </w:tcBorders>
            <w:shd w:val="clear" w:color="000000" w:fill="FFFFFF"/>
            <w:vAlign w:val="center"/>
            <w:hideMark/>
          </w:tcPr>
          <w:p w14:paraId="3836C822"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383" w:type="pct"/>
            <w:tcBorders>
              <w:top w:val="nil"/>
              <w:left w:val="nil"/>
              <w:bottom w:val="single" w:sz="8" w:space="0" w:color="auto"/>
              <w:right w:val="single" w:sz="8" w:space="0" w:color="auto"/>
            </w:tcBorders>
            <w:shd w:val="clear" w:color="000000" w:fill="FFFFFF"/>
            <w:vAlign w:val="center"/>
            <w:hideMark/>
          </w:tcPr>
          <w:p w14:paraId="28A887AF" w14:textId="77777777" w:rsidR="002B41BB" w:rsidRPr="004E5A6E" w:rsidRDefault="002B41BB" w:rsidP="002B41BB">
            <w:pPr>
              <w:jc w:val="center"/>
              <w:rPr>
                <w:color w:val="auto"/>
                <w:sz w:val="20"/>
                <w:szCs w:val="20"/>
                <w:lang w:val="sq-AL"/>
              </w:rPr>
            </w:pPr>
            <w:r w:rsidRPr="004E5A6E">
              <w:rPr>
                <w:color w:val="auto"/>
                <w:sz w:val="20"/>
                <w:szCs w:val="20"/>
                <w:lang w:val="sq-AL"/>
              </w:rPr>
              <w:t>S1314</w:t>
            </w:r>
          </w:p>
        </w:tc>
        <w:tc>
          <w:tcPr>
            <w:tcW w:w="460" w:type="pct"/>
            <w:tcBorders>
              <w:top w:val="nil"/>
              <w:left w:val="nil"/>
              <w:bottom w:val="single" w:sz="8" w:space="0" w:color="auto"/>
              <w:right w:val="dotted" w:sz="4" w:space="0" w:color="auto"/>
            </w:tcBorders>
            <w:shd w:val="clear" w:color="000000" w:fill="FFFFFF"/>
            <w:vAlign w:val="center"/>
            <w:hideMark/>
          </w:tcPr>
          <w:p w14:paraId="646A1B6A"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60" w:type="pct"/>
            <w:tcBorders>
              <w:top w:val="nil"/>
              <w:left w:val="nil"/>
              <w:bottom w:val="single" w:sz="8" w:space="0" w:color="auto"/>
              <w:right w:val="dotted" w:sz="4" w:space="0" w:color="auto"/>
            </w:tcBorders>
            <w:shd w:val="clear" w:color="000000" w:fill="FFFFFF"/>
            <w:vAlign w:val="center"/>
            <w:hideMark/>
          </w:tcPr>
          <w:p w14:paraId="55AA9F5A"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60" w:type="pct"/>
            <w:tcBorders>
              <w:top w:val="nil"/>
              <w:left w:val="nil"/>
              <w:bottom w:val="single" w:sz="8" w:space="0" w:color="auto"/>
              <w:right w:val="dotted" w:sz="4" w:space="0" w:color="auto"/>
            </w:tcBorders>
            <w:shd w:val="clear" w:color="000000" w:fill="FFFFFF"/>
            <w:vAlign w:val="center"/>
            <w:hideMark/>
          </w:tcPr>
          <w:p w14:paraId="0DB0247A"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60" w:type="pct"/>
            <w:tcBorders>
              <w:top w:val="nil"/>
              <w:left w:val="nil"/>
              <w:bottom w:val="single" w:sz="8" w:space="0" w:color="auto"/>
              <w:right w:val="dotted" w:sz="4" w:space="0" w:color="auto"/>
            </w:tcBorders>
            <w:shd w:val="clear" w:color="000000" w:fill="FFFFFF"/>
            <w:vAlign w:val="center"/>
            <w:hideMark/>
          </w:tcPr>
          <w:p w14:paraId="39741B8F"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60" w:type="pct"/>
            <w:tcBorders>
              <w:top w:val="nil"/>
              <w:left w:val="nil"/>
              <w:bottom w:val="single" w:sz="8" w:space="0" w:color="auto"/>
              <w:right w:val="double" w:sz="6" w:space="0" w:color="auto"/>
            </w:tcBorders>
            <w:shd w:val="clear" w:color="000000" w:fill="FFFFFF"/>
            <w:vAlign w:val="center"/>
            <w:hideMark/>
          </w:tcPr>
          <w:p w14:paraId="3652227A"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r w:rsidR="002B41BB" w:rsidRPr="004E5A6E" w14:paraId="4A945D2D" w14:textId="77777777" w:rsidTr="002B41BB">
        <w:trPr>
          <w:trHeight w:val="420"/>
        </w:trPr>
        <w:tc>
          <w:tcPr>
            <w:tcW w:w="5000" w:type="pct"/>
            <w:gridSpan w:val="8"/>
            <w:tcBorders>
              <w:top w:val="single" w:sz="8" w:space="0" w:color="auto"/>
              <w:left w:val="double" w:sz="6" w:space="0" w:color="auto"/>
              <w:bottom w:val="single" w:sz="8" w:space="0" w:color="auto"/>
              <w:right w:val="double" w:sz="6" w:space="0" w:color="000000"/>
            </w:tcBorders>
            <w:shd w:val="clear" w:color="000000" w:fill="FFFFFF"/>
            <w:vAlign w:val="center"/>
            <w:hideMark/>
          </w:tcPr>
          <w:p w14:paraId="3CBA1A6B" w14:textId="77777777" w:rsidR="002B41BB" w:rsidRPr="004E5A6E" w:rsidRDefault="002B41BB" w:rsidP="002B41BB">
            <w:pPr>
              <w:jc w:val="center"/>
              <w:rPr>
                <w:b/>
                <w:bCs/>
                <w:color w:val="auto"/>
                <w:sz w:val="20"/>
                <w:szCs w:val="20"/>
                <w:lang w:val="sq-AL"/>
              </w:rPr>
            </w:pPr>
            <w:r w:rsidRPr="004E5A6E">
              <w:rPr>
                <w:b/>
                <w:bCs/>
                <w:color w:val="auto"/>
                <w:sz w:val="20"/>
                <w:szCs w:val="20"/>
                <w:lang w:val="sq-AL"/>
              </w:rPr>
              <w:t>Qeveria e Përgjithshme (S13)</w:t>
            </w:r>
          </w:p>
        </w:tc>
      </w:tr>
      <w:tr w:rsidR="002B41BB" w:rsidRPr="004E5A6E" w14:paraId="312F0344" w14:textId="77777777" w:rsidTr="002B41BB">
        <w:trPr>
          <w:trHeight w:val="420"/>
        </w:trPr>
        <w:tc>
          <w:tcPr>
            <w:tcW w:w="2082" w:type="pct"/>
            <w:tcBorders>
              <w:top w:val="nil"/>
              <w:left w:val="double" w:sz="6" w:space="0" w:color="auto"/>
              <w:bottom w:val="dotted" w:sz="4" w:space="0" w:color="auto"/>
              <w:right w:val="nil"/>
            </w:tcBorders>
            <w:shd w:val="clear" w:color="000000" w:fill="FFFFFF"/>
            <w:vAlign w:val="center"/>
            <w:hideMark/>
          </w:tcPr>
          <w:p w14:paraId="38C76D2D" w14:textId="77777777" w:rsidR="002B41BB" w:rsidRPr="004E5A6E" w:rsidRDefault="002B41BB" w:rsidP="002B41BB">
            <w:pPr>
              <w:rPr>
                <w:color w:val="auto"/>
                <w:sz w:val="20"/>
                <w:szCs w:val="20"/>
                <w:lang w:val="sq-AL"/>
              </w:rPr>
            </w:pPr>
            <w:r w:rsidRPr="004E5A6E">
              <w:rPr>
                <w:color w:val="auto"/>
                <w:sz w:val="20"/>
                <w:szCs w:val="20"/>
                <w:lang w:val="sq-AL"/>
              </w:rPr>
              <w:t>6. Të Hyrat Totale</w:t>
            </w:r>
          </w:p>
        </w:tc>
        <w:tc>
          <w:tcPr>
            <w:tcW w:w="234" w:type="pct"/>
            <w:tcBorders>
              <w:top w:val="nil"/>
              <w:left w:val="nil"/>
              <w:bottom w:val="dotted" w:sz="4" w:space="0" w:color="auto"/>
              <w:right w:val="single" w:sz="8" w:space="0" w:color="auto"/>
            </w:tcBorders>
            <w:shd w:val="clear" w:color="000000" w:fill="FFFFFF"/>
            <w:vAlign w:val="center"/>
            <w:hideMark/>
          </w:tcPr>
          <w:p w14:paraId="55B42B6B"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383" w:type="pct"/>
            <w:tcBorders>
              <w:top w:val="nil"/>
              <w:left w:val="nil"/>
              <w:bottom w:val="dotted" w:sz="4" w:space="0" w:color="auto"/>
              <w:right w:val="single" w:sz="8" w:space="0" w:color="auto"/>
            </w:tcBorders>
            <w:shd w:val="clear" w:color="000000" w:fill="FFFFFF"/>
            <w:vAlign w:val="center"/>
            <w:hideMark/>
          </w:tcPr>
          <w:p w14:paraId="7BF27A10" w14:textId="77777777" w:rsidR="002B41BB" w:rsidRPr="004E5A6E" w:rsidRDefault="002B41BB" w:rsidP="002B41BB">
            <w:pPr>
              <w:jc w:val="center"/>
              <w:rPr>
                <w:color w:val="auto"/>
                <w:sz w:val="20"/>
                <w:szCs w:val="20"/>
                <w:lang w:val="sq-AL"/>
              </w:rPr>
            </w:pPr>
            <w:r w:rsidRPr="004E5A6E">
              <w:rPr>
                <w:color w:val="auto"/>
                <w:sz w:val="20"/>
                <w:szCs w:val="20"/>
                <w:lang w:val="sq-AL"/>
              </w:rPr>
              <w:t>TR</w:t>
            </w:r>
          </w:p>
        </w:tc>
        <w:tc>
          <w:tcPr>
            <w:tcW w:w="460" w:type="pct"/>
            <w:tcBorders>
              <w:top w:val="nil"/>
              <w:left w:val="nil"/>
              <w:bottom w:val="dotted" w:sz="4" w:space="0" w:color="auto"/>
              <w:right w:val="dotted" w:sz="4" w:space="0" w:color="auto"/>
            </w:tcBorders>
            <w:shd w:val="clear" w:color="000000" w:fill="FFFFFF"/>
            <w:vAlign w:val="center"/>
            <w:hideMark/>
          </w:tcPr>
          <w:p w14:paraId="2041C1FC" w14:textId="77777777" w:rsidR="002B41BB" w:rsidRPr="004E5A6E" w:rsidRDefault="002B41BB" w:rsidP="002B41BB">
            <w:pPr>
              <w:jc w:val="center"/>
              <w:rPr>
                <w:color w:val="auto"/>
                <w:sz w:val="20"/>
                <w:szCs w:val="20"/>
                <w:lang w:val="sq-AL"/>
              </w:rPr>
            </w:pPr>
            <w:r w:rsidRPr="004E5A6E">
              <w:rPr>
                <w:color w:val="auto"/>
                <w:sz w:val="20"/>
                <w:szCs w:val="20"/>
                <w:lang w:val="sq-AL"/>
              </w:rPr>
              <w:t>1,885</w:t>
            </w:r>
          </w:p>
        </w:tc>
        <w:tc>
          <w:tcPr>
            <w:tcW w:w="460" w:type="pct"/>
            <w:tcBorders>
              <w:top w:val="nil"/>
              <w:left w:val="nil"/>
              <w:bottom w:val="dotted" w:sz="4" w:space="0" w:color="auto"/>
              <w:right w:val="dotted" w:sz="4" w:space="0" w:color="auto"/>
            </w:tcBorders>
            <w:shd w:val="clear" w:color="000000" w:fill="FFFFFF"/>
            <w:vAlign w:val="center"/>
            <w:hideMark/>
          </w:tcPr>
          <w:p w14:paraId="15BB91ED" w14:textId="77777777" w:rsidR="002B41BB" w:rsidRPr="004E5A6E" w:rsidRDefault="002B41BB" w:rsidP="002B41BB">
            <w:pPr>
              <w:jc w:val="center"/>
              <w:rPr>
                <w:color w:val="auto"/>
                <w:sz w:val="20"/>
                <w:szCs w:val="20"/>
                <w:lang w:val="sq-AL"/>
              </w:rPr>
            </w:pPr>
            <w:r w:rsidRPr="004E5A6E">
              <w:rPr>
                <w:color w:val="auto"/>
                <w:sz w:val="20"/>
                <w:szCs w:val="20"/>
                <w:lang w:val="sq-AL"/>
              </w:rPr>
              <w:t>1,885</w:t>
            </w:r>
          </w:p>
        </w:tc>
        <w:tc>
          <w:tcPr>
            <w:tcW w:w="460" w:type="pct"/>
            <w:tcBorders>
              <w:top w:val="nil"/>
              <w:left w:val="nil"/>
              <w:bottom w:val="dotted" w:sz="4" w:space="0" w:color="auto"/>
              <w:right w:val="dotted" w:sz="4" w:space="0" w:color="auto"/>
            </w:tcBorders>
            <w:shd w:val="clear" w:color="000000" w:fill="FFFFFF"/>
            <w:vAlign w:val="center"/>
            <w:hideMark/>
          </w:tcPr>
          <w:p w14:paraId="57D9FF79" w14:textId="77777777" w:rsidR="002B41BB" w:rsidRPr="004E5A6E" w:rsidRDefault="002B41BB" w:rsidP="002B41BB">
            <w:pPr>
              <w:jc w:val="center"/>
              <w:rPr>
                <w:color w:val="auto"/>
                <w:sz w:val="20"/>
                <w:szCs w:val="20"/>
                <w:lang w:val="sq-AL"/>
              </w:rPr>
            </w:pPr>
            <w:r w:rsidRPr="004E5A6E">
              <w:rPr>
                <w:color w:val="auto"/>
                <w:sz w:val="20"/>
                <w:szCs w:val="20"/>
                <w:lang w:val="sq-AL"/>
              </w:rPr>
              <w:t>1,886</w:t>
            </w:r>
          </w:p>
        </w:tc>
        <w:tc>
          <w:tcPr>
            <w:tcW w:w="460" w:type="pct"/>
            <w:tcBorders>
              <w:top w:val="nil"/>
              <w:left w:val="nil"/>
              <w:bottom w:val="dotted" w:sz="4" w:space="0" w:color="auto"/>
              <w:right w:val="dotted" w:sz="4" w:space="0" w:color="auto"/>
            </w:tcBorders>
            <w:shd w:val="clear" w:color="000000" w:fill="FFFFFF"/>
            <w:vAlign w:val="center"/>
            <w:hideMark/>
          </w:tcPr>
          <w:p w14:paraId="612A9EA5" w14:textId="77777777" w:rsidR="002B41BB" w:rsidRPr="004E5A6E" w:rsidRDefault="002B41BB" w:rsidP="002B41BB">
            <w:pPr>
              <w:jc w:val="center"/>
              <w:rPr>
                <w:color w:val="auto"/>
                <w:sz w:val="20"/>
                <w:szCs w:val="20"/>
                <w:lang w:val="sq-AL"/>
              </w:rPr>
            </w:pPr>
            <w:r w:rsidRPr="004E5A6E">
              <w:rPr>
                <w:color w:val="auto"/>
                <w:sz w:val="20"/>
                <w:szCs w:val="20"/>
                <w:lang w:val="sq-AL"/>
              </w:rPr>
              <w:t>2,002</w:t>
            </w:r>
          </w:p>
        </w:tc>
        <w:tc>
          <w:tcPr>
            <w:tcW w:w="460" w:type="pct"/>
            <w:tcBorders>
              <w:top w:val="nil"/>
              <w:left w:val="nil"/>
              <w:bottom w:val="dotted" w:sz="4" w:space="0" w:color="auto"/>
              <w:right w:val="double" w:sz="6" w:space="0" w:color="auto"/>
            </w:tcBorders>
            <w:shd w:val="clear" w:color="000000" w:fill="FFFFFF"/>
            <w:vAlign w:val="center"/>
            <w:hideMark/>
          </w:tcPr>
          <w:p w14:paraId="3B150A0A" w14:textId="77777777" w:rsidR="002B41BB" w:rsidRPr="004E5A6E" w:rsidRDefault="002B41BB" w:rsidP="002B41BB">
            <w:pPr>
              <w:jc w:val="center"/>
              <w:rPr>
                <w:color w:val="auto"/>
                <w:sz w:val="20"/>
                <w:szCs w:val="20"/>
                <w:lang w:val="sq-AL"/>
              </w:rPr>
            </w:pPr>
            <w:r w:rsidRPr="004E5A6E">
              <w:rPr>
                <w:color w:val="auto"/>
                <w:sz w:val="20"/>
                <w:szCs w:val="20"/>
                <w:lang w:val="sq-AL"/>
              </w:rPr>
              <w:t>2,098</w:t>
            </w:r>
          </w:p>
        </w:tc>
      </w:tr>
      <w:tr w:rsidR="002B41BB" w:rsidRPr="004E5A6E" w14:paraId="46180B43" w14:textId="77777777" w:rsidTr="002B41BB">
        <w:trPr>
          <w:trHeight w:val="420"/>
        </w:trPr>
        <w:tc>
          <w:tcPr>
            <w:tcW w:w="2082" w:type="pct"/>
            <w:tcBorders>
              <w:top w:val="nil"/>
              <w:left w:val="double" w:sz="6" w:space="0" w:color="auto"/>
              <w:bottom w:val="dotted" w:sz="4" w:space="0" w:color="auto"/>
              <w:right w:val="nil"/>
            </w:tcBorders>
            <w:shd w:val="clear" w:color="000000" w:fill="FFFFFF"/>
            <w:vAlign w:val="center"/>
            <w:hideMark/>
          </w:tcPr>
          <w:p w14:paraId="739D152D" w14:textId="77777777" w:rsidR="002B41BB" w:rsidRPr="004E5A6E" w:rsidRDefault="002B41BB" w:rsidP="002B41BB">
            <w:pPr>
              <w:rPr>
                <w:color w:val="auto"/>
                <w:sz w:val="20"/>
                <w:szCs w:val="20"/>
                <w:lang w:val="sq-AL"/>
              </w:rPr>
            </w:pPr>
            <w:r w:rsidRPr="004E5A6E">
              <w:rPr>
                <w:color w:val="auto"/>
                <w:sz w:val="20"/>
                <w:szCs w:val="20"/>
                <w:lang w:val="sq-AL"/>
              </w:rPr>
              <w:t>7. Shpenzimet Totale[1]</w:t>
            </w:r>
          </w:p>
        </w:tc>
        <w:tc>
          <w:tcPr>
            <w:tcW w:w="234" w:type="pct"/>
            <w:tcBorders>
              <w:top w:val="nil"/>
              <w:left w:val="nil"/>
              <w:bottom w:val="dotted" w:sz="4" w:space="0" w:color="auto"/>
              <w:right w:val="single" w:sz="8" w:space="0" w:color="auto"/>
            </w:tcBorders>
            <w:shd w:val="clear" w:color="000000" w:fill="FFFFFF"/>
            <w:vAlign w:val="center"/>
            <w:hideMark/>
          </w:tcPr>
          <w:p w14:paraId="6C425881"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383" w:type="pct"/>
            <w:tcBorders>
              <w:top w:val="nil"/>
              <w:left w:val="nil"/>
              <w:bottom w:val="dotted" w:sz="4" w:space="0" w:color="auto"/>
              <w:right w:val="single" w:sz="8" w:space="0" w:color="auto"/>
            </w:tcBorders>
            <w:shd w:val="clear" w:color="000000" w:fill="FFFFFF"/>
            <w:vAlign w:val="center"/>
            <w:hideMark/>
          </w:tcPr>
          <w:p w14:paraId="484A4220" w14:textId="77777777" w:rsidR="002B41BB" w:rsidRPr="004E5A6E" w:rsidRDefault="002B41BB" w:rsidP="002B41BB">
            <w:pPr>
              <w:jc w:val="center"/>
              <w:rPr>
                <w:color w:val="auto"/>
                <w:sz w:val="20"/>
                <w:szCs w:val="20"/>
                <w:lang w:val="sq-AL"/>
              </w:rPr>
            </w:pPr>
            <w:r w:rsidRPr="004E5A6E">
              <w:rPr>
                <w:color w:val="auto"/>
                <w:sz w:val="20"/>
                <w:szCs w:val="20"/>
                <w:lang w:val="sq-AL"/>
              </w:rPr>
              <w:t>TE</w:t>
            </w:r>
          </w:p>
        </w:tc>
        <w:tc>
          <w:tcPr>
            <w:tcW w:w="460" w:type="pct"/>
            <w:tcBorders>
              <w:top w:val="nil"/>
              <w:left w:val="nil"/>
              <w:bottom w:val="dotted" w:sz="4" w:space="0" w:color="auto"/>
              <w:right w:val="dotted" w:sz="4" w:space="0" w:color="auto"/>
            </w:tcBorders>
            <w:shd w:val="clear" w:color="000000" w:fill="FFFFFF"/>
            <w:vAlign w:val="center"/>
            <w:hideMark/>
          </w:tcPr>
          <w:p w14:paraId="63D7A9CD" w14:textId="77777777" w:rsidR="002B41BB" w:rsidRPr="004E5A6E" w:rsidRDefault="002B41BB" w:rsidP="002B41BB">
            <w:pPr>
              <w:jc w:val="center"/>
              <w:rPr>
                <w:color w:val="auto"/>
                <w:sz w:val="20"/>
                <w:szCs w:val="20"/>
                <w:lang w:val="sq-AL"/>
              </w:rPr>
            </w:pPr>
            <w:r w:rsidRPr="004E5A6E">
              <w:rPr>
                <w:color w:val="auto"/>
                <w:sz w:val="20"/>
                <w:szCs w:val="20"/>
                <w:lang w:val="sq-AL"/>
              </w:rPr>
              <w:t>2,091</w:t>
            </w:r>
          </w:p>
        </w:tc>
        <w:tc>
          <w:tcPr>
            <w:tcW w:w="460" w:type="pct"/>
            <w:tcBorders>
              <w:top w:val="nil"/>
              <w:left w:val="nil"/>
              <w:bottom w:val="dotted" w:sz="4" w:space="0" w:color="auto"/>
              <w:right w:val="dotted" w:sz="4" w:space="0" w:color="auto"/>
            </w:tcBorders>
            <w:shd w:val="clear" w:color="000000" w:fill="FFFFFF"/>
            <w:vAlign w:val="center"/>
            <w:hideMark/>
          </w:tcPr>
          <w:p w14:paraId="639A180E" w14:textId="77777777" w:rsidR="002B41BB" w:rsidRPr="004E5A6E" w:rsidRDefault="002B41BB" w:rsidP="002B41BB">
            <w:pPr>
              <w:jc w:val="center"/>
              <w:rPr>
                <w:color w:val="auto"/>
                <w:sz w:val="20"/>
                <w:szCs w:val="20"/>
                <w:lang w:val="sq-AL"/>
              </w:rPr>
            </w:pPr>
            <w:r w:rsidRPr="004E5A6E">
              <w:rPr>
                <w:color w:val="auto"/>
                <w:sz w:val="20"/>
                <w:szCs w:val="20"/>
                <w:lang w:val="sq-AL"/>
              </w:rPr>
              <w:t>2,139</w:t>
            </w:r>
          </w:p>
        </w:tc>
        <w:tc>
          <w:tcPr>
            <w:tcW w:w="460" w:type="pct"/>
            <w:tcBorders>
              <w:top w:val="nil"/>
              <w:left w:val="nil"/>
              <w:bottom w:val="dotted" w:sz="4" w:space="0" w:color="auto"/>
              <w:right w:val="dotted" w:sz="4" w:space="0" w:color="auto"/>
            </w:tcBorders>
            <w:shd w:val="clear" w:color="000000" w:fill="FFFFFF"/>
            <w:vAlign w:val="center"/>
            <w:hideMark/>
          </w:tcPr>
          <w:p w14:paraId="2999B138" w14:textId="77777777" w:rsidR="002B41BB" w:rsidRPr="004E5A6E" w:rsidRDefault="002B41BB" w:rsidP="002B41BB">
            <w:pPr>
              <w:jc w:val="center"/>
              <w:rPr>
                <w:color w:val="auto"/>
                <w:sz w:val="20"/>
                <w:szCs w:val="20"/>
                <w:lang w:val="sq-AL"/>
              </w:rPr>
            </w:pPr>
            <w:r w:rsidRPr="004E5A6E">
              <w:rPr>
                <w:color w:val="auto"/>
                <w:sz w:val="20"/>
                <w:szCs w:val="20"/>
                <w:lang w:val="sq-AL"/>
              </w:rPr>
              <w:t>2,413</w:t>
            </w:r>
          </w:p>
        </w:tc>
        <w:tc>
          <w:tcPr>
            <w:tcW w:w="460" w:type="pct"/>
            <w:tcBorders>
              <w:top w:val="nil"/>
              <w:left w:val="nil"/>
              <w:bottom w:val="dotted" w:sz="4" w:space="0" w:color="auto"/>
              <w:right w:val="dotted" w:sz="4" w:space="0" w:color="auto"/>
            </w:tcBorders>
            <w:shd w:val="clear" w:color="000000" w:fill="FFFFFF"/>
            <w:vAlign w:val="center"/>
            <w:hideMark/>
          </w:tcPr>
          <w:p w14:paraId="08308CE9" w14:textId="77777777" w:rsidR="002B41BB" w:rsidRPr="004E5A6E" w:rsidRDefault="002B41BB" w:rsidP="002B41BB">
            <w:pPr>
              <w:jc w:val="center"/>
              <w:rPr>
                <w:color w:val="auto"/>
                <w:sz w:val="20"/>
                <w:szCs w:val="20"/>
                <w:lang w:val="sq-AL"/>
              </w:rPr>
            </w:pPr>
            <w:r w:rsidRPr="004E5A6E">
              <w:rPr>
                <w:color w:val="auto"/>
                <w:sz w:val="20"/>
                <w:szCs w:val="20"/>
                <w:lang w:val="sq-AL"/>
              </w:rPr>
              <w:t>2,376</w:t>
            </w:r>
          </w:p>
        </w:tc>
        <w:tc>
          <w:tcPr>
            <w:tcW w:w="460" w:type="pct"/>
            <w:tcBorders>
              <w:top w:val="nil"/>
              <w:left w:val="nil"/>
              <w:bottom w:val="dotted" w:sz="4" w:space="0" w:color="auto"/>
              <w:right w:val="double" w:sz="6" w:space="0" w:color="auto"/>
            </w:tcBorders>
            <w:shd w:val="clear" w:color="000000" w:fill="FFFFFF"/>
            <w:vAlign w:val="center"/>
            <w:hideMark/>
          </w:tcPr>
          <w:p w14:paraId="499A78C5" w14:textId="77777777" w:rsidR="002B41BB" w:rsidRPr="004E5A6E" w:rsidRDefault="002B41BB" w:rsidP="002B41BB">
            <w:pPr>
              <w:jc w:val="center"/>
              <w:rPr>
                <w:color w:val="auto"/>
                <w:sz w:val="20"/>
                <w:szCs w:val="20"/>
                <w:lang w:val="sq-AL"/>
              </w:rPr>
            </w:pPr>
            <w:r w:rsidRPr="004E5A6E">
              <w:rPr>
                <w:color w:val="auto"/>
                <w:sz w:val="20"/>
                <w:szCs w:val="20"/>
                <w:lang w:val="sq-AL"/>
              </w:rPr>
              <w:t>2,435</w:t>
            </w:r>
          </w:p>
        </w:tc>
      </w:tr>
      <w:tr w:rsidR="002B41BB" w:rsidRPr="004E5A6E" w14:paraId="18B68C72" w14:textId="77777777" w:rsidTr="002B41BB">
        <w:trPr>
          <w:trHeight w:val="420"/>
        </w:trPr>
        <w:tc>
          <w:tcPr>
            <w:tcW w:w="2082" w:type="pct"/>
            <w:tcBorders>
              <w:top w:val="nil"/>
              <w:left w:val="double" w:sz="6" w:space="0" w:color="auto"/>
              <w:bottom w:val="dotted" w:sz="4" w:space="0" w:color="auto"/>
              <w:right w:val="nil"/>
            </w:tcBorders>
            <w:shd w:val="clear" w:color="000000" w:fill="FFFFFF"/>
            <w:vAlign w:val="center"/>
            <w:hideMark/>
          </w:tcPr>
          <w:p w14:paraId="2374E02F" w14:textId="77777777" w:rsidR="002B41BB" w:rsidRPr="004E5A6E" w:rsidRDefault="002B41BB" w:rsidP="002B41BB">
            <w:pPr>
              <w:rPr>
                <w:color w:val="auto"/>
                <w:sz w:val="20"/>
                <w:szCs w:val="20"/>
                <w:lang w:val="sq-AL"/>
              </w:rPr>
            </w:pPr>
            <w:r w:rsidRPr="004E5A6E">
              <w:rPr>
                <w:color w:val="auto"/>
                <w:sz w:val="20"/>
                <w:szCs w:val="20"/>
                <w:lang w:val="sq-AL"/>
              </w:rPr>
              <w:t>8. Neto Huamarrja/Huadhënja</w:t>
            </w:r>
          </w:p>
        </w:tc>
        <w:tc>
          <w:tcPr>
            <w:tcW w:w="234" w:type="pct"/>
            <w:tcBorders>
              <w:top w:val="nil"/>
              <w:left w:val="nil"/>
              <w:bottom w:val="dotted" w:sz="4" w:space="0" w:color="auto"/>
              <w:right w:val="single" w:sz="8" w:space="0" w:color="auto"/>
            </w:tcBorders>
            <w:shd w:val="clear" w:color="000000" w:fill="FFFFFF"/>
            <w:vAlign w:val="center"/>
            <w:hideMark/>
          </w:tcPr>
          <w:p w14:paraId="55C9328E"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383" w:type="pct"/>
            <w:tcBorders>
              <w:top w:val="nil"/>
              <w:left w:val="nil"/>
              <w:bottom w:val="dotted" w:sz="4" w:space="0" w:color="auto"/>
              <w:right w:val="single" w:sz="8" w:space="0" w:color="auto"/>
            </w:tcBorders>
            <w:shd w:val="clear" w:color="000000" w:fill="FFFFFF"/>
            <w:vAlign w:val="center"/>
            <w:hideMark/>
          </w:tcPr>
          <w:p w14:paraId="22A5565E" w14:textId="77777777" w:rsidR="002B41BB" w:rsidRPr="004E5A6E" w:rsidRDefault="002B41BB" w:rsidP="002B41BB">
            <w:pPr>
              <w:jc w:val="center"/>
              <w:rPr>
                <w:color w:val="auto"/>
                <w:sz w:val="20"/>
                <w:szCs w:val="20"/>
                <w:lang w:val="sq-AL"/>
              </w:rPr>
            </w:pPr>
            <w:r w:rsidRPr="004E5A6E">
              <w:rPr>
                <w:color w:val="auto"/>
                <w:sz w:val="20"/>
                <w:szCs w:val="20"/>
                <w:lang w:val="sq-AL"/>
              </w:rPr>
              <w:t>EDP.B9</w:t>
            </w:r>
          </w:p>
        </w:tc>
        <w:tc>
          <w:tcPr>
            <w:tcW w:w="460" w:type="pct"/>
            <w:tcBorders>
              <w:top w:val="nil"/>
              <w:left w:val="nil"/>
              <w:bottom w:val="dotted" w:sz="4" w:space="0" w:color="auto"/>
              <w:right w:val="dotted" w:sz="4" w:space="0" w:color="auto"/>
            </w:tcBorders>
            <w:shd w:val="clear" w:color="000000" w:fill="FFFFFF"/>
            <w:vAlign w:val="center"/>
            <w:hideMark/>
          </w:tcPr>
          <w:p w14:paraId="3BEF1363" w14:textId="77777777" w:rsidR="002B41BB" w:rsidRPr="004E5A6E" w:rsidRDefault="002B41BB" w:rsidP="002B41BB">
            <w:pPr>
              <w:jc w:val="center"/>
              <w:rPr>
                <w:color w:val="auto"/>
                <w:sz w:val="20"/>
                <w:szCs w:val="20"/>
                <w:lang w:val="sq-AL"/>
              </w:rPr>
            </w:pPr>
            <w:r w:rsidRPr="004E5A6E">
              <w:rPr>
                <w:color w:val="auto"/>
                <w:sz w:val="20"/>
                <w:szCs w:val="20"/>
                <w:lang w:val="sq-AL"/>
              </w:rPr>
              <w:t>-205</w:t>
            </w:r>
          </w:p>
        </w:tc>
        <w:tc>
          <w:tcPr>
            <w:tcW w:w="460" w:type="pct"/>
            <w:tcBorders>
              <w:top w:val="nil"/>
              <w:left w:val="nil"/>
              <w:bottom w:val="dotted" w:sz="4" w:space="0" w:color="auto"/>
              <w:right w:val="dotted" w:sz="4" w:space="0" w:color="auto"/>
            </w:tcBorders>
            <w:shd w:val="clear" w:color="000000" w:fill="FFFFFF"/>
            <w:vAlign w:val="center"/>
            <w:hideMark/>
          </w:tcPr>
          <w:p w14:paraId="5DC7A27E" w14:textId="77777777" w:rsidR="002B41BB" w:rsidRPr="004E5A6E" w:rsidRDefault="002B41BB" w:rsidP="002B41BB">
            <w:pPr>
              <w:jc w:val="center"/>
              <w:rPr>
                <w:color w:val="auto"/>
                <w:sz w:val="20"/>
                <w:szCs w:val="20"/>
                <w:lang w:val="sq-AL"/>
              </w:rPr>
            </w:pPr>
            <w:r w:rsidRPr="004E5A6E">
              <w:rPr>
                <w:color w:val="auto"/>
                <w:sz w:val="20"/>
                <w:szCs w:val="20"/>
                <w:lang w:val="sq-AL"/>
              </w:rPr>
              <w:t>-254</w:t>
            </w:r>
          </w:p>
        </w:tc>
        <w:tc>
          <w:tcPr>
            <w:tcW w:w="460" w:type="pct"/>
            <w:tcBorders>
              <w:top w:val="nil"/>
              <w:left w:val="nil"/>
              <w:bottom w:val="dotted" w:sz="4" w:space="0" w:color="auto"/>
              <w:right w:val="dotted" w:sz="4" w:space="0" w:color="auto"/>
            </w:tcBorders>
            <w:shd w:val="clear" w:color="000000" w:fill="FFFFFF"/>
            <w:vAlign w:val="center"/>
            <w:hideMark/>
          </w:tcPr>
          <w:p w14:paraId="4EB19A55" w14:textId="77777777" w:rsidR="002B41BB" w:rsidRPr="004E5A6E" w:rsidRDefault="002B41BB" w:rsidP="002B41BB">
            <w:pPr>
              <w:jc w:val="center"/>
              <w:rPr>
                <w:color w:val="auto"/>
                <w:sz w:val="20"/>
                <w:szCs w:val="20"/>
                <w:lang w:val="sq-AL"/>
              </w:rPr>
            </w:pPr>
            <w:r w:rsidRPr="004E5A6E">
              <w:rPr>
                <w:color w:val="auto"/>
                <w:sz w:val="20"/>
                <w:szCs w:val="20"/>
                <w:lang w:val="sq-AL"/>
              </w:rPr>
              <w:t>-527</w:t>
            </w:r>
          </w:p>
        </w:tc>
        <w:tc>
          <w:tcPr>
            <w:tcW w:w="460" w:type="pct"/>
            <w:tcBorders>
              <w:top w:val="nil"/>
              <w:left w:val="nil"/>
              <w:bottom w:val="dotted" w:sz="4" w:space="0" w:color="auto"/>
              <w:right w:val="dotted" w:sz="4" w:space="0" w:color="auto"/>
            </w:tcBorders>
            <w:shd w:val="clear" w:color="000000" w:fill="FFFFFF"/>
            <w:vAlign w:val="center"/>
            <w:hideMark/>
          </w:tcPr>
          <w:p w14:paraId="0E7A9190" w14:textId="77777777" w:rsidR="002B41BB" w:rsidRPr="004E5A6E" w:rsidRDefault="002B41BB" w:rsidP="002B41BB">
            <w:pPr>
              <w:jc w:val="center"/>
              <w:rPr>
                <w:color w:val="auto"/>
                <w:sz w:val="20"/>
                <w:szCs w:val="20"/>
                <w:lang w:val="sq-AL"/>
              </w:rPr>
            </w:pPr>
            <w:r w:rsidRPr="004E5A6E">
              <w:rPr>
                <w:color w:val="auto"/>
                <w:sz w:val="20"/>
                <w:szCs w:val="20"/>
                <w:lang w:val="sq-AL"/>
              </w:rPr>
              <w:t>-374</w:t>
            </w:r>
          </w:p>
        </w:tc>
        <w:tc>
          <w:tcPr>
            <w:tcW w:w="460" w:type="pct"/>
            <w:tcBorders>
              <w:top w:val="nil"/>
              <w:left w:val="nil"/>
              <w:bottom w:val="dotted" w:sz="4" w:space="0" w:color="auto"/>
              <w:right w:val="double" w:sz="6" w:space="0" w:color="auto"/>
            </w:tcBorders>
            <w:shd w:val="clear" w:color="000000" w:fill="FFFFFF"/>
            <w:vAlign w:val="center"/>
            <w:hideMark/>
          </w:tcPr>
          <w:p w14:paraId="0F2EFD42" w14:textId="77777777" w:rsidR="002B41BB" w:rsidRPr="004E5A6E" w:rsidRDefault="002B41BB" w:rsidP="002B41BB">
            <w:pPr>
              <w:jc w:val="center"/>
              <w:rPr>
                <w:color w:val="auto"/>
                <w:sz w:val="20"/>
                <w:szCs w:val="20"/>
                <w:lang w:val="sq-AL"/>
              </w:rPr>
            </w:pPr>
            <w:r w:rsidRPr="004E5A6E">
              <w:rPr>
                <w:color w:val="auto"/>
                <w:sz w:val="20"/>
                <w:szCs w:val="20"/>
                <w:lang w:val="sq-AL"/>
              </w:rPr>
              <w:t>-337</w:t>
            </w:r>
          </w:p>
        </w:tc>
      </w:tr>
      <w:tr w:rsidR="002B41BB" w:rsidRPr="004E5A6E" w14:paraId="2AFF50B6" w14:textId="77777777" w:rsidTr="002B41BB">
        <w:trPr>
          <w:trHeight w:val="375"/>
        </w:trPr>
        <w:tc>
          <w:tcPr>
            <w:tcW w:w="2082" w:type="pct"/>
            <w:tcBorders>
              <w:top w:val="nil"/>
              <w:left w:val="double" w:sz="6" w:space="0" w:color="auto"/>
              <w:bottom w:val="dotted" w:sz="4" w:space="0" w:color="auto"/>
              <w:right w:val="nil"/>
            </w:tcBorders>
            <w:shd w:val="clear" w:color="000000" w:fill="FFFFFF"/>
            <w:vAlign w:val="center"/>
            <w:hideMark/>
          </w:tcPr>
          <w:p w14:paraId="2E369F1F" w14:textId="77777777" w:rsidR="002B41BB" w:rsidRPr="004E5A6E" w:rsidRDefault="002B41BB" w:rsidP="002B41BB">
            <w:pPr>
              <w:rPr>
                <w:color w:val="auto"/>
                <w:sz w:val="20"/>
                <w:szCs w:val="20"/>
                <w:lang w:val="sq-AL"/>
              </w:rPr>
            </w:pPr>
            <w:r w:rsidRPr="004E5A6E">
              <w:rPr>
                <w:color w:val="auto"/>
                <w:sz w:val="20"/>
                <w:szCs w:val="20"/>
                <w:lang w:val="sq-AL"/>
              </w:rPr>
              <w:t>9. Shpenzimet e Interesit</w:t>
            </w:r>
          </w:p>
        </w:tc>
        <w:tc>
          <w:tcPr>
            <w:tcW w:w="234" w:type="pct"/>
            <w:tcBorders>
              <w:top w:val="nil"/>
              <w:left w:val="nil"/>
              <w:bottom w:val="dotted" w:sz="4" w:space="0" w:color="auto"/>
              <w:right w:val="single" w:sz="8" w:space="0" w:color="auto"/>
            </w:tcBorders>
            <w:shd w:val="clear" w:color="000000" w:fill="FFFFFF"/>
            <w:vAlign w:val="center"/>
            <w:hideMark/>
          </w:tcPr>
          <w:p w14:paraId="00833A76"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383" w:type="pct"/>
            <w:tcBorders>
              <w:top w:val="nil"/>
              <w:left w:val="nil"/>
              <w:bottom w:val="dotted" w:sz="4" w:space="0" w:color="auto"/>
              <w:right w:val="single" w:sz="8" w:space="0" w:color="auto"/>
            </w:tcBorders>
            <w:shd w:val="clear" w:color="000000" w:fill="FFFFFF"/>
            <w:vAlign w:val="center"/>
            <w:hideMark/>
          </w:tcPr>
          <w:p w14:paraId="45667E4F" w14:textId="77777777" w:rsidR="002B41BB" w:rsidRPr="004E5A6E" w:rsidRDefault="002B41BB" w:rsidP="002B41BB">
            <w:pPr>
              <w:jc w:val="center"/>
              <w:rPr>
                <w:color w:val="auto"/>
                <w:sz w:val="20"/>
                <w:szCs w:val="20"/>
                <w:lang w:val="sq-AL"/>
              </w:rPr>
            </w:pPr>
            <w:r w:rsidRPr="004E5A6E">
              <w:rPr>
                <w:color w:val="auto"/>
                <w:sz w:val="20"/>
                <w:szCs w:val="20"/>
                <w:lang w:val="sq-AL"/>
              </w:rPr>
              <w:t>EDP.D41 incl. FISIM</w:t>
            </w:r>
          </w:p>
        </w:tc>
        <w:tc>
          <w:tcPr>
            <w:tcW w:w="460" w:type="pct"/>
            <w:tcBorders>
              <w:top w:val="nil"/>
              <w:left w:val="nil"/>
              <w:bottom w:val="dotted" w:sz="4" w:space="0" w:color="auto"/>
              <w:right w:val="dotted" w:sz="4" w:space="0" w:color="auto"/>
            </w:tcBorders>
            <w:shd w:val="clear" w:color="000000" w:fill="FFFFFF"/>
            <w:vAlign w:val="center"/>
            <w:hideMark/>
          </w:tcPr>
          <w:p w14:paraId="08087472" w14:textId="77777777" w:rsidR="002B41BB" w:rsidRPr="004E5A6E" w:rsidRDefault="002B41BB" w:rsidP="002B41BB">
            <w:pPr>
              <w:jc w:val="center"/>
              <w:rPr>
                <w:color w:val="auto"/>
                <w:sz w:val="20"/>
                <w:szCs w:val="20"/>
                <w:lang w:val="sq-AL"/>
              </w:rPr>
            </w:pPr>
            <w:r w:rsidRPr="004E5A6E">
              <w:rPr>
                <w:color w:val="auto"/>
                <w:sz w:val="20"/>
                <w:szCs w:val="20"/>
                <w:lang w:val="sq-AL"/>
              </w:rPr>
              <w:t>23</w:t>
            </w:r>
          </w:p>
        </w:tc>
        <w:tc>
          <w:tcPr>
            <w:tcW w:w="460" w:type="pct"/>
            <w:tcBorders>
              <w:top w:val="nil"/>
              <w:left w:val="nil"/>
              <w:bottom w:val="dotted" w:sz="4" w:space="0" w:color="auto"/>
              <w:right w:val="dotted" w:sz="4" w:space="0" w:color="auto"/>
            </w:tcBorders>
            <w:shd w:val="clear" w:color="000000" w:fill="FFFFFF"/>
            <w:vAlign w:val="center"/>
            <w:hideMark/>
          </w:tcPr>
          <w:p w14:paraId="4767ECE4" w14:textId="77777777" w:rsidR="002B41BB" w:rsidRPr="004E5A6E" w:rsidRDefault="002B41BB" w:rsidP="002B41BB">
            <w:pPr>
              <w:jc w:val="center"/>
              <w:rPr>
                <w:color w:val="auto"/>
                <w:sz w:val="20"/>
                <w:szCs w:val="20"/>
                <w:lang w:val="sq-AL"/>
              </w:rPr>
            </w:pPr>
            <w:r w:rsidRPr="004E5A6E">
              <w:rPr>
                <w:color w:val="auto"/>
                <w:sz w:val="20"/>
                <w:szCs w:val="20"/>
                <w:lang w:val="sq-AL"/>
              </w:rPr>
              <w:t>29</w:t>
            </w:r>
          </w:p>
        </w:tc>
        <w:tc>
          <w:tcPr>
            <w:tcW w:w="460" w:type="pct"/>
            <w:tcBorders>
              <w:top w:val="nil"/>
              <w:left w:val="nil"/>
              <w:bottom w:val="dotted" w:sz="4" w:space="0" w:color="auto"/>
              <w:right w:val="dotted" w:sz="4" w:space="0" w:color="auto"/>
            </w:tcBorders>
            <w:shd w:val="clear" w:color="000000" w:fill="FFFFFF"/>
            <w:vAlign w:val="center"/>
            <w:hideMark/>
          </w:tcPr>
          <w:p w14:paraId="78F7B87F" w14:textId="77777777" w:rsidR="002B41BB" w:rsidRPr="004E5A6E" w:rsidRDefault="002B41BB" w:rsidP="002B41BB">
            <w:pPr>
              <w:jc w:val="center"/>
              <w:rPr>
                <w:color w:val="auto"/>
                <w:sz w:val="20"/>
                <w:szCs w:val="20"/>
                <w:lang w:val="sq-AL"/>
              </w:rPr>
            </w:pPr>
            <w:r w:rsidRPr="004E5A6E">
              <w:rPr>
                <w:color w:val="auto"/>
                <w:sz w:val="20"/>
                <w:szCs w:val="20"/>
                <w:lang w:val="sq-AL"/>
              </w:rPr>
              <w:t>39</w:t>
            </w:r>
          </w:p>
        </w:tc>
        <w:tc>
          <w:tcPr>
            <w:tcW w:w="460" w:type="pct"/>
            <w:tcBorders>
              <w:top w:val="nil"/>
              <w:left w:val="nil"/>
              <w:bottom w:val="dotted" w:sz="4" w:space="0" w:color="auto"/>
              <w:right w:val="dotted" w:sz="4" w:space="0" w:color="auto"/>
            </w:tcBorders>
            <w:shd w:val="clear" w:color="000000" w:fill="FFFFFF"/>
            <w:vAlign w:val="center"/>
            <w:hideMark/>
          </w:tcPr>
          <w:p w14:paraId="526DDFE3" w14:textId="77777777" w:rsidR="002B41BB" w:rsidRPr="004E5A6E" w:rsidRDefault="002B41BB" w:rsidP="002B41BB">
            <w:pPr>
              <w:jc w:val="center"/>
              <w:rPr>
                <w:color w:val="auto"/>
                <w:sz w:val="20"/>
                <w:szCs w:val="20"/>
                <w:lang w:val="sq-AL"/>
              </w:rPr>
            </w:pPr>
            <w:r w:rsidRPr="004E5A6E">
              <w:rPr>
                <w:color w:val="auto"/>
                <w:sz w:val="20"/>
                <w:szCs w:val="20"/>
                <w:lang w:val="sq-AL"/>
              </w:rPr>
              <w:t>49</w:t>
            </w:r>
          </w:p>
        </w:tc>
        <w:tc>
          <w:tcPr>
            <w:tcW w:w="460" w:type="pct"/>
            <w:tcBorders>
              <w:top w:val="nil"/>
              <w:left w:val="nil"/>
              <w:bottom w:val="dotted" w:sz="4" w:space="0" w:color="auto"/>
              <w:right w:val="double" w:sz="6" w:space="0" w:color="auto"/>
            </w:tcBorders>
            <w:shd w:val="clear" w:color="000000" w:fill="FFFFFF"/>
            <w:vAlign w:val="center"/>
            <w:hideMark/>
          </w:tcPr>
          <w:p w14:paraId="5C32FC20" w14:textId="77777777" w:rsidR="002B41BB" w:rsidRPr="004E5A6E" w:rsidRDefault="002B41BB" w:rsidP="002B41BB">
            <w:pPr>
              <w:jc w:val="center"/>
              <w:rPr>
                <w:color w:val="auto"/>
                <w:sz w:val="20"/>
                <w:szCs w:val="20"/>
                <w:lang w:val="sq-AL"/>
              </w:rPr>
            </w:pPr>
            <w:r w:rsidRPr="004E5A6E">
              <w:rPr>
                <w:color w:val="auto"/>
                <w:sz w:val="20"/>
                <w:szCs w:val="20"/>
                <w:lang w:val="sq-AL"/>
              </w:rPr>
              <w:t>61</w:t>
            </w:r>
          </w:p>
        </w:tc>
      </w:tr>
      <w:tr w:rsidR="002B41BB" w:rsidRPr="004E5A6E" w14:paraId="537D3607" w14:textId="77777777" w:rsidTr="002B41BB">
        <w:trPr>
          <w:trHeight w:val="465"/>
        </w:trPr>
        <w:tc>
          <w:tcPr>
            <w:tcW w:w="2082" w:type="pct"/>
            <w:tcBorders>
              <w:top w:val="nil"/>
              <w:left w:val="double" w:sz="6" w:space="0" w:color="auto"/>
              <w:bottom w:val="dotted" w:sz="4" w:space="0" w:color="auto"/>
              <w:right w:val="nil"/>
            </w:tcBorders>
            <w:shd w:val="clear" w:color="000000" w:fill="FFFFFF"/>
            <w:vAlign w:val="center"/>
            <w:hideMark/>
          </w:tcPr>
          <w:p w14:paraId="1FC81DFA" w14:textId="77777777" w:rsidR="002B41BB" w:rsidRPr="004E5A6E" w:rsidRDefault="002B41BB" w:rsidP="002B41BB">
            <w:pPr>
              <w:rPr>
                <w:color w:val="auto"/>
                <w:sz w:val="20"/>
                <w:szCs w:val="20"/>
                <w:lang w:val="sq-AL"/>
              </w:rPr>
            </w:pPr>
            <w:r w:rsidRPr="004E5A6E">
              <w:rPr>
                <w:color w:val="auto"/>
                <w:sz w:val="20"/>
                <w:szCs w:val="20"/>
                <w:lang w:val="sq-AL"/>
              </w:rPr>
              <w:lastRenderedPageBreak/>
              <w:t>10. Bilanci Primar[2]</w:t>
            </w:r>
          </w:p>
        </w:tc>
        <w:tc>
          <w:tcPr>
            <w:tcW w:w="234" w:type="pct"/>
            <w:tcBorders>
              <w:top w:val="nil"/>
              <w:left w:val="nil"/>
              <w:bottom w:val="dotted" w:sz="4" w:space="0" w:color="auto"/>
              <w:right w:val="single" w:sz="8" w:space="0" w:color="auto"/>
            </w:tcBorders>
            <w:shd w:val="clear" w:color="000000" w:fill="FFFFFF"/>
            <w:vAlign w:val="center"/>
            <w:hideMark/>
          </w:tcPr>
          <w:p w14:paraId="5B32BAB6"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383" w:type="pct"/>
            <w:tcBorders>
              <w:top w:val="nil"/>
              <w:left w:val="nil"/>
              <w:bottom w:val="dotted" w:sz="4" w:space="0" w:color="auto"/>
              <w:right w:val="single" w:sz="8" w:space="0" w:color="auto"/>
            </w:tcBorders>
            <w:shd w:val="clear" w:color="000000" w:fill="FFFFFF"/>
            <w:vAlign w:val="center"/>
            <w:hideMark/>
          </w:tcPr>
          <w:p w14:paraId="4431CF7A"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460" w:type="pct"/>
            <w:tcBorders>
              <w:top w:val="nil"/>
              <w:left w:val="nil"/>
              <w:bottom w:val="dotted" w:sz="4" w:space="0" w:color="auto"/>
              <w:right w:val="dotted" w:sz="4" w:space="0" w:color="auto"/>
            </w:tcBorders>
            <w:shd w:val="clear" w:color="000000" w:fill="FFFFFF"/>
            <w:vAlign w:val="center"/>
            <w:hideMark/>
          </w:tcPr>
          <w:p w14:paraId="45F162B9" w14:textId="77777777" w:rsidR="002B41BB" w:rsidRPr="004E5A6E" w:rsidRDefault="002B41BB" w:rsidP="002B41BB">
            <w:pPr>
              <w:jc w:val="center"/>
              <w:rPr>
                <w:color w:val="auto"/>
                <w:sz w:val="20"/>
                <w:szCs w:val="20"/>
                <w:lang w:val="sq-AL"/>
              </w:rPr>
            </w:pPr>
            <w:r w:rsidRPr="004E5A6E">
              <w:rPr>
                <w:color w:val="auto"/>
                <w:sz w:val="20"/>
                <w:szCs w:val="20"/>
                <w:lang w:val="sq-AL"/>
              </w:rPr>
              <w:t>-182</w:t>
            </w:r>
          </w:p>
        </w:tc>
        <w:tc>
          <w:tcPr>
            <w:tcW w:w="460" w:type="pct"/>
            <w:tcBorders>
              <w:top w:val="nil"/>
              <w:left w:val="nil"/>
              <w:bottom w:val="dotted" w:sz="4" w:space="0" w:color="auto"/>
              <w:right w:val="dotted" w:sz="4" w:space="0" w:color="auto"/>
            </w:tcBorders>
            <w:shd w:val="clear" w:color="000000" w:fill="FFFFFF"/>
            <w:vAlign w:val="center"/>
            <w:hideMark/>
          </w:tcPr>
          <w:p w14:paraId="58652028" w14:textId="77777777" w:rsidR="002B41BB" w:rsidRPr="004E5A6E" w:rsidRDefault="002B41BB" w:rsidP="002B41BB">
            <w:pPr>
              <w:jc w:val="center"/>
              <w:rPr>
                <w:color w:val="auto"/>
                <w:sz w:val="20"/>
                <w:szCs w:val="20"/>
                <w:lang w:val="sq-AL"/>
              </w:rPr>
            </w:pPr>
            <w:r w:rsidRPr="004E5A6E">
              <w:rPr>
                <w:color w:val="auto"/>
                <w:sz w:val="20"/>
                <w:szCs w:val="20"/>
                <w:lang w:val="sq-AL"/>
              </w:rPr>
              <w:t>-225</w:t>
            </w:r>
          </w:p>
        </w:tc>
        <w:tc>
          <w:tcPr>
            <w:tcW w:w="460" w:type="pct"/>
            <w:tcBorders>
              <w:top w:val="nil"/>
              <w:left w:val="nil"/>
              <w:bottom w:val="dotted" w:sz="4" w:space="0" w:color="auto"/>
              <w:right w:val="dotted" w:sz="4" w:space="0" w:color="auto"/>
            </w:tcBorders>
            <w:shd w:val="clear" w:color="000000" w:fill="FFFFFF"/>
            <w:vAlign w:val="center"/>
            <w:hideMark/>
          </w:tcPr>
          <w:p w14:paraId="3A8F8D47" w14:textId="77777777" w:rsidR="002B41BB" w:rsidRPr="004E5A6E" w:rsidRDefault="002B41BB" w:rsidP="002B41BB">
            <w:pPr>
              <w:jc w:val="center"/>
              <w:rPr>
                <w:color w:val="auto"/>
                <w:sz w:val="20"/>
                <w:szCs w:val="20"/>
                <w:lang w:val="sq-AL"/>
              </w:rPr>
            </w:pPr>
            <w:r w:rsidRPr="004E5A6E">
              <w:rPr>
                <w:color w:val="auto"/>
                <w:sz w:val="20"/>
                <w:szCs w:val="20"/>
                <w:lang w:val="sq-AL"/>
              </w:rPr>
              <w:t>-488</w:t>
            </w:r>
          </w:p>
        </w:tc>
        <w:tc>
          <w:tcPr>
            <w:tcW w:w="460" w:type="pct"/>
            <w:tcBorders>
              <w:top w:val="nil"/>
              <w:left w:val="nil"/>
              <w:bottom w:val="dotted" w:sz="4" w:space="0" w:color="auto"/>
              <w:right w:val="dotted" w:sz="4" w:space="0" w:color="auto"/>
            </w:tcBorders>
            <w:shd w:val="clear" w:color="000000" w:fill="FFFFFF"/>
            <w:vAlign w:val="center"/>
            <w:hideMark/>
          </w:tcPr>
          <w:p w14:paraId="302BA21A" w14:textId="77777777" w:rsidR="002B41BB" w:rsidRPr="004E5A6E" w:rsidRDefault="002B41BB" w:rsidP="002B41BB">
            <w:pPr>
              <w:jc w:val="center"/>
              <w:rPr>
                <w:color w:val="auto"/>
                <w:sz w:val="20"/>
                <w:szCs w:val="20"/>
                <w:lang w:val="sq-AL"/>
              </w:rPr>
            </w:pPr>
            <w:r w:rsidRPr="004E5A6E">
              <w:rPr>
                <w:color w:val="auto"/>
                <w:sz w:val="20"/>
                <w:szCs w:val="20"/>
                <w:lang w:val="sq-AL"/>
              </w:rPr>
              <w:t>-325</w:t>
            </w:r>
          </w:p>
        </w:tc>
        <w:tc>
          <w:tcPr>
            <w:tcW w:w="460" w:type="pct"/>
            <w:tcBorders>
              <w:top w:val="nil"/>
              <w:left w:val="nil"/>
              <w:bottom w:val="dotted" w:sz="4" w:space="0" w:color="auto"/>
              <w:right w:val="double" w:sz="6" w:space="0" w:color="auto"/>
            </w:tcBorders>
            <w:shd w:val="clear" w:color="000000" w:fill="FFFFFF"/>
            <w:vAlign w:val="center"/>
            <w:hideMark/>
          </w:tcPr>
          <w:p w14:paraId="14F699F6" w14:textId="77777777" w:rsidR="002B41BB" w:rsidRPr="004E5A6E" w:rsidRDefault="002B41BB" w:rsidP="002B41BB">
            <w:pPr>
              <w:jc w:val="center"/>
              <w:rPr>
                <w:color w:val="auto"/>
                <w:sz w:val="20"/>
                <w:szCs w:val="20"/>
                <w:lang w:val="sq-AL"/>
              </w:rPr>
            </w:pPr>
            <w:r w:rsidRPr="004E5A6E">
              <w:rPr>
                <w:color w:val="auto"/>
                <w:sz w:val="20"/>
                <w:szCs w:val="20"/>
                <w:lang w:val="sq-AL"/>
              </w:rPr>
              <w:t>-276</w:t>
            </w:r>
          </w:p>
        </w:tc>
      </w:tr>
      <w:tr w:rsidR="002B41BB" w:rsidRPr="004E5A6E" w14:paraId="1C6E95D6" w14:textId="77777777" w:rsidTr="002B41BB">
        <w:trPr>
          <w:trHeight w:val="540"/>
        </w:trPr>
        <w:tc>
          <w:tcPr>
            <w:tcW w:w="2082" w:type="pct"/>
            <w:tcBorders>
              <w:top w:val="nil"/>
              <w:left w:val="double" w:sz="6" w:space="0" w:color="auto"/>
              <w:bottom w:val="single" w:sz="8" w:space="0" w:color="auto"/>
              <w:right w:val="nil"/>
            </w:tcBorders>
            <w:shd w:val="clear" w:color="000000" w:fill="FFFFFF"/>
            <w:vAlign w:val="center"/>
            <w:hideMark/>
          </w:tcPr>
          <w:p w14:paraId="058E8536" w14:textId="77777777" w:rsidR="002B41BB" w:rsidRPr="004E5A6E" w:rsidRDefault="002B41BB" w:rsidP="002B41BB">
            <w:pPr>
              <w:rPr>
                <w:color w:val="auto"/>
                <w:sz w:val="20"/>
                <w:szCs w:val="20"/>
                <w:lang w:val="sq-AL"/>
              </w:rPr>
            </w:pPr>
            <w:r w:rsidRPr="004E5A6E">
              <w:rPr>
                <w:color w:val="auto"/>
                <w:sz w:val="20"/>
                <w:szCs w:val="20"/>
                <w:lang w:val="sq-AL"/>
              </w:rPr>
              <w:t>11. Masat e njëhershme dhe masat e</w:t>
            </w:r>
            <w:r w:rsidRPr="004E5A6E">
              <w:rPr>
                <w:color w:val="auto"/>
                <w:sz w:val="20"/>
                <w:szCs w:val="20"/>
                <w:lang w:val="sq-AL"/>
              </w:rPr>
              <w:br/>
              <w:t>përkohshme[3]</w:t>
            </w:r>
          </w:p>
        </w:tc>
        <w:tc>
          <w:tcPr>
            <w:tcW w:w="234" w:type="pct"/>
            <w:tcBorders>
              <w:top w:val="nil"/>
              <w:left w:val="nil"/>
              <w:bottom w:val="single" w:sz="8" w:space="0" w:color="auto"/>
              <w:right w:val="single" w:sz="8" w:space="0" w:color="auto"/>
            </w:tcBorders>
            <w:shd w:val="clear" w:color="000000" w:fill="FFFFFF"/>
            <w:vAlign w:val="center"/>
            <w:hideMark/>
          </w:tcPr>
          <w:p w14:paraId="479913DA"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383" w:type="pct"/>
            <w:tcBorders>
              <w:top w:val="nil"/>
              <w:left w:val="nil"/>
              <w:bottom w:val="single" w:sz="8" w:space="0" w:color="auto"/>
              <w:right w:val="single" w:sz="8" w:space="0" w:color="auto"/>
            </w:tcBorders>
            <w:shd w:val="clear" w:color="000000" w:fill="FFFFFF"/>
            <w:vAlign w:val="center"/>
            <w:hideMark/>
          </w:tcPr>
          <w:p w14:paraId="569B649E"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460" w:type="pct"/>
            <w:tcBorders>
              <w:top w:val="nil"/>
              <w:left w:val="nil"/>
              <w:bottom w:val="single" w:sz="8" w:space="0" w:color="auto"/>
              <w:right w:val="dotted" w:sz="4" w:space="0" w:color="auto"/>
            </w:tcBorders>
            <w:shd w:val="clear" w:color="000000" w:fill="FFFFFF"/>
            <w:vAlign w:val="center"/>
            <w:hideMark/>
          </w:tcPr>
          <w:p w14:paraId="226FD3BF"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60" w:type="pct"/>
            <w:tcBorders>
              <w:top w:val="nil"/>
              <w:left w:val="nil"/>
              <w:bottom w:val="single" w:sz="8" w:space="0" w:color="auto"/>
              <w:right w:val="dotted" w:sz="4" w:space="0" w:color="auto"/>
            </w:tcBorders>
            <w:shd w:val="clear" w:color="000000" w:fill="FFFFFF"/>
            <w:vAlign w:val="center"/>
            <w:hideMark/>
          </w:tcPr>
          <w:p w14:paraId="371B11C4"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60" w:type="pct"/>
            <w:tcBorders>
              <w:top w:val="nil"/>
              <w:left w:val="nil"/>
              <w:bottom w:val="single" w:sz="8" w:space="0" w:color="auto"/>
              <w:right w:val="dotted" w:sz="4" w:space="0" w:color="auto"/>
            </w:tcBorders>
            <w:shd w:val="clear" w:color="000000" w:fill="FFFFFF"/>
            <w:vAlign w:val="center"/>
            <w:hideMark/>
          </w:tcPr>
          <w:p w14:paraId="24855BB4"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60" w:type="pct"/>
            <w:tcBorders>
              <w:top w:val="nil"/>
              <w:left w:val="nil"/>
              <w:bottom w:val="single" w:sz="8" w:space="0" w:color="auto"/>
              <w:right w:val="dotted" w:sz="4" w:space="0" w:color="auto"/>
            </w:tcBorders>
            <w:shd w:val="clear" w:color="000000" w:fill="FFFFFF"/>
            <w:vAlign w:val="center"/>
            <w:hideMark/>
          </w:tcPr>
          <w:p w14:paraId="2B1BD784"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60" w:type="pct"/>
            <w:tcBorders>
              <w:top w:val="nil"/>
              <w:left w:val="nil"/>
              <w:bottom w:val="single" w:sz="8" w:space="0" w:color="auto"/>
              <w:right w:val="double" w:sz="6" w:space="0" w:color="auto"/>
            </w:tcBorders>
            <w:shd w:val="clear" w:color="000000" w:fill="FFFFFF"/>
            <w:vAlign w:val="center"/>
            <w:hideMark/>
          </w:tcPr>
          <w:p w14:paraId="6627B599"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r w:rsidR="002B41BB" w:rsidRPr="004E5A6E" w14:paraId="43257019" w14:textId="77777777" w:rsidTr="002B41BB">
        <w:trPr>
          <w:trHeight w:val="420"/>
        </w:trPr>
        <w:tc>
          <w:tcPr>
            <w:tcW w:w="5000" w:type="pct"/>
            <w:gridSpan w:val="8"/>
            <w:tcBorders>
              <w:top w:val="single" w:sz="8" w:space="0" w:color="auto"/>
              <w:left w:val="double" w:sz="6" w:space="0" w:color="auto"/>
              <w:bottom w:val="single" w:sz="8" w:space="0" w:color="auto"/>
              <w:right w:val="double" w:sz="6" w:space="0" w:color="000000"/>
            </w:tcBorders>
            <w:shd w:val="clear" w:color="000000" w:fill="FFFFFF"/>
            <w:vAlign w:val="center"/>
            <w:hideMark/>
          </w:tcPr>
          <w:p w14:paraId="5976F1C1" w14:textId="77777777" w:rsidR="002B41BB" w:rsidRPr="004E5A6E" w:rsidRDefault="002B41BB" w:rsidP="002B41BB">
            <w:pPr>
              <w:jc w:val="center"/>
              <w:rPr>
                <w:b/>
                <w:bCs/>
                <w:color w:val="auto"/>
                <w:sz w:val="20"/>
                <w:szCs w:val="20"/>
                <w:lang w:val="sq-AL"/>
              </w:rPr>
            </w:pPr>
            <w:r w:rsidRPr="004E5A6E">
              <w:rPr>
                <w:b/>
                <w:bCs/>
                <w:color w:val="auto"/>
                <w:sz w:val="20"/>
                <w:szCs w:val="20"/>
                <w:lang w:val="sq-AL"/>
              </w:rPr>
              <w:t>Komponentët e të hyrave</w:t>
            </w:r>
          </w:p>
        </w:tc>
      </w:tr>
      <w:tr w:rsidR="002B41BB" w:rsidRPr="004E5A6E" w14:paraId="39126AC0" w14:textId="77777777" w:rsidTr="002B41BB">
        <w:trPr>
          <w:trHeight w:val="420"/>
        </w:trPr>
        <w:tc>
          <w:tcPr>
            <w:tcW w:w="2082" w:type="pct"/>
            <w:tcBorders>
              <w:top w:val="nil"/>
              <w:left w:val="double" w:sz="6" w:space="0" w:color="auto"/>
              <w:bottom w:val="dotted" w:sz="4" w:space="0" w:color="auto"/>
              <w:right w:val="nil"/>
            </w:tcBorders>
            <w:shd w:val="clear" w:color="000000" w:fill="FFFFFF"/>
            <w:vAlign w:val="center"/>
            <w:hideMark/>
          </w:tcPr>
          <w:p w14:paraId="0E4A5A02" w14:textId="77777777" w:rsidR="002B41BB" w:rsidRPr="004E5A6E" w:rsidRDefault="002B41BB" w:rsidP="002B41BB">
            <w:pPr>
              <w:rPr>
                <w:color w:val="auto"/>
                <w:sz w:val="20"/>
                <w:szCs w:val="20"/>
                <w:lang w:val="sq-AL"/>
              </w:rPr>
            </w:pPr>
            <w:r w:rsidRPr="004E5A6E">
              <w:rPr>
                <w:color w:val="auto"/>
                <w:sz w:val="20"/>
                <w:szCs w:val="20"/>
                <w:lang w:val="sq-AL"/>
              </w:rPr>
              <w:t>12. Taksat Totale (12 = 12a+12b+12c)</w:t>
            </w:r>
          </w:p>
        </w:tc>
        <w:tc>
          <w:tcPr>
            <w:tcW w:w="234" w:type="pct"/>
            <w:tcBorders>
              <w:top w:val="nil"/>
              <w:left w:val="nil"/>
              <w:bottom w:val="dotted" w:sz="4" w:space="0" w:color="auto"/>
              <w:right w:val="single" w:sz="8" w:space="0" w:color="auto"/>
            </w:tcBorders>
            <w:shd w:val="clear" w:color="000000" w:fill="FFFFFF"/>
            <w:vAlign w:val="center"/>
            <w:hideMark/>
          </w:tcPr>
          <w:p w14:paraId="556BB9EB"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383" w:type="pct"/>
            <w:tcBorders>
              <w:top w:val="nil"/>
              <w:left w:val="nil"/>
              <w:bottom w:val="dotted" w:sz="4" w:space="0" w:color="auto"/>
              <w:right w:val="single" w:sz="8" w:space="0" w:color="auto"/>
            </w:tcBorders>
            <w:shd w:val="clear" w:color="000000" w:fill="FFFFFF"/>
            <w:vAlign w:val="center"/>
            <w:hideMark/>
          </w:tcPr>
          <w:p w14:paraId="20C8593E"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460" w:type="pct"/>
            <w:tcBorders>
              <w:top w:val="nil"/>
              <w:left w:val="nil"/>
              <w:bottom w:val="dotted" w:sz="4" w:space="0" w:color="auto"/>
              <w:right w:val="dotted" w:sz="4" w:space="0" w:color="auto"/>
            </w:tcBorders>
            <w:shd w:val="clear" w:color="000000" w:fill="FFFFFF"/>
            <w:vAlign w:val="center"/>
            <w:hideMark/>
          </w:tcPr>
          <w:p w14:paraId="41147671" w14:textId="77777777" w:rsidR="002B41BB" w:rsidRPr="004E5A6E" w:rsidRDefault="002B41BB" w:rsidP="002B41BB">
            <w:pPr>
              <w:jc w:val="center"/>
              <w:rPr>
                <w:color w:val="auto"/>
                <w:sz w:val="20"/>
                <w:szCs w:val="20"/>
                <w:lang w:val="sq-AL"/>
              </w:rPr>
            </w:pPr>
            <w:r w:rsidRPr="004E5A6E">
              <w:rPr>
                <w:color w:val="auto"/>
                <w:sz w:val="20"/>
                <w:szCs w:val="20"/>
                <w:lang w:val="sq-AL"/>
              </w:rPr>
              <w:t>1,708</w:t>
            </w:r>
          </w:p>
        </w:tc>
        <w:tc>
          <w:tcPr>
            <w:tcW w:w="460" w:type="pct"/>
            <w:tcBorders>
              <w:top w:val="nil"/>
              <w:left w:val="nil"/>
              <w:bottom w:val="dotted" w:sz="4" w:space="0" w:color="auto"/>
              <w:right w:val="dotted" w:sz="4" w:space="0" w:color="auto"/>
            </w:tcBorders>
            <w:shd w:val="clear" w:color="000000" w:fill="FFFFFF"/>
            <w:vAlign w:val="center"/>
            <w:hideMark/>
          </w:tcPr>
          <w:p w14:paraId="49109B80" w14:textId="77777777" w:rsidR="002B41BB" w:rsidRPr="004E5A6E" w:rsidRDefault="002B41BB" w:rsidP="002B41BB">
            <w:pPr>
              <w:jc w:val="center"/>
              <w:rPr>
                <w:color w:val="auto"/>
                <w:sz w:val="20"/>
                <w:szCs w:val="20"/>
                <w:lang w:val="sq-AL"/>
              </w:rPr>
            </w:pPr>
            <w:r w:rsidRPr="004E5A6E">
              <w:rPr>
                <w:color w:val="auto"/>
                <w:sz w:val="20"/>
                <w:szCs w:val="20"/>
                <w:lang w:val="sq-AL"/>
              </w:rPr>
              <w:t>1,540</w:t>
            </w:r>
          </w:p>
        </w:tc>
        <w:tc>
          <w:tcPr>
            <w:tcW w:w="460" w:type="pct"/>
            <w:tcBorders>
              <w:top w:val="nil"/>
              <w:left w:val="nil"/>
              <w:bottom w:val="dotted" w:sz="4" w:space="0" w:color="auto"/>
              <w:right w:val="dotted" w:sz="4" w:space="0" w:color="auto"/>
            </w:tcBorders>
            <w:shd w:val="clear" w:color="000000" w:fill="FFFFFF"/>
            <w:vAlign w:val="center"/>
            <w:hideMark/>
          </w:tcPr>
          <w:p w14:paraId="1D2A5E29" w14:textId="77777777" w:rsidR="002B41BB" w:rsidRPr="004E5A6E" w:rsidRDefault="002B41BB" w:rsidP="002B41BB">
            <w:pPr>
              <w:jc w:val="center"/>
              <w:rPr>
                <w:color w:val="auto"/>
                <w:sz w:val="20"/>
                <w:szCs w:val="20"/>
                <w:lang w:val="sq-AL"/>
              </w:rPr>
            </w:pPr>
            <w:r w:rsidRPr="004E5A6E">
              <w:rPr>
                <w:color w:val="auto"/>
                <w:sz w:val="20"/>
                <w:szCs w:val="20"/>
                <w:lang w:val="sq-AL"/>
              </w:rPr>
              <w:t>1,708</w:t>
            </w:r>
          </w:p>
        </w:tc>
        <w:tc>
          <w:tcPr>
            <w:tcW w:w="460" w:type="pct"/>
            <w:tcBorders>
              <w:top w:val="nil"/>
              <w:left w:val="nil"/>
              <w:bottom w:val="dotted" w:sz="4" w:space="0" w:color="auto"/>
              <w:right w:val="dotted" w:sz="4" w:space="0" w:color="auto"/>
            </w:tcBorders>
            <w:shd w:val="clear" w:color="000000" w:fill="FFFFFF"/>
            <w:vAlign w:val="center"/>
            <w:hideMark/>
          </w:tcPr>
          <w:p w14:paraId="7D6B0A81" w14:textId="77777777" w:rsidR="002B41BB" w:rsidRPr="004E5A6E" w:rsidRDefault="002B41BB" w:rsidP="002B41BB">
            <w:pPr>
              <w:jc w:val="center"/>
              <w:rPr>
                <w:color w:val="auto"/>
                <w:sz w:val="20"/>
                <w:szCs w:val="20"/>
                <w:lang w:val="sq-AL"/>
              </w:rPr>
            </w:pPr>
            <w:r w:rsidRPr="004E5A6E">
              <w:rPr>
                <w:color w:val="auto"/>
                <w:sz w:val="20"/>
                <w:szCs w:val="20"/>
                <w:lang w:val="sq-AL"/>
              </w:rPr>
              <w:t>1,815</w:t>
            </w:r>
          </w:p>
        </w:tc>
        <w:tc>
          <w:tcPr>
            <w:tcW w:w="460" w:type="pct"/>
            <w:tcBorders>
              <w:top w:val="nil"/>
              <w:left w:val="nil"/>
              <w:bottom w:val="dotted" w:sz="4" w:space="0" w:color="auto"/>
              <w:right w:val="double" w:sz="6" w:space="0" w:color="auto"/>
            </w:tcBorders>
            <w:shd w:val="clear" w:color="000000" w:fill="FFFFFF"/>
            <w:vAlign w:val="center"/>
            <w:hideMark/>
          </w:tcPr>
          <w:p w14:paraId="0E7EFF3C" w14:textId="77777777" w:rsidR="002B41BB" w:rsidRPr="004E5A6E" w:rsidRDefault="002B41BB" w:rsidP="002B41BB">
            <w:pPr>
              <w:jc w:val="center"/>
              <w:rPr>
                <w:color w:val="auto"/>
                <w:sz w:val="20"/>
                <w:szCs w:val="20"/>
                <w:lang w:val="sq-AL"/>
              </w:rPr>
            </w:pPr>
            <w:r w:rsidRPr="004E5A6E">
              <w:rPr>
                <w:color w:val="auto"/>
                <w:sz w:val="20"/>
                <w:szCs w:val="20"/>
                <w:lang w:val="sq-AL"/>
              </w:rPr>
              <w:t>1,900</w:t>
            </w:r>
          </w:p>
        </w:tc>
      </w:tr>
      <w:tr w:rsidR="002B41BB" w:rsidRPr="004E5A6E" w14:paraId="5D30A98D" w14:textId="77777777" w:rsidTr="002B41BB">
        <w:trPr>
          <w:trHeight w:val="420"/>
        </w:trPr>
        <w:tc>
          <w:tcPr>
            <w:tcW w:w="2082" w:type="pct"/>
            <w:tcBorders>
              <w:top w:val="nil"/>
              <w:left w:val="double" w:sz="6" w:space="0" w:color="auto"/>
              <w:bottom w:val="dotted" w:sz="4" w:space="0" w:color="auto"/>
              <w:right w:val="nil"/>
            </w:tcBorders>
            <w:shd w:val="clear" w:color="000000" w:fill="FFFFFF"/>
            <w:vAlign w:val="center"/>
            <w:hideMark/>
          </w:tcPr>
          <w:p w14:paraId="12962C4F" w14:textId="77777777" w:rsidR="002B41BB" w:rsidRPr="004E5A6E" w:rsidRDefault="002B41BB" w:rsidP="002B41BB">
            <w:pPr>
              <w:rPr>
                <w:color w:val="auto"/>
                <w:sz w:val="20"/>
                <w:szCs w:val="20"/>
                <w:lang w:val="sq-AL"/>
              </w:rPr>
            </w:pPr>
            <w:r w:rsidRPr="004E5A6E">
              <w:rPr>
                <w:color w:val="auto"/>
                <w:sz w:val="20"/>
                <w:szCs w:val="20"/>
                <w:lang w:val="sq-AL"/>
              </w:rPr>
              <w:t xml:space="preserve">12a. Taksat mbi Prodhim dhe Import </w:t>
            </w:r>
          </w:p>
        </w:tc>
        <w:tc>
          <w:tcPr>
            <w:tcW w:w="234" w:type="pct"/>
            <w:tcBorders>
              <w:top w:val="nil"/>
              <w:left w:val="nil"/>
              <w:bottom w:val="dotted" w:sz="4" w:space="0" w:color="auto"/>
              <w:right w:val="single" w:sz="8" w:space="0" w:color="auto"/>
            </w:tcBorders>
            <w:shd w:val="clear" w:color="000000" w:fill="FFFFFF"/>
            <w:vAlign w:val="center"/>
            <w:hideMark/>
          </w:tcPr>
          <w:p w14:paraId="262E7D09"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383" w:type="pct"/>
            <w:tcBorders>
              <w:top w:val="nil"/>
              <w:left w:val="nil"/>
              <w:bottom w:val="dotted" w:sz="4" w:space="0" w:color="auto"/>
              <w:right w:val="single" w:sz="8" w:space="0" w:color="auto"/>
            </w:tcBorders>
            <w:shd w:val="clear" w:color="000000" w:fill="FFFFFF"/>
            <w:vAlign w:val="center"/>
            <w:hideMark/>
          </w:tcPr>
          <w:p w14:paraId="607F8DCC" w14:textId="77777777" w:rsidR="002B41BB" w:rsidRPr="004E5A6E" w:rsidRDefault="002B41BB" w:rsidP="002B41BB">
            <w:pPr>
              <w:jc w:val="center"/>
              <w:rPr>
                <w:color w:val="auto"/>
                <w:sz w:val="20"/>
                <w:szCs w:val="20"/>
                <w:lang w:val="sq-AL"/>
              </w:rPr>
            </w:pPr>
            <w:r w:rsidRPr="004E5A6E">
              <w:rPr>
                <w:color w:val="auto"/>
                <w:sz w:val="20"/>
                <w:szCs w:val="20"/>
                <w:lang w:val="sq-AL"/>
              </w:rPr>
              <w:t>D2</w:t>
            </w:r>
          </w:p>
        </w:tc>
        <w:tc>
          <w:tcPr>
            <w:tcW w:w="460" w:type="pct"/>
            <w:tcBorders>
              <w:top w:val="nil"/>
              <w:left w:val="nil"/>
              <w:bottom w:val="dotted" w:sz="4" w:space="0" w:color="auto"/>
              <w:right w:val="dotted" w:sz="4" w:space="0" w:color="auto"/>
            </w:tcBorders>
            <w:shd w:val="clear" w:color="000000" w:fill="FFFFFF"/>
            <w:vAlign w:val="center"/>
            <w:hideMark/>
          </w:tcPr>
          <w:p w14:paraId="186FA88C" w14:textId="77777777" w:rsidR="002B41BB" w:rsidRPr="004E5A6E" w:rsidRDefault="002B41BB" w:rsidP="002B41BB">
            <w:pPr>
              <w:jc w:val="center"/>
              <w:rPr>
                <w:color w:val="auto"/>
                <w:sz w:val="20"/>
                <w:szCs w:val="20"/>
                <w:lang w:val="sq-AL"/>
              </w:rPr>
            </w:pPr>
            <w:r w:rsidRPr="004E5A6E">
              <w:rPr>
                <w:color w:val="auto"/>
                <w:sz w:val="20"/>
                <w:szCs w:val="20"/>
                <w:lang w:val="sq-AL"/>
              </w:rPr>
              <w:t>1,415</w:t>
            </w:r>
          </w:p>
        </w:tc>
        <w:tc>
          <w:tcPr>
            <w:tcW w:w="460" w:type="pct"/>
            <w:tcBorders>
              <w:top w:val="nil"/>
              <w:left w:val="nil"/>
              <w:bottom w:val="dotted" w:sz="4" w:space="0" w:color="auto"/>
              <w:right w:val="dotted" w:sz="4" w:space="0" w:color="auto"/>
            </w:tcBorders>
            <w:shd w:val="clear" w:color="000000" w:fill="FFFFFF"/>
            <w:vAlign w:val="center"/>
            <w:hideMark/>
          </w:tcPr>
          <w:p w14:paraId="0EA1C9BF" w14:textId="77777777" w:rsidR="002B41BB" w:rsidRPr="004E5A6E" w:rsidRDefault="002B41BB" w:rsidP="002B41BB">
            <w:pPr>
              <w:jc w:val="center"/>
              <w:rPr>
                <w:color w:val="auto"/>
                <w:sz w:val="20"/>
                <w:szCs w:val="20"/>
                <w:lang w:val="sq-AL"/>
              </w:rPr>
            </w:pPr>
            <w:r w:rsidRPr="004E5A6E">
              <w:rPr>
                <w:color w:val="auto"/>
                <w:sz w:val="20"/>
                <w:szCs w:val="20"/>
                <w:lang w:val="sq-AL"/>
              </w:rPr>
              <w:t>1,275</w:t>
            </w:r>
          </w:p>
        </w:tc>
        <w:tc>
          <w:tcPr>
            <w:tcW w:w="460" w:type="pct"/>
            <w:tcBorders>
              <w:top w:val="nil"/>
              <w:left w:val="nil"/>
              <w:bottom w:val="dotted" w:sz="4" w:space="0" w:color="auto"/>
              <w:right w:val="dotted" w:sz="4" w:space="0" w:color="auto"/>
            </w:tcBorders>
            <w:shd w:val="clear" w:color="000000" w:fill="FFFFFF"/>
            <w:vAlign w:val="center"/>
            <w:hideMark/>
          </w:tcPr>
          <w:p w14:paraId="6FC5516B" w14:textId="77777777" w:rsidR="002B41BB" w:rsidRPr="004E5A6E" w:rsidRDefault="002B41BB" w:rsidP="002B41BB">
            <w:pPr>
              <w:jc w:val="center"/>
              <w:rPr>
                <w:color w:val="auto"/>
                <w:sz w:val="20"/>
                <w:szCs w:val="20"/>
                <w:lang w:val="sq-AL"/>
              </w:rPr>
            </w:pPr>
            <w:r w:rsidRPr="004E5A6E">
              <w:rPr>
                <w:color w:val="auto"/>
                <w:sz w:val="20"/>
                <w:szCs w:val="20"/>
                <w:lang w:val="sq-AL"/>
              </w:rPr>
              <w:t>1,412</w:t>
            </w:r>
          </w:p>
        </w:tc>
        <w:tc>
          <w:tcPr>
            <w:tcW w:w="460" w:type="pct"/>
            <w:tcBorders>
              <w:top w:val="nil"/>
              <w:left w:val="nil"/>
              <w:bottom w:val="dotted" w:sz="4" w:space="0" w:color="auto"/>
              <w:right w:val="dotted" w:sz="4" w:space="0" w:color="auto"/>
            </w:tcBorders>
            <w:shd w:val="clear" w:color="000000" w:fill="FFFFFF"/>
            <w:vAlign w:val="center"/>
            <w:hideMark/>
          </w:tcPr>
          <w:p w14:paraId="7FD15613" w14:textId="77777777" w:rsidR="002B41BB" w:rsidRPr="004E5A6E" w:rsidRDefault="002B41BB" w:rsidP="002B41BB">
            <w:pPr>
              <w:jc w:val="center"/>
              <w:rPr>
                <w:color w:val="auto"/>
                <w:sz w:val="20"/>
                <w:szCs w:val="20"/>
                <w:lang w:val="sq-AL"/>
              </w:rPr>
            </w:pPr>
            <w:r w:rsidRPr="004E5A6E">
              <w:rPr>
                <w:color w:val="auto"/>
                <w:sz w:val="20"/>
                <w:szCs w:val="20"/>
                <w:lang w:val="sq-AL"/>
              </w:rPr>
              <w:t>1,496</w:t>
            </w:r>
          </w:p>
        </w:tc>
        <w:tc>
          <w:tcPr>
            <w:tcW w:w="460" w:type="pct"/>
            <w:tcBorders>
              <w:top w:val="nil"/>
              <w:left w:val="nil"/>
              <w:bottom w:val="dotted" w:sz="4" w:space="0" w:color="auto"/>
              <w:right w:val="double" w:sz="6" w:space="0" w:color="auto"/>
            </w:tcBorders>
            <w:shd w:val="clear" w:color="000000" w:fill="FFFFFF"/>
            <w:vAlign w:val="center"/>
            <w:hideMark/>
          </w:tcPr>
          <w:p w14:paraId="1CE01FCC" w14:textId="77777777" w:rsidR="002B41BB" w:rsidRPr="004E5A6E" w:rsidRDefault="002B41BB" w:rsidP="002B41BB">
            <w:pPr>
              <w:jc w:val="center"/>
              <w:rPr>
                <w:color w:val="auto"/>
                <w:sz w:val="20"/>
                <w:szCs w:val="20"/>
                <w:lang w:val="sq-AL"/>
              </w:rPr>
            </w:pPr>
            <w:r w:rsidRPr="004E5A6E">
              <w:rPr>
                <w:color w:val="auto"/>
                <w:sz w:val="20"/>
                <w:szCs w:val="20"/>
                <w:lang w:val="sq-AL"/>
              </w:rPr>
              <w:t>1,563</w:t>
            </w:r>
          </w:p>
        </w:tc>
      </w:tr>
      <w:tr w:rsidR="002B41BB" w:rsidRPr="004E5A6E" w14:paraId="56A38719" w14:textId="77777777" w:rsidTr="002B41BB">
        <w:trPr>
          <w:trHeight w:val="420"/>
        </w:trPr>
        <w:tc>
          <w:tcPr>
            <w:tcW w:w="2082" w:type="pct"/>
            <w:tcBorders>
              <w:top w:val="nil"/>
              <w:left w:val="double" w:sz="6" w:space="0" w:color="auto"/>
              <w:bottom w:val="dotted" w:sz="4" w:space="0" w:color="auto"/>
              <w:right w:val="nil"/>
            </w:tcBorders>
            <w:shd w:val="clear" w:color="000000" w:fill="FFFFFF"/>
            <w:vAlign w:val="center"/>
            <w:hideMark/>
          </w:tcPr>
          <w:p w14:paraId="2EE57B43" w14:textId="77777777" w:rsidR="002B41BB" w:rsidRPr="004E5A6E" w:rsidRDefault="002B41BB" w:rsidP="002B41BB">
            <w:pPr>
              <w:rPr>
                <w:color w:val="auto"/>
                <w:sz w:val="20"/>
                <w:szCs w:val="20"/>
                <w:lang w:val="sq-AL"/>
              </w:rPr>
            </w:pPr>
            <w:r w:rsidRPr="004E5A6E">
              <w:rPr>
                <w:color w:val="auto"/>
                <w:sz w:val="20"/>
                <w:szCs w:val="20"/>
                <w:lang w:val="sq-AL"/>
              </w:rPr>
              <w:t>12b. Taksat aktuale në të ardhura dhe pasuri</w:t>
            </w:r>
          </w:p>
        </w:tc>
        <w:tc>
          <w:tcPr>
            <w:tcW w:w="234" w:type="pct"/>
            <w:tcBorders>
              <w:top w:val="nil"/>
              <w:left w:val="nil"/>
              <w:bottom w:val="dotted" w:sz="4" w:space="0" w:color="auto"/>
              <w:right w:val="single" w:sz="8" w:space="0" w:color="auto"/>
            </w:tcBorders>
            <w:shd w:val="clear" w:color="000000" w:fill="FFFFFF"/>
            <w:vAlign w:val="center"/>
            <w:hideMark/>
          </w:tcPr>
          <w:p w14:paraId="34B6888A"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383" w:type="pct"/>
            <w:tcBorders>
              <w:top w:val="nil"/>
              <w:left w:val="nil"/>
              <w:bottom w:val="dotted" w:sz="4" w:space="0" w:color="auto"/>
              <w:right w:val="single" w:sz="8" w:space="0" w:color="auto"/>
            </w:tcBorders>
            <w:shd w:val="clear" w:color="000000" w:fill="FFFFFF"/>
            <w:vAlign w:val="center"/>
            <w:hideMark/>
          </w:tcPr>
          <w:p w14:paraId="59A0EFBF" w14:textId="77777777" w:rsidR="002B41BB" w:rsidRPr="004E5A6E" w:rsidRDefault="002B41BB" w:rsidP="002B41BB">
            <w:pPr>
              <w:jc w:val="center"/>
              <w:rPr>
                <w:color w:val="auto"/>
                <w:sz w:val="20"/>
                <w:szCs w:val="20"/>
                <w:lang w:val="sq-AL"/>
              </w:rPr>
            </w:pPr>
            <w:r w:rsidRPr="004E5A6E">
              <w:rPr>
                <w:color w:val="auto"/>
                <w:sz w:val="20"/>
                <w:szCs w:val="20"/>
                <w:lang w:val="sq-AL"/>
              </w:rPr>
              <w:t>D5</w:t>
            </w:r>
          </w:p>
        </w:tc>
        <w:tc>
          <w:tcPr>
            <w:tcW w:w="460" w:type="pct"/>
            <w:tcBorders>
              <w:top w:val="nil"/>
              <w:left w:val="nil"/>
              <w:bottom w:val="dotted" w:sz="4" w:space="0" w:color="auto"/>
              <w:right w:val="dotted" w:sz="4" w:space="0" w:color="auto"/>
            </w:tcBorders>
            <w:shd w:val="clear" w:color="000000" w:fill="FFFFFF"/>
            <w:vAlign w:val="center"/>
            <w:hideMark/>
          </w:tcPr>
          <w:p w14:paraId="0E1A5585" w14:textId="77777777" w:rsidR="002B41BB" w:rsidRPr="004E5A6E" w:rsidRDefault="002B41BB" w:rsidP="002B41BB">
            <w:pPr>
              <w:jc w:val="center"/>
              <w:rPr>
                <w:color w:val="auto"/>
                <w:sz w:val="20"/>
                <w:szCs w:val="20"/>
                <w:lang w:val="sq-AL"/>
              </w:rPr>
            </w:pPr>
            <w:r w:rsidRPr="004E5A6E">
              <w:rPr>
                <w:color w:val="auto"/>
                <w:sz w:val="20"/>
                <w:szCs w:val="20"/>
                <w:lang w:val="sq-AL"/>
              </w:rPr>
              <w:t>292</w:t>
            </w:r>
          </w:p>
        </w:tc>
        <w:tc>
          <w:tcPr>
            <w:tcW w:w="460" w:type="pct"/>
            <w:tcBorders>
              <w:top w:val="nil"/>
              <w:left w:val="nil"/>
              <w:bottom w:val="dotted" w:sz="4" w:space="0" w:color="auto"/>
              <w:right w:val="dotted" w:sz="4" w:space="0" w:color="auto"/>
            </w:tcBorders>
            <w:shd w:val="clear" w:color="000000" w:fill="FFFFFF"/>
            <w:vAlign w:val="center"/>
            <w:hideMark/>
          </w:tcPr>
          <w:p w14:paraId="234F8EB5" w14:textId="77777777" w:rsidR="002B41BB" w:rsidRPr="004E5A6E" w:rsidRDefault="002B41BB" w:rsidP="002B41BB">
            <w:pPr>
              <w:jc w:val="center"/>
              <w:rPr>
                <w:color w:val="auto"/>
                <w:sz w:val="20"/>
                <w:szCs w:val="20"/>
                <w:lang w:val="sq-AL"/>
              </w:rPr>
            </w:pPr>
            <w:r w:rsidRPr="004E5A6E">
              <w:rPr>
                <w:color w:val="auto"/>
                <w:sz w:val="20"/>
                <w:szCs w:val="20"/>
                <w:lang w:val="sq-AL"/>
              </w:rPr>
              <w:t>265</w:t>
            </w:r>
          </w:p>
        </w:tc>
        <w:tc>
          <w:tcPr>
            <w:tcW w:w="460" w:type="pct"/>
            <w:tcBorders>
              <w:top w:val="nil"/>
              <w:left w:val="nil"/>
              <w:bottom w:val="dotted" w:sz="4" w:space="0" w:color="auto"/>
              <w:right w:val="dotted" w:sz="4" w:space="0" w:color="auto"/>
            </w:tcBorders>
            <w:shd w:val="clear" w:color="000000" w:fill="FFFFFF"/>
            <w:vAlign w:val="center"/>
            <w:hideMark/>
          </w:tcPr>
          <w:p w14:paraId="3E2282DB" w14:textId="77777777" w:rsidR="002B41BB" w:rsidRPr="004E5A6E" w:rsidRDefault="002B41BB" w:rsidP="002B41BB">
            <w:pPr>
              <w:jc w:val="center"/>
              <w:rPr>
                <w:color w:val="auto"/>
                <w:sz w:val="20"/>
                <w:szCs w:val="20"/>
                <w:lang w:val="sq-AL"/>
              </w:rPr>
            </w:pPr>
            <w:r w:rsidRPr="004E5A6E">
              <w:rPr>
                <w:color w:val="auto"/>
                <w:sz w:val="20"/>
                <w:szCs w:val="20"/>
                <w:lang w:val="sq-AL"/>
              </w:rPr>
              <w:t>295</w:t>
            </w:r>
          </w:p>
        </w:tc>
        <w:tc>
          <w:tcPr>
            <w:tcW w:w="460" w:type="pct"/>
            <w:tcBorders>
              <w:top w:val="nil"/>
              <w:left w:val="nil"/>
              <w:bottom w:val="dotted" w:sz="4" w:space="0" w:color="auto"/>
              <w:right w:val="dotted" w:sz="4" w:space="0" w:color="auto"/>
            </w:tcBorders>
            <w:shd w:val="clear" w:color="000000" w:fill="FFFFFF"/>
            <w:vAlign w:val="center"/>
            <w:hideMark/>
          </w:tcPr>
          <w:p w14:paraId="4D02E1E0" w14:textId="77777777" w:rsidR="002B41BB" w:rsidRPr="004E5A6E" w:rsidRDefault="002B41BB" w:rsidP="002B41BB">
            <w:pPr>
              <w:jc w:val="center"/>
              <w:rPr>
                <w:color w:val="auto"/>
                <w:sz w:val="20"/>
                <w:szCs w:val="20"/>
                <w:lang w:val="sq-AL"/>
              </w:rPr>
            </w:pPr>
            <w:r w:rsidRPr="004E5A6E">
              <w:rPr>
                <w:color w:val="auto"/>
                <w:sz w:val="20"/>
                <w:szCs w:val="20"/>
                <w:lang w:val="sq-AL"/>
              </w:rPr>
              <w:t>319</w:t>
            </w:r>
          </w:p>
        </w:tc>
        <w:tc>
          <w:tcPr>
            <w:tcW w:w="460" w:type="pct"/>
            <w:tcBorders>
              <w:top w:val="nil"/>
              <w:left w:val="nil"/>
              <w:bottom w:val="dotted" w:sz="4" w:space="0" w:color="auto"/>
              <w:right w:val="double" w:sz="6" w:space="0" w:color="auto"/>
            </w:tcBorders>
            <w:shd w:val="clear" w:color="000000" w:fill="FFFFFF"/>
            <w:vAlign w:val="center"/>
            <w:hideMark/>
          </w:tcPr>
          <w:p w14:paraId="02A031CF" w14:textId="77777777" w:rsidR="002B41BB" w:rsidRPr="004E5A6E" w:rsidRDefault="002B41BB" w:rsidP="002B41BB">
            <w:pPr>
              <w:jc w:val="center"/>
              <w:rPr>
                <w:color w:val="auto"/>
                <w:sz w:val="20"/>
                <w:szCs w:val="20"/>
                <w:lang w:val="sq-AL"/>
              </w:rPr>
            </w:pPr>
            <w:r w:rsidRPr="004E5A6E">
              <w:rPr>
                <w:color w:val="auto"/>
                <w:sz w:val="20"/>
                <w:szCs w:val="20"/>
                <w:lang w:val="sq-AL"/>
              </w:rPr>
              <w:t>337</w:t>
            </w:r>
          </w:p>
        </w:tc>
      </w:tr>
      <w:tr w:rsidR="002B41BB" w:rsidRPr="004E5A6E" w14:paraId="45A0DE93" w14:textId="77777777" w:rsidTr="002B41BB">
        <w:trPr>
          <w:trHeight w:val="420"/>
        </w:trPr>
        <w:tc>
          <w:tcPr>
            <w:tcW w:w="2082" w:type="pct"/>
            <w:tcBorders>
              <w:top w:val="nil"/>
              <w:left w:val="double" w:sz="6" w:space="0" w:color="auto"/>
              <w:bottom w:val="dotted" w:sz="4" w:space="0" w:color="auto"/>
              <w:right w:val="nil"/>
            </w:tcBorders>
            <w:shd w:val="clear" w:color="000000" w:fill="FFFFFF"/>
            <w:vAlign w:val="center"/>
            <w:hideMark/>
          </w:tcPr>
          <w:p w14:paraId="5A82AD10" w14:textId="77777777" w:rsidR="002B41BB" w:rsidRPr="004E5A6E" w:rsidRDefault="002B41BB" w:rsidP="002B41BB">
            <w:pPr>
              <w:rPr>
                <w:color w:val="auto"/>
                <w:sz w:val="20"/>
                <w:szCs w:val="20"/>
                <w:lang w:val="sq-AL"/>
              </w:rPr>
            </w:pPr>
            <w:r w:rsidRPr="004E5A6E">
              <w:rPr>
                <w:color w:val="auto"/>
                <w:sz w:val="20"/>
                <w:szCs w:val="20"/>
                <w:lang w:val="sq-AL"/>
              </w:rPr>
              <w:t xml:space="preserve">12c. Taksat mbi kapital </w:t>
            </w:r>
          </w:p>
        </w:tc>
        <w:tc>
          <w:tcPr>
            <w:tcW w:w="234" w:type="pct"/>
            <w:tcBorders>
              <w:top w:val="nil"/>
              <w:left w:val="nil"/>
              <w:bottom w:val="dotted" w:sz="4" w:space="0" w:color="auto"/>
              <w:right w:val="single" w:sz="8" w:space="0" w:color="auto"/>
            </w:tcBorders>
            <w:shd w:val="clear" w:color="000000" w:fill="FFFFFF"/>
            <w:vAlign w:val="center"/>
            <w:hideMark/>
          </w:tcPr>
          <w:p w14:paraId="62362DA1"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383" w:type="pct"/>
            <w:tcBorders>
              <w:top w:val="nil"/>
              <w:left w:val="nil"/>
              <w:bottom w:val="dotted" w:sz="4" w:space="0" w:color="auto"/>
              <w:right w:val="single" w:sz="8" w:space="0" w:color="auto"/>
            </w:tcBorders>
            <w:shd w:val="clear" w:color="000000" w:fill="FFFFFF"/>
            <w:vAlign w:val="center"/>
            <w:hideMark/>
          </w:tcPr>
          <w:p w14:paraId="53816C21" w14:textId="77777777" w:rsidR="002B41BB" w:rsidRPr="004E5A6E" w:rsidRDefault="002B41BB" w:rsidP="002B41BB">
            <w:pPr>
              <w:jc w:val="center"/>
              <w:rPr>
                <w:color w:val="auto"/>
                <w:sz w:val="20"/>
                <w:szCs w:val="20"/>
                <w:lang w:val="sq-AL"/>
              </w:rPr>
            </w:pPr>
            <w:r w:rsidRPr="004E5A6E">
              <w:rPr>
                <w:color w:val="auto"/>
                <w:sz w:val="20"/>
                <w:szCs w:val="20"/>
                <w:lang w:val="sq-AL"/>
              </w:rPr>
              <w:t>D91</w:t>
            </w:r>
          </w:p>
        </w:tc>
        <w:tc>
          <w:tcPr>
            <w:tcW w:w="460" w:type="pct"/>
            <w:tcBorders>
              <w:top w:val="nil"/>
              <w:left w:val="nil"/>
              <w:bottom w:val="dotted" w:sz="4" w:space="0" w:color="auto"/>
              <w:right w:val="dotted" w:sz="4" w:space="0" w:color="auto"/>
            </w:tcBorders>
            <w:shd w:val="clear" w:color="000000" w:fill="FFFFFF"/>
            <w:vAlign w:val="center"/>
            <w:hideMark/>
          </w:tcPr>
          <w:p w14:paraId="271E0462"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60" w:type="pct"/>
            <w:tcBorders>
              <w:top w:val="nil"/>
              <w:left w:val="nil"/>
              <w:bottom w:val="dotted" w:sz="4" w:space="0" w:color="auto"/>
              <w:right w:val="dotted" w:sz="4" w:space="0" w:color="auto"/>
            </w:tcBorders>
            <w:shd w:val="clear" w:color="000000" w:fill="FFFFFF"/>
            <w:vAlign w:val="center"/>
            <w:hideMark/>
          </w:tcPr>
          <w:p w14:paraId="459AE7A3"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60" w:type="pct"/>
            <w:tcBorders>
              <w:top w:val="nil"/>
              <w:left w:val="nil"/>
              <w:bottom w:val="dotted" w:sz="4" w:space="0" w:color="auto"/>
              <w:right w:val="dotted" w:sz="4" w:space="0" w:color="auto"/>
            </w:tcBorders>
            <w:shd w:val="clear" w:color="000000" w:fill="FFFFFF"/>
            <w:vAlign w:val="center"/>
            <w:hideMark/>
          </w:tcPr>
          <w:p w14:paraId="62B52F5B"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60" w:type="pct"/>
            <w:tcBorders>
              <w:top w:val="nil"/>
              <w:left w:val="nil"/>
              <w:bottom w:val="dotted" w:sz="4" w:space="0" w:color="auto"/>
              <w:right w:val="dotted" w:sz="4" w:space="0" w:color="auto"/>
            </w:tcBorders>
            <w:shd w:val="clear" w:color="000000" w:fill="FFFFFF"/>
            <w:vAlign w:val="center"/>
            <w:hideMark/>
          </w:tcPr>
          <w:p w14:paraId="5BE6996A"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60" w:type="pct"/>
            <w:tcBorders>
              <w:top w:val="nil"/>
              <w:left w:val="nil"/>
              <w:bottom w:val="dotted" w:sz="4" w:space="0" w:color="auto"/>
              <w:right w:val="double" w:sz="6" w:space="0" w:color="auto"/>
            </w:tcBorders>
            <w:shd w:val="clear" w:color="000000" w:fill="FFFFFF"/>
            <w:vAlign w:val="center"/>
            <w:hideMark/>
          </w:tcPr>
          <w:p w14:paraId="38984BCE"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r w:rsidR="002B41BB" w:rsidRPr="004E5A6E" w14:paraId="3F5468E3" w14:textId="77777777" w:rsidTr="002B41BB">
        <w:trPr>
          <w:trHeight w:val="420"/>
        </w:trPr>
        <w:tc>
          <w:tcPr>
            <w:tcW w:w="2082" w:type="pct"/>
            <w:tcBorders>
              <w:top w:val="nil"/>
              <w:left w:val="double" w:sz="6" w:space="0" w:color="auto"/>
              <w:bottom w:val="dotted" w:sz="4" w:space="0" w:color="auto"/>
              <w:right w:val="nil"/>
            </w:tcBorders>
            <w:shd w:val="clear" w:color="000000" w:fill="FFFFFF"/>
            <w:vAlign w:val="center"/>
            <w:hideMark/>
          </w:tcPr>
          <w:p w14:paraId="478784D8" w14:textId="77777777" w:rsidR="002B41BB" w:rsidRPr="004E5A6E" w:rsidRDefault="002B41BB" w:rsidP="002B41BB">
            <w:pPr>
              <w:rPr>
                <w:color w:val="auto"/>
                <w:sz w:val="20"/>
                <w:szCs w:val="20"/>
                <w:lang w:val="sq-AL"/>
              </w:rPr>
            </w:pPr>
            <w:r w:rsidRPr="004E5A6E">
              <w:rPr>
                <w:color w:val="auto"/>
                <w:sz w:val="20"/>
                <w:szCs w:val="20"/>
                <w:lang w:val="sq-AL"/>
              </w:rPr>
              <w:t>13. Kontributet Sociale</w:t>
            </w:r>
          </w:p>
        </w:tc>
        <w:tc>
          <w:tcPr>
            <w:tcW w:w="234" w:type="pct"/>
            <w:tcBorders>
              <w:top w:val="nil"/>
              <w:left w:val="nil"/>
              <w:bottom w:val="dotted" w:sz="4" w:space="0" w:color="auto"/>
              <w:right w:val="single" w:sz="8" w:space="0" w:color="auto"/>
            </w:tcBorders>
            <w:shd w:val="clear" w:color="000000" w:fill="FFFFFF"/>
            <w:vAlign w:val="center"/>
            <w:hideMark/>
          </w:tcPr>
          <w:p w14:paraId="35002B56"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383" w:type="pct"/>
            <w:tcBorders>
              <w:top w:val="nil"/>
              <w:left w:val="nil"/>
              <w:bottom w:val="dotted" w:sz="4" w:space="0" w:color="auto"/>
              <w:right w:val="single" w:sz="8" w:space="0" w:color="auto"/>
            </w:tcBorders>
            <w:shd w:val="clear" w:color="000000" w:fill="FFFFFF"/>
            <w:vAlign w:val="center"/>
            <w:hideMark/>
          </w:tcPr>
          <w:p w14:paraId="628B460D" w14:textId="77777777" w:rsidR="002B41BB" w:rsidRPr="004E5A6E" w:rsidRDefault="002B41BB" w:rsidP="002B41BB">
            <w:pPr>
              <w:jc w:val="center"/>
              <w:rPr>
                <w:color w:val="auto"/>
                <w:sz w:val="20"/>
                <w:szCs w:val="20"/>
                <w:lang w:val="sq-AL"/>
              </w:rPr>
            </w:pPr>
            <w:r w:rsidRPr="004E5A6E">
              <w:rPr>
                <w:color w:val="auto"/>
                <w:sz w:val="20"/>
                <w:szCs w:val="20"/>
                <w:lang w:val="sq-AL"/>
              </w:rPr>
              <w:t>D61</w:t>
            </w:r>
          </w:p>
        </w:tc>
        <w:tc>
          <w:tcPr>
            <w:tcW w:w="460" w:type="pct"/>
            <w:tcBorders>
              <w:top w:val="nil"/>
              <w:left w:val="nil"/>
              <w:bottom w:val="dotted" w:sz="4" w:space="0" w:color="auto"/>
              <w:right w:val="dotted" w:sz="4" w:space="0" w:color="auto"/>
            </w:tcBorders>
            <w:shd w:val="clear" w:color="000000" w:fill="FFFFFF"/>
            <w:vAlign w:val="center"/>
            <w:hideMark/>
          </w:tcPr>
          <w:p w14:paraId="140B4953"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60" w:type="pct"/>
            <w:tcBorders>
              <w:top w:val="nil"/>
              <w:left w:val="nil"/>
              <w:bottom w:val="dotted" w:sz="4" w:space="0" w:color="auto"/>
              <w:right w:val="dotted" w:sz="4" w:space="0" w:color="auto"/>
            </w:tcBorders>
            <w:shd w:val="clear" w:color="000000" w:fill="FFFFFF"/>
            <w:vAlign w:val="center"/>
            <w:hideMark/>
          </w:tcPr>
          <w:p w14:paraId="1008BE83"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60" w:type="pct"/>
            <w:tcBorders>
              <w:top w:val="nil"/>
              <w:left w:val="nil"/>
              <w:bottom w:val="dotted" w:sz="4" w:space="0" w:color="auto"/>
              <w:right w:val="dotted" w:sz="4" w:space="0" w:color="auto"/>
            </w:tcBorders>
            <w:shd w:val="clear" w:color="000000" w:fill="FFFFFF"/>
            <w:vAlign w:val="center"/>
            <w:hideMark/>
          </w:tcPr>
          <w:p w14:paraId="3A815466"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60" w:type="pct"/>
            <w:tcBorders>
              <w:top w:val="nil"/>
              <w:left w:val="nil"/>
              <w:bottom w:val="dotted" w:sz="4" w:space="0" w:color="auto"/>
              <w:right w:val="dotted" w:sz="4" w:space="0" w:color="auto"/>
            </w:tcBorders>
            <w:shd w:val="clear" w:color="000000" w:fill="FFFFFF"/>
            <w:vAlign w:val="center"/>
            <w:hideMark/>
          </w:tcPr>
          <w:p w14:paraId="0E8F985C"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60" w:type="pct"/>
            <w:tcBorders>
              <w:top w:val="nil"/>
              <w:left w:val="nil"/>
              <w:bottom w:val="dotted" w:sz="4" w:space="0" w:color="auto"/>
              <w:right w:val="double" w:sz="6" w:space="0" w:color="auto"/>
            </w:tcBorders>
            <w:shd w:val="clear" w:color="000000" w:fill="FFFFFF"/>
            <w:vAlign w:val="center"/>
            <w:hideMark/>
          </w:tcPr>
          <w:p w14:paraId="35D4C9F4"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r w:rsidR="002B41BB" w:rsidRPr="004E5A6E" w14:paraId="328481E6" w14:textId="77777777" w:rsidTr="002B41BB">
        <w:trPr>
          <w:trHeight w:val="420"/>
        </w:trPr>
        <w:tc>
          <w:tcPr>
            <w:tcW w:w="2082" w:type="pct"/>
            <w:tcBorders>
              <w:top w:val="nil"/>
              <w:left w:val="double" w:sz="6" w:space="0" w:color="auto"/>
              <w:bottom w:val="dotted" w:sz="4" w:space="0" w:color="auto"/>
              <w:right w:val="nil"/>
            </w:tcBorders>
            <w:shd w:val="clear" w:color="000000" w:fill="FFFFFF"/>
            <w:vAlign w:val="center"/>
            <w:hideMark/>
          </w:tcPr>
          <w:p w14:paraId="24489EBD" w14:textId="77777777" w:rsidR="002B41BB" w:rsidRPr="004E5A6E" w:rsidRDefault="002B41BB" w:rsidP="002B41BB">
            <w:pPr>
              <w:rPr>
                <w:color w:val="auto"/>
                <w:sz w:val="20"/>
                <w:szCs w:val="20"/>
                <w:lang w:val="sq-AL"/>
              </w:rPr>
            </w:pPr>
            <w:r w:rsidRPr="004E5A6E">
              <w:rPr>
                <w:color w:val="auto"/>
                <w:sz w:val="20"/>
                <w:szCs w:val="20"/>
                <w:lang w:val="sq-AL"/>
              </w:rPr>
              <w:t>14. Të ardhurat mbi Pronën</w:t>
            </w:r>
          </w:p>
        </w:tc>
        <w:tc>
          <w:tcPr>
            <w:tcW w:w="234" w:type="pct"/>
            <w:tcBorders>
              <w:top w:val="nil"/>
              <w:left w:val="nil"/>
              <w:bottom w:val="dotted" w:sz="4" w:space="0" w:color="auto"/>
              <w:right w:val="single" w:sz="8" w:space="0" w:color="auto"/>
            </w:tcBorders>
            <w:shd w:val="clear" w:color="000000" w:fill="FFFFFF"/>
            <w:vAlign w:val="center"/>
            <w:hideMark/>
          </w:tcPr>
          <w:p w14:paraId="10FE7D13"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383" w:type="pct"/>
            <w:tcBorders>
              <w:top w:val="nil"/>
              <w:left w:val="nil"/>
              <w:bottom w:val="dotted" w:sz="4" w:space="0" w:color="auto"/>
              <w:right w:val="single" w:sz="8" w:space="0" w:color="auto"/>
            </w:tcBorders>
            <w:shd w:val="clear" w:color="000000" w:fill="FFFFFF"/>
            <w:vAlign w:val="center"/>
            <w:hideMark/>
          </w:tcPr>
          <w:p w14:paraId="0E10EF2A" w14:textId="77777777" w:rsidR="002B41BB" w:rsidRPr="004E5A6E" w:rsidRDefault="002B41BB" w:rsidP="002B41BB">
            <w:pPr>
              <w:jc w:val="center"/>
              <w:rPr>
                <w:color w:val="auto"/>
                <w:sz w:val="20"/>
                <w:szCs w:val="20"/>
                <w:lang w:val="sq-AL"/>
              </w:rPr>
            </w:pPr>
            <w:r w:rsidRPr="004E5A6E">
              <w:rPr>
                <w:color w:val="auto"/>
                <w:sz w:val="20"/>
                <w:szCs w:val="20"/>
                <w:lang w:val="sq-AL"/>
              </w:rPr>
              <w:t>D4</w:t>
            </w:r>
          </w:p>
        </w:tc>
        <w:tc>
          <w:tcPr>
            <w:tcW w:w="460" w:type="pct"/>
            <w:tcBorders>
              <w:top w:val="nil"/>
              <w:left w:val="nil"/>
              <w:bottom w:val="dotted" w:sz="4" w:space="0" w:color="auto"/>
              <w:right w:val="dotted" w:sz="4" w:space="0" w:color="auto"/>
            </w:tcBorders>
            <w:shd w:val="clear" w:color="000000" w:fill="FFFFFF"/>
            <w:vAlign w:val="center"/>
            <w:hideMark/>
          </w:tcPr>
          <w:p w14:paraId="3AB3C6A5"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60" w:type="pct"/>
            <w:tcBorders>
              <w:top w:val="nil"/>
              <w:left w:val="nil"/>
              <w:bottom w:val="dotted" w:sz="4" w:space="0" w:color="auto"/>
              <w:right w:val="dotted" w:sz="4" w:space="0" w:color="auto"/>
            </w:tcBorders>
            <w:shd w:val="clear" w:color="000000" w:fill="FFFFFF"/>
            <w:vAlign w:val="center"/>
            <w:hideMark/>
          </w:tcPr>
          <w:p w14:paraId="1DD87E1D"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60" w:type="pct"/>
            <w:tcBorders>
              <w:top w:val="nil"/>
              <w:left w:val="nil"/>
              <w:bottom w:val="dotted" w:sz="4" w:space="0" w:color="auto"/>
              <w:right w:val="dotted" w:sz="4" w:space="0" w:color="auto"/>
            </w:tcBorders>
            <w:shd w:val="clear" w:color="000000" w:fill="FFFFFF"/>
            <w:vAlign w:val="center"/>
            <w:hideMark/>
          </w:tcPr>
          <w:p w14:paraId="156ACDAB"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60" w:type="pct"/>
            <w:tcBorders>
              <w:top w:val="nil"/>
              <w:left w:val="nil"/>
              <w:bottom w:val="dotted" w:sz="4" w:space="0" w:color="auto"/>
              <w:right w:val="dotted" w:sz="4" w:space="0" w:color="auto"/>
            </w:tcBorders>
            <w:shd w:val="clear" w:color="000000" w:fill="FFFFFF"/>
            <w:vAlign w:val="center"/>
            <w:hideMark/>
          </w:tcPr>
          <w:p w14:paraId="3D60D643"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60" w:type="pct"/>
            <w:tcBorders>
              <w:top w:val="nil"/>
              <w:left w:val="nil"/>
              <w:bottom w:val="dotted" w:sz="4" w:space="0" w:color="auto"/>
              <w:right w:val="double" w:sz="6" w:space="0" w:color="auto"/>
            </w:tcBorders>
            <w:shd w:val="clear" w:color="000000" w:fill="FFFFFF"/>
            <w:vAlign w:val="center"/>
            <w:hideMark/>
          </w:tcPr>
          <w:p w14:paraId="4708AA92"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r w:rsidR="002B41BB" w:rsidRPr="004E5A6E" w14:paraId="04E66A8C" w14:textId="77777777" w:rsidTr="002B41BB">
        <w:trPr>
          <w:trHeight w:val="420"/>
        </w:trPr>
        <w:tc>
          <w:tcPr>
            <w:tcW w:w="2082" w:type="pct"/>
            <w:tcBorders>
              <w:top w:val="nil"/>
              <w:left w:val="double" w:sz="6" w:space="0" w:color="auto"/>
              <w:bottom w:val="dotted" w:sz="4" w:space="0" w:color="auto"/>
              <w:right w:val="nil"/>
            </w:tcBorders>
            <w:shd w:val="clear" w:color="000000" w:fill="FFFFFF"/>
            <w:vAlign w:val="center"/>
            <w:hideMark/>
          </w:tcPr>
          <w:p w14:paraId="20782CBF" w14:textId="77777777" w:rsidR="002B41BB" w:rsidRPr="004E5A6E" w:rsidRDefault="002B41BB" w:rsidP="002B41BB">
            <w:pPr>
              <w:rPr>
                <w:color w:val="auto"/>
                <w:sz w:val="20"/>
                <w:szCs w:val="20"/>
                <w:lang w:val="sq-AL"/>
              </w:rPr>
            </w:pPr>
            <w:r w:rsidRPr="004E5A6E">
              <w:rPr>
                <w:color w:val="auto"/>
                <w:sz w:val="20"/>
                <w:szCs w:val="20"/>
                <w:lang w:val="sq-AL"/>
              </w:rPr>
              <w:t>15. Tjera (15 = 16-(12+13+14)) [4]</w:t>
            </w:r>
          </w:p>
        </w:tc>
        <w:tc>
          <w:tcPr>
            <w:tcW w:w="234" w:type="pct"/>
            <w:tcBorders>
              <w:top w:val="nil"/>
              <w:left w:val="nil"/>
              <w:bottom w:val="dotted" w:sz="4" w:space="0" w:color="auto"/>
              <w:right w:val="single" w:sz="8" w:space="0" w:color="auto"/>
            </w:tcBorders>
            <w:shd w:val="clear" w:color="000000" w:fill="FFFFFF"/>
            <w:vAlign w:val="center"/>
            <w:hideMark/>
          </w:tcPr>
          <w:p w14:paraId="3D596D35"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383" w:type="pct"/>
            <w:tcBorders>
              <w:top w:val="nil"/>
              <w:left w:val="nil"/>
              <w:bottom w:val="dotted" w:sz="4" w:space="0" w:color="auto"/>
              <w:right w:val="single" w:sz="8" w:space="0" w:color="auto"/>
            </w:tcBorders>
            <w:shd w:val="clear" w:color="000000" w:fill="FFFFFF"/>
            <w:vAlign w:val="center"/>
            <w:hideMark/>
          </w:tcPr>
          <w:p w14:paraId="2ABF7195"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460" w:type="pct"/>
            <w:tcBorders>
              <w:top w:val="nil"/>
              <w:left w:val="nil"/>
              <w:bottom w:val="dotted" w:sz="4" w:space="0" w:color="auto"/>
              <w:right w:val="dotted" w:sz="4" w:space="0" w:color="auto"/>
            </w:tcBorders>
            <w:shd w:val="clear" w:color="000000" w:fill="FFFFFF"/>
            <w:vAlign w:val="center"/>
            <w:hideMark/>
          </w:tcPr>
          <w:p w14:paraId="0D75271E" w14:textId="77777777" w:rsidR="002B41BB" w:rsidRPr="004E5A6E" w:rsidRDefault="002B41BB" w:rsidP="002B41BB">
            <w:pPr>
              <w:jc w:val="center"/>
              <w:rPr>
                <w:color w:val="auto"/>
                <w:sz w:val="20"/>
                <w:szCs w:val="20"/>
                <w:lang w:val="sq-AL"/>
              </w:rPr>
            </w:pPr>
            <w:r w:rsidRPr="004E5A6E">
              <w:rPr>
                <w:color w:val="auto"/>
                <w:sz w:val="20"/>
                <w:szCs w:val="20"/>
                <w:lang w:val="sq-AL"/>
              </w:rPr>
              <w:t>178</w:t>
            </w:r>
          </w:p>
        </w:tc>
        <w:tc>
          <w:tcPr>
            <w:tcW w:w="460" w:type="pct"/>
            <w:tcBorders>
              <w:top w:val="nil"/>
              <w:left w:val="nil"/>
              <w:bottom w:val="dotted" w:sz="4" w:space="0" w:color="auto"/>
              <w:right w:val="dotted" w:sz="4" w:space="0" w:color="auto"/>
            </w:tcBorders>
            <w:shd w:val="clear" w:color="000000" w:fill="FFFFFF"/>
            <w:vAlign w:val="center"/>
            <w:hideMark/>
          </w:tcPr>
          <w:p w14:paraId="626A5009" w14:textId="77777777" w:rsidR="002B41BB" w:rsidRPr="004E5A6E" w:rsidRDefault="002B41BB" w:rsidP="002B41BB">
            <w:pPr>
              <w:jc w:val="center"/>
              <w:rPr>
                <w:color w:val="auto"/>
                <w:sz w:val="20"/>
                <w:szCs w:val="20"/>
                <w:lang w:val="sq-AL"/>
              </w:rPr>
            </w:pPr>
            <w:r w:rsidRPr="004E5A6E">
              <w:rPr>
                <w:color w:val="auto"/>
                <w:sz w:val="20"/>
                <w:szCs w:val="20"/>
                <w:lang w:val="sq-AL"/>
              </w:rPr>
              <w:t>177</w:t>
            </w:r>
          </w:p>
        </w:tc>
        <w:tc>
          <w:tcPr>
            <w:tcW w:w="460" w:type="pct"/>
            <w:tcBorders>
              <w:top w:val="nil"/>
              <w:left w:val="nil"/>
              <w:bottom w:val="dotted" w:sz="4" w:space="0" w:color="auto"/>
              <w:right w:val="dotted" w:sz="4" w:space="0" w:color="auto"/>
            </w:tcBorders>
            <w:shd w:val="clear" w:color="000000" w:fill="FFFFFF"/>
            <w:vAlign w:val="center"/>
            <w:hideMark/>
          </w:tcPr>
          <w:p w14:paraId="238D5492" w14:textId="77777777" w:rsidR="002B41BB" w:rsidRPr="004E5A6E" w:rsidRDefault="002B41BB" w:rsidP="002B41BB">
            <w:pPr>
              <w:jc w:val="center"/>
              <w:rPr>
                <w:color w:val="auto"/>
                <w:sz w:val="20"/>
                <w:szCs w:val="20"/>
                <w:lang w:val="sq-AL"/>
              </w:rPr>
            </w:pPr>
            <w:r w:rsidRPr="004E5A6E">
              <w:rPr>
                <w:color w:val="auto"/>
                <w:sz w:val="20"/>
                <w:szCs w:val="20"/>
                <w:lang w:val="sq-AL"/>
              </w:rPr>
              <w:t>178</w:t>
            </w:r>
          </w:p>
        </w:tc>
        <w:tc>
          <w:tcPr>
            <w:tcW w:w="460" w:type="pct"/>
            <w:tcBorders>
              <w:top w:val="nil"/>
              <w:left w:val="nil"/>
              <w:bottom w:val="dotted" w:sz="4" w:space="0" w:color="auto"/>
              <w:right w:val="dotted" w:sz="4" w:space="0" w:color="auto"/>
            </w:tcBorders>
            <w:shd w:val="clear" w:color="000000" w:fill="FFFFFF"/>
            <w:vAlign w:val="center"/>
            <w:hideMark/>
          </w:tcPr>
          <w:p w14:paraId="7FF21CB5" w14:textId="77777777" w:rsidR="002B41BB" w:rsidRPr="004E5A6E" w:rsidRDefault="002B41BB" w:rsidP="002B41BB">
            <w:pPr>
              <w:jc w:val="center"/>
              <w:rPr>
                <w:color w:val="auto"/>
                <w:sz w:val="20"/>
                <w:szCs w:val="20"/>
                <w:lang w:val="sq-AL"/>
              </w:rPr>
            </w:pPr>
            <w:r w:rsidRPr="004E5A6E">
              <w:rPr>
                <w:color w:val="auto"/>
                <w:sz w:val="20"/>
                <w:szCs w:val="20"/>
                <w:lang w:val="sq-AL"/>
              </w:rPr>
              <w:t>187</w:t>
            </w:r>
          </w:p>
        </w:tc>
        <w:tc>
          <w:tcPr>
            <w:tcW w:w="460" w:type="pct"/>
            <w:tcBorders>
              <w:top w:val="nil"/>
              <w:left w:val="nil"/>
              <w:bottom w:val="dotted" w:sz="4" w:space="0" w:color="auto"/>
              <w:right w:val="double" w:sz="6" w:space="0" w:color="auto"/>
            </w:tcBorders>
            <w:shd w:val="clear" w:color="000000" w:fill="FFFFFF"/>
            <w:vAlign w:val="center"/>
            <w:hideMark/>
          </w:tcPr>
          <w:p w14:paraId="06444A63" w14:textId="77777777" w:rsidR="002B41BB" w:rsidRPr="004E5A6E" w:rsidRDefault="002B41BB" w:rsidP="002B41BB">
            <w:pPr>
              <w:jc w:val="center"/>
              <w:rPr>
                <w:color w:val="auto"/>
                <w:sz w:val="20"/>
                <w:szCs w:val="20"/>
                <w:lang w:val="sq-AL"/>
              </w:rPr>
            </w:pPr>
            <w:r w:rsidRPr="004E5A6E">
              <w:rPr>
                <w:color w:val="auto"/>
                <w:sz w:val="20"/>
                <w:szCs w:val="20"/>
                <w:lang w:val="sq-AL"/>
              </w:rPr>
              <w:t>197</w:t>
            </w:r>
          </w:p>
        </w:tc>
      </w:tr>
      <w:tr w:rsidR="002B41BB" w:rsidRPr="004E5A6E" w14:paraId="7E0296E8" w14:textId="77777777" w:rsidTr="002B41BB">
        <w:trPr>
          <w:trHeight w:val="420"/>
        </w:trPr>
        <w:tc>
          <w:tcPr>
            <w:tcW w:w="2082" w:type="pct"/>
            <w:tcBorders>
              <w:top w:val="nil"/>
              <w:left w:val="double" w:sz="6" w:space="0" w:color="auto"/>
              <w:bottom w:val="dotted" w:sz="4" w:space="0" w:color="auto"/>
              <w:right w:val="nil"/>
            </w:tcBorders>
            <w:shd w:val="clear" w:color="000000" w:fill="FFFFFF"/>
            <w:vAlign w:val="center"/>
            <w:hideMark/>
          </w:tcPr>
          <w:p w14:paraId="16922147" w14:textId="77777777" w:rsidR="002B41BB" w:rsidRPr="004E5A6E" w:rsidRDefault="002B41BB" w:rsidP="002B41BB">
            <w:pPr>
              <w:rPr>
                <w:color w:val="auto"/>
                <w:sz w:val="20"/>
                <w:szCs w:val="20"/>
                <w:lang w:val="sq-AL"/>
              </w:rPr>
            </w:pPr>
            <w:r w:rsidRPr="004E5A6E">
              <w:rPr>
                <w:color w:val="auto"/>
                <w:sz w:val="20"/>
                <w:szCs w:val="20"/>
                <w:lang w:val="sq-AL"/>
              </w:rPr>
              <w:t>16 = 6.TëHyrat Totale</w:t>
            </w:r>
          </w:p>
        </w:tc>
        <w:tc>
          <w:tcPr>
            <w:tcW w:w="234" w:type="pct"/>
            <w:tcBorders>
              <w:top w:val="nil"/>
              <w:left w:val="nil"/>
              <w:bottom w:val="nil"/>
              <w:right w:val="single" w:sz="8" w:space="0" w:color="auto"/>
            </w:tcBorders>
            <w:shd w:val="clear" w:color="000000" w:fill="FFFFFF"/>
            <w:vAlign w:val="center"/>
            <w:hideMark/>
          </w:tcPr>
          <w:p w14:paraId="7F135EE8"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383" w:type="pct"/>
            <w:tcBorders>
              <w:top w:val="nil"/>
              <w:left w:val="nil"/>
              <w:bottom w:val="dotted" w:sz="4" w:space="0" w:color="auto"/>
              <w:right w:val="single" w:sz="8" w:space="0" w:color="auto"/>
            </w:tcBorders>
            <w:shd w:val="clear" w:color="000000" w:fill="FFFFFF"/>
            <w:vAlign w:val="center"/>
            <w:hideMark/>
          </w:tcPr>
          <w:p w14:paraId="252CDA60" w14:textId="77777777" w:rsidR="002B41BB" w:rsidRPr="004E5A6E" w:rsidRDefault="002B41BB" w:rsidP="002B41BB">
            <w:pPr>
              <w:jc w:val="center"/>
              <w:rPr>
                <w:color w:val="auto"/>
                <w:sz w:val="20"/>
                <w:szCs w:val="20"/>
                <w:lang w:val="sq-AL"/>
              </w:rPr>
            </w:pPr>
            <w:r w:rsidRPr="004E5A6E">
              <w:rPr>
                <w:color w:val="auto"/>
                <w:sz w:val="20"/>
                <w:szCs w:val="20"/>
                <w:lang w:val="sq-AL"/>
              </w:rPr>
              <w:t>TR</w:t>
            </w:r>
          </w:p>
        </w:tc>
        <w:tc>
          <w:tcPr>
            <w:tcW w:w="460" w:type="pct"/>
            <w:tcBorders>
              <w:top w:val="nil"/>
              <w:left w:val="nil"/>
              <w:bottom w:val="dotted" w:sz="4" w:space="0" w:color="auto"/>
              <w:right w:val="dotted" w:sz="4" w:space="0" w:color="auto"/>
            </w:tcBorders>
            <w:shd w:val="clear" w:color="000000" w:fill="FFFFFF"/>
            <w:vAlign w:val="center"/>
            <w:hideMark/>
          </w:tcPr>
          <w:p w14:paraId="44C26486" w14:textId="77777777" w:rsidR="002B41BB" w:rsidRPr="004E5A6E" w:rsidRDefault="002B41BB" w:rsidP="002B41BB">
            <w:pPr>
              <w:jc w:val="center"/>
              <w:rPr>
                <w:color w:val="auto"/>
                <w:sz w:val="20"/>
                <w:szCs w:val="20"/>
                <w:lang w:val="sq-AL"/>
              </w:rPr>
            </w:pPr>
            <w:r w:rsidRPr="004E5A6E">
              <w:rPr>
                <w:color w:val="auto"/>
                <w:sz w:val="20"/>
                <w:szCs w:val="20"/>
                <w:lang w:val="sq-AL"/>
              </w:rPr>
              <w:t>1,885</w:t>
            </w:r>
          </w:p>
        </w:tc>
        <w:tc>
          <w:tcPr>
            <w:tcW w:w="460" w:type="pct"/>
            <w:tcBorders>
              <w:top w:val="nil"/>
              <w:left w:val="nil"/>
              <w:bottom w:val="dotted" w:sz="4" w:space="0" w:color="auto"/>
              <w:right w:val="dotted" w:sz="4" w:space="0" w:color="auto"/>
            </w:tcBorders>
            <w:shd w:val="clear" w:color="000000" w:fill="FFFFFF"/>
            <w:vAlign w:val="center"/>
            <w:hideMark/>
          </w:tcPr>
          <w:p w14:paraId="709745BD" w14:textId="77777777" w:rsidR="002B41BB" w:rsidRPr="004E5A6E" w:rsidRDefault="002B41BB" w:rsidP="002B41BB">
            <w:pPr>
              <w:jc w:val="center"/>
              <w:rPr>
                <w:color w:val="auto"/>
                <w:sz w:val="20"/>
                <w:szCs w:val="20"/>
                <w:lang w:val="sq-AL"/>
              </w:rPr>
            </w:pPr>
            <w:r w:rsidRPr="004E5A6E">
              <w:rPr>
                <w:color w:val="auto"/>
                <w:sz w:val="20"/>
                <w:szCs w:val="20"/>
                <w:lang w:val="sq-AL"/>
              </w:rPr>
              <w:t>1,716</w:t>
            </w:r>
          </w:p>
        </w:tc>
        <w:tc>
          <w:tcPr>
            <w:tcW w:w="460" w:type="pct"/>
            <w:tcBorders>
              <w:top w:val="nil"/>
              <w:left w:val="nil"/>
              <w:bottom w:val="dotted" w:sz="4" w:space="0" w:color="auto"/>
              <w:right w:val="dotted" w:sz="4" w:space="0" w:color="auto"/>
            </w:tcBorders>
            <w:shd w:val="clear" w:color="000000" w:fill="FFFFFF"/>
            <w:vAlign w:val="center"/>
            <w:hideMark/>
          </w:tcPr>
          <w:p w14:paraId="765B546D" w14:textId="77777777" w:rsidR="002B41BB" w:rsidRPr="004E5A6E" w:rsidRDefault="002B41BB" w:rsidP="002B41BB">
            <w:pPr>
              <w:jc w:val="center"/>
              <w:rPr>
                <w:color w:val="auto"/>
                <w:sz w:val="20"/>
                <w:szCs w:val="20"/>
                <w:lang w:val="sq-AL"/>
              </w:rPr>
            </w:pPr>
            <w:r w:rsidRPr="004E5A6E">
              <w:rPr>
                <w:color w:val="auto"/>
                <w:sz w:val="20"/>
                <w:szCs w:val="20"/>
                <w:lang w:val="sq-AL"/>
              </w:rPr>
              <w:t>1,886</w:t>
            </w:r>
          </w:p>
        </w:tc>
        <w:tc>
          <w:tcPr>
            <w:tcW w:w="460" w:type="pct"/>
            <w:tcBorders>
              <w:top w:val="nil"/>
              <w:left w:val="nil"/>
              <w:bottom w:val="dotted" w:sz="4" w:space="0" w:color="auto"/>
              <w:right w:val="dotted" w:sz="4" w:space="0" w:color="auto"/>
            </w:tcBorders>
            <w:shd w:val="clear" w:color="000000" w:fill="FFFFFF"/>
            <w:vAlign w:val="center"/>
            <w:hideMark/>
          </w:tcPr>
          <w:p w14:paraId="28C2C1AD" w14:textId="77777777" w:rsidR="002B41BB" w:rsidRPr="004E5A6E" w:rsidRDefault="002B41BB" w:rsidP="002B41BB">
            <w:pPr>
              <w:jc w:val="center"/>
              <w:rPr>
                <w:color w:val="auto"/>
                <w:sz w:val="20"/>
                <w:szCs w:val="20"/>
                <w:lang w:val="sq-AL"/>
              </w:rPr>
            </w:pPr>
            <w:r w:rsidRPr="004E5A6E">
              <w:rPr>
                <w:color w:val="auto"/>
                <w:sz w:val="20"/>
                <w:szCs w:val="20"/>
                <w:lang w:val="sq-AL"/>
              </w:rPr>
              <w:t>2,002</w:t>
            </w:r>
          </w:p>
        </w:tc>
        <w:tc>
          <w:tcPr>
            <w:tcW w:w="460" w:type="pct"/>
            <w:tcBorders>
              <w:top w:val="nil"/>
              <w:left w:val="nil"/>
              <w:bottom w:val="dotted" w:sz="4" w:space="0" w:color="auto"/>
              <w:right w:val="double" w:sz="6" w:space="0" w:color="auto"/>
            </w:tcBorders>
            <w:shd w:val="clear" w:color="000000" w:fill="FFFFFF"/>
            <w:vAlign w:val="center"/>
            <w:hideMark/>
          </w:tcPr>
          <w:p w14:paraId="528CC8DD" w14:textId="77777777" w:rsidR="002B41BB" w:rsidRPr="004E5A6E" w:rsidRDefault="002B41BB" w:rsidP="002B41BB">
            <w:pPr>
              <w:jc w:val="center"/>
              <w:rPr>
                <w:color w:val="auto"/>
                <w:sz w:val="20"/>
                <w:szCs w:val="20"/>
                <w:lang w:val="sq-AL"/>
              </w:rPr>
            </w:pPr>
            <w:r w:rsidRPr="004E5A6E">
              <w:rPr>
                <w:color w:val="auto"/>
                <w:sz w:val="20"/>
                <w:szCs w:val="20"/>
                <w:lang w:val="sq-AL"/>
              </w:rPr>
              <w:t>2,098</w:t>
            </w:r>
          </w:p>
        </w:tc>
      </w:tr>
      <w:tr w:rsidR="002B41BB" w:rsidRPr="004E5A6E" w14:paraId="6E4DF2BF" w14:textId="77777777" w:rsidTr="002B41BB">
        <w:trPr>
          <w:trHeight w:val="420"/>
        </w:trPr>
        <w:tc>
          <w:tcPr>
            <w:tcW w:w="2082" w:type="pct"/>
            <w:tcBorders>
              <w:top w:val="nil"/>
              <w:left w:val="double" w:sz="6" w:space="0" w:color="auto"/>
              <w:bottom w:val="single" w:sz="8" w:space="0" w:color="auto"/>
              <w:right w:val="nil"/>
            </w:tcBorders>
            <w:shd w:val="clear" w:color="auto" w:fill="auto"/>
            <w:noWrap/>
            <w:vAlign w:val="bottom"/>
            <w:hideMark/>
          </w:tcPr>
          <w:p w14:paraId="44642D34" w14:textId="77777777" w:rsidR="002B41BB" w:rsidRPr="004E5A6E" w:rsidRDefault="002B41BB" w:rsidP="002B41BB">
            <w:pPr>
              <w:rPr>
                <w:color w:val="auto"/>
                <w:sz w:val="20"/>
                <w:szCs w:val="20"/>
                <w:lang w:val="sq-AL"/>
              </w:rPr>
            </w:pPr>
            <w:r w:rsidRPr="004E5A6E">
              <w:rPr>
                <w:color w:val="auto"/>
                <w:sz w:val="20"/>
                <w:szCs w:val="20"/>
                <w:lang w:val="sq-AL"/>
              </w:rPr>
              <w:t>p.m.: Barra Tatimore  (D2+D5+D61+D91-D995) [5]</w:t>
            </w:r>
          </w:p>
        </w:tc>
        <w:tc>
          <w:tcPr>
            <w:tcW w:w="234" w:type="pct"/>
            <w:tcBorders>
              <w:top w:val="dotted" w:sz="4" w:space="0" w:color="auto"/>
              <w:left w:val="nil"/>
              <w:bottom w:val="single" w:sz="8" w:space="0" w:color="auto"/>
              <w:right w:val="single" w:sz="8" w:space="0" w:color="auto"/>
            </w:tcBorders>
            <w:shd w:val="clear" w:color="000000" w:fill="FFFFFF"/>
            <w:vAlign w:val="center"/>
            <w:hideMark/>
          </w:tcPr>
          <w:p w14:paraId="52270585"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383" w:type="pct"/>
            <w:tcBorders>
              <w:top w:val="nil"/>
              <w:left w:val="nil"/>
              <w:bottom w:val="single" w:sz="8" w:space="0" w:color="000000"/>
              <w:right w:val="single" w:sz="8" w:space="0" w:color="auto"/>
            </w:tcBorders>
            <w:shd w:val="clear" w:color="000000" w:fill="FFFFFF"/>
            <w:vAlign w:val="center"/>
            <w:hideMark/>
          </w:tcPr>
          <w:p w14:paraId="3E0BB328"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460" w:type="pct"/>
            <w:tcBorders>
              <w:top w:val="nil"/>
              <w:left w:val="nil"/>
              <w:bottom w:val="single" w:sz="8" w:space="0" w:color="000000"/>
              <w:right w:val="dotted" w:sz="4" w:space="0" w:color="auto"/>
            </w:tcBorders>
            <w:shd w:val="clear" w:color="000000" w:fill="FFFFFF"/>
            <w:vAlign w:val="center"/>
            <w:hideMark/>
          </w:tcPr>
          <w:p w14:paraId="61E4D853" w14:textId="77777777" w:rsidR="002B41BB" w:rsidRPr="004E5A6E" w:rsidRDefault="002B41BB" w:rsidP="002B41BB">
            <w:pPr>
              <w:jc w:val="center"/>
              <w:rPr>
                <w:color w:val="auto"/>
                <w:sz w:val="20"/>
                <w:szCs w:val="20"/>
                <w:lang w:val="sq-AL"/>
              </w:rPr>
            </w:pPr>
            <w:r w:rsidRPr="004E5A6E">
              <w:rPr>
                <w:color w:val="auto"/>
                <w:sz w:val="20"/>
                <w:szCs w:val="20"/>
                <w:lang w:val="sq-AL"/>
              </w:rPr>
              <w:t>1,708</w:t>
            </w:r>
          </w:p>
        </w:tc>
        <w:tc>
          <w:tcPr>
            <w:tcW w:w="460" w:type="pct"/>
            <w:tcBorders>
              <w:top w:val="nil"/>
              <w:left w:val="nil"/>
              <w:bottom w:val="single" w:sz="8" w:space="0" w:color="000000"/>
              <w:right w:val="dotted" w:sz="4" w:space="0" w:color="auto"/>
            </w:tcBorders>
            <w:shd w:val="clear" w:color="000000" w:fill="FFFFFF"/>
            <w:vAlign w:val="center"/>
            <w:hideMark/>
          </w:tcPr>
          <w:p w14:paraId="234BDD58" w14:textId="77777777" w:rsidR="002B41BB" w:rsidRPr="004E5A6E" w:rsidRDefault="002B41BB" w:rsidP="002B41BB">
            <w:pPr>
              <w:jc w:val="center"/>
              <w:rPr>
                <w:color w:val="auto"/>
                <w:sz w:val="20"/>
                <w:szCs w:val="20"/>
                <w:lang w:val="sq-AL"/>
              </w:rPr>
            </w:pPr>
            <w:r w:rsidRPr="004E5A6E">
              <w:rPr>
                <w:color w:val="auto"/>
                <w:sz w:val="20"/>
                <w:szCs w:val="20"/>
                <w:lang w:val="sq-AL"/>
              </w:rPr>
              <w:t>1,540</w:t>
            </w:r>
          </w:p>
        </w:tc>
        <w:tc>
          <w:tcPr>
            <w:tcW w:w="460" w:type="pct"/>
            <w:tcBorders>
              <w:top w:val="nil"/>
              <w:left w:val="nil"/>
              <w:bottom w:val="single" w:sz="8" w:space="0" w:color="000000"/>
              <w:right w:val="dotted" w:sz="4" w:space="0" w:color="auto"/>
            </w:tcBorders>
            <w:shd w:val="clear" w:color="000000" w:fill="FFFFFF"/>
            <w:vAlign w:val="center"/>
            <w:hideMark/>
          </w:tcPr>
          <w:p w14:paraId="30772FBE" w14:textId="77777777" w:rsidR="002B41BB" w:rsidRPr="004E5A6E" w:rsidRDefault="002B41BB" w:rsidP="002B41BB">
            <w:pPr>
              <w:jc w:val="center"/>
              <w:rPr>
                <w:color w:val="auto"/>
                <w:sz w:val="20"/>
                <w:szCs w:val="20"/>
                <w:lang w:val="sq-AL"/>
              </w:rPr>
            </w:pPr>
            <w:r w:rsidRPr="004E5A6E">
              <w:rPr>
                <w:color w:val="auto"/>
                <w:sz w:val="20"/>
                <w:szCs w:val="20"/>
                <w:lang w:val="sq-AL"/>
              </w:rPr>
              <w:t>1,708</w:t>
            </w:r>
          </w:p>
        </w:tc>
        <w:tc>
          <w:tcPr>
            <w:tcW w:w="460" w:type="pct"/>
            <w:tcBorders>
              <w:top w:val="nil"/>
              <w:left w:val="nil"/>
              <w:bottom w:val="single" w:sz="8" w:space="0" w:color="000000"/>
              <w:right w:val="dotted" w:sz="4" w:space="0" w:color="auto"/>
            </w:tcBorders>
            <w:shd w:val="clear" w:color="000000" w:fill="FFFFFF"/>
            <w:vAlign w:val="center"/>
            <w:hideMark/>
          </w:tcPr>
          <w:p w14:paraId="676F5D65" w14:textId="77777777" w:rsidR="002B41BB" w:rsidRPr="004E5A6E" w:rsidRDefault="002B41BB" w:rsidP="002B41BB">
            <w:pPr>
              <w:jc w:val="center"/>
              <w:rPr>
                <w:color w:val="auto"/>
                <w:sz w:val="20"/>
                <w:szCs w:val="20"/>
                <w:lang w:val="sq-AL"/>
              </w:rPr>
            </w:pPr>
            <w:r w:rsidRPr="004E5A6E">
              <w:rPr>
                <w:color w:val="auto"/>
                <w:sz w:val="20"/>
                <w:szCs w:val="20"/>
                <w:lang w:val="sq-AL"/>
              </w:rPr>
              <w:t>1,815</w:t>
            </w:r>
          </w:p>
        </w:tc>
        <w:tc>
          <w:tcPr>
            <w:tcW w:w="460" w:type="pct"/>
            <w:tcBorders>
              <w:top w:val="nil"/>
              <w:left w:val="nil"/>
              <w:bottom w:val="single" w:sz="8" w:space="0" w:color="auto"/>
              <w:right w:val="double" w:sz="6" w:space="0" w:color="auto"/>
            </w:tcBorders>
            <w:shd w:val="clear" w:color="000000" w:fill="FFFFFF"/>
            <w:vAlign w:val="center"/>
            <w:hideMark/>
          </w:tcPr>
          <w:p w14:paraId="365ECF92" w14:textId="77777777" w:rsidR="002B41BB" w:rsidRPr="004E5A6E" w:rsidRDefault="002B41BB" w:rsidP="002B41BB">
            <w:pPr>
              <w:jc w:val="center"/>
              <w:rPr>
                <w:color w:val="auto"/>
                <w:sz w:val="20"/>
                <w:szCs w:val="20"/>
                <w:lang w:val="sq-AL"/>
              </w:rPr>
            </w:pPr>
            <w:r w:rsidRPr="004E5A6E">
              <w:rPr>
                <w:color w:val="auto"/>
                <w:sz w:val="20"/>
                <w:szCs w:val="20"/>
                <w:lang w:val="sq-AL"/>
              </w:rPr>
              <w:t>1,900</w:t>
            </w:r>
          </w:p>
        </w:tc>
      </w:tr>
      <w:tr w:rsidR="002B41BB" w:rsidRPr="004E5A6E" w14:paraId="59635280" w14:textId="77777777" w:rsidTr="002B41BB">
        <w:trPr>
          <w:trHeight w:val="420"/>
        </w:trPr>
        <w:tc>
          <w:tcPr>
            <w:tcW w:w="5000" w:type="pct"/>
            <w:gridSpan w:val="8"/>
            <w:tcBorders>
              <w:top w:val="nil"/>
              <w:left w:val="double" w:sz="6" w:space="0" w:color="auto"/>
              <w:bottom w:val="single" w:sz="8" w:space="0" w:color="auto"/>
              <w:right w:val="double" w:sz="6" w:space="0" w:color="000000"/>
            </w:tcBorders>
            <w:shd w:val="clear" w:color="000000" w:fill="FFFFFF"/>
            <w:vAlign w:val="center"/>
            <w:hideMark/>
          </w:tcPr>
          <w:p w14:paraId="3F667A01" w14:textId="77777777" w:rsidR="002B41BB" w:rsidRPr="004E5A6E" w:rsidRDefault="002B41BB" w:rsidP="002B41BB">
            <w:pPr>
              <w:jc w:val="center"/>
              <w:rPr>
                <w:b/>
                <w:bCs/>
                <w:color w:val="auto"/>
                <w:sz w:val="20"/>
                <w:szCs w:val="20"/>
                <w:lang w:val="sq-AL"/>
              </w:rPr>
            </w:pPr>
            <w:r w:rsidRPr="004E5A6E">
              <w:rPr>
                <w:b/>
                <w:bCs/>
                <w:color w:val="auto"/>
                <w:sz w:val="20"/>
                <w:szCs w:val="20"/>
                <w:lang w:val="sq-AL"/>
              </w:rPr>
              <w:t>Komponentë të përzgjedhura të shpenzimeve</w:t>
            </w:r>
          </w:p>
        </w:tc>
      </w:tr>
      <w:tr w:rsidR="002B41BB" w:rsidRPr="004E5A6E" w14:paraId="2904B18B" w14:textId="77777777" w:rsidTr="002B41BB">
        <w:trPr>
          <w:trHeight w:val="420"/>
        </w:trPr>
        <w:tc>
          <w:tcPr>
            <w:tcW w:w="2082" w:type="pct"/>
            <w:tcBorders>
              <w:top w:val="nil"/>
              <w:left w:val="double" w:sz="6" w:space="0" w:color="auto"/>
              <w:bottom w:val="dotted" w:sz="4" w:space="0" w:color="auto"/>
              <w:right w:val="nil"/>
            </w:tcBorders>
            <w:shd w:val="clear" w:color="000000" w:fill="FFFFFF"/>
            <w:vAlign w:val="center"/>
            <w:hideMark/>
          </w:tcPr>
          <w:p w14:paraId="5260E60B" w14:textId="77777777" w:rsidR="002B41BB" w:rsidRPr="004E5A6E" w:rsidRDefault="002B41BB" w:rsidP="002B41BB">
            <w:pPr>
              <w:rPr>
                <w:color w:val="auto"/>
                <w:sz w:val="20"/>
                <w:szCs w:val="20"/>
                <w:lang w:val="sq-AL"/>
              </w:rPr>
            </w:pPr>
            <w:r w:rsidRPr="004E5A6E">
              <w:rPr>
                <w:color w:val="auto"/>
                <w:sz w:val="20"/>
                <w:szCs w:val="20"/>
                <w:lang w:val="sq-AL"/>
              </w:rPr>
              <w:t xml:space="preserve">17. Konsumi i Përgjithshëm </w:t>
            </w:r>
          </w:p>
        </w:tc>
        <w:tc>
          <w:tcPr>
            <w:tcW w:w="234" w:type="pct"/>
            <w:tcBorders>
              <w:top w:val="nil"/>
              <w:left w:val="nil"/>
              <w:bottom w:val="dotted" w:sz="4" w:space="0" w:color="auto"/>
              <w:right w:val="single" w:sz="8" w:space="0" w:color="auto"/>
            </w:tcBorders>
            <w:shd w:val="clear" w:color="000000" w:fill="FFFFFF"/>
            <w:vAlign w:val="center"/>
            <w:hideMark/>
          </w:tcPr>
          <w:p w14:paraId="6A662343"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383" w:type="pct"/>
            <w:tcBorders>
              <w:top w:val="nil"/>
              <w:left w:val="nil"/>
              <w:bottom w:val="dotted" w:sz="4" w:space="0" w:color="auto"/>
              <w:right w:val="single" w:sz="8" w:space="0" w:color="auto"/>
            </w:tcBorders>
            <w:shd w:val="clear" w:color="000000" w:fill="FFFFFF"/>
            <w:vAlign w:val="center"/>
            <w:hideMark/>
          </w:tcPr>
          <w:p w14:paraId="6B63B76D" w14:textId="77777777" w:rsidR="002B41BB" w:rsidRPr="004E5A6E" w:rsidRDefault="002B41BB" w:rsidP="002B41BB">
            <w:pPr>
              <w:jc w:val="center"/>
              <w:rPr>
                <w:color w:val="auto"/>
                <w:sz w:val="20"/>
                <w:szCs w:val="20"/>
                <w:lang w:val="sq-AL"/>
              </w:rPr>
            </w:pPr>
            <w:r w:rsidRPr="004E5A6E">
              <w:rPr>
                <w:color w:val="auto"/>
                <w:sz w:val="20"/>
                <w:szCs w:val="20"/>
                <w:lang w:val="sq-AL"/>
              </w:rPr>
              <w:t>P32</w:t>
            </w:r>
          </w:p>
        </w:tc>
        <w:tc>
          <w:tcPr>
            <w:tcW w:w="460" w:type="pct"/>
            <w:tcBorders>
              <w:top w:val="nil"/>
              <w:left w:val="nil"/>
              <w:bottom w:val="dotted" w:sz="4" w:space="0" w:color="auto"/>
              <w:right w:val="dotted" w:sz="4" w:space="0" w:color="auto"/>
            </w:tcBorders>
            <w:shd w:val="clear" w:color="000000" w:fill="FFFFFF"/>
            <w:vAlign w:val="center"/>
            <w:hideMark/>
          </w:tcPr>
          <w:p w14:paraId="6B80B4A0" w14:textId="77777777" w:rsidR="002B41BB" w:rsidRPr="004E5A6E" w:rsidRDefault="002B41BB" w:rsidP="002B41BB">
            <w:pPr>
              <w:jc w:val="center"/>
              <w:rPr>
                <w:color w:val="auto"/>
                <w:sz w:val="20"/>
                <w:szCs w:val="20"/>
                <w:lang w:val="sq-AL"/>
              </w:rPr>
            </w:pPr>
            <w:r w:rsidRPr="004E5A6E">
              <w:rPr>
                <w:color w:val="auto"/>
                <w:sz w:val="20"/>
                <w:szCs w:val="20"/>
                <w:lang w:val="sq-AL"/>
              </w:rPr>
              <w:t>911</w:t>
            </w:r>
          </w:p>
        </w:tc>
        <w:tc>
          <w:tcPr>
            <w:tcW w:w="460" w:type="pct"/>
            <w:tcBorders>
              <w:top w:val="nil"/>
              <w:left w:val="nil"/>
              <w:bottom w:val="dotted" w:sz="4" w:space="0" w:color="auto"/>
              <w:right w:val="dotted" w:sz="4" w:space="0" w:color="auto"/>
            </w:tcBorders>
            <w:shd w:val="clear" w:color="000000" w:fill="FFFFFF"/>
            <w:vAlign w:val="center"/>
            <w:hideMark/>
          </w:tcPr>
          <w:p w14:paraId="439E4AD9" w14:textId="77777777" w:rsidR="002B41BB" w:rsidRPr="004E5A6E" w:rsidRDefault="002B41BB" w:rsidP="002B41BB">
            <w:pPr>
              <w:jc w:val="center"/>
              <w:rPr>
                <w:color w:val="auto"/>
                <w:sz w:val="20"/>
                <w:szCs w:val="20"/>
                <w:lang w:val="sq-AL"/>
              </w:rPr>
            </w:pPr>
            <w:r w:rsidRPr="004E5A6E">
              <w:rPr>
                <w:color w:val="auto"/>
                <w:sz w:val="20"/>
                <w:szCs w:val="20"/>
                <w:lang w:val="sq-AL"/>
              </w:rPr>
              <w:t>925</w:t>
            </w:r>
          </w:p>
        </w:tc>
        <w:tc>
          <w:tcPr>
            <w:tcW w:w="460" w:type="pct"/>
            <w:tcBorders>
              <w:top w:val="nil"/>
              <w:left w:val="nil"/>
              <w:bottom w:val="dotted" w:sz="4" w:space="0" w:color="auto"/>
              <w:right w:val="dotted" w:sz="4" w:space="0" w:color="auto"/>
            </w:tcBorders>
            <w:shd w:val="clear" w:color="000000" w:fill="FFFFFF"/>
            <w:vAlign w:val="center"/>
            <w:hideMark/>
          </w:tcPr>
          <w:p w14:paraId="2AAA2FE4" w14:textId="77777777" w:rsidR="002B41BB" w:rsidRPr="004E5A6E" w:rsidRDefault="002B41BB" w:rsidP="002B41BB">
            <w:pPr>
              <w:jc w:val="center"/>
              <w:rPr>
                <w:color w:val="auto"/>
                <w:sz w:val="20"/>
                <w:szCs w:val="20"/>
                <w:lang w:val="sq-AL"/>
              </w:rPr>
            </w:pPr>
            <w:r w:rsidRPr="004E5A6E">
              <w:rPr>
                <w:color w:val="auto"/>
                <w:sz w:val="20"/>
                <w:szCs w:val="20"/>
                <w:lang w:val="sq-AL"/>
              </w:rPr>
              <w:t>960</w:t>
            </w:r>
          </w:p>
        </w:tc>
        <w:tc>
          <w:tcPr>
            <w:tcW w:w="460" w:type="pct"/>
            <w:tcBorders>
              <w:top w:val="nil"/>
              <w:left w:val="nil"/>
              <w:bottom w:val="dotted" w:sz="4" w:space="0" w:color="auto"/>
              <w:right w:val="dotted" w:sz="4" w:space="0" w:color="auto"/>
            </w:tcBorders>
            <w:shd w:val="clear" w:color="000000" w:fill="FFFFFF"/>
            <w:vAlign w:val="center"/>
            <w:hideMark/>
          </w:tcPr>
          <w:p w14:paraId="5DFBF520" w14:textId="77777777" w:rsidR="002B41BB" w:rsidRPr="004E5A6E" w:rsidRDefault="002B41BB" w:rsidP="002B41BB">
            <w:pPr>
              <w:jc w:val="center"/>
              <w:rPr>
                <w:color w:val="auto"/>
                <w:sz w:val="20"/>
                <w:szCs w:val="20"/>
                <w:lang w:val="sq-AL"/>
              </w:rPr>
            </w:pPr>
            <w:r w:rsidRPr="004E5A6E">
              <w:rPr>
                <w:color w:val="auto"/>
                <w:sz w:val="20"/>
                <w:szCs w:val="20"/>
                <w:lang w:val="sq-AL"/>
              </w:rPr>
              <w:t>988</w:t>
            </w:r>
          </w:p>
        </w:tc>
        <w:tc>
          <w:tcPr>
            <w:tcW w:w="460" w:type="pct"/>
            <w:tcBorders>
              <w:top w:val="nil"/>
              <w:left w:val="nil"/>
              <w:bottom w:val="dotted" w:sz="4" w:space="0" w:color="auto"/>
              <w:right w:val="double" w:sz="6" w:space="0" w:color="auto"/>
            </w:tcBorders>
            <w:shd w:val="clear" w:color="000000" w:fill="FFFFFF"/>
            <w:vAlign w:val="center"/>
            <w:hideMark/>
          </w:tcPr>
          <w:p w14:paraId="25F7A86A" w14:textId="77777777" w:rsidR="002B41BB" w:rsidRPr="004E5A6E" w:rsidRDefault="002B41BB" w:rsidP="002B41BB">
            <w:pPr>
              <w:jc w:val="center"/>
              <w:rPr>
                <w:color w:val="auto"/>
                <w:sz w:val="20"/>
                <w:szCs w:val="20"/>
                <w:lang w:val="sq-AL"/>
              </w:rPr>
            </w:pPr>
            <w:r w:rsidRPr="004E5A6E">
              <w:rPr>
                <w:color w:val="auto"/>
                <w:sz w:val="20"/>
                <w:szCs w:val="20"/>
                <w:lang w:val="sq-AL"/>
              </w:rPr>
              <w:t>992</w:t>
            </w:r>
          </w:p>
        </w:tc>
      </w:tr>
      <w:tr w:rsidR="002B41BB" w:rsidRPr="004E5A6E" w14:paraId="651890CE" w14:textId="77777777" w:rsidTr="002B41BB">
        <w:trPr>
          <w:trHeight w:val="420"/>
        </w:trPr>
        <w:tc>
          <w:tcPr>
            <w:tcW w:w="2082" w:type="pct"/>
            <w:tcBorders>
              <w:top w:val="nil"/>
              <w:left w:val="double" w:sz="6" w:space="0" w:color="auto"/>
              <w:bottom w:val="dotted" w:sz="4" w:space="0" w:color="auto"/>
              <w:right w:val="nil"/>
            </w:tcBorders>
            <w:shd w:val="clear" w:color="000000" w:fill="FFFFFF"/>
            <w:vAlign w:val="center"/>
            <w:hideMark/>
          </w:tcPr>
          <w:p w14:paraId="341BDC77" w14:textId="77777777" w:rsidR="002B41BB" w:rsidRPr="004E5A6E" w:rsidRDefault="002B41BB" w:rsidP="002B41BB">
            <w:pPr>
              <w:rPr>
                <w:color w:val="auto"/>
                <w:sz w:val="20"/>
                <w:szCs w:val="20"/>
                <w:lang w:val="sq-AL"/>
              </w:rPr>
            </w:pPr>
            <w:r w:rsidRPr="004E5A6E">
              <w:rPr>
                <w:color w:val="auto"/>
                <w:sz w:val="20"/>
                <w:szCs w:val="20"/>
                <w:lang w:val="sq-AL"/>
              </w:rPr>
              <w:t>18. Totali i Transfereve Sociale</w:t>
            </w:r>
          </w:p>
        </w:tc>
        <w:tc>
          <w:tcPr>
            <w:tcW w:w="234" w:type="pct"/>
            <w:tcBorders>
              <w:top w:val="nil"/>
              <w:left w:val="nil"/>
              <w:bottom w:val="dotted" w:sz="4" w:space="0" w:color="auto"/>
              <w:right w:val="single" w:sz="8" w:space="0" w:color="auto"/>
            </w:tcBorders>
            <w:shd w:val="clear" w:color="000000" w:fill="FFFFFF"/>
            <w:vAlign w:val="center"/>
            <w:hideMark/>
          </w:tcPr>
          <w:p w14:paraId="2BE59933"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383" w:type="pct"/>
            <w:tcBorders>
              <w:top w:val="nil"/>
              <w:left w:val="nil"/>
              <w:bottom w:val="dotted" w:sz="4" w:space="0" w:color="auto"/>
              <w:right w:val="single" w:sz="8" w:space="0" w:color="auto"/>
            </w:tcBorders>
            <w:shd w:val="clear" w:color="000000" w:fill="FFFFFF"/>
            <w:vAlign w:val="center"/>
            <w:hideMark/>
          </w:tcPr>
          <w:p w14:paraId="2232F672" w14:textId="77777777" w:rsidR="002B41BB" w:rsidRPr="004E5A6E" w:rsidRDefault="002B41BB" w:rsidP="002B41BB">
            <w:pPr>
              <w:jc w:val="center"/>
              <w:rPr>
                <w:color w:val="auto"/>
                <w:sz w:val="20"/>
                <w:szCs w:val="20"/>
                <w:lang w:val="sq-AL"/>
              </w:rPr>
            </w:pPr>
            <w:r w:rsidRPr="004E5A6E">
              <w:rPr>
                <w:color w:val="auto"/>
                <w:sz w:val="20"/>
                <w:szCs w:val="20"/>
                <w:lang w:val="sq-AL"/>
              </w:rPr>
              <w:t>D62 + D63</w:t>
            </w:r>
          </w:p>
        </w:tc>
        <w:tc>
          <w:tcPr>
            <w:tcW w:w="460" w:type="pct"/>
            <w:tcBorders>
              <w:top w:val="nil"/>
              <w:left w:val="nil"/>
              <w:bottom w:val="dotted" w:sz="4" w:space="0" w:color="auto"/>
              <w:right w:val="dotted" w:sz="4" w:space="0" w:color="auto"/>
            </w:tcBorders>
            <w:shd w:val="clear" w:color="000000" w:fill="FFFFFF"/>
            <w:vAlign w:val="center"/>
            <w:hideMark/>
          </w:tcPr>
          <w:p w14:paraId="182540BE" w14:textId="77777777" w:rsidR="002B41BB" w:rsidRPr="004E5A6E" w:rsidRDefault="002B41BB" w:rsidP="002B41BB">
            <w:pPr>
              <w:jc w:val="center"/>
              <w:rPr>
                <w:color w:val="auto"/>
                <w:sz w:val="20"/>
                <w:szCs w:val="20"/>
                <w:lang w:val="sq-AL"/>
              </w:rPr>
            </w:pPr>
            <w:r w:rsidRPr="004E5A6E">
              <w:rPr>
                <w:color w:val="auto"/>
                <w:sz w:val="20"/>
                <w:szCs w:val="20"/>
                <w:lang w:val="sq-AL"/>
              </w:rPr>
              <w:t>627</w:t>
            </w:r>
          </w:p>
        </w:tc>
        <w:tc>
          <w:tcPr>
            <w:tcW w:w="460" w:type="pct"/>
            <w:tcBorders>
              <w:top w:val="nil"/>
              <w:left w:val="nil"/>
              <w:bottom w:val="dotted" w:sz="4" w:space="0" w:color="auto"/>
              <w:right w:val="dotted" w:sz="4" w:space="0" w:color="auto"/>
            </w:tcBorders>
            <w:shd w:val="clear" w:color="000000" w:fill="FFFFFF"/>
            <w:vAlign w:val="center"/>
            <w:hideMark/>
          </w:tcPr>
          <w:p w14:paraId="68317DE1" w14:textId="77777777" w:rsidR="002B41BB" w:rsidRPr="004E5A6E" w:rsidRDefault="002B41BB" w:rsidP="002B41BB">
            <w:pPr>
              <w:jc w:val="center"/>
              <w:rPr>
                <w:color w:val="auto"/>
                <w:sz w:val="20"/>
                <w:szCs w:val="20"/>
                <w:lang w:val="sq-AL"/>
              </w:rPr>
            </w:pPr>
            <w:r w:rsidRPr="004E5A6E">
              <w:rPr>
                <w:color w:val="auto"/>
                <w:sz w:val="20"/>
                <w:szCs w:val="20"/>
                <w:lang w:val="sq-AL"/>
              </w:rPr>
              <w:t>828</w:t>
            </w:r>
          </w:p>
        </w:tc>
        <w:tc>
          <w:tcPr>
            <w:tcW w:w="460" w:type="pct"/>
            <w:tcBorders>
              <w:top w:val="nil"/>
              <w:left w:val="nil"/>
              <w:bottom w:val="dotted" w:sz="4" w:space="0" w:color="auto"/>
              <w:right w:val="dotted" w:sz="4" w:space="0" w:color="auto"/>
            </w:tcBorders>
            <w:shd w:val="clear" w:color="000000" w:fill="FFFFFF"/>
            <w:vAlign w:val="center"/>
            <w:hideMark/>
          </w:tcPr>
          <w:p w14:paraId="4DB71E2B" w14:textId="77777777" w:rsidR="002B41BB" w:rsidRPr="004E5A6E" w:rsidRDefault="002B41BB" w:rsidP="002B41BB">
            <w:pPr>
              <w:jc w:val="center"/>
              <w:rPr>
                <w:color w:val="auto"/>
                <w:sz w:val="20"/>
                <w:szCs w:val="20"/>
                <w:lang w:val="sq-AL"/>
              </w:rPr>
            </w:pPr>
            <w:r w:rsidRPr="004E5A6E">
              <w:rPr>
                <w:color w:val="auto"/>
                <w:sz w:val="20"/>
                <w:szCs w:val="20"/>
                <w:lang w:val="sq-AL"/>
              </w:rPr>
              <w:t>749</w:t>
            </w:r>
          </w:p>
        </w:tc>
        <w:tc>
          <w:tcPr>
            <w:tcW w:w="460" w:type="pct"/>
            <w:tcBorders>
              <w:top w:val="nil"/>
              <w:left w:val="nil"/>
              <w:bottom w:val="dotted" w:sz="4" w:space="0" w:color="auto"/>
              <w:right w:val="dotted" w:sz="4" w:space="0" w:color="auto"/>
            </w:tcBorders>
            <w:shd w:val="clear" w:color="000000" w:fill="FFFFFF"/>
            <w:vAlign w:val="center"/>
            <w:hideMark/>
          </w:tcPr>
          <w:p w14:paraId="050D3403" w14:textId="77777777" w:rsidR="002B41BB" w:rsidRPr="004E5A6E" w:rsidRDefault="002B41BB" w:rsidP="002B41BB">
            <w:pPr>
              <w:jc w:val="center"/>
              <w:rPr>
                <w:color w:val="auto"/>
                <w:sz w:val="20"/>
                <w:szCs w:val="20"/>
                <w:lang w:val="sq-AL"/>
              </w:rPr>
            </w:pPr>
            <w:r w:rsidRPr="004E5A6E">
              <w:rPr>
                <w:color w:val="auto"/>
                <w:sz w:val="20"/>
                <w:szCs w:val="20"/>
                <w:lang w:val="sq-AL"/>
              </w:rPr>
              <w:t>654</w:t>
            </w:r>
          </w:p>
        </w:tc>
        <w:tc>
          <w:tcPr>
            <w:tcW w:w="460" w:type="pct"/>
            <w:tcBorders>
              <w:top w:val="nil"/>
              <w:left w:val="nil"/>
              <w:bottom w:val="dotted" w:sz="4" w:space="0" w:color="auto"/>
              <w:right w:val="double" w:sz="6" w:space="0" w:color="auto"/>
            </w:tcBorders>
            <w:shd w:val="clear" w:color="000000" w:fill="FFFFFF"/>
            <w:vAlign w:val="center"/>
            <w:hideMark/>
          </w:tcPr>
          <w:p w14:paraId="66910924" w14:textId="77777777" w:rsidR="002B41BB" w:rsidRPr="004E5A6E" w:rsidRDefault="002B41BB" w:rsidP="002B41BB">
            <w:pPr>
              <w:jc w:val="center"/>
              <w:rPr>
                <w:color w:val="auto"/>
                <w:sz w:val="20"/>
                <w:szCs w:val="20"/>
                <w:lang w:val="sq-AL"/>
              </w:rPr>
            </w:pPr>
            <w:r w:rsidRPr="004E5A6E">
              <w:rPr>
                <w:color w:val="auto"/>
                <w:sz w:val="20"/>
                <w:szCs w:val="20"/>
                <w:lang w:val="sq-AL"/>
              </w:rPr>
              <w:t>659</w:t>
            </w:r>
          </w:p>
        </w:tc>
      </w:tr>
      <w:tr w:rsidR="002B41BB" w:rsidRPr="004E5A6E" w14:paraId="1DD7784B" w14:textId="77777777" w:rsidTr="002B41BB">
        <w:trPr>
          <w:trHeight w:val="420"/>
        </w:trPr>
        <w:tc>
          <w:tcPr>
            <w:tcW w:w="2082" w:type="pct"/>
            <w:tcBorders>
              <w:top w:val="nil"/>
              <w:left w:val="double" w:sz="6" w:space="0" w:color="auto"/>
              <w:bottom w:val="dotted" w:sz="4" w:space="0" w:color="auto"/>
              <w:right w:val="nil"/>
            </w:tcBorders>
            <w:shd w:val="clear" w:color="000000" w:fill="FFFFFF"/>
            <w:vAlign w:val="center"/>
            <w:hideMark/>
          </w:tcPr>
          <w:p w14:paraId="7A7809CC" w14:textId="77777777" w:rsidR="002B41BB" w:rsidRPr="004E5A6E" w:rsidRDefault="002B41BB" w:rsidP="002B41BB">
            <w:pPr>
              <w:rPr>
                <w:color w:val="auto"/>
                <w:sz w:val="20"/>
                <w:szCs w:val="20"/>
                <w:lang w:val="sq-AL"/>
              </w:rPr>
            </w:pPr>
            <w:r w:rsidRPr="004E5A6E">
              <w:rPr>
                <w:color w:val="auto"/>
                <w:sz w:val="20"/>
                <w:szCs w:val="20"/>
                <w:lang w:val="sq-AL"/>
              </w:rPr>
              <w:t xml:space="preserve">18a. Transferet Sociale në Mallra </w:t>
            </w:r>
          </w:p>
        </w:tc>
        <w:tc>
          <w:tcPr>
            <w:tcW w:w="234" w:type="pct"/>
            <w:tcBorders>
              <w:top w:val="nil"/>
              <w:left w:val="nil"/>
              <w:bottom w:val="dotted" w:sz="4" w:space="0" w:color="auto"/>
              <w:right w:val="single" w:sz="8" w:space="0" w:color="auto"/>
            </w:tcBorders>
            <w:shd w:val="clear" w:color="000000" w:fill="FFFFFF"/>
            <w:vAlign w:val="center"/>
            <w:hideMark/>
          </w:tcPr>
          <w:p w14:paraId="6A1CC494"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383" w:type="pct"/>
            <w:tcBorders>
              <w:top w:val="nil"/>
              <w:left w:val="nil"/>
              <w:bottom w:val="dotted" w:sz="4" w:space="0" w:color="auto"/>
              <w:right w:val="single" w:sz="8" w:space="0" w:color="auto"/>
            </w:tcBorders>
            <w:shd w:val="clear" w:color="000000" w:fill="FFFFFF"/>
            <w:vAlign w:val="center"/>
            <w:hideMark/>
          </w:tcPr>
          <w:p w14:paraId="6CAE4A23" w14:textId="77777777" w:rsidR="002B41BB" w:rsidRPr="004E5A6E" w:rsidRDefault="002B41BB" w:rsidP="002B41BB">
            <w:pPr>
              <w:jc w:val="center"/>
              <w:rPr>
                <w:color w:val="auto"/>
                <w:sz w:val="20"/>
                <w:szCs w:val="20"/>
                <w:lang w:val="sq-AL"/>
              </w:rPr>
            </w:pPr>
            <w:r w:rsidRPr="004E5A6E">
              <w:rPr>
                <w:color w:val="auto"/>
                <w:sz w:val="20"/>
                <w:szCs w:val="20"/>
                <w:lang w:val="sq-AL"/>
              </w:rPr>
              <w:t>P31 = D63</w:t>
            </w:r>
          </w:p>
        </w:tc>
        <w:tc>
          <w:tcPr>
            <w:tcW w:w="460" w:type="pct"/>
            <w:tcBorders>
              <w:top w:val="nil"/>
              <w:left w:val="nil"/>
              <w:bottom w:val="dotted" w:sz="4" w:space="0" w:color="auto"/>
              <w:right w:val="dotted" w:sz="4" w:space="0" w:color="auto"/>
            </w:tcBorders>
            <w:shd w:val="clear" w:color="000000" w:fill="FFFFFF"/>
            <w:vAlign w:val="center"/>
            <w:hideMark/>
          </w:tcPr>
          <w:p w14:paraId="755F21E3"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60" w:type="pct"/>
            <w:tcBorders>
              <w:top w:val="nil"/>
              <w:left w:val="nil"/>
              <w:bottom w:val="dotted" w:sz="4" w:space="0" w:color="auto"/>
              <w:right w:val="dotted" w:sz="4" w:space="0" w:color="auto"/>
            </w:tcBorders>
            <w:shd w:val="clear" w:color="000000" w:fill="FFFFFF"/>
            <w:vAlign w:val="center"/>
            <w:hideMark/>
          </w:tcPr>
          <w:p w14:paraId="5DA4075C"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60" w:type="pct"/>
            <w:tcBorders>
              <w:top w:val="nil"/>
              <w:left w:val="nil"/>
              <w:bottom w:val="dotted" w:sz="4" w:space="0" w:color="auto"/>
              <w:right w:val="dotted" w:sz="4" w:space="0" w:color="auto"/>
            </w:tcBorders>
            <w:shd w:val="clear" w:color="000000" w:fill="FFFFFF"/>
            <w:vAlign w:val="center"/>
            <w:hideMark/>
          </w:tcPr>
          <w:p w14:paraId="78BB4509"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60" w:type="pct"/>
            <w:tcBorders>
              <w:top w:val="nil"/>
              <w:left w:val="nil"/>
              <w:bottom w:val="dotted" w:sz="4" w:space="0" w:color="auto"/>
              <w:right w:val="dotted" w:sz="4" w:space="0" w:color="auto"/>
            </w:tcBorders>
            <w:shd w:val="clear" w:color="000000" w:fill="FFFFFF"/>
            <w:vAlign w:val="center"/>
            <w:hideMark/>
          </w:tcPr>
          <w:p w14:paraId="43546AB2"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60" w:type="pct"/>
            <w:tcBorders>
              <w:top w:val="nil"/>
              <w:left w:val="nil"/>
              <w:bottom w:val="dotted" w:sz="4" w:space="0" w:color="auto"/>
              <w:right w:val="double" w:sz="6" w:space="0" w:color="auto"/>
            </w:tcBorders>
            <w:shd w:val="clear" w:color="000000" w:fill="FFFFFF"/>
            <w:vAlign w:val="center"/>
            <w:hideMark/>
          </w:tcPr>
          <w:p w14:paraId="188E1565"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r w:rsidR="002B41BB" w:rsidRPr="004E5A6E" w14:paraId="5B0F07CD" w14:textId="77777777" w:rsidTr="002B41BB">
        <w:trPr>
          <w:trHeight w:val="420"/>
        </w:trPr>
        <w:tc>
          <w:tcPr>
            <w:tcW w:w="2082" w:type="pct"/>
            <w:tcBorders>
              <w:top w:val="nil"/>
              <w:left w:val="double" w:sz="6" w:space="0" w:color="auto"/>
              <w:bottom w:val="dotted" w:sz="4" w:space="0" w:color="auto"/>
              <w:right w:val="nil"/>
            </w:tcBorders>
            <w:shd w:val="clear" w:color="000000" w:fill="FFFFFF"/>
            <w:vAlign w:val="center"/>
            <w:hideMark/>
          </w:tcPr>
          <w:p w14:paraId="6E2E9C5A" w14:textId="77777777" w:rsidR="002B41BB" w:rsidRPr="004E5A6E" w:rsidRDefault="002B41BB" w:rsidP="002B41BB">
            <w:pPr>
              <w:rPr>
                <w:color w:val="auto"/>
                <w:sz w:val="20"/>
                <w:szCs w:val="20"/>
                <w:lang w:val="sq-AL"/>
              </w:rPr>
            </w:pPr>
            <w:r w:rsidRPr="004E5A6E">
              <w:rPr>
                <w:color w:val="auto"/>
                <w:sz w:val="20"/>
                <w:szCs w:val="20"/>
                <w:lang w:val="sq-AL"/>
              </w:rPr>
              <w:t>18b. Transferet Sociale përveç në Mallra/2</w:t>
            </w:r>
          </w:p>
        </w:tc>
        <w:tc>
          <w:tcPr>
            <w:tcW w:w="234" w:type="pct"/>
            <w:tcBorders>
              <w:top w:val="nil"/>
              <w:left w:val="nil"/>
              <w:bottom w:val="dotted" w:sz="4" w:space="0" w:color="auto"/>
              <w:right w:val="single" w:sz="8" w:space="0" w:color="auto"/>
            </w:tcBorders>
            <w:shd w:val="clear" w:color="000000" w:fill="FFFFFF"/>
            <w:vAlign w:val="center"/>
            <w:hideMark/>
          </w:tcPr>
          <w:p w14:paraId="0D311100"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383" w:type="pct"/>
            <w:tcBorders>
              <w:top w:val="nil"/>
              <w:left w:val="nil"/>
              <w:bottom w:val="dotted" w:sz="4" w:space="0" w:color="auto"/>
              <w:right w:val="single" w:sz="8" w:space="0" w:color="auto"/>
            </w:tcBorders>
            <w:shd w:val="clear" w:color="000000" w:fill="FFFFFF"/>
            <w:vAlign w:val="center"/>
            <w:hideMark/>
          </w:tcPr>
          <w:p w14:paraId="2E65DA7C" w14:textId="77777777" w:rsidR="002B41BB" w:rsidRPr="004E5A6E" w:rsidRDefault="002B41BB" w:rsidP="002B41BB">
            <w:pPr>
              <w:jc w:val="center"/>
              <w:rPr>
                <w:color w:val="auto"/>
                <w:sz w:val="20"/>
                <w:szCs w:val="20"/>
                <w:lang w:val="sq-AL"/>
              </w:rPr>
            </w:pPr>
            <w:r w:rsidRPr="004E5A6E">
              <w:rPr>
                <w:color w:val="auto"/>
                <w:sz w:val="20"/>
                <w:szCs w:val="20"/>
                <w:lang w:val="sq-AL"/>
              </w:rPr>
              <w:t>D62</w:t>
            </w:r>
          </w:p>
        </w:tc>
        <w:tc>
          <w:tcPr>
            <w:tcW w:w="460" w:type="pct"/>
            <w:tcBorders>
              <w:top w:val="nil"/>
              <w:left w:val="nil"/>
              <w:bottom w:val="dotted" w:sz="4" w:space="0" w:color="auto"/>
              <w:right w:val="dotted" w:sz="4" w:space="0" w:color="auto"/>
            </w:tcBorders>
            <w:shd w:val="clear" w:color="000000" w:fill="FFFFFF"/>
            <w:vAlign w:val="center"/>
            <w:hideMark/>
          </w:tcPr>
          <w:p w14:paraId="147B8457" w14:textId="77777777" w:rsidR="002B41BB" w:rsidRPr="004E5A6E" w:rsidRDefault="002B41BB" w:rsidP="002B41BB">
            <w:pPr>
              <w:jc w:val="center"/>
              <w:rPr>
                <w:color w:val="auto"/>
                <w:sz w:val="20"/>
                <w:szCs w:val="20"/>
                <w:lang w:val="sq-AL"/>
              </w:rPr>
            </w:pPr>
            <w:r w:rsidRPr="004E5A6E">
              <w:rPr>
                <w:color w:val="auto"/>
                <w:sz w:val="20"/>
                <w:szCs w:val="20"/>
                <w:lang w:val="sq-AL"/>
              </w:rPr>
              <w:t>627</w:t>
            </w:r>
          </w:p>
        </w:tc>
        <w:tc>
          <w:tcPr>
            <w:tcW w:w="460" w:type="pct"/>
            <w:tcBorders>
              <w:top w:val="nil"/>
              <w:left w:val="nil"/>
              <w:bottom w:val="dotted" w:sz="4" w:space="0" w:color="auto"/>
              <w:right w:val="dotted" w:sz="4" w:space="0" w:color="auto"/>
            </w:tcBorders>
            <w:shd w:val="clear" w:color="000000" w:fill="FFFFFF"/>
            <w:vAlign w:val="center"/>
            <w:hideMark/>
          </w:tcPr>
          <w:p w14:paraId="6190C768" w14:textId="77777777" w:rsidR="002B41BB" w:rsidRPr="004E5A6E" w:rsidRDefault="002B41BB" w:rsidP="002B41BB">
            <w:pPr>
              <w:jc w:val="center"/>
              <w:rPr>
                <w:color w:val="auto"/>
                <w:sz w:val="20"/>
                <w:szCs w:val="20"/>
                <w:lang w:val="sq-AL"/>
              </w:rPr>
            </w:pPr>
            <w:r w:rsidRPr="004E5A6E">
              <w:rPr>
                <w:color w:val="auto"/>
                <w:sz w:val="20"/>
                <w:szCs w:val="20"/>
                <w:lang w:val="sq-AL"/>
              </w:rPr>
              <w:t>828</w:t>
            </w:r>
          </w:p>
        </w:tc>
        <w:tc>
          <w:tcPr>
            <w:tcW w:w="460" w:type="pct"/>
            <w:tcBorders>
              <w:top w:val="nil"/>
              <w:left w:val="nil"/>
              <w:bottom w:val="dotted" w:sz="4" w:space="0" w:color="auto"/>
              <w:right w:val="dotted" w:sz="4" w:space="0" w:color="auto"/>
            </w:tcBorders>
            <w:shd w:val="clear" w:color="000000" w:fill="FFFFFF"/>
            <w:vAlign w:val="center"/>
            <w:hideMark/>
          </w:tcPr>
          <w:p w14:paraId="0A3EDDC4" w14:textId="77777777" w:rsidR="002B41BB" w:rsidRPr="004E5A6E" w:rsidRDefault="002B41BB" w:rsidP="002B41BB">
            <w:pPr>
              <w:jc w:val="center"/>
              <w:rPr>
                <w:color w:val="auto"/>
                <w:sz w:val="20"/>
                <w:szCs w:val="20"/>
                <w:lang w:val="sq-AL"/>
              </w:rPr>
            </w:pPr>
            <w:r w:rsidRPr="004E5A6E">
              <w:rPr>
                <w:color w:val="auto"/>
                <w:sz w:val="20"/>
                <w:szCs w:val="20"/>
                <w:lang w:val="sq-AL"/>
              </w:rPr>
              <w:t>749</w:t>
            </w:r>
          </w:p>
        </w:tc>
        <w:tc>
          <w:tcPr>
            <w:tcW w:w="460" w:type="pct"/>
            <w:tcBorders>
              <w:top w:val="nil"/>
              <w:left w:val="nil"/>
              <w:bottom w:val="dotted" w:sz="4" w:space="0" w:color="auto"/>
              <w:right w:val="dotted" w:sz="4" w:space="0" w:color="auto"/>
            </w:tcBorders>
            <w:shd w:val="clear" w:color="000000" w:fill="FFFFFF"/>
            <w:vAlign w:val="center"/>
            <w:hideMark/>
          </w:tcPr>
          <w:p w14:paraId="28CE5AC8" w14:textId="77777777" w:rsidR="002B41BB" w:rsidRPr="004E5A6E" w:rsidRDefault="002B41BB" w:rsidP="002B41BB">
            <w:pPr>
              <w:jc w:val="center"/>
              <w:rPr>
                <w:color w:val="auto"/>
                <w:sz w:val="20"/>
                <w:szCs w:val="20"/>
                <w:lang w:val="sq-AL"/>
              </w:rPr>
            </w:pPr>
            <w:r w:rsidRPr="004E5A6E">
              <w:rPr>
                <w:color w:val="auto"/>
                <w:sz w:val="20"/>
                <w:szCs w:val="20"/>
                <w:lang w:val="sq-AL"/>
              </w:rPr>
              <w:t>654</w:t>
            </w:r>
          </w:p>
        </w:tc>
        <w:tc>
          <w:tcPr>
            <w:tcW w:w="460" w:type="pct"/>
            <w:tcBorders>
              <w:top w:val="nil"/>
              <w:left w:val="nil"/>
              <w:bottom w:val="dotted" w:sz="4" w:space="0" w:color="auto"/>
              <w:right w:val="double" w:sz="6" w:space="0" w:color="auto"/>
            </w:tcBorders>
            <w:shd w:val="clear" w:color="000000" w:fill="FFFFFF"/>
            <w:vAlign w:val="center"/>
            <w:hideMark/>
          </w:tcPr>
          <w:p w14:paraId="0F7D7570" w14:textId="77777777" w:rsidR="002B41BB" w:rsidRPr="004E5A6E" w:rsidRDefault="002B41BB" w:rsidP="002B41BB">
            <w:pPr>
              <w:jc w:val="center"/>
              <w:rPr>
                <w:color w:val="auto"/>
                <w:sz w:val="20"/>
                <w:szCs w:val="20"/>
                <w:lang w:val="sq-AL"/>
              </w:rPr>
            </w:pPr>
            <w:r w:rsidRPr="004E5A6E">
              <w:rPr>
                <w:color w:val="auto"/>
                <w:sz w:val="20"/>
                <w:szCs w:val="20"/>
                <w:lang w:val="sq-AL"/>
              </w:rPr>
              <w:t>659</w:t>
            </w:r>
          </w:p>
        </w:tc>
      </w:tr>
      <w:tr w:rsidR="002B41BB" w:rsidRPr="004E5A6E" w14:paraId="08FA64B3" w14:textId="77777777" w:rsidTr="002B41BB">
        <w:trPr>
          <w:trHeight w:val="420"/>
        </w:trPr>
        <w:tc>
          <w:tcPr>
            <w:tcW w:w="2082" w:type="pct"/>
            <w:tcBorders>
              <w:top w:val="nil"/>
              <w:left w:val="double" w:sz="6" w:space="0" w:color="auto"/>
              <w:bottom w:val="dotted" w:sz="4" w:space="0" w:color="auto"/>
              <w:right w:val="nil"/>
            </w:tcBorders>
            <w:shd w:val="clear" w:color="000000" w:fill="FFFFFF"/>
            <w:vAlign w:val="center"/>
            <w:hideMark/>
          </w:tcPr>
          <w:p w14:paraId="6AAB3390" w14:textId="77777777" w:rsidR="002B41BB" w:rsidRPr="004E5A6E" w:rsidRDefault="002B41BB" w:rsidP="002B41BB">
            <w:pPr>
              <w:rPr>
                <w:color w:val="auto"/>
                <w:sz w:val="20"/>
                <w:szCs w:val="20"/>
                <w:lang w:val="sq-AL"/>
              </w:rPr>
            </w:pPr>
            <w:r w:rsidRPr="004E5A6E">
              <w:rPr>
                <w:color w:val="auto"/>
                <w:sz w:val="20"/>
                <w:szCs w:val="20"/>
                <w:lang w:val="sq-AL"/>
              </w:rPr>
              <w:t>19 = 9. Shpenzimet e Interesit (përfshirë.</w:t>
            </w:r>
            <w:r w:rsidRPr="004E5A6E">
              <w:rPr>
                <w:color w:val="auto"/>
                <w:sz w:val="20"/>
                <w:szCs w:val="20"/>
                <w:lang w:val="sq-AL"/>
              </w:rPr>
              <w:br/>
              <w:t xml:space="preserve">FISIM) </w:t>
            </w:r>
          </w:p>
        </w:tc>
        <w:tc>
          <w:tcPr>
            <w:tcW w:w="234" w:type="pct"/>
            <w:tcBorders>
              <w:top w:val="nil"/>
              <w:left w:val="nil"/>
              <w:bottom w:val="dotted" w:sz="4" w:space="0" w:color="auto"/>
              <w:right w:val="single" w:sz="8" w:space="0" w:color="auto"/>
            </w:tcBorders>
            <w:shd w:val="clear" w:color="000000" w:fill="FFFFFF"/>
            <w:vAlign w:val="center"/>
            <w:hideMark/>
          </w:tcPr>
          <w:p w14:paraId="44E61153"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383" w:type="pct"/>
            <w:tcBorders>
              <w:top w:val="nil"/>
              <w:left w:val="nil"/>
              <w:bottom w:val="dotted" w:sz="4" w:space="0" w:color="auto"/>
              <w:right w:val="single" w:sz="8" w:space="0" w:color="auto"/>
            </w:tcBorders>
            <w:shd w:val="clear" w:color="000000" w:fill="FFFFFF"/>
            <w:vAlign w:val="center"/>
            <w:hideMark/>
          </w:tcPr>
          <w:p w14:paraId="49337A37" w14:textId="77777777" w:rsidR="002B41BB" w:rsidRPr="004E5A6E" w:rsidRDefault="002B41BB" w:rsidP="002B41BB">
            <w:pPr>
              <w:jc w:val="center"/>
              <w:rPr>
                <w:color w:val="auto"/>
                <w:sz w:val="20"/>
                <w:szCs w:val="20"/>
                <w:lang w:val="sq-AL"/>
              </w:rPr>
            </w:pPr>
            <w:r w:rsidRPr="004E5A6E">
              <w:rPr>
                <w:color w:val="auto"/>
                <w:sz w:val="20"/>
                <w:szCs w:val="20"/>
                <w:lang w:val="sq-AL"/>
              </w:rPr>
              <w:t>EDP.D41 + FISIM</w:t>
            </w:r>
          </w:p>
        </w:tc>
        <w:tc>
          <w:tcPr>
            <w:tcW w:w="460" w:type="pct"/>
            <w:tcBorders>
              <w:top w:val="nil"/>
              <w:left w:val="nil"/>
              <w:bottom w:val="dotted" w:sz="4" w:space="0" w:color="auto"/>
              <w:right w:val="dotted" w:sz="4" w:space="0" w:color="auto"/>
            </w:tcBorders>
            <w:shd w:val="clear" w:color="000000" w:fill="FFFFFF"/>
            <w:vAlign w:val="center"/>
            <w:hideMark/>
          </w:tcPr>
          <w:p w14:paraId="56E45A62" w14:textId="77777777" w:rsidR="002B41BB" w:rsidRPr="004E5A6E" w:rsidRDefault="002B41BB" w:rsidP="002B41BB">
            <w:pPr>
              <w:jc w:val="center"/>
              <w:rPr>
                <w:color w:val="auto"/>
                <w:sz w:val="20"/>
                <w:szCs w:val="20"/>
                <w:lang w:val="sq-AL"/>
              </w:rPr>
            </w:pPr>
            <w:r w:rsidRPr="004E5A6E">
              <w:rPr>
                <w:color w:val="auto"/>
                <w:sz w:val="20"/>
                <w:szCs w:val="20"/>
                <w:lang w:val="sq-AL"/>
              </w:rPr>
              <w:t>23</w:t>
            </w:r>
          </w:p>
        </w:tc>
        <w:tc>
          <w:tcPr>
            <w:tcW w:w="460" w:type="pct"/>
            <w:tcBorders>
              <w:top w:val="nil"/>
              <w:left w:val="nil"/>
              <w:bottom w:val="dotted" w:sz="4" w:space="0" w:color="auto"/>
              <w:right w:val="dotted" w:sz="4" w:space="0" w:color="auto"/>
            </w:tcBorders>
            <w:shd w:val="clear" w:color="000000" w:fill="FFFFFF"/>
            <w:vAlign w:val="center"/>
            <w:hideMark/>
          </w:tcPr>
          <w:p w14:paraId="116C499B" w14:textId="77777777" w:rsidR="002B41BB" w:rsidRPr="004E5A6E" w:rsidRDefault="002B41BB" w:rsidP="002B41BB">
            <w:pPr>
              <w:jc w:val="center"/>
              <w:rPr>
                <w:color w:val="auto"/>
                <w:sz w:val="20"/>
                <w:szCs w:val="20"/>
                <w:lang w:val="sq-AL"/>
              </w:rPr>
            </w:pPr>
            <w:r w:rsidRPr="004E5A6E">
              <w:rPr>
                <w:color w:val="auto"/>
                <w:sz w:val="20"/>
                <w:szCs w:val="20"/>
                <w:lang w:val="sq-AL"/>
              </w:rPr>
              <w:t>29</w:t>
            </w:r>
          </w:p>
        </w:tc>
        <w:tc>
          <w:tcPr>
            <w:tcW w:w="460" w:type="pct"/>
            <w:tcBorders>
              <w:top w:val="nil"/>
              <w:left w:val="nil"/>
              <w:bottom w:val="dotted" w:sz="4" w:space="0" w:color="auto"/>
              <w:right w:val="dotted" w:sz="4" w:space="0" w:color="auto"/>
            </w:tcBorders>
            <w:shd w:val="clear" w:color="000000" w:fill="FFFFFF"/>
            <w:vAlign w:val="center"/>
            <w:hideMark/>
          </w:tcPr>
          <w:p w14:paraId="02507749" w14:textId="77777777" w:rsidR="002B41BB" w:rsidRPr="004E5A6E" w:rsidRDefault="002B41BB" w:rsidP="002B41BB">
            <w:pPr>
              <w:jc w:val="center"/>
              <w:rPr>
                <w:color w:val="auto"/>
                <w:sz w:val="20"/>
                <w:szCs w:val="20"/>
                <w:lang w:val="sq-AL"/>
              </w:rPr>
            </w:pPr>
            <w:r w:rsidRPr="004E5A6E">
              <w:rPr>
                <w:color w:val="auto"/>
                <w:sz w:val="20"/>
                <w:szCs w:val="20"/>
                <w:lang w:val="sq-AL"/>
              </w:rPr>
              <w:t>39</w:t>
            </w:r>
          </w:p>
        </w:tc>
        <w:tc>
          <w:tcPr>
            <w:tcW w:w="460" w:type="pct"/>
            <w:tcBorders>
              <w:top w:val="nil"/>
              <w:left w:val="nil"/>
              <w:bottom w:val="dotted" w:sz="4" w:space="0" w:color="auto"/>
              <w:right w:val="dotted" w:sz="4" w:space="0" w:color="auto"/>
            </w:tcBorders>
            <w:shd w:val="clear" w:color="000000" w:fill="FFFFFF"/>
            <w:vAlign w:val="center"/>
            <w:hideMark/>
          </w:tcPr>
          <w:p w14:paraId="63FCD2EE" w14:textId="77777777" w:rsidR="002B41BB" w:rsidRPr="004E5A6E" w:rsidRDefault="002B41BB" w:rsidP="002B41BB">
            <w:pPr>
              <w:jc w:val="center"/>
              <w:rPr>
                <w:color w:val="auto"/>
                <w:sz w:val="20"/>
                <w:szCs w:val="20"/>
                <w:lang w:val="sq-AL"/>
              </w:rPr>
            </w:pPr>
            <w:r w:rsidRPr="004E5A6E">
              <w:rPr>
                <w:color w:val="auto"/>
                <w:sz w:val="20"/>
                <w:szCs w:val="20"/>
                <w:lang w:val="sq-AL"/>
              </w:rPr>
              <w:t>49</w:t>
            </w:r>
          </w:p>
        </w:tc>
        <w:tc>
          <w:tcPr>
            <w:tcW w:w="460" w:type="pct"/>
            <w:tcBorders>
              <w:top w:val="nil"/>
              <w:left w:val="nil"/>
              <w:bottom w:val="dotted" w:sz="4" w:space="0" w:color="auto"/>
              <w:right w:val="double" w:sz="6" w:space="0" w:color="auto"/>
            </w:tcBorders>
            <w:shd w:val="clear" w:color="000000" w:fill="FFFFFF"/>
            <w:vAlign w:val="center"/>
            <w:hideMark/>
          </w:tcPr>
          <w:p w14:paraId="7534E321" w14:textId="77777777" w:rsidR="002B41BB" w:rsidRPr="004E5A6E" w:rsidRDefault="002B41BB" w:rsidP="002B41BB">
            <w:pPr>
              <w:jc w:val="center"/>
              <w:rPr>
                <w:color w:val="auto"/>
                <w:sz w:val="20"/>
                <w:szCs w:val="20"/>
                <w:lang w:val="sq-AL"/>
              </w:rPr>
            </w:pPr>
            <w:r w:rsidRPr="004E5A6E">
              <w:rPr>
                <w:color w:val="auto"/>
                <w:sz w:val="20"/>
                <w:szCs w:val="20"/>
                <w:lang w:val="sq-AL"/>
              </w:rPr>
              <w:t>61</w:t>
            </w:r>
          </w:p>
        </w:tc>
      </w:tr>
      <w:tr w:rsidR="002B41BB" w:rsidRPr="004E5A6E" w14:paraId="61C54117" w14:textId="77777777" w:rsidTr="002B41BB">
        <w:trPr>
          <w:trHeight w:val="420"/>
        </w:trPr>
        <w:tc>
          <w:tcPr>
            <w:tcW w:w="2082" w:type="pct"/>
            <w:tcBorders>
              <w:top w:val="nil"/>
              <w:left w:val="double" w:sz="6" w:space="0" w:color="auto"/>
              <w:bottom w:val="dotted" w:sz="4" w:space="0" w:color="auto"/>
              <w:right w:val="nil"/>
            </w:tcBorders>
            <w:shd w:val="clear" w:color="000000" w:fill="FFFFFF"/>
            <w:vAlign w:val="center"/>
            <w:hideMark/>
          </w:tcPr>
          <w:p w14:paraId="08F5D650" w14:textId="77777777" w:rsidR="002B41BB" w:rsidRPr="004E5A6E" w:rsidRDefault="002B41BB" w:rsidP="002B41BB">
            <w:pPr>
              <w:rPr>
                <w:color w:val="auto"/>
                <w:sz w:val="20"/>
                <w:szCs w:val="20"/>
                <w:lang w:val="sq-AL"/>
              </w:rPr>
            </w:pPr>
            <w:r w:rsidRPr="004E5A6E">
              <w:rPr>
                <w:color w:val="auto"/>
                <w:sz w:val="20"/>
                <w:szCs w:val="20"/>
                <w:lang w:val="sq-AL"/>
              </w:rPr>
              <w:t>20. Subvencionet</w:t>
            </w:r>
          </w:p>
        </w:tc>
        <w:tc>
          <w:tcPr>
            <w:tcW w:w="234" w:type="pct"/>
            <w:tcBorders>
              <w:top w:val="nil"/>
              <w:left w:val="nil"/>
              <w:bottom w:val="dotted" w:sz="4" w:space="0" w:color="auto"/>
              <w:right w:val="single" w:sz="8" w:space="0" w:color="auto"/>
            </w:tcBorders>
            <w:shd w:val="clear" w:color="000000" w:fill="FFFFFF"/>
            <w:vAlign w:val="center"/>
            <w:hideMark/>
          </w:tcPr>
          <w:p w14:paraId="5A2B5FC7"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383" w:type="pct"/>
            <w:tcBorders>
              <w:top w:val="nil"/>
              <w:left w:val="nil"/>
              <w:bottom w:val="dotted" w:sz="4" w:space="0" w:color="auto"/>
              <w:right w:val="single" w:sz="8" w:space="0" w:color="auto"/>
            </w:tcBorders>
            <w:shd w:val="clear" w:color="000000" w:fill="FFFFFF"/>
            <w:vAlign w:val="center"/>
            <w:hideMark/>
          </w:tcPr>
          <w:p w14:paraId="4D062F48" w14:textId="77777777" w:rsidR="002B41BB" w:rsidRPr="004E5A6E" w:rsidRDefault="002B41BB" w:rsidP="002B41BB">
            <w:pPr>
              <w:jc w:val="center"/>
              <w:rPr>
                <w:color w:val="auto"/>
                <w:sz w:val="20"/>
                <w:szCs w:val="20"/>
                <w:lang w:val="sq-AL"/>
              </w:rPr>
            </w:pPr>
            <w:r w:rsidRPr="004E5A6E">
              <w:rPr>
                <w:color w:val="auto"/>
                <w:sz w:val="20"/>
                <w:szCs w:val="20"/>
                <w:lang w:val="sq-AL"/>
              </w:rPr>
              <w:t>D3</w:t>
            </w:r>
          </w:p>
        </w:tc>
        <w:tc>
          <w:tcPr>
            <w:tcW w:w="460" w:type="pct"/>
            <w:tcBorders>
              <w:top w:val="nil"/>
              <w:left w:val="nil"/>
              <w:bottom w:val="dotted" w:sz="4" w:space="0" w:color="auto"/>
              <w:right w:val="dotted" w:sz="4" w:space="0" w:color="auto"/>
            </w:tcBorders>
            <w:shd w:val="clear" w:color="000000" w:fill="FFFFFF"/>
            <w:vAlign w:val="center"/>
            <w:hideMark/>
          </w:tcPr>
          <w:p w14:paraId="0150BCC5"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60" w:type="pct"/>
            <w:tcBorders>
              <w:top w:val="nil"/>
              <w:left w:val="nil"/>
              <w:bottom w:val="dotted" w:sz="4" w:space="0" w:color="auto"/>
              <w:right w:val="dotted" w:sz="4" w:space="0" w:color="auto"/>
            </w:tcBorders>
            <w:shd w:val="clear" w:color="000000" w:fill="FFFFFF"/>
            <w:vAlign w:val="center"/>
            <w:hideMark/>
          </w:tcPr>
          <w:p w14:paraId="11667C5B"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60" w:type="pct"/>
            <w:tcBorders>
              <w:top w:val="nil"/>
              <w:left w:val="nil"/>
              <w:bottom w:val="dotted" w:sz="4" w:space="0" w:color="auto"/>
              <w:right w:val="dotted" w:sz="4" w:space="0" w:color="auto"/>
            </w:tcBorders>
            <w:shd w:val="clear" w:color="000000" w:fill="FFFFFF"/>
            <w:vAlign w:val="center"/>
            <w:hideMark/>
          </w:tcPr>
          <w:p w14:paraId="23BD57AC"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60" w:type="pct"/>
            <w:tcBorders>
              <w:top w:val="nil"/>
              <w:left w:val="nil"/>
              <w:bottom w:val="dotted" w:sz="4" w:space="0" w:color="auto"/>
              <w:right w:val="dotted" w:sz="4" w:space="0" w:color="auto"/>
            </w:tcBorders>
            <w:shd w:val="clear" w:color="000000" w:fill="FFFFFF"/>
            <w:vAlign w:val="center"/>
            <w:hideMark/>
          </w:tcPr>
          <w:p w14:paraId="31D931B2"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60" w:type="pct"/>
            <w:tcBorders>
              <w:top w:val="nil"/>
              <w:left w:val="nil"/>
              <w:bottom w:val="dotted" w:sz="4" w:space="0" w:color="auto"/>
              <w:right w:val="double" w:sz="6" w:space="0" w:color="auto"/>
            </w:tcBorders>
            <w:shd w:val="clear" w:color="000000" w:fill="FFFFFF"/>
            <w:vAlign w:val="center"/>
            <w:hideMark/>
          </w:tcPr>
          <w:p w14:paraId="74545171"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r w:rsidR="002B41BB" w:rsidRPr="004E5A6E" w14:paraId="5BEE56CB" w14:textId="77777777" w:rsidTr="002B41BB">
        <w:trPr>
          <w:trHeight w:val="420"/>
        </w:trPr>
        <w:tc>
          <w:tcPr>
            <w:tcW w:w="2082" w:type="pct"/>
            <w:tcBorders>
              <w:top w:val="nil"/>
              <w:left w:val="double" w:sz="6" w:space="0" w:color="auto"/>
              <w:bottom w:val="dotted" w:sz="4" w:space="0" w:color="auto"/>
              <w:right w:val="nil"/>
            </w:tcBorders>
            <w:shd w:val="clear" w:color="000000" w:fill="FFFFFF"/>
            <w:vAlign w:val="center"/>
            <w:hideMark/>
          </w:tcPr>
          <w:p w14:paraId="675EFA47" w14:textId="77777777" w:rsidR="002B41BB" w:rsidRPr="004E5A6E" w:rsidRDefault="002B41BB" w:rsidP="002B41BB">
            <w:pPr>
              <w:rPr>
                <w:color w:val="auto"/>
                <w:sz w:val="20"/>
                <w:szCs w:val="20"/>
                <w:lang w:val="sq-AL"/>
              </w:rPr>
            </w:pPr>
            <w:r w:rsidRPr="004E5A6E">
              <w:rPr>
                <w:color w:val="auto"/>
                <w:sz w:val="20"/>
                <w:szCs w:val="20"/>
                <w:lang w:val="sq-AL"/>
              </w:rPr>
              <w:t xml:space="preserve">21. Formimi bruto I Kapitalit Fiks </w:t>
            </w:r>
          </w:p>
        </w:tc>
        <w:tc>
          <w:tcPr>
            <w:tcW w:w="234" w:type="pct"/>
            <w:tcBorders>
              <w:top w:val="nil"/>
              <w:left w:val="nil"/>
              <w:bottom w:val="dotted" w:sz="4" w:space="0" w:color="auto"/>
              <w:right w:val="single" w:sz="8" w:space="0" w:color="auto"/>
            </w:tcBorders>
            <w:shd w:val="clear" w:color="000000" w:fill="FFFFFF"/>
            <w:vAlign w:val="center"/>
            <w:hideMark/>
          </w:tcPr>
          <w:p w14:paraId="41B4575A"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383" w:type="pct"/>
            <w:tcBorders>
              <w:top w:val="nil"/>
              <w:left w:val="nil"/>
              <w:bottom w:val="dotted" w:sz="4" w:space="0" w:color="auto"/>
              <w:right w:val="single" w:sz="8" w:space="0" w:color="auto"/>
            </w:tcBorders>
            <w:shd w:val="clear" w:color="000000" w:fill="FFFFFF"/>
            <w:vAlign w:val="center"/>
            <w:hideMark/>
          </w:tcPr>
          <w:p w14:paraId="3E87DE34" w14:textId="77777777" w:rsidR="002B41BB" w:rsidRPr="004E5A6E" w:rsidRDefault="002B41BB" w:rsidP="002B41BB">
            <w:pPr>
              <w:jc w:val="center"/>
              <w:rPr>
                <w:color w:val="auto"/>
                <w:sz w:val="20"/>
                <w:szCs w:val="20"/>
                <w:lang w:val="sq-AL"/>
              </w:rPr>
            </w:pPr>
            <w:r w:rsidRPr="004E5A6E">
              <w:rPr>
                <w:color w:val="auto"/>
                <w:sz w:val="20"/>
                <w:szCs w:val="20"/>
                <w:lang w:val="sq-AL"/>
              </w:rPr>
              <w:t>P51</w:t>
            </w:r>
          </w:p>
        </w:tc>
        <w:tc>
          <w:tcPr>
            <w:tcW w:w="460" w:type="pct"/>
            <w:tcBorders>
              <w:top w:val="nil"/>
              <w:left w:val="nil"/>
              <w:bottom w:val="dotted" w:sz="4" w:space="0" w:color="auto"/>
              <w:right w:val="dotted" w:sz="4" w:space="0" w:color="auto"/>
            </w:tcBorders>
            <w:shd w:val="clear" w:color="000000" w:fill="FFFFFF"/>
            <w:vAlign w:val="center"/>
            <w:hideMark/>
          </w:tcPr>
          <w:p w14:paraId="7D6447CE" w14:textId="77777777" w:rsidR="002B41BB" w:rsidRPr="004E5A6E" w:rsidRDefault="002B41BB" w:rsidP="002B41BB">
            <w:pPr>
              <w:jc w:val="center"/>
              <w:rPr>
                <w:color w:val="auto"/>
                <w:sz w:val="20"/>
                <w:szCs w:val="20"/>
                <w:lang w:val="sq-AL"/>
              </w:rPr>
            </w:pPr>
            <w:r w:rsidRPr="004E5A6E">
              <w:rPr>
                <w:color w:val="auto"/>
                <w:sz w:val="20"/>
                <w:szCs w:val="20"/>
                <w:lang w:val="sq-AL"/>
              </w:rPr>
              <w:t>531</w:t>
            </w:r>
          </w:p>
        </w:tc>
        <w:tc>
          <w:tcPr>
            <w:tcW w:w="460" w:type="pct"/>
            <w:tcBorders>
              <w:top w:val="nil"/>
              <w:left w:val="nil"/>
              <w:bottom w:val="dotted" w:sz="4" w:space="0" w:color="auto"/>
              <w:right w:val="dotted" w:sz="4" w:space="0" w:color="auto"/>
            </w:tcBorders>
            <w:shd w:val="clear" w:color="000000" w:fill="FFFFFF"/>
            <w:vAlign w:val="center"/>
            <w:hideMark/>
          </w:tcPr>
          <w:p w14:paraId="0B239EA7" w14:textId="77777777" w:rsidR="002B41BB" w:rsidRPr="004E5A6E" w:rsidRDefault="002B41BB" w:rsidP="002B41BB">
            <w:pPr>
              <w:jc w:val="center"/>
              <w:rPr>
                <w:color w:val="auto"/>
                <w:sz w:val="20"/>
                <w:szCs w:val="20"/>
                <w:lang w:val="sq-AL"/>
              </w:rPr>
            </w:pPr>
            <w:r w:rsidRPr="004E5A6E">
              <w:rPr>
                <w:color w:val="auto"/>
                <w:sz w:val="20"/>
                <w:szCs w:val="20"/>
                <w:lang w:val="sq-AL"/>
              </w:rPr>
              <w:t>359</w:t>
            </w:r>
          </w:p>
        </w:tc>
        <w:tc>
          <w:tcPr>
            <w:tcW w:w="460" w:type="pct"/>
            <w:tcBorders>
              <w:top w:val="nil"/>
              <w:left w:val="nil"/>
              <w:bottom w:val="dotted" w:sz="4" w:space="0" w:color="auto"/>
              <w:right w:val="dotted" w:sz="4" w:space="0" w:color="auto"/>
            </w:tcBorders>
            <w:shd w:val="clear" w:color="000000" w:fill="FFFFFF"/>
            <w:vAlign w:val="center"/>
            <w:hideMark/>
          </w:tcPr>
          <w:p w14:paraId="708A2709" w14:textId="77777777" w:rsidR="002B41BB" w:rsidRPr="004E5A6E" w:rsidRDefault="002B41BB" w:rsidP="002B41BB">
            <w:pPr>
              <w:jc w:val="center"/>
              <w:rPr>
                <w:color w:val="auto"/>
                <w:sz w:val="20"/>
                <w:szCs w:val="20"/>
                <w:lang w:val="sq-AL"/>
              </w:rPr>
            </w:pPr>
            <w:r w:rsidRPr="004E5A6E">
              <w:rPr>
                <w:color w:val="auto"/>
                <w:sz w:val="20"/>
                <w:szCs w:val="20"/>
                <w:lang w:val="sq-AL"/>
              </w:rPr>
              <w:t>616</w:t>
            </w:r>
          </w:p>
        </w:tc>
        <w:tc>
          <w:tcPr>
            <w:tcW w:w="460" w:type="pct"/>
            <w:tcBorders>
              <w:top w:val="nil"/>
              <w:left w:val="nil"/>
              <w:bottom w:val="dotted" w:sz="4" w:space="0" w:color="auto"/>
              <w:right w:val="dotted" w:sz="4" w:space="0" w:color="auto"/>
            </w:tcBorders>
            <w:shd w:val="clear" w:color="000000" w:fill="FFFFFF"/>
            <w:vAlign w:val="center"/>
            <w:hideMark/>
          </w:tcPr>
          <w:p w14:paraId="7F087136" w14:textId="77777777" w:rsidR="002B41BB" w:rsidRPr="004E5A6E" w:rsidRDefault="002B41BB" w:rsidP="002B41BB">
            <w:pPr>
              <w:jc w:val="center"/>
              <w:rPr>
                <w:color w:val="auto"/>
                <w:sz w:val="20"/>
                <w:szCs w:val="20"/>
                <w:lang w:val="sq-AL"/>
              </w:rPr>
            </w:pPr>
            <w:r w:rsidRPr="004E5A6E">
              <w:rPr>
                <w:color w:val="auto"/>
                <w:sz w:val="20"/>
                <w:szCs w:val="20"/>
                <w:lang w:val="sq-AL"/>
              </w:rPr>
              <w:t>679</w:t>
            </w:r>
          </w:p>
        </w:tc>
        <w:tc>
          <w:tcPr>
            <w:tcW w:w="460" w:type="pct"/>
            <w:tcBorders>
              <w:top w:val="nil"/>
              <w:left w:val="nil"/>
              <w:bottom w:val="dotted" w:sz="4" w:space="0" w:color="auto"/>
              <w:right w:val="double" w:sz="6" w:space="0" w:color="auto"/>
            </w:tcBorders>
            <w:shd w:val="clear" w:color="000000" w:fill="FFFFFF"/>
            <w:vAlign w:val="center"/>
            <w:hideMark/>
          </w:tcPr>
          <w:p w14:paraId="01EC2905" w14:textId="77777777" w:rsidR="002B41BB" w:rsidRPr="004E5A6E" w:rsidRDefault="002B41BB" w:rsidP="002B41BB">
            <w:pPr>
              <w:jc w:val="center"/>
              <w:rPr>
                <w:color w:val="auto"/>
                <w:sz w:val="20"/>
                <w:szCs w:val="20"/>
                <w:lang w:val="sq-AL"/>
              </w:rPr>
            </w:pPr>
            <w:r w:rsidRPr="004E5A6E">
              <w:rPr>
                <w:color w:val="auto"/>
                <w:sz w:val="20"/>
                <w:szCs w:val="20"/>
                <w:lang w:val="sq-AL"/>
              </w:rPr>
              <w:t>719</w:t>
            </w:r>
          </w:p>
        </w:tc>
      </w:tr>
      <w:tr w:rsidR="002B41BB" w:rsidRPr="004E5A6E" w14:paraId="03055F2F" w14:textId="77777777" w:rsidTr="002B41BB">
        <w:trPr>
          <w:trHeight w:val="420"/>
        </w:trPr>
        <w:tc>
          <w:tcPr>
            <w:tcW w:w="2082" w:type="pct"/>
            <w:tcBorders>
              <w:top w:val="nil"/>
              <w:left w:val="double" w:sz="6" w:space="0" w:color="auto"/>
              <w:bottom w:val="dotted" w:sz="4" w:space="0" w:color="auto"/>
              <w:right w:val="nil"/>
            </w:tcBorders>
            <w:shd w:val="clear" w:color="000000" w:fill="FFFFFF"/>
            <w:vAlign w:val="center"/>
            <w:hideMark/>
          </w:tcPr>
          <w:p w14:paraId="61848981" w14:textId="77777777" w:rsidR="002B41BB" w:rsidRPr="004E5A6E" w:rsidRDefault="002B41BB" w:rsidP="002B41BB">
            <w:pPr>
              <w:rPr>
                <w:color w:val="auto"/>
                <w:sz w:val="20"/>
                <w:szCs w:val="20"/>
                <w:lang w:val="sq-AL"/>
              </w:rPr>
            </w:pPr>
            <w:r w:rsidRPr="004E5A6E">
              <w:rPr>
                <w:color w:val="auto"/>
                <w:sz w:val="20"/>
                <w:szCs w:val="20"/>
                <w:lang w:val="sq-AL"/>
              </w:rPr>
              <w:t>22.Tjera (21 = 22-(16+17+18+19+20) [6]</w:t>
            </w:r>
          </w:p>
        </w:tc>
        <w:tc>
          <w:tcPr>
            <w:tcW w:w="234" w:type="pct"/>
            <w:tcBorders>
              <w:top w:val="nil"/>
              <w:left w:val="nil"/>
              <w:bottom w:val="dotted" w:sz="4" w:space="0" w:color="auto"/>
              <w:right w:val="single" w:sz="8" w:space="0" w:color="auto"/>
            </w:tcBorders>
            <w:shd w:val="clear" w:color="000000" w:fill="FFFFFF"/>
            <w:vAlign w:val="center"/>
            <w:hideMark/>
          </w:tcPr>
          <w:p w14:paraId="349C0FF4"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383" w:type="pct"/>
            <w:tcBorders>
              <w:top w:val="nil"/>
              <w:left w:val="nil"/>
              <w:bottom w:val="dotted" w:sz="4" w:space="0" w:color="auto"/>
              <w:right w:val="single" w:sz="8" w:space="0" w:color="auto"/>
            </w:tcBorders>
            <w:shd w:val="clear" w:color="000000" w:fill="FFFFFF"/>
            <w:vAlign w:val="center"/>
            <w:hideMark/>
          </w:tcPr>
          <w:p w14:paraId="621CC14E"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460" w:type="pct"/>
            <w:tcBorders>
              <w:top w:val="nil"/>
              <w:left w:val="nil"/>
              <w:bottom w:val="dotted" w:sz="4" w:space="0" w:color="auto"/>
              <w:right w:val="dotted" w:sz="4" w:space="0" w:color="auto"/>
            </w:tcBorders>
            <w:shd w:val="clear" w:color="000000" w:fill="FFFFFF"/>
            <w:vAlign w:val="center"/>
            <w:hideMark/>
          </w:tcPr>
          <w:p w14:paraId="0430B9FC"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60" w:type="pct"/>
            <w:tcBorders>
              <w:top w:val="nil"/>
              <w:left w:val="nil"/>
              <w:bottom w:val="dotted" w:sz="4" w:space="0" w:color="auto"/>
              <w:right w:val="dotted" w:sz="4" w:space="0" w:color="auto"/>
            </w:tcBorders>
            <w:shd w:val="clear" w:color="000000" w:fill="FFFFFF"/>
            <w:vAlign w:val="center"/>
            <w:hideMark/>
          </w:tcPr>
          <w:p w14:paraId="5C5BBA8F"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60" w:type="pct"/>
            <w:tcBorders>
              <w:top w:val="nil"/>
              <w:left w:val="nil"/>
              <w:bottom w:val="dotted" w:sz="4" w:space="0" w:color="auto"/>
              <w:right w:val="dotted" w:sz="4" w:space="0" w:color="auto"/>
            </w:tcBorders>
            <w:shd w:val="clear" w:color="000000" w:fill="FFFFFF"/>
            <w:vAlign w:val="center"/>
            <w:hideMark/>
          </w:tcPr>
          <w:p w14:paraId="4610DAC3" w14:textId="77777777" w:rsidR="002B41BB" w:rsidRPr="004E5A6E" w:rsidRDefault="002B41BB" w:rsidP="002B41BB">
            <w:pPr>
              <w:jc w:val="center"/>
              <w:rPr>
                <w:color w:val="auto"/>
                <w:sz w:val="20"/>
                <w:szCs w:val="20"/>
                <w:lang w:val="sq-AL"/>
              </w:rPr>
            </w:pPr>
            <w:r w:rsidRPr="004E5A6E">
              <w:rPr>
                <w:color w:val="auto"/>
                <w:sz w:val="20"/>
                <w:szCs w:val="20"/>
                <w:lang w:val="sq-AL"/>
              </w:rPr>
              <w:t>49</w:t>
            </w:r>
          </w:p>
        </w:tc>
        <w:tc>
          <w:tcPr>
            <w:tcW w:w="460" w:type="pct"/>
            <w:tcBorders>
              <w:top w:val="nil"/>
              <w:left w:val="nil"/>
              <w:bottom w:val="dotted" w:sz="4" w:space="0" w:color="auto"/>
              <w:right w:val="dotted" w:sz="4" w:space="0" w:color="auto"/>
            </w:tcBorders>
            <w:shd w:val="clear" w:color="000000" w:fill="FFFFFF"/>
            <w:vAlign w:val="center"/>
            <w:hideMark/>
          </w:tcPr>
          <w:p w14:paraId="0FA54A60" w14:textId="77777777" w:rsidR="002B41BB" w:rsidRPr="004E5A6E" w:rsidRDefault="002B41BB" w:rsidP="002B41BB">
            <w:pPr>
              <w:jc w:val="center"/>
              <w:rPr>
                <w:color w:val="auto"/>
                <w:sz w:val="20"/>
                <w:szCs w:val="20"/>
                <w:lang w:val="sq-AL"/>
              </w:rPr>
            </w:pPr>
            <w:r w:rsidRPr="004E5A6E">
              <w:rPr>
                <w:color w:val="auto"/>
                <w:sz w:val="20"/>
                <w:szCs w:val="20"/>
                <w:lang w:val="sq-AL"/>
              </w:rPr>
              <w:t>6</w:t>
            </w:r>
          </w:p>
        </w:tc>
        <w:tc>
          <w:tcPr>
            <w:tcW w:w="460" w:type="pct"/>
            <w:tcBorders>
              <w:top w:val="nil"/>
              <w:left w:val="nil"/>
              <w:bottom w:val="dotted" w:sz="4" w:space="0" w:color="auto"/>
              <w:right w:val="double" w:sz="6" w:space="0" w:color="auto"/>
            </w:tcBorders>
            <w:shd w:val="clear" w:color="000000" w:fill="FFFFFF"/>
            <w:vAlign w:val="center"/>
            <w:hideMark/>
          </w:tcPr>
          <w:p w14:paraId="53230F0E" w14:textId="77777777" w:rsidR="002B41BB" w:rsidRPr="004E5A6E" w:rsidRDefault="002B41BB" w:rsidP="002B41BB">
            <w:pPr>
              <w:jc w:val="center"/>
              <w:rPr>
                <w:color w:val="auto"/>
                <w:sz w:val="20"/>
                <w:szCs w:val="20"/>
                <w:lang w:val="sq-AL"/>
              </w:rPr>
            </w:pPr>
            <w:r w:rsidRPr="004E5A6E">
              <w:rPr>
                <w:color w:val="auto"/>
                <w:sz w:val="20"/>
                <w:szCs w:val="20"/>
                <w:lang w:val="sq-AL"/>
              </w:rPr>
              <w:t>5</w:t>
            </w:r>
          </w:p>
        </w:tc>
      </w:tr>
      <w:tr w:rsidR="002B41BB" w:rsidRPr="004E5A6E" w14:paraId="479CD73C" w14:textId="77777777" w:rsidTr="002B41BB">
        <w:trPr>
          <w:trHeight w:val="420"/>
        </w:trPr>
        <w:tc>
          <w:tcPr>
            <w:tcW w:w="2082" w:type="pct"/>
            <w:tcBorders>
              <w:top w:val="nil"/>
              <w:left w:val="double" w:sz="6" w:space="0" w:color="auto"/>
              <w:bottom w:val="dotted" w:sz="4" w:space="0" w:color="auto"/>
              <w:right w:val="nil"/>
            </w:tcBorders>
            <w:shd w:val="clear" w:color="000000" w:fill="FFFFFF"/>
            <w:vAlign w:val="center"/>
            <w:hideMark/>
          </w:tcPr>
          <w:p w14:paraId="0021526A" w14:textId="77777777" w:rsidR="002B41BB" w:rsidRPr="004E5A6E" w:rsidRDefault="002B41BB" w:rsidP="002B41BB">
            <w:pPr>
              <w:rPr>
                <w:color w:val="auto"/>
                <w:sz w:val="20"/>
                <w:szCs w:val="20"/>
                <w:lang w:val="sq-AL"/>
              </w:rPr>
            </w:pPr>
            <w:r w:rsidRPr="004E5A6E">
              <w:rPr>
                <w:color w:val="auto"/>
                <w:sz w:val="20"/>
                <w:szCs w:val="20"/>
                <w:lang w:val="sq-AL"/>
              </w:rPr>
              <w:t xml:space="preserve">23. Shpenzimet Totale </w:t>
            </w:r>
          </w:p>
        </w:tc>
        <w:tc>
          <w:tcPr>
            <w:tcW w:w="234" w:type="pct"/>
            <w:tcBorders>
              <w:top w:val="nil"/>
              <w:left w:val="nil"/>
              <w:bottom w:val="dotted" w:sz="4" w:space="0" w:color="auto"/>
              <w:right w:val="single" w:sz="8" w:space="0" w:color="auto"/>
            </w:tcBorders>
            <w:shd w:val="clear" w:color="000000" w:fill="FFFFFF"/>
            <w:vAlign w:val="center"/>
            <w:hideMark/>
          </w:tcPr>
          <w:p w14:paraId="196352CD"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383" w:type="pct"/>
            <w:tcBorders>
              <w:top w:val="nil"/>
              <w:left w:val="nil"/>
              <w:bottom w:val="dotted" w:sz="4" w:space="0" w:color="auto"/>
              <w:right w:val="single" w:sz="8" w:space="0" w:color="auto"/>
            </w:tcBorders>
            <w:shd w:val="clear" w:color="000000" w:fill="FFFFFF"/>
            <w:vAlign w:val="center"/>
            <w:hideMark/>
          </w:tcPr>
          <w:p w14:paraId="126C45FB" w14:textId="77777777" w:rsidR="002B41BB" w:rsidRPr="004E5A6E" w:rsidRDefault="002B41BB" w:rsidP="002B41BB">
            <w:pPr>
              <w:jc w:val="center"/>
              <w:rPr>
                <w:color w:val="auto"/>
                <w:sz w:val="20"/>
                <w:szCs w:val="20"/>
                <w:lang w:val="sq-AL"/>
              </w:rPr>
            </w:pPr>
            <w:r w:rsidRPr="004E5A6E">
              <w:rPr>
                <w:color w:val="auto"/>
                <w:sz w:val="20"/>
                <w:szCs w:val="20"/>
                <w:lang w:val="sq-AL"/>
              </w:rPr>
              <w:t>TE [1]</w:t>
            </w:r>
          </w:p>
        </w:tc>
        <w:tc>
          <w:tcPr>
            <w:tcW w:w="460" w:type="pct"/>
            <w:tcBorders>
              <w:top w:val="nil"/>
              <w:left w:val="nil"/>
              <w:bottom w:val="dotted" w:sz="4" w:space="0" w:color="auto"/>
              <w:right w:val="dotted" w:sz="4" w:space="0" w:color="auto"/>
            </w:tcBorders>
            <w:shd w:val="clear" w:color="000000" w:fill="FFFFFF"/>
            <w:vAlign w:val="center"/>
            <w:hideMark/>
          </w:tcPr>
          <w:p w14:paraId="5EC56AA6" w14:textId="77777777" w:rsidR="002B41BB" w:rsidRPr="004E5A6E" w:rsidRDefault="002B41BB" w:rsidP="002B41BB">
            <w:pPr>
              <w:jc w:val="center"/>
              <w:rPr>
                <w:color w:val="auto"/>
                <w:sz w:val="20"/>
                <w:szCs w:val="20"/>
                <w:lang w:val="sq-AL"/>
              </w:rPr>
            </w:pPr>
            <w:r w:rsidRPr="004E5A6E">
              <w:rPr>
                <w:color w:val="auto"/>
                <w:sz w:val="20"/>
                <w:szCs w:val="20"/>
                <w:lang w:val="sq-AL"/>
              </w:rPr>
              <w:t>2091</w:t>
            </w:r>
          </w:p>
        </w:tc>
        <w:tc>
          <w:tcPr>
            <w:tcW w:w="460" w:type="pct"/>
            <w:tcBorders>
              <w:top w:val="nil"/>
              <w:left w:val="nil"/>
              <w:bottom w:val="dotted" w:sz="4" w:space="0" w:color="auto"/>
              <w:right w:val="dotted" w:sz="4" w:space="0" w:color="auto"/>
            </w:tcBorders>
            <w:shd w:val="clear" w:color="000000" w:fill="FFFFFF"/>
            <w:vAlign w:val="center"/>
            <w:hideMark/>
          </w:tcPr>
          <w:p w14:paraId="5699528C" w14:textId="77777777" w:rsidR="002B41BB" w:rsidRPr="004E5A6E" w:rsidRDefault="002B41BB" w:rsidP="002B41BB">
            <w:pPr>
              <w:jc w:val="center"/>
              <w:rPr>
                <w:color w:val="auto"/>
                <w:sz w:val="20"/>
                <w:szCs w:val="20"/>
                <w:lang w:val="sq-AL"/>
              </w:rPr>
            </w:pPr>
            <w:r w:rsidRPr="004E5A6E">
              <w:rPr>
                <w:color w:val="auto"/>
                <w:sz w:val="20"/>
                <w:szCs w:val="20"/>
                <w:lang w:val="sq-AL"/>
              </w:rPr>
              <w:t>2139</w:t>
            </w:r>
          </w:p>
        </w:tc>
        <w:tc>
          <w:tcPr>
            <w:tcW w:w="460" w:type="pct"/>
            <w:tcBorders>
              <w:top w:val="nil"/>
              <w:left w:val="nil"/>
              <w:bottom w:val="dotted" w:sz="4" w:space="0" w:color="auto"/>
              <w:right w:val="dotted" w:sz="4" w:space="0" w:color="auto"/>
            </w:tcBorders>
            <w:shd w:val="clear" w:color="000000" w:fill="FFFFFF"/>
            <w:vAlign w:val="center"/>
            <w:hideMark/>
          </w:tcPr>
          <w:p w14:paraId="5300A272" w14:textId="77777777" w:rsidR="002B41BB" w:rsidRPr="004E5A6E" w:rsidRDefault="002B41BB" w:rsidP="002B41BB">
            <w:pPr>
              <w:jc w:val="center"/>
              <w:rPr>
                <w:color w:val="auto"/>
                <w:sz w:val="20"/>
                <w:szCs w:val="20"/>
                <w:lang w:val="sq-AL"/>
              </w:rPr>
            </w:pPr>
            <w:r w:rsidRPr="004E5A6E">
              <w:rPr>
                <w:color w:val="auto"/>
                <w:sz w:val="20"/>
                <w:szCs w:val="20"/>
                <w:lang w:val="sq-AL"/>
              </w:rPr>
              <w:t>2413</w:t>
            </w:r>
          </w:p>
        </w:tc>
        <w:tc>
          <w:tcPr>
            <w:tcW w:w="460" w:type="pct"/>
            <w:tcBorders>
              <w:top w:val="nil"/>
              <w:left w:val="nil"/>
              <w:bottom w:val="dotted" w:sz="4" w:space="0" w:color="auto"/>
              <w:right w:val="dotted" w:sz="4" w:space="0" w:color="auto"/>
            </w:tcBorders>
            <w:shd w:val="clear" w:color="000000" w:fill="FFFFFF"/>
            <w:vAlign w:val="center"/>
            <w:hideMark/>
          </w:tcPr>
          <w:p w14:paraId="5A64C43B" w14:textId="77777777" w:rsidR="002B41BB" w:rsidRPr="004E5A6E" w:rsidRDefault="002B41BB" w:rsidP="002B41BB">
            <w:pPr>
              <w:jc w:val="center"/>
              <w:rPr>
                <w:color w:val="auto"/>
                <w:sz w:val="20"/>
                <w:szCs w:val="20"/>
                <w:lang w:val="sq-AL"/>
              </w:rPr>
            </w:pPr>
            <w:r w:rsidRPr="004E5A6E">
              <w:rPr>
                <w:color w:val="auto"/>
                <w:sz w:val="20"/>
                <w:szCs w:val="20"/>
                <w:lang w:val="sq-AL"/>
              </w:rPr>
              <w:t>2376</w:t>
            </w:r>
          </w:p>
        </w:tc>
        <w:tc>
          <w:tcPr>
            <w:tcW w:w="460" w:type="pct"/>
            <w:tcBorders>
              <w:top w:val="nil"/>
              <w:left w:val="nil"/>
              <w:bottom w:val="dotted" w:sz="4" w:space="0" w:color="auto"/>
              <w:right w:val="double" w:sz="6" w:space="0" w:color="auto"/>
            </w:tcBorders>
            <w:shd w:val="clear" w:color="000000" w:fill="FFFFFF"/>
            <w:vAlign w:val="center"/>
            <w:hideMark/>
          </w:tcPr>
          <w:p w14:paraId="66C8FCF3" w14:textId="77777777" w:rsidR="002B41BB" w:rsidRPr="004E5A6E" w:rsidRDefault="002B41BB" w:rsidP="002B41BB">
            <w:pPr>
              <w:jc w:val="center"/>
              <w:rPr>
                <w:color w:val="auto"/>
                <w:sz w:val="20"/>
                <w:szCs w:val="20"/>
                <w:lang w:val="sq-AL"/>
              </w:rPr>
            </w:pPr>
            <w:r w:rsidRPr="004E5A6E">
              <w:rPr>
                <w:color w:val="auto"/>
                <w:sz w:val="20"/>
                <w:szCs w:val="20"/>
                <w:lang w:val="sq-AL"/>
              </w:rPr>
              <w:t>2435</w:t>
            </w:r>
          </w:p>
        </w:tc>
      </w:tr>
      <w:tr w:rsidR="002B41BB" w:rsidRPr="004E5A6E" w14:paraId="459CA47D" w14:textId="77777777" w:rsidTr="002B41BB">
        <w:trPr>
          <w:trHeight w:val="345"/>
        </w:trPr>
        <w:tc>
          <w:tcPr>
            <w:tcW w:w="2082" w:type="pct"/>
            <w:tcBorders>
              <w:top w:val="nil"/>
              <w:left w:val="double" w:sz="6" w:space="0" w:color="auto"/>
              <w:bottom w:val="double" w:sz="6" w:space="0" w:color="auto"/>
              <w:right w:val="nil"/>
            </w:tcBorders>
            <w:shd w:val="clear" w:color="000000" w:fill="FFFFFF"/>
            <w:vAlign w:val="bottom"/>
            <w:hideMark/>
          </w:tcPr>
          <w:p w14:paraId="66F9F448" w14:textId="77777777" w:rsidR="002B41BB" w:rsidRPr="004E5A6E" w:rsidRDefault="002B41BB" w:rsidP="002B41BB">
            <w:pPr>
              <w:rPr>
                <w:color w:val="auto"/>
                <w:sz w:val="20"/>
                <w:szCs w:val="20"/>
                <w:lang w:val="sq-AL"/>
              </w:rPr>
            </w:pPr>
            <w:r w:rsidRPr="004E5A6E">
              <w:rPr>
                <w:color w:val="auto"/>
                <w:sz w:val="20"/>
                <w:szCs w:val="20"/>
                <w:lang w:val="sq-AL"/>
              </w:rPr>
              <w:t>p.m.  Kompenzimi I punëtoreëve</w:t>
            </w:r>
          </w:p>
        </w:tc>
        <w:tc>
          <w:tcPr>
            <w:tcW w:w="234" w:type="pct"/>
            <w:tcBorders>
              <w:top w:val="nil"/>
              <w:left w:val="nil"/>
              <w:bottom w:val="double" w:sz="6" w:space="0" w:color="auto"/>
              <w:right w:val="single" w:sz="8" w:space="0" w:color="auto"/>
            </w:tcBorders>
            <w:shd w:val="clear" w:color="000000" w:fill="FFFFFF"/>
            <w:vAlign w:val="bottom"/>
            <w:hideMark/>
          </w:tcPr>
          <w:p w14:paraId="1E1D660B"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383" w:type="pct"/>
            <w:tcBorders>
              <w:top w:val="nil"/>
              <w:left w:val="nil"/>
              <w:bottom w:val="double" w:sz="6" w:space="0" w:color="auto"/>
              <w:right w:val="single" w:sz="8" w:space="0" w:color="auto"/>
            </w:tcBorders>
            <w:shd w:val="clear" w:color="000000" w:fill="FFFFFF"/>
            <w:vAlign w:val="bottom"/>
            <w:hideMark/>
          </w:tcPr>
          <w:p w14:paraId="68E07F72" w14:textId="77777777" w:rsidR="002B41BB" w:rsidRPr="004E5A6E" w:rsidRDefault="002B41BB" w:rsidP="002B41BB">
            <w:pPr>
              <w:jc w:val="center"/>
              <w:rPr>
                <w:color w:val="auto"/>
                <w:sz w:val="20"/>
                <w:szCs w:val="20"/>
                <w:lang w:val="sq-AL"/>
              </w:rPr>
            </w:pPr>
            <w:r w:rsidRPr="004E5A6E">
              <w:rPr>
                <w:color w:val="auto"/>
                <w:sz w:val="20"/>
                <w:szCs w:val="20"/>
                <w:lang w:val="sq-AL"/>
              </w:rPr>
              <w:t>D1</w:t>
            </w:r>
          </w:p>
        </w:tc>
        <w:tc>
          <w:tcPr>
            <w:tcW w:w="460" w:type="pct"/>
            <w:tcBorders>
              <w:top w:val="nil"/>
              <w:left w:val="nil"/>
              <w:bottom w:val="double" w:sz="6" w:space="0" w:color="auto"/>
              <w:right w:val="dotted" w:sz="4" w:space="0" w:color="auto"/>
            </w:tcBorders>
            <w:shd w:val="clear" w:color="000000" w:fill="FFFFFF"/>
            <w:vAlign w:val="bottom"/>
            <w:hideMark/>
          </w:tcPr>
          <w:p w14:paraId="07863540" w14:textId="77777777" w:rsidR="002B41BB" w:rsidRPr="004E5A6E" w:rsidRDefault="002B41BB" w:rsidP="002B41BB">
            <w:pPr>
              <w:jc w:val="center"/>
              <w:rPr>
                <w:color w:val="auto"/>
                <w:sz w:val="20"/>
                <w:szCs w:val="20"/>
                <w:lang w:val="sq-AL"/>
              </w:rPr>
            </w:pPr>
            <w:r w:rsidRPr="004E5A6E">
              <w:rPr>
                <w:color w:val="auto"/>
                <w:sz w:val="20"/>
                <w:szCs w:val="20"/>
                <w:lang w:val="sq-AL"/>
              </w:rPr>
              <w:t>616</w:t>
            </w:r>
          </w:p>
        </w:tc>
        <w:tc>
          <w:tcPr>
            <w:tcW w:w="460" w:type="pct"/>
            <w:tcBorders>
              <w:top w:val="nil"/>
              <w:left w:val="nil"/>
              <w:bottom w:val="double" w:sz="6" w:space="0" w:color="auto"/>
              <w:right w:val="dotted" w:sz="4" w:space="0" w:color="auto"/>
            </w:tcBorders>
            <w:shd w:val="clear" w:color="000000" w:fill="FFFFFF"/>
            <w:vAlign w:val="bottom"/>
            <w:hideMark/>
          </w:tcPr>
          <w:p w14:paraId="42B57CE4" w14:textId="77777777" w:rsidR="002B41BB" w:rsidRPr="004E5A6E" w:rsidRDefault="002B41BB" w:rsidP="002B41BB">
            <w:pPr>
              <w:jc w:val="center"/>
              <w:rPr>
                <w:color w:val="auto"/>
                <w:sz w:val="20"/>
                <w:szCs w:val="20"/>
                <w:lang w:val="sq-AL"/>
              </w:rPr>
            </w:pPr>
            <w:r w:rsidRPr="004E5A6E">
              <w:rPr>
                <w:color w:val="auto"/>
                <w:sz w:val="20"/>
                <w:szCs w:val="20"/>
                <w:lang w:val="sq-AL"/>
              </w:rPr>
              <w:t>654</w:t>
            </w:r>
          </w:p>
        </w:tc>
        <w:tc>
          <w:tcPr>
            <w:tcW w:w="460" w:type="pct"/>
            <w:tcBorders>
              <w:top w:val="nil"/>
              <w:left w:val="nil"/>
              <w:bottom w:val="double" w:sz="6" w:space="0" w:color="auto"/>
              <w:right w:val="dotted" w:sz="4" w:space="0" w:color="auto"/>
            </w:tcBorders>
            <w:shd w:val="clear" w:color="000000" w:fill="FFFFFF"/>
            <w:vAlign w:val="bottom"/>
            <w:hideMark/>
          </w:tcPr>
          <w:p w14:paraId="478509D9" w14:textId="77777777" w:rsidR="002B41BB" w:rsidRPr="004E5A6E" w:rsidRDefault="002B41BB" w:rsidP="002B41BB">
            <w:pPr>
              <w:jc w:val="center"/>
              <w:rPr>
                <w:color w:val="auto"/>
                <w:sz w:val="20"/>
                <w:szCs w:val="20"/>
                <w:lang w:val="sq-AL"/>
              </w:rPr>
            </w:pPr>
            <w:r w:rsidRPr="004E5A6E">
              <w:rPr>
                <w:color w:val="auto"/>
                <w:sz w:val="20"/>
                <w:szCs w:val="20"/>
                <w:lang w:val="sq-AL"/>
              </w:rPr>
              <w:t>639</w:t>
            </w:r>
          </w:p>
        </w:tc>
        <w:tc>
          <w:tcPr>
            <w:tcW w:w="460" w:type="pct"/>
            <w:tcBorders>
              <w:top w:val="nil"/>
              <w:left w:val="nil"/>
              <w:bottom w:val="double" w:sz="6" w:space="0" w:color="auto"/>
              <w:right w:val="dotted" w:sz="4" w:space="0" w:color="auto"/>
            </w:tcBorders>
            <w:shd w:val="clear" w:color="000000" w:fill="FFFFFF"/>
            <w:vAlign w:val="bottom"/>
            <w:hideMark/>
          </w:tcPr>
          <w:p w14:paraId="55D7AD90" w14:textId="77777777" w:rsidR="002B41BB" w:rsidRPr="004E5A6E" w:rsidRDefault="002B41BB" w:rsidP="002B41BB">
            <w:pPr>
              <w:jc w:val="center"/>
              <w:rPr>
                <w:color w:val="auto"/>
                <w:sz w:val="20"/>
                <w:szCs w:val="20"/>
                <w:lang w:val="sq-AL"/>
              </w:rPr>
            </w:pPr>
            <w:r w:rsidRPr="004E5A6E">
              <w:rPr>
                <w:color w:val="auto"/>
                <w:sz w:val="20"/>
                <w:szCs w:val="20"/>
                <w:lang w:val="sq-AL"/>
              </w:rPr>
              <w:t>642</w:t>
            </w:r>
          </w:p>
        </w:tc>
        <w:tc>
          <w:tcPr>
            <w:tcW w:w="460" w:type="pct"/>
            <w:tcBorders>
              <w:top w:val="nil"/>
              <w:left w:val="nil"/>
              <w:bottom w:val="double" w:sz="6" w:space="0" w:color="auto"/>
              <w:right w:val="double" w:sz="6" w:space="0" w:color="auto"/>
            </w:tcBorders>
            <w:shd w:val="clear" w:color="000000" w:fill="FFFFFF"/>
            <w:vAlign w:val="bottom"/>
            <w:hideMark/>
          </w:tcPr>
          <w:p w14:paraId="4E2A3E16" w14:textId="77777777" w:rsidR="002B41BB" w:rsidRPr="004E5A6E" w:rsidRDefault="002B41BB" w:rsidP="002B41BB">
            <w:pPr>
              <w:jc w:val="center"/>
              <w:rPr>
                <w:color w:val="auto"/>
                <w:sz w:val="20"/>
                <w:szCs w:val="20"/>
                <w:lang w:val="sq-AL"/>
              </w:rPr>
            </w:pPr>
            <w:r w:rsidRPr="004E5A6E">
              <w:rPr>
                <w:color w:val="auto"/>
                <w:sz w:val="20"/>
                <w:szCs w:val="20"/>
                <w:lang w:val="sq-AL"/>
              </w:rPr>
              <w:t>645</w:t>
            </w:r>
          </w:p>
        </w:tc>
      </w:tr>
    </w:tbl>
    <w:p w14:paraId="6D7FE208" w14:textId="03377702" w:rsidR="002B41BB" w:rsidRPr="004E5A6E" w:rsidRDefault="002B41BB" w:rsidP="00693151">
      <w:pPr>
        <w:rPr>
          <w:highlight w:val="yellow"/>
          <w:lang w:val="sq-AL"/>
        </w:rPr>
      </w:pPr>
    </w:p>
    <w:p w14:paraId="01DD33F0" w14:textId="08E0CF9B" w:rsidR="002B41BB" w:rsidRPr="004E5A6E" w:rsidRDefault="002B41BB" w:rsidP="00693151">
      <w:pPr>
        <w:rPr>
          <w:highlight w:val="yellow"/>
          <w:lang w:val="sq-AL"/>
        </w:rPr>
      </w:pPr>
    </w:p>
    <w:p w14:paraId="33892B20" w14:textId="5869E880" w:rsidR="002B41BB" w:rsidRPr="004E5A6E" w:rsidRDefault="002B41BB" w:rsidP="00693151">
      <w:pPr>
        <w:rPr>
          <w:highlight w:val="yellow"/>
          <w:lang w:val="sq-AL"/>
        </w:rPr>
      </w:pPr>
    </w:p>
    <w:p w14:paraId="720962FE" w14:textId="5811A7BC" w:rsidR="002B41BB" w:rsidRPr="004E5A6E" w:rsidRDefault="002B41BB" w:rsidP="00693151">
      <w:pPr>
        <w:rPr>
          <w:highlight w:val="yellow"/>
          <w:lang w:val="sq-AL"/>
        </w:rPr>
      </w:pPr>
    </w:p>
    <w:p w14:paraId="385CAB5E" w14:textId="0044E9AD" w:rsidR="002B41BB" w:rsidRPr="004E5A6E" w:rsidRDefault="002B41BB" w:rsidP="00693151">
      <w:pPr>
        <w:rPr>
          <w:highlight w:val="yellow"/>
          <w:lang w:val="sq-AL"/>
        </w:rPr>
      </w:pPr>
    </w:p>
    <w:p w14:paraId="6EC539DB" w14:textId="2F28463D" w:rsidR="002B41BB" w:rsidRPr="004E5A6E" w:rsidRDefault="002B41BB" w:rsidP="00693151">
      <w:pPr>
        <w:rPr>
          <w:highlight w:val="yellow"/>
          <w:lang w:val="sq-AL"/>
        </w:rPr>
      </w:pPr>
    </w:p>
    <w:p w14:paraId="371B69E7" w14:textId="0D5D5BE1" w:rsidR="002B41BB" w:rsidRPr="004E5A6E" w:rsidRDefault="002B41BB" w:rsidP="00693151">
      <w:pPr>
        <w:rPr>
          <w:highlight w:val="yellow"/>
          <w:lang w:val="sq-AL"/>
        </w:rPr>
      </w:pPr>
    </w:p>
    <w:tbl>
      <w:tblPr>
        <w:tblW w:w="5000" w:type="pct"/>
        <w:tblLook w:val="04A0" w:firstRow="1" w:lastRow="0" w:firstColumn="1" w:lastColumn="0" w:noHBand="0" w:noVBand="1"/>
      </w:tblPr>
      <w:tblGrid>
        <w:gridCol w:w="4425"/>
        <w:gridCol w:w="1164"/>
        <w:gridCol w:w="607"/>
        <w:gridCol w:w="607"/>
        <w:gridCol w:w="607"/>
        <w:gridCol w:w="607"/>
        <w:gridCol w:w="607"/>
      </w:tblGrid>
      <w:tr w:rsidR="002B41BB" w:rsidRPr="004E5A6E" w14:paraId="6BD7505D" w14:textId="77777777" w:rsidTr="002B41BB">
        <w:trPr>
          <w:trHeight w:val="318"/>
        </w:trPr>
        <w:tc>
          <w:tcPr>
            <w:tcW w:w="2732" w:type="pct"/>
            <w:gridSpan w:val="2"/>
            <w:tcBorders>
              <w:top w:val="nil"/>
              <w:left w:val="nil"/>
              <w:bottom w:val="nil"/>
              <w:right w:val="nil"/>
            </w:tcBorders>
            <w:shd w:val="clear" w:color="000000" w:fill="FFFFFF"/>
            <w:noWrap/>
            <w:vAlign w:val="center"/>
            <w:hideMark/>
          </w:tcPr>
          <w:p w14:paraId="3AC6EAAC" w14:textId="77777777" w:rsidR="002B41BB" w:rsidRPr="004E5A6E" w:rsidRDefault="002B41BB" w:rsidP="002B41BB">
            <w:pPr>
              <w:rPr>
                <w:b/>
                <w:bCs/>
                <w:color w:val="auto"/>
                <w:sz w:val="20"/>
                <w:szCs w:val="20"/>
                <w:lang w:val="sq-AL"/>
              </w:rPr>
            </w:pPr>
            <w:r w:rsidRPr="004E5A6E">
              <w:rPr>
                <w:b/>
                <w:bCs/>
                <w:color w:val="auto"/>
                <w:sz w:val="20"/>
                <w:szCs w:val="20"/>
                <w:lang w:val="sq-AL"/>
              </w:rPr>
              <w:t>Tabela 3: Shpenzimet e përgjithshme qeveritare sipas funksionit</w:t>
            </w:r>
          </w:p>
        </w:tc>
        <w:tc>
          <w:tcPr>
            <w:tcW w:w="455" w:type="pct"/>
            <w:tcBorders>
              <w:top w:val="nil"/>
              <w:left w:val="nil"/>
              <w:bottom w:val="nil"/>
              <w:right w:val="nil"/>
            </w:tcBorders>
            <w:shd w:val="clear" w:color="000000" w:fill="FFFFFF"/>
            <w:noWrap/>
            <w:vAlign w:val="center"/>
            <w:hideMark/>
          </w:tcPr>
          <w:p w14:paraId="7C259F06" w14:textId="77777777" w:rsidR="002B41BB" w:rsidRPr="004E5A6E" w:rsidRDefault="002B41BB" w:rsidP="002B41BB">
            <w:pPr>
              <w:rPr>
                <w:color w:val="auto"/>
                <w:sz w:val="20"/>
                <w:szCs w:val="20"/>
                <w:lang w:val="sq-AL"/>
              </w:rPr>
            </w:pPr>
            <w:r w:rsidRPr="004E5A6E">
              <w:rPr>
                <w:color w:val="auto"/>
                <w:sz w:val="20"/>
                <w:szCs w:val="20"/>
                <w:lang w:val="sq-AL"/>
              </w:rPr>
              <w:t> </w:t>
            </w:r>
          </w:p>
        </w:tc>
        <w:tc>
          <w:tcPr>
            <w:tcW w:w="455" w:type="pct"/>
            <w:tcBorders>
              <w:top w:val="nil"/>
              <w:left w:val="nil"/>
              <w:bottom w:val="nil"/>
              <w:right w:val="nil"/>
            </w:tcBorders>
            <w:shd w:val="clear" w:color="000000" w:fill="FFFFFF"/>
            <w:noWrap/>
            <w:vAlign w:val="center"/>
            <w:hideMark/>
          </w:tcPr>
          <w:p w14:paraId="4A52A184" w14:textId="77777777" w:rsidR="002B41BB" w:rsidRPr="004E5A6E" w:rsidRDefault="002B41BB" w:rsidP="002B41BB">
            <w:pPr>
              <w:rPr>
                <w:color w:val="auto"/>
                <w:sz w:val="20"/>
                <w:szCs w:val="20"/>
                <w:lang w:val="sq-AL"/>
              </w:rPr>
            </w:pPr>
            <w:r w:rsidRPr="004E5A6E">
              <w:rPr>
                <w:color w:val="auto"/>
                <w:sz w:val="20"/>
                <w:szCs w:val="20"/>
                <w:lang w:val="sq-AL"/>
              </w:rPr>
              <w:t> </w:t>
            </w:r>
          </w:p>
        </w:tc>
        <w:tc>
          <w:tcPr>
            <w:tcW w:w="455" w:type="pct"/>
            <w:tcBorders>
              <w:top w:val="nil"/>
              <w:left w:val="nil"/>
              <w:bottom w:val="nil"/>
              <w:right w:val="nil"/>
            </w:tcBorders>
            <w:shd w:val="clear" w:color="000000" w:fill="FFFFFF"/>
            <w:noWrap/>
            <w:vAlign w:val="center"/>
            <w:hideMark/>
          </w:tcPr>
          <w:p w14:paraId="5F0B1400" w14:textId="77777777" w:rsidR="002B41BB" w:rsidRPr="004E5A6E" w:rsidRDefault="002B41BB" w:rsidP="002B41BB">
            <w:pPr>
              <w:rPr>
                <w:color w:val="auto"/>
                <w:sz w:val="20"/>
                <w:szCs w:val="20"/>
                <w:lang w:val="sq-AL"/>
              </w:rPr>
            </w:pPr>
            <w:r w:rsidRPr="004E5A6E">
              <w:rPr>
                <w:color w:val="auto"/>
                <w:sz w:val="20"/>
                <w:szCs w:val="20"/>
                <w:lang w:val="sq-AL"/>
              </w:rPr>
              <w:t> </w:t>
            </w:r>
          </w:p>
        </w:tc>
        <w:tc>
          <w:tcPr>
            <w:tcW w:w="455" w:type="pct"/>
            <w:tcBorders>
              <w:top w:val="nil"/>
              <w:left w:val="nil"/>
              <w:bottom w:val="nil"/>
              <w:right w:val="nil"/>
            </w:tcBorders>
            <w:shd w:val="clear" w:color="000000" w:fill="FFFFFF"/>
            <w:noWrap/>
            <w:vAlign w:val="center"/>
            <w:hideMark/>
          </w:tcPr>
          <w:p w14:paraId="470B360A" w14:textId="77777777" w:rsidR="002B41BB" w:rsidRPr="004E5A6E" w:rsidRDefault="002B41BB" w:rsidP="002B41BB">
            <w:pPr>
              <w:rPr>
                <w:color w:val="auto"/>
                <w:sz w:val="20"/>
                <w:szCs w:val="20"/>
                <w:lang w:val="sq-AL"/>
              </w:rPr>
            </w:pPr>
            <w:r w:rsidRPr="004E5A6E">
              <w:rPr>
                <w:color w:val="auto"/>
                <w:sz w:val="20"/>
                <w:szCs w:val="20"/>
                <w:lang w:val="sq-AL"/>
              </w:rPr>
              <w:t> </w:t>
            </w:r>
          </w:p>
        </w:tc>
        <w:tc>
          <w:tcPr>
            <w:tcW w:w="446" w:type="pct"/>
            <w:tcBorders>
              <w:top w:val="nil"/>
              <w:left w:val="nil"/>
              <w:bottom w:val="nil"/>
              <w:right w:val="nil"/>
            </w:tcBorders>
            <w:shd w:val="clear" w:color="000000" w:fill="FFFFFF"/>
            <w:noWrap/>
            <w:vAlign w:val="center"/>
            <w:hideMark/>
          </w:tcPr>
          <w:p w14:paraId="14250902" w14:textId="77777777" w:rsidR="002B41BB" w:rsidRPr="004E5A6E" w:rsidRDefault="002B41BB" w:rsidP="002B41BB">
            <w:pPr>
              <w:rPr>
                <w:color w:val="auto"/>
                <w:sz w:val="20"/>
                <w:szCs w:val="20"/>
                <w:lang w:val="sq-AL"/>
              </w:rPr>
            </w:pPr>
            <w:r w:rsidRPr="004E5A6E">
              <w:rPr>
                <w:color w:val="auto"/>
                <w:sz w:val="20"/>
                <w:szCs w:val="20"/>
                <w:lang w:val="sq-AL"/>
              </w:rPr>
              <w:t> </w:t>
            </w:r>
          </w:p>
        </w:tc>
      </w:tr>
      <w:tr w:rsidR="002B41BB" w:rsidRPr="004E5A6E" w14:paraId="670BAA28" w14:textId="77777777" w:rsidTr="002B41BB">
        <w:trPr>
          <w:trHeight w:val="525"/>
        </w:trPr>
        <w:tc>
          <w:tcPr>
            <w:tcW w:w="2165" w:type="pct"/>
            <w:tcBorders>
              <w:top w:val="double" w:sz="6" w:space="0" w:color="000000"/>
              <w:left w:val="double" w:sz="6" w:space="0" w:color="000000"/>
              <w:bottom w:val="double" w:sz="6" w:space="0" w:color="000000"/>
              <w:right w:val="nil"/>
            </w:tcBorders>
            <w:shd w:val="clear" w:color="000000" w:fill="FFFFFF"/>
            <w:vAlign w:val="center"/>
            <w:hideMark/>
          </w:tcPr>
          <w:p w14:paraId="3E32FA4B" w14:textId="77777777" w:rsidR="002B41BB" w:rsidRPr="004E5A6E" w:rsidRDefault="002B41BB" w:rsidP="002B41BB">
            <w:pPr>
              <w:rPr>
                <w:b/>
                <w:bCs/>
                <w:color w:val="auto"/>
                <w:sz w:val="20"/>
                <w:szCs w:val="20"/>
                <w:lang w:val="sq-AL"/>
              </w:rPr>
            </w:pPr>
            <w:r w:rsidRPr="004E5A6E">
              <w:rPr>
                <w:b/>
                <w:bCs/>
                <w:color w:val="auto"/>
                <w:sz w:val="20"/>
                <w:szCs w:val="20"/>
                <w:lang w:val="sq-AL"/>
              </w:rPr>
              <w:t>% e BPV-së</w:t>
            </w:r>
          </w:p>
        </w:tc>
        <w:tc>
          <w:tcPr>
            <w:tcW w:w="567" w:type="pct"/>
            <w:tcBorders>
              <w:top w:val="double" w:sz="6" w:space="0" w:color="000000"/>
              <w:left w:val="single" w:sz="8" w:space="0" w:color="auto"/>
              <w:bottom w:val="double" w:sz="6" w:space="0" w:color="000000"/>
              <w:right w:val="single" w:sz="8" w:space="0" w:color="auto"/>
            </w:tcBorders>
            <w:shd w:val="clear" w:color="000000" w:fill="FFFFFF"/>
            <w:vAlign w:val="center"/>
            <w:hideMark/>
          </w:tcPr>
          <w:p w14:paraId="44B8E87C" w14:textId="77777777" w:rsidR="002B41BB" w:rsidRPr="004E5A6E" w:rsidRDefault="002B41BB" w:rsidP="002B41BB">
            <w:pPr>
              <w:rPr>
                <w:b/>
                <w:bCs/>
                <w:color w:val="auto"/>
                <w:sz w:val="20"/>
                <w:szCs w:val="20"/>
                <w:lang w:val="sq-AL"/>
              </w:rPr>
            </w:pPr>
            <w:r w:rsidRPr="004E5A6E">
              <w:rPr>
                <w:b/>
                <w:bCs/>
                <w:color w:val="auto"/>
                <w:sz w:val="20"/>
                <w:szCs w:val="20"/>
                <w:lang w:val="sq-AL"/>
              </w:rPr>
              <w:t>COFOG Kodi</w:t>
            </w:r>
          </w:p>
        </w:tc>
        <w:tc>
          <w:tcPr>
            <w:tcW w:w="455" w:type="pct"/>
            <w:tcBorders>
              <w:top w:val="double" w:sz="6" w:space="0" w:color="000000"/>
              <w:left w:val="dotted" w:sz="4" w:space="0" w:color="auto"/>
              <w:bottom w:val="double" w:sz="6" w:space="0" w:color="000000"/>
              <w:right w:val="dotted" w:sz="4" w:space="0" w:color="auto"/>
            </w:tcBorders>
            <w:shd w:val="clear" w:color="000000" w:fill="FFFFFF"/>
            <w:vAlign w:val="center"/>
            <w:hideMark/>
          </w:tcPr>
          <w:p w14:paraId="04BBC3B4" w14:textId="77777777" w:rsidR="002B41BB" w:rsidRPr="004E5A6E" w:rsidRDefault="002B41BB" w:rsidP="002B41BB">
            <w:pPr>
              <w:jc w:val="center"/>
              <w:rPr>
                <w:color w:val="auto"/>
                <w:sz w:val="20"/>
                <w:szCs w:val="20"/>
                <w:lang w:val="sq-AL"/>
              </w:rPr>
            </w:pPr>
            <w:r w:rsidRPr="004E5A6E">
              <w:rPr>
                <w:color w:val="auto"/>
                <w:sz w:val="20"/>
                <w:szCs w:val="20"/>
                <w:lang w:val="sq-AL"/>
              </w:rPr>
              <w:t>2019</w:t>
            </w:r>
          </w:p>
        </w:tc>
        <w:tc>
          <w:tcPr>
            <w:tcW w:w="455" w:type="pct"/>
            <w:tcBorders>
              <w:top w:val="double" w:sz="6" w:space="0" w:color="000000"/>
              <w:left w:val="nil"/>
              <w:bottom w:val="double" w:sz="6" w:space="0" w:color="000000"/>
              <w:right w:val="dotted" w:sz="4" w:space="0" w:color="auto"/>
            </w:tcBorders>
            <w:shd w:val="clear" w:color="000000" w:fill="FFFFFF"/>
            <w:vAlign w:val="center"/>
            <w:hideMark/>
          </w:tcPr>
          <w:p w14:paraId="324F7E06" w14:textId="77777777" w:rsidR="002B41BB" w:rsidRPr="004E5A6E" w:rsidRDefault="002B41BB" w:rsidP="002B41BB">
            <w:pPr>
              <w:jc w:val="center"/>
              <w:rPr>
                <w:color w:val="auto"/>
                <w:sz w:val="20"/>
                <w:szCs w:val="20"/>
                <w:lang w:val="sq-AL"/>
              </w:rPr>
            </w:pPr>
            <w:r w:rsidRPr="004E5A6E">
              <w:rPr>
                <w:color w:val="auto"/>
                <w:sz w:val="20"/>
                <w:szCs w:val="20"/>
                <w:lang w:val="sq-AL"/>
              </w:rPr>
              <w:t>2020</w:t>
            </w:r>
          </w:p>
        </w:tc>
        <w:tc>
          <w:tcPr>
            <w:tcW w:w="455" w:type="pct"/>
            <w:tcBorders>
              <w:top w:val="double" w:sz="6" w:space="0" w:color="000000"/>
              <w:left w:val="nil"/>
              <w:bottom w:val="double" w:sz="6" w:space="0" w:color="000000"/>
              <w:right w:val="dotted" w:sz="4" w:space="0" w:color="auto"/>
            </w:tcBorders>
            <w:shd w:val="clear" w:color="000000" w:fill="FFFFFF"/>
            <w:vAlign w:val="center"/>
            <w:hideMark/>
          </w:tcPr>
          <w:p w14:paraId="2EA27769" w14:textId="77777777" w:rsidR="002B41BB" w:rsidRPr="004E5A6E" w:rsidRDefault="002B41BB" w:rsidP="002B41BB">
            <w:pPr>
              <w:jc w:val="center"/>
              <w:rPr>
                <w:color w:val="auto"/>
                <w:sz w:val="20"/>
                <w:szCs w:val="20"/>
                <w:lang w:val="sq-AL"/>
              </w:rPr>
            </w:pPr>
            <w:r w:rsidRPr="004E5A6E">
              <w:rPr>
                <w:color w:val="auto"/>
                <w:sz w:val="20"/>
                <w:szCs w:val="20"/>
                <w:lang w:val="sq-AL"/>
              </w:rPr>
              <w:t>2021</w:t>
            </w:r>
          </w:p>
        </w:tc>
        <w:tc>
          <w:tcPr>
            <w:tcW w:w="455" w:type="pct"/>
            <w:tcBorders>
              <w:top w:val="double" w:sz="6" w:space="0" w:color="000000"/>
              <w:left w:val="nil"/>
              <w:bottom w:val="double" w:sz="6" w:space="0" w:color="000000"/>
              <w:right w:val="dotted" w:sz="4" w:space="0" w:color="auto"/>
            </w:tcBorders>
            <w:shd w:val="clear" w:color="000000" w:fill="FFFFFF"/>
            <w:vAlign w:val="center"/>
            <w:hideMark/>
          </w:tcPr>
          <w:p w14:paraId="29CBB8B5" w14:textId="77777777" w:rsidR="002B41BB" w:rsidRPr="004E5A6E" w:rsidRDefault="002B41BB" w:rsidP="002B41BB">
            <w:pPr>
              <w:jc w:val="center"/>
              <w:rPr>
                <w:color w:val="auto"/>
                <w:sz w:val="20"/>
                <w:szCs w:val="20"/>
                <w:lang w:val="sq-AL"/>
              </w:rPr>
            </w:pPr>
            <w:r w:rsidRPr="004E5A6E">
              <w:rPr>
                <w:color w:val="auto"/>
                <w:sz w:val="20"/>
                <w:szCs w:val="20"/>
                <w:lang w:val="sq-AL"/>
              </w:rPr>
              <w:t>2022</w:t>
            </w:r>
          </w:p>
        </w:tc>
        <w:tc>
          <w:tcPr>
            <w:tcW w:w="446" w:type="pct"/>
            <w:tcBorders>
              <w:top w:val="double" w:sz="6" w:space="0" w:color="000000"/>
              <w:left w:val="nil"/>
              <w:bottom w:val="double" w:sz="6" w:space="0" w:color="000000"/>
              <w:right w:val="double" w:sz="6" w:space="0" w:color="auto"/>
            </w:tcBorders>
            <w:shd w:val="clear" w:color="000000" w:fill="FFFFFF"/>
            <w:vAlign w:val="center"/>
            <w:hideMark/>
          </w:tcPr>
          <w:p w14:paraId="0779CF20" w14:textId="77777777" w:rsidR="002B41BB" w:rsidRPr="004E5A6E" w:rsidRDefault="002B41BB" w:rsidP="002B41BB">
            <w:pPr>
              <w:jc w:val="center"/>
              <w:rPr>
                <w:color w:val="auto"/>
                <w:sz w:val="20"/>
                <w:szCs w:val="20"/>
                <w:lang w:val="sq-AL"/>
              </w:rPr>
            </w:pPr>
            <w:r w:rsidRPr="004E5A6E">
              <w:rPr>
                <w:color w:val="auto"/>
                <w:sz w:val="20"/>
                <w:szCs w:val="20"/>
                <w:lang w:val="sq-AL"/>
              </w:rPr>
              <w:t>2023</w:t>
            </w:r>
          </w:p>
        </w:tc>
      </w:tr>
      <w:tr w:rsidR="002B41BB" w:rsidRPr="004E5A6E" w14:paraId="153E9035" w14:textId="77777777" w:rsidTr="002B41BB">
        <w:trPr>
          <w:trHeight w:val="318"/>
        </w:trPr>
        <w:tc>
          <w:tcPr>
            <w:tcW w:w="2165" w:type="pct"/>
            <w:tcBorders>
              <w:top w:val="nil"/>
              <w:left w:val="double" w:sz="6" w:space="0" w:color="000000"/>
              <w:bottom w:val="dotted" w:sz="4" w:space="0" w:color="auto"/>
              <w:right w:val="nil"/>
            </w:tcBorders>
            <w:shd w:val="clear" w:color="000000" w:fill="FFFFFF"/>
            <w:vAlign w:val="center"/>
            <w:hideMark/>
          </w:tcPr>
          <w:p w14:paraId="458BAED3" w14:textId="77777777" w:rsidR="002B41BB" w:rsidRPr="004E5A6E" w:rsidRDefault="002B41BB" w:rsidP="002B41BB">
            <w:pPr>
              <w:rPr>
                <w:color w:val="auto"/>
                <w:sz w:val="20"/>
                <w:szCs w:val="20"/>
                <w:lang w:val="sq-AL"/>
              </w:rPr>
            </w:pPr>
            <w:r w:rsidRPr="004E5A6E">
              <w:rPr>
                <w:color w:val="auto"/>
                <w:sz w:val="20"/>
                <w:szCs w:val="20"/>
                <w:lang w:val="sq-AL"/>
              </w:rPr>
              <w:t>1. Shërbimet e përgjithshme publike</w:t>
            </w:r>
          </w:p>
        </w:tc>
        <w:tc>
          <w:tcPr>
            <w:tcW w:w="567" w:type="pct"/>
            <w:tcBorders>
              <w:top w:val="nil"/>
              <w:left w:val="single" w:sz="8" w:space="0" w:color="auto"/>
              <w:bottom w:val="dotted" w:sz="4" w:space="0" w:color="auto"/>
              <w:right w:val="single" w:sz="8" w:space="0" w:color="auto"/>
            </w:tcBorders>
            <w:shd w:val="clear" w:color="000000" w:fill="FFFFFF"/>
            <w:vAlign w:val="center"/>
            <w:hideMark/>
          </w:tcPr>
          <w:p w14:paraId="1ABEBCE1" w14:textId="77777777" w:rsidR="002B41BB" w:rsidRPr="004E5A6E" w:rsidRDefault="002B41BB" w:rsidP="002B41BB">
            <w:pPr>
              <w:jc w:val="center"/>
              <w:rPr>
                <w:color w:val="auto"/>
                <w:sz w:val="20"/>
                <w:szCs w:val="20"/>
                <w:lang w:val="sq-AL"/>
              </w:rPr>
            </w:pPr>
            <w:r w:rsidRPr="004E5A6E">
              <w:rPr>
                <w:color w:val="auto"/>
                <w:sz w:val="20"/>
                <w:szCs w:val="20"/>
                <w:lang w:val="sq-AL"/>
              </w:rPr>
              <w:t>1</w:t>
            </w:r>
          </w:p>
        </w:tc>
        <w:tc>
          <w:tcPr>
            <w:tcW w:w="455" w:type="pct"/>
            <w:tcBorders>
              <w:top w:val="nil"/>
              <w:left w:val="dotted" w:sz="4" w:space="0" w:color="auto"/>
              <w:bottom w:val="dotted" w:sz="4" w:space="0" w:color="auto"/>
              <w:right w:val="dotted" w:sz="4" w:space="0" w:color="auto"/>
            </w:tcBorders>
            <w:shd w:val="clear" w:color="000000" w:fill="FFFFFF"/>
            <w:vAlign w:val="center"/>
            <w:hideMark/>
          </w:tcPr>
          <w:p w14:paraId="2260D09E" w14:textId="77777777" w:rsidR="002B41BB" w:rsidRPr="004E5A6E" w:rsidRDefault="002B41BB" w:rsidP="002B41BB">
            <w:pPr>
              <w:jc w:val="center"/>
              <w:rPr>
                <w:color w:val="auto"/>
                <w:sz w:val="20"/>
                <w:szCs w:val="20"/>
                <w:lang w:val="sq-AL"/>
              </w:rPr>
            </w:pPr>
            <w:r w:rsidRPr="004E5A6E">
              <w:rPr>
                <w:color w:val="auto"/>
                <w:sz w:val="20"/>
                <w:szCs w:val="20"/>
                <w:lang w:val="sq-AL"/>
              </w:rPr>
              <w:t>4.7</w:t>
            </w:r>
          </w:p>
        </w:tc>
        <w:tc>
          <w:tcPr>
            <w:tcW w:w="455" w:type="pct"/>
            <w:tcBorders>
              <w:top w:val="nil"/>
              <w:left w:val="nil"/>
              <w:bottom w:val="dotted" w:sz="4" w:space="0" w:color="auto"/>
              <w:right w:val="dotted" w:sz="4" w:space="0" w:color="auto"/>
            </w:tcBorders>
            <w:shd w:val="clear" w:color="000000" w:fill="FFFFFF"/>
            <w:vAlign w:val="center"/>
            <w:hideMark/>
          </w:tcPr>
          <w:p w14:paraId="772FFECF" w14:textId="77777777" w:rsidR="002B41BB" w:rsidRPr="004E5A6E" w:rsidRDefault="002B41BB" w:rsidP="002B41BB">
            <w:pPr>
              <w:jc w:val="center"/>
              <w:rPr>
                <w:color w:val="auto"/>
                <w:sz w:val="20"/>
                <w:szCs w:val="20"/>
                <w:lang w:val="sq-AL"/>
              </w:rPr>
            </w:pPr>
            <w:r w:rsidRPr="004E5A6E">
              <w:rPr>
                <w:color w:val="auto"/>
                <w:sz w:val="20"/>
                <w:szCs w:val="20"/>
                <w:lang w:val="sq-AL"/>
              </w:rPr>
              <w:t>2.7</w:t>
            </w:r>
          </w:p>
        </w:tc>
        <w:tc>
          <w:tcPr>
            <w:tcW w:w="455" w:type="pct"/>
            <w:tcBorders>
              <w:top w:val="nil"/>
              <w:left w:val="nil"/>
              <w:bottom w:val="dotted" w:sz="4" w:space="0" w:color="auto"/>
              <w:right w:val="dotted" w:sz="4" w:space="0" w:color="auto"/>
            </w:tcBorders>
            <w:shd w:val="clear" w:color="000000" w:fill="FFFFFF"/>
            <w:vAlign w:val="center"/>
            <w:hideMark/>
          </w:tcPr>
          <w:p w14:paraId="074F3AFF"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5" w:type="pct"/>
            <w:tcBorders>
              <w:top w:val="nil"/>
              <w:left w:val="nil"/>
              <w:bottom w:val="dotted" w:sz="4" w:space="0" w:color="auto"/>
              <w:right w:val="dotted" w:sz="4" w:space="0" w:color="auto"/>
            </w:tcBorders>
            <w:shd w:val="clear" w:color="000000" w:fill="FFFFFF"/>
            <w:vAlign w:val="center"/>
            <w:hideMark/>
          </w:tcPr>
          <w:p w14:paraId="0596FC6B"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46" w:type="pct"/>
            <w:tcBorders>
              <w:top w:val="nil"/>
              <w:left w:val="nil"/>
              <w:bottom w:val="dotted" w:sz="4" w:space="0" w:color="auto"/>
              <w:right w:val="double" w:sz="6" w:space="0" w:color="000000"/>
            </w:tcBorders>
            <w:shd w:val="clear" w:color="000000" w:fill="FFFFFF"/>
            <w:vAlign w:val="center"/>
            <w:hideMark/>
          </w:tcPr>
          <w:p w14:paraId="0C5E35B1"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r w:rsidR="002B41BB" w:rsidRPr="004E5A6E" w14:paraId="01E59DC2" w14:textId="77777777" w:rsidTr="002B41BB">
        <w:trPr>
          <w:trHeight w:val="318"/>
        </w:trPr>
        <w:tc>
          <w:tcPr>
            <w:tcW w:w="2165" w:type="pct"/>
            <w:tcBorders>
              <w:top w:val="nil"/>
              <w:left w:val="double" w:sz="6" w:space="0" w:color="000000"/>
              <w:bottom w:val="dotted" w:sz="4" w:space="0" w:color="auto"/>
              <w:right w:val="nil"/>
            </w:tcBorders>
            <w:shd w:val="clear" w:color="000000" w:fill="FFFFFF"/>
            <w:vAlign w:val="center"/>
            <w:hideMark/>
          </w:tcPr>
          <w:p w14:paraId="1C2F10FB" w14:textId="77777777" w:rsidR="002B41BB" w:rsidRPr="004E5A6E" w:rsidRDefault="002B41BB" w:rsidP="002B41BB">
            <w:pPr>
              <w:rPr>
                <w:color w:val="auto"/>
                <w:sz w:val="20"/>
                <w:szCs w:val="20"/>
                <w:lang w:val="sq-AL"/>
              </w:rPr>
            </w:pPr>
            <w:r w:rsidRPr="004E5A6E">
              <w:rPr>
                <w:color w:val="auto"/>
                <w:sz w:val="20"/>
                <w:szCs w:val="20"/>
                <w:lang w:val="sq-AL"/>
              </w:rPr>
              <w:lastRenderedPageBreak/>
              <w:t xml:space="preserve">2. Mbrojtja </w:t>
            </w:r>
          </w:p>
        </w:tc>
        <w:tc>
          <w:tcPr>
            <w:tcW w:w="567" w:type="pct"/>
            <w:tcBorders>
              <w:top w:val="nil"/>
              <w:left w:val="single" w:sz="8" w:space="0" w:color="auto"/>
              <w:bottom w:val="dotted" w:sz="4" w:space="0" w:color="auto"/>
              <w:right w:val="single" w:sz="8" w:space="0" w:color="auto"/>
            </w:tcBorders>
            <w:shd w:val="clear" w:color="000000" w:fill="FFFFFF"/>
            <w:vAlign w:val="center"/>
            <w:hideMark/>
          </w:tcPr>
          <w:p w14:paraId="54AB2AD9" w14:textId="77777777" w:rsidR="002B41BB" w:rsidRPr="004E5A6E" w:rsidRDefault="002B41BB" w:rsidP="002B41BB">
            <w:pPr>
              <w:jc w:val="center"/>
              <w:rPr>
                <w:color w:val="auto"/>
                <w:sz w:val="20"/>
                <w:szCs w:val="20"/>
                <w:lang w:val="sq-AL"/>
              </w:rPr>
            </w:pPr>
            <w:r w:rsidRPr="004E5A6E">
              <w:rPr>
                <w:color w:val="auto"/>
                <w:sz w:val="20"/>
                <w:szCs w:val="20"/>
                <w:lang w:val="sq-AL"/>
              </w:rPr>
              <w:t>2</w:t>
            </w:r>
          </w:p>
        </w:tc>
        <w:tc>
          <w:tcPr>
            <w:tcW w:w="455" w:type="pct"/>
            <w:tcBorders>
              <w:top w:val="nil"/>
              <w:left w:val="dotted" w:sz="4" w:space="0" w:color="auto"/>
              <w:bottom w:val="dotted" w:sz="4" w:space="0" w:color="auto"/>
              <w:right w:val="dotted" w:sz="4" w:space="0" w:color="auto"/>
            </w:tcBorders>
            <w:shd w:val="clear" w:color="000000" w:fill="FFFFFF"/>
            <w:vAlign w:val="center"/>
            <w:hideMark/>
          </w:tcPr>
          <w:p w14:paraId="4597B37A" w14:textId="77777777" w:rsidR="002B41BB" w:rsidRPr="004E5A6E" w:rsidRDefault="002B41BB" w:rsidP="002B41BB">
            <w:pPr>
              <w:jc w:val="center"/>
              <w:rPr>
                <w:color w:val="auto"/>
                <w:sz w:val="20"/>
                <w:szCs w:val="20"/>
                <w:lang w:val="sq-AL"/>
              </w:rPr>
            </w:pPr>
            <w:r w:rsidRPr="004E5A6E">
              <w:rPr>
                <w:color w:val="auto"/>
                <w:sz w:val="20"/>
                <w:szCs w:val="20"/>
                <w:lang w:val="sq-AL"/>
              </w:rPr>
              <w:t>0.7</w:t>
            </w:r>
          </w:p>
        </w:tc>
        <w:tc>
          <w:tcPr>
            <w:tcW w:w="455" w:type="pct"/>
            <w:tcBorders>
              <w:top w:val="nil"/>
              <w:left w:val="nil"/>
              <w:bottom w:val="dotted" w:sz="4" w:space="0" w:color="auto"/>
              <w:right w:val="dotted" w:sz="4" w:space="0" w:color="auto"/>
            </w:tcBorders>
            <w:shd w:val="clear" w:color="000000" w:fill="FFFFFF"/>
            <w:vAlign w:val="center"/>
            <w:hideMark/>
          </w:tcPr>
          <w:p w14:paraId="67CD37B1" w14:textId="77777777" w:rsidR="002B41BB" w:rsidRPr="004E5A6E" w:rsidRDefault="002B41BB" w:rsidP="002B41BB">
            <w:pPr>
              <w:jc w:val="center"/>
              <w:rPr>
                <w:color w:val="auto"/>
                <w:sz w:val="20"/>
                <w:szCs w:val="20"/>
                <w:lang w:val="sq-AL"/>
              </w:rPr>
            </w:pPr>
            <w:r w:rsidRPr="004E5A6E">
              <w:rPr>
                <w:color w:val="auto"/>
                <w:sz w:val="20"/>
                <w:szCs w:val="20"/>
                <w:lang w:val="sq-AL"/>
              </w:rPr>
              <w:t>0.4</w:t>
            </w:r>
          </w:p>
        </w:tc>
        <w:tc>
          <w:tcPr>
            <w:tcW w:w="455" w:type="pct"/>
            <w:tcBorders>
              <w:top w:val="nil"/>
              <w:left w:val="nil"/>
              <w:bottom w:val="dotted" w:sz="4" w:space="0" w:color="auto"/>
              <w:right w:val="dotted" w:sz="4" w:space="0" w:color="auto"/>
            </w:tcBorders>
            <w:shd w:val="clear" w:color="000000" w:fill="FFFFFF"/>
            <w:vAlign w:val="center"/>
            <w:hideMark/>
          </w:tcPr>
          <w:p w14:paraId="46DE827A"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5" w:type="pct"/>
            <w:tcBorders>
              <w:top w:val="nil"/>
              <w:left w:val="nil"/>
              <w:bottom w:val="dotted" w:sz="4" w:space="0" w:color="auto"/>
              <w:right w:val="dotted" w:sz="4" w:space="0" w:color="auto"/>
            </w:tcBorders>
            <w:shd w:val="clear" w:color="000000" w:fill="FFFFFF"/>
            <w:vAlign w:val="center"/>
            <w:hideMark/>
          </w:tcPr>
          <w:p w14:paraId="614061DA"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46" w:type="pct"/>
            <w:tcBorders>
              <w:top w:val="nil"/>
              <w:left w:val="nil"/>
              <w:bottom w:val="dotted" w:sz="4" w:space="0" w:color="auto"/>
              <w:right w:val="double" w:sz="6" w:space="0" w:color="000000"/>
            </w:tcBorders>
            <w:shd w:val="clear" w:color="000000" w:fill="FFFFFF"/>
            <w:vAlign w:val="center"/>
            <w:hideMark/>
          </w:tcPr>
          <w:p w14:paraId="7DF6D8BC"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r w:rsidR="002B41BB" w:rsidRPr="004E5A6E" w14:paraId="1FCC5853" w14:textId="77777777" w:rsidTr="002B41BB">
        <w:trPr>
          <w:trHeight w:val="318"/>
        </w:trPr>
        <w:tc>
          <w:tcPr>
            <w:tcW w:w="2165" w:type="pct"/>
            <w:tcBorders>
              <w:top w:val="nil"/>
              <w:left w:val="double" w:sz="6" w:space="0" w:color="000000"/>
              <w:bottom w:val="dotted" w:sz="4" w:space="0" w:color="auto"/>
              <w:right w:val="nil"/>
            </w:tcBorders>
            <w:shd w:val="clear" w:color="000000" w:fill="FFFFFF"/>
            <w:vAlign w:val="center"/>
            <w:hideMark/>
          </w:tcPr>
          <w:p w14:paraId="60E1DFE2" w14:textId="77777777" w:rsidR="002B41BB" w:rsidRPr="004E5A6E" w:rsidRDefault="002B41BB" w:rsidP="002B41BB">
            <w:pPr>
              <w:rPr>
                <w:color w:val="auto"/>
                <w:sz w:val="20"/>
                <w:szCs w:val="20"/>
                <w:lang w:val="sq-AL"/>
              </w:rPr>
            </w:pPr>
            <w:r w:rsidRPr="004E5A6E">
              <w:rPr>
                <w:color w:val="auto"/>
                <w:sz w:val="20"/>
                <w:szCs w:val="20"/>
                <w:lang w:val="sq-AL"/>
              </w:rPr>
              <w:t>3. Rendi dhe siguria publike</w:t>
            </w:r>
          </w:p>
        </w:tc>
        <w:tc>
          <w:tcPr>
            <w:tcW w:w="567" w:type="pct"/>
            <w:tcBorders>
              <w:top w:val="nil"/>
              <w:left w:val="single" w:sz="8" w:space="0" w:color="auto"/>
              <w:bottom w:val="dotted" w:sz="4" w:space="0" w:color="auto"/>
              <w:right w:val="single" w:sz="8" w:space="0" w:color="auto"/>
            </w:tcBorders>
            <w:shd w:val="clear" w:color="000000" w:fill="FFFFFF"/>
            <w:vAlign w:val="center"/>
            <w:hideMark/>
          </w:tcPr>
          <w:p w14:paraId="5456DB16" w14:textId="77777777" w:rsidR="002B41BB" w:rsidRPr="004E5A6E" w:rsidRDefault="002B41BB" w:rsidP="002B41BB">
            <w:pPr>
              <w:jc w:val="center"/>
              <w:rPr>
                <w:color w:val="auto"/>
                <w:sz w:val="20"/>
                <w:szCs w:val="20"/>
                <w:lang w:val="sq-AL"/>
              </w:rPr>
            </w:pPr>
            <w:r w:rsidRPr="004E5A6E">
              <w:rPr>
                <w:color w:val="auto"/>
                <w:sz w:val="20"/>
                <w:szCs w:val="20"/>
                <w:lang w:val="sq-AL"/>
              </w:rPr>
              <w:t>3</w:t>
            </w:r>
          </w:p>
        </w:tc>
        <w:tc>
          <w:tcPr>
            <w:tcW w:w="455" w:type="pct"/>
            <w:tcBorders>
              <w:top w:val="nil"/>
              <w:left w:val="dotted" w:sz="4" w:space="0" w:color="auto"/>
              <w:bottom w:val="dotted" w:sz="4" w:space="0" w:color="auto"/>
              <w:right w:val="dotted" w:sz="4" w:space="0" w:color="auto"/>
            </w:tcBorders>
            <w:shd w:val="clear" w:color="000000" w:fill="FFFFFF"/>
            <w:vAlign w:val="center"/>
            <w:hideMark/>
          </w:tcPr>
          <w:p w14:paraId="231FC0BF" w14:textId="77777777" w:rsidR="002B41BB" w:rsidRPr="004E5A6E" w:rsidRDefault="002B41BB" w:rsidP="002B41BB">
            <w:pPr>
              <w:jc w:val="center"/>
              <w:rPr>
                <w:color w:val="auto"/>
                <w:sz w:val="20"/>
                <w:szCs w:val="20"/>
                <w:lang w:val="sq-AL"/>
              </w:rPr>
            </w:pPr>
            <w:r w:rsidRPr="004E5A6E">
              <w:rPr>
                <w:color w:val="auto"/>
                <w:sz w:val="20"/>
                <w:szCs w:val="20"/>
                <w:lang w:val="sq-AL"/>
              </w:rPr>
              <w:t>2.8</w:t>
            </w:r>
          </w:p>
        </w:tc>
        <w:tc>
          <w:tcPr>
            <w:tcW w:w="455" w:type="pct"/>
            <w:tcBorders>
              <w:top w:val="nil"/>
              <w:left w:val="nil"/>
              <w:bottom w:val="dotted" w:sz="4" w:space="0" w:color="auto"/>
              <w:right w:val="dotted" w:sz="4" w:space="0" w:color="auto"/>
            </w:tcBorders>
            <w:shd w:val="clear" w:color="000000" w:fill="FFFFFF"/>
            <w:vAlign w:val="center"/>
            <w:hideMark/>
          </w:tcPr>
          <w:p w14:paraId="14322C7E" w14:textId="77777777" w:rsidR="002B41BB" w:rsidRPr="004E5A6E" w:rsidRDefault="002B41BB" w:rsidP="002B41BB">
            <w:pPr>
              <w:jc w:val="center"/>
              <w:rPr>
                <w:color w:val="auto"/>
                <w:sz w:val="20"/>
                <w:szCs w:val="20"/>
                <w:lang w:val="sq-AL"/>
              </w:rPr>
            </w:pPr>
            <w:r w:rsidRPr="004E5A6E">
              <w:rPr>
                <w:color w:val="auto"/>
                <w:sz w:val="20"/>
                <w:szCs w:val="20"/>
                <w:lang w:val="sq-AL"/>
              </w:rPr>
              <w:t>1.9</w:t>
            </w:r>
          </w:p>
        </w:tc>
        <w:tc>
          <w:tcPr>
            <w:tcW w:w="455" w:type="pct"/>
            <w:tcBorders>
              <w:top w:val="nil"/>
              <w:left w:val="nil"/>
              <w:bottom w:val="dotted" w:sz="4" w:space="0" w:color="auto"/>
              <w:right w:val="dotted" w:sz="4" w:space="0" w:color="auto"/>
            </w:tcBorders>
            <w:shd w:val="clear" w:color="000000" w:fill="FFFFFF"/>
            <w:vAlign w:val="center"/>
            <w:hideMark/>
          </w:tcPr>
          <w:p w14:paraId="63E18DBA"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5" w:type="pct"/>
            <w:tcBorders>
              <w:top w:val="nil"/>
              <w:left w:val="nil"/>
              <w:bottom w:val="dotted" w:sz="4" w:space="0" w:color="auto"/>
              <w:right w:val="dotted" w:sz="4" w:space="0" w:color="auto"/>
            </w:tcBorders>
            <w:shd w:val="clear" w:color="000000" w:fill="FFFFFF"/>
            <w:vAlign w:val="center"/>
            <w:hideMark/>
          </w:tcPr>
          <w:p w14:paraId="5F06FC00"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46" w:type="pct"/>
            <w:tcBorders>
              <w:top w:val="nil"/>
              <w:left w:val="nil"/>
              <w:bottom w:val="dotted" w:sz="4" w:space="0" w:color="auto"/>
              <w:right w:val="double" w:sz="6" w:space="0" w:color="000000"/>
            </w:tcBorders>
            <w:shd w:val="clear" w:color="000000" w:fill="FFFFFF"/>
            <w:vAlign w:val="center"/>
            <w:hideMark/>
          </w:tcPr>
          <w:p w14:paraId="29FE6744"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r w:rsidR="002B41BB" w:rsidRPr="004E5A6E" w14:paraId="4E012698" w14:textId="77777777" w:rsidTr="002B41BB">
        <w:trPr>
          <w:trHeight w:val="318"/>
        </w:trPr>
        <w:tc>
          <w:tcPr>
            <w:tcW w:w="2165" w:type="pct"/>
            <w:tcBorders>
              <w:top w:val="nil"/>
              <w:left w:val="double" w:sz="6" w:space="0" w:color="000000"/>
              <w:bottom w:val="dotted" w:sz="4" w:space="0" w:color="auto"/>
              <w:right w:val="nil"/>
            </w:tcBorders>
            <w:shd w:val="clear" w:color="000000" w:fill="FFFFFF"/>
            <w:vAlign w:val="center"/>
            <w:hideMark/>
          </w:tcPr>
          <w:p w14:paraId="7D65199A" w14:textId="77777777" w:rsidR="002B41BB" w:rsidRPr="004E5A6E" w:rsidRDefault="002B41BB" w:rsidP="002B41BB">
            <w:pPr>
              <w:rPr>
                <w:color w:val="auto"/>
                <w:sz w:val="20"/>
                <w:szCs w:val="20"/>
                <w:lang w:val="sq-AL"/>
              </w:rPr>
            </w:pPr>
            <w:r w:rsidRPr="004E5A6E">
              <w:rPr>
                <w:color w:val="auto"/>
                <w:sz w:val="20"/>
                <w:szCs w:val="20"/>
                <w:lang w:val="sq-AL"/>
              </w:rPr>
              <w:t xml:space="preserve">4. Çështjet Ekonomike </w:t>
            </w:r>
          </w:p>
        </w:tc>
        <w:tc>
          <w:tcPr>
            <w:tcW w:w="567" w:type="pct"/>
            <w:tcBorders>
              <w:top w:val="nil"/>
              <w:left w:val="single" w:sz="8" w:space="0" w:color="auto"/>
              <w:bottom w:val="dotted" w:sz="4" w:space="0" w:color="auto"/>
              <w:right w:val="single" w:sz="8" w:space="0" w:color="auto"/>
            </w:tcBorders>
            <w:shd w:val="clear" w:color="000000" w:fill="FFFFFF"/>
            <w:vAlign w:val="center"/>
            <w:hideMark/>
          </w:tcPr>
          <w:p w14:paraId="2A9424A7" w14:textId="77777777" w:rsidR="002B41BB" w:rsidRPr="004E5A6E" w:rsidRDefault="002B41BB" w:rsidP="002B41BB">
            <w:pPr>
              <w:jc w:val="center"/>
              <w:rPr>
                <w:color w:val="auto"/>
                <w:sz w:val="20"/>
                <w:szCs w:val="20"/>
                <w:lang w:val="sq-AL"/>
              </w:rPr>
            </w:pPr>
            <w:r w:rsidRPr="004E5A6E">
              <w:rPr>
                <w:color w:val="auto"/>
                <w:sz w:val="20"/>
                <w:szCs w:val="20"/>
                <w:lang w:val="sq-AL"/>
              </w:rPr>
              <w:t>4</w:t>
            </w:r>
          </w:p>
        </w:tc>
        <w:tc>
          <w:tcPr>
            <w:tcW w:w="455" w:type="pct"/>
            <w:tcBorders>
              <w:top w:val="nil"/>
              <w:left w:val="dotted" w:sz="4" w:space="0" w:color="auto"/>
              <w:bottom w:val="dotted" w:sz="4" w:space="0" w:color="auto"/>
              <w:right w:val="dotted" w:sz="4" w:space="0" w:color="auto"/>
            </w:tcBorders>
            <w:shd w:val="clear" w:color="000000" w:fill="FFFFFF"/>
            <w:vAlign w:val="center"/>
            <w:hideMark/>
          </w:tcPr>
          <w:p w14:paraId="104EF050" w14:textId="77777777" w:rsidR="002B41BB" w:rsidRPr="004E5A6E" w:rsidRDefault="002B41BB" w:rsidP="002B41BB">
            <w:pPr>
              <w:jc w:val="center"/>
              <w:rPr>
                <w:color w:val="auto"/>
                <w:sz w:val="20"/>
                <w:szCs w:val="20"/>
                <w:lang w:val="sq-AL"/>
              </w:rPr>
            </w:pPr>
            <w:r w:rsidRPr="004E5A6E">
              <w:rPr>
                <w:color w:val="auto"/>
                <w:sz w:val="20"/>
                <w:szCs w:val="20"/>
                <w:lang w:val="sq-AL"/>
              </w:rPr>
              <w:t>5.7</w:t>
            </w:r>
          </w:p>
        </w:tc>
        <w:tc>
          <w:tcPr>
            <w:tcW w:w="455" w:type="pct"/>
            <w:tcBorders>
              <w:top w:val="nil"/>
              <w:left w:val="nil"/>
              <w:bottom w:val="dotted" w:sz="4" w:space="0" w:color="auto"/>
              <w:right w:val="dotted" w:sz="4" w:space="0" w:color="auto"/>
            </w:tcBorders>
            <w:shd w:val="clear" w:color="000000" w:fill="FFFFFF"/>
            <w:vAlign w:val="center"/>
            <w:hideMark/>
          </w:tcPr>
          <w:p w14:paraId="3F65F824" w14:textId="77777777" w:rsidR="002B41BB" w:rsidRPr="004E5A6E" w:rsidRDefault="002B41BB" w:rsidP="002B41BB">
            <w:pPr>
              <w:jc w:val="center"/>
              <w:rPr>
                <w:color w:val="auto"/>
                <w:sz w:val="20"/>
                <w:szCs w:val="20"/>
                <w:lang w:val="sq-AL"/>
              </w:rPr>
            </w:pPr>
            <w:r w:rsidRPr="004E5A6E">
              <w:rPr>
                <w:color w:val="auto"/>
                <w:sz w:val="20"/>
                <w:szCs w:val="20"/>
                <w:lang w:val="sq-AL"/>
              </w:rPr>
              <w:t>2.8</w:t>
            </w:r>
          </w:p>
        </w:tc>
        <w:tc>
          <w:tcPr>
            <w:tcW w:w="455" w:type="pct"/>
            <w:tcBorders>
              <w:top w:val="nil"/>
              <w:left w:val="nil"/>
              <w:bottom w:val="dotted" w:sz="4" w:space="0" w:color="auto"/>
              <w:right w:val="dotted" w:sz="4" w:space="0" w:color="auto"/>
            </w:tcBorders>
            <w:shd w:val="clear" w:color="000000" w:fill="FFFFFF"/>
            <w:vAlign w:val="center"/>
            <w:hideMark/>
          </w:tcPr>
          <w:p w14:paraId="45ED5711"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5" w:type="pct"/>
            <w:tcBorders>
              <w:top w:val="nil"/>
              <w:left w:val="nil"/>
              <w:bottom w:val="dotted" w:sz="4" w:space="0" w:color="auto"/>
              <w:right w:val="dotted" w:sz="4" w:space="0" w:color="auto"/>
            </w:tcBorders>
            <w:shd w:val="clear" w:color="000000" w:fill="FFFFFF"/>
            <w:vAlign w:val="center"/>
            <w:hideMark/>
          </w:tcPr>
          <w:p w14:paraId="3D3206C9"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46" w:type="pct"/>
            <w:tcBorders>
              <w:top w:val="nil"/>
              <w:left w:val="nil"/>
              <w:bottom w:val="dotted" w:sz="4" w:space="0" w:color="auto"/>
              <w:right w:val="double" w:sz="6" w:space="0" w:color="000000"/>
            </w:tcBorders>
            <w:shd w:val="clear" w:color="000000" w:fill="FFFFFF"/>
            <w:vAlign w:val="center"/>
            <w:hideMark/>
          </w:tcPr>
          <w:p w14:paraId="433B1E2B"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r w:rsidR="002B41BB" w:rsidRPr="004E5A6E" w14:paraId="3160633C" w14:textId="77777777" w:rsidTr="002B41BB">
        <w:trPr>
          <w:trHeight w:val="318"/>
        </w:trPr>
        <w:tc>
          <w:tcPr>
            <w:tcW w:w="2165" w:type="pct"/>
            <w:tcBorders>
              <w:top w:val="nil"/>
              <w:left w:val="double" w:sz="6" w:space="0" w:color="000000"/>
              <w:bottom w:val="dotted" w:sz="4" w:space="0" w:color="auto"/>
              <w:right w:val="nil"/>
            </w:tcBorders>
            <w:shd w:val="clear" w:color="000000" w:fill="FFFFFF"/>
            <w:vAlign w:val="center"/>
            <w:hideMark/>
          </w:tcPr>
          <w:p w14:paraId="1D32804B" w14:textId="77777777" w:rsidR="002B41BB" w:rsidRPr="004E5A6E" w:rsidRDefault="002B41BB" w:rsidP="002B41BB">
            <w:pPr>
              <w:rPr>
                <w:color w:val="auto"/>
                <w:sz w:val="20"/>
                <w:szCs w:val="20"/>
                <w:lang w:val="sq-AL"/>
              </w:rPr>
            </w:pPr>
            <w:r w:rsidRPr="004E5A6E">
              <w:rPr>
                <w:color w:val="auto"/>
                <w:sz w:val="20"/>
                <w:szCs w:val="20"/>
                <w:lang w:val="sq-AL"/>
              </w:rPr>
              <w:t xml:space="preserve">5. Mbrojtja e Mjedisit </w:t>
            </w:r>
          </w:p>
        </w:tc>
        <w:tc>
          <w:tcPr>
            <w:tcW w:w="567" w:type="pct"/>
            <w:tcBorders>
              <w:top w:val="nil"/>
              <w:left w:val="single" w:sz="8" w:space="0" w:color="auto"/>
              <w:bottom w:val="dotted" w:sz="4" w:space="0" w:color="auto"/>
              <w:right w:val="single" w:sz="8" w:space="0" w:color="auto"/>
            </w:tcBorders>
            <w:shd w:val="clear" w:color="000000" w:fill="FFFFFF"/>
            <w:vAlign w:val="center"/>
            <w:hideMark/>
          </w:tcPr>
          <w:p w14:paraId="35708661" w14:textId="77777777" w:rsidR="002B41BB" w:rsidRPr="004E5A6E" w:rsidRDefault="002B41BB" w:rsidP="002B41BB">
            <w:pPr>
              <w:jc w:val="center"/>
              <w:rPr>
                <w:color w:val="auto"/>
                <w:sz w:val="20"/>
                <w:szCs w:val="20"/>
                <w:lang w:val="sq-AL"/>
              </w:rPr>
            </w:pPr>
            <w:r w:rsidRPr="004E5A6E">
              <w:rPr>
                <w:color w:val="auto"/>
                <w:sz w:val="20"/>
                <w:szCs w:val="20"/>
                <w:lang w:val="sq-AL"/>
              </w:rPr>
              <w:t>5</w:t>
            </w:r>
          </w:p>
        </w:tc>
        <w:tc>
          <w:tcPr>
            <w:tcW w:w="455" w:type="pct"/>
            <w:tcBorders>
              <w:top w:val="nil"/>
              <w:left w:val="dotted" w:sz="4" w:space="0" w:color="auto"/>
              <w:bottom w:val="dotted" w:sz="4" w:space="0" w:color="auto"/>
              <w:right w:val="dotted" w:sz="4" w:space="0" w:color="auto"/>
            </w:tcBorders>
            <w:shd w:val="clear" w:color="000000" w:fill="FFFFFF"/>
            <w:vAlign w:val="center"/>
            <w:hideMark/>
          </w:tcPr>
          <w:p w14:paraId="38DFF581" w14:textId="77777777" w:rsidR="002B41BB" w:rsidRPr="004E5A6E" w:rsidRDefault="002B41BB" w:rsidP="002B41BB">
            <w:pPr>
              <w:jc w:val="center"/>
              <w:rPr>
                <w:color w:val="auto"/>
                <w:sz w:val="20"/>
                <w:szCs w:val="20"/>
                <w:lang w:val="sq-AL"/>
              </w:rPr>
            </w:pPr>
            <w:r w:rsidRPr="004E5A6E">
              <w:rPr>
                <w:color w:val="auto"/>
                <w:sz w:val="20"/>
                <w:szCs w:val="20"/>
                <w:lang w:val="sq-AL"/>
              </w:rPr>
              <w:t>0.3</w:t>
            </w:r>
          </w:p>
        </w:tc>
        <w:tc>
          <w:tcPr>
            <w:tcW w:w="455" w:type="pct"/>
            <w:tcBorders>
              <w:top w:val="nil"/>
              <w:left w:val="nil"/>
              <w:bottom w:val="dotted" w:sz="4" w:space="0" w:color="auto"/>
              <w:right w:val="dotted" w:sz="4" w:space="0" w:color="auto"/>
            </w:tcBorders>
            <w:shd w:val="clear" w:color="000000" w:fill="FFFFFF"/>
            <w:vAlign w:val="center"/>
            <w:hideMark/>
          </w:tcPr>
          <w:p w14:paraId="02DA2D89" w14:textId="77777777" w:rsidR="002B41BB" w:rsidRPr="004E5A6E" w:rsidRDefault="002B41BB" w:rsidP="002B41BB">
            <w:pPr>
              <w:jc w:val="center"/>
              <w:rPr>
                <w:color w:val="auto"/>
                <w:sz w:val="20"/>
                <w:szCs w:val="20"/>
                <w:lang w:val="sq-AL"/>
              </w:rPr>
            </w:pPr>
            <w:r w:rsidRPr="004E5A6E">
              <w:rPr>
                <w:color w:val="auto"/>
                <w:sz w:val="20"/>
                <w:szCs w:val="20"/>
                <w:lang w:val="sq-AL"/>
              </w:rPr>
              <w:t>0.0</w:t>
            </w:r>
          </w:p>
        </w:tc>
        <w:tc>
          <w:tcPr>
            <w:tcW w:w="455" w:type="pct"/>
            <w:tcBorders>
              <w:top w:val="nil"/>
              <w:left w:val="nil"/>
              <w:bottom w:val="dotted" w:sz="4" w:space="0" w:color="auto"/>
              <w:right w:val="dotted" w:sz="4" w:space="0" w:color="auto"/>
            </w:tcBorders>
            <w:shd w:val="clear" w:color="000000" w:fill="FFFFFF"/>
            <w:vAlign w:val="center"/>
            <w:hideMark/>
          </w:tcPr>
          <w:p w14:paraId="071181D1"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5" w:type="pct"/>
            <w:tcBorders>
              <w:top w:val="nil"/>
              <w:left w:val="nil"/>
              <w:bottom w:val="dotted" w:sz="4" w:space="0" w:color="auto"/>
              <w:right w:val="dotted" w:sz="4" w:space="0" w:color="auto"/>
            </w:tcBorders>
            <w:shd w:val="clear" w:color="000000" w:fill="FFFFFF"/>
            <w:vAlign w:val="center"/>
            <w:hideMark/>
          </w:tcPr>
          <w:p w14:paraId="45ADE660"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46" w:type="pct"/>
            <w:tcBorders>
              <w:top w:val="nil"/>
              <w:left w:val="nil"/>
              <w:bottom w:val="dotted" w:sz="4" w:space="0" w:color="auto"/>
              <w:right w:val="double" w:sz="6" w:space="0" w:color="000000"/>
            </w:tcBorders>
            <w:shd w:val="clear" w:color="000000" w:fill="FFFFFF"/>
            <w:vAlign w:val="center"/>
            <w:hideMark/>
          </w:tcPr>
          <w:p w14:paraId="3B6BCB3B"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r w:rsidR="002B41BB" w:rsidRPr="004E5A6E" w14:paraId="376CC225" w14:textId="77777777" w:rsidTr="002B41BB">
        <w:trPr>
          <w:trHeight w:val="318"/>
        </w:trPr>
        <w:tc>
          <w:tcPr>
            <w:tcW w:w="2165" w:type="pct"/>
            <w:tcBorders>
              <w:top w:val="nil"/>
              <w:left w:val="double" w:sz="6" w:space="0" w:color="000000"/>
              <w:bottom w:val="dotted" w:sz="4" w:space="0" w:color="auto"/>
              <w:right w:val="nil"/>
            </w:tcBorders>
            <w:shd w:val="clear" w:color="000000" w:fill="FFFFFF"/>
            <w:vAlign w:val="center"/>
            <w:hideMark/>
          </w:tcPr>
          <w:p w14:paraId="59CBD59A" w14:textId="77777777" w:rsidR="002B41BB" w:rsidRPr="004E5A6E" w:rsidRDefault="002B41BB" w:rsidP="002B41BB">
            <w:pPr>
              <w:rPr>
                <w:color w:val="auto"/>
                <w:sz w:val="20"/>
                <w:szCs w:val="20"/>
                <w:lang w:val="sq-AL"/>
              </w:rPr>
            </w:pPr>
            <w:r w:rsidRPr="004E5A6E">
              <w:rPr>
                <w:color w:val="auto"/>
                <w:sz w:val="20"/>
                <w:szCs w:val="20"/>
                <w:lang w:val="sq-AL"/>
              </w:rPr>
              <w:t>6. Strehim dhe pajisje për Komunitetin</w:t>
            </w:r>
          </w:p>
        </w:tc>
        <w:tc>
          <w:tcPr>
            <w:tcW w:w="567" w:type="pct"/>
            <w:tcBorders>
              <w:top w:val="nil"/>
              <w:left w:val="single" w:sz="8" w:space="0" w:color="auto"/>
              <w:bottom w:val="dotted" w:sz="4" w:space="0" w:color="auto"/>
              <w:right w:val="single" w:sz="8" w:space="0" w:color="auto"/>
            </w:tcBorders>
            <w:shd w:val="clear" w:color="000000" w:fill="FFFFFF"/>
            <w:vAlign w:val="center"/>
            <w:hideMark/>
          </w:tcPr>
          <w:p w14:paraId="7BCE68DB" w14:textId="77777777" w:rsidR="002B41BB" w:rsidRPr="004E5A6E" w:rsidRDefault="002B41BB" w:rsidP="002B41BB">
            <w:pPr>
              <w:jc w:val="center"/>
              <w:rPr>
                <w:color w:val="auto"/>
                <w:sz w:val="20"/>
                <w:szCs w:val="20"/>
                <w:lang w:val="sq-AL"/>
              </w:rPr>
            </w:pPr>
            <w:r w:rsidRPr="004E5A6E">
              <w:rPr>
                <w:color w:val="auto"/>
                <w:sz w:val="20"/>
                <w:szCs w:val="20"/>
                <w:lang w:val="sq-AL"/>
              </w:rPr>
              <w:t>6</w:t>
            </w:r>
          </w:p>
        </w:tc>
        <w:tc>
          <w:tcPr>
            <w:tcW w:w="455" w:type="pct"/>
            <w:tcBorders>
              <w:top w:val="nil"/>
              <w:left w:val="dotted" w:sz="4" w:space="0" w:color="auto"/>
              <w:bottom w:val="dotted" w:sz="4" w:space="0" w:color="auto"/>
              <w:right w:val="dotted" w:sz="4" w:space="0" w:color="auto"/>
            </w:tcBorders>
            <w:shd w:val="clear" w:color="000000" w:fill="FFFFFF"/>
            <w:vAlign w:val="center"/>
            <w:hideMark/>
          </w:tcPr>
          <w:p w14:paraId="389999B0" w14:textId="77777777" w:rsidR="002B41BB" w:rsidRPr="004E5A6E" w:rsidRDefault="002B41BB" w:rsidP="002B41BB">
            <w:pPr>
              <w:jc w:val="center"/>
              <w:rPr>
                <w:color w:val="auto"/>
                <w:sz w:val="20"/>
                <w:szCs w:val="20"/>
                <w:lang w:val="sq-AL"/>
              </w:rPr>
            </w:pPr>
            <w:r w:rsidRPr="004E5A6E">
              <w:rPr>
                <w:color w:val="auto"/>
                <w:sz w:val="20"/>
                <w:szCs w:val="20"/>
                <w:lang w:val="sq-AL"/>
              </w:rPr>
              <w:t>0.6</w:t>
            </w:r>
          </w:p>
        </w:tc>
        <w:tc>
          <w:tcPr>
            <w:tcW w:w="455" w:type="pct"/>
            <w:tcBorders>
              <w:top w:val="nil"/>
              <w:left w:val="nil"/>
              <w:bottom w:val="dotted" w:sz="4" w:space="0" w:color="auto"/>
              <w:right w:val="dotted" w:sz="4" w:space="0" w:color="auto"/>
            </w:tcBorders>
            <w:shd w:val="clear" w:color="000000" w:fill="FFFFFF"/>
            <w:vAlign w:val="center"/>
            <w:hideMark/>
          </w:tcPr>
          <w:p w14:paraId="77A9BFCA" w14:textId="77777777" w:rsidR="002B41BB" w:rsidRPr="004E5A6E" w:rsidRDefault="002B41BB" w:rsidP="002B41BB">
            <w:pPr>
              <w:jc w:val="center"/>
              <w:rPr>
                <w:color w:val="auto"/>
                <w:sz w:val="20"/>
                <w:szCs w:val="20"/>
                <w:lang w:val="sq-AL"/>
              </w:rPr>
            </w:pPr>
            <w:r w:rsidRPr="004E5A6E">
              <w:rPr>
                <w:color w:val="auto"/>
                <w:sz w:val="20"/>
                <w:szCs w:val="20"/>
                <w:lang w:val="sq-AL"/>
              </w:rPr>
              <w:t>0.2</w:t>
            </w:r>
          </w:p>
        </w:tc>
        <w:tc>
          <w:tcPr>
            <w:tcW w:w="455" w:type="pct"/>
            <w:tcBorders>
              <w:top w:val="nil"/>
              <w:left w:val="nil"/>
              <w:bottom w:val="dotted" w:sz="4" w:space="0" w:color="auto"/>
              <w:right w:val="dotted" w:sz="4" w:space="0" w:color="auto"/>
            </w:tcBorders>
            <w:shd w:val="clear" w:color="000000" w:fill="FFFFFF"/>
            <w:vAlign w:val="center"/>
            <w:hideMark/>
          </w:tcPr>
          <w:p w14:paraId="462F93D4"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5" w:type="pct"/>
            <w:tcBorders>
              <w:top w:val="nil"/>
              <w:left w:val="nil"/>
              <w:bottom w:val="dotted" w:sz="4" w:space="0" w:color="auto"/>
              <w:right w:val="dotted" w:sz="4" w:space="0" w:color="auto"/>
            </w:tcBorders>
            <w:shd w:val="clear" w:color="000000" w:fill="FFFFFF"/>
            <w:vAlign w:val="center"/>
            <w:hideMark/>
          </w:tcPr>
          <w:p w14:paraId="2A471824"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46" w:type="pct"/>
            <w:tcBorders>
              <w:top w:val="nil"/>
              <w:left w:val="nil"/>
              <w:bottom w:val="dotted" w:sz="4" w:space="0" w:color="auto"/>
              <w:right w:val="double" w:sz="6" w:space="0" w:color="000000"/>
            </w:tcBorders>
            <w:shd w:val="clear" w:color="000000" w:fill="FFFFFF"/>
            <w:vAlign w:val="center"/>
            <w:hideMark/>
          </w:tcPr>
          <w:p w14:paraId="0475D4AE"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r w:rsidR="002B41BB" w:rsidRPr="004E5A6E" w14:paraId="024C682A" w14:textId="77777777" w:rsidTr="002B41BB">
        <w:trPr>
          <w:trHeight w:val="318"/>
        </w:trPr>
        <w:tc>
          <w:tcPr>
            <w:tcW w:w="2165" w:type="pct"/>
            <w:tcBorders>
              <w:top w:val="nil"/>
              <w:left w:val="double" w:sz="6" w:space="0" w:color="000000"/>
              <w:bottom w:val="dotted" w:sz="4" w:space="0" w:color="auto"/>
              <w:right w:val="nil"/>
            </w:tcBorders>
            <w:shd w:val="clear" w:color="000000" w:fill="FFFFFF"/>
            <w:vAlign w:val="center"/>
            <w:hideMark/>
          </w:tcPr>
          <w:p w14:paraId="6260E25A" w14:textId="77777777" w:rsidR="002B41BB" w:rsidRPr="004E5A6E" w:rsidRDefault="002B41BB" w:rsidP="002B41BB">
            <w:pPr>
              <w:rPr>
                <w:color w:val="auto"/>
                <w:sz w:val="20"/>
                <w:szCs w:val="20"/>
                <w:lang w:val="sq-AL"/>
              </w:rPr>
            </w:pPr>
            <w:r w:rsidRPr="004E5A6E">
              <w:rPr>
                <w:color w:val="auto"/>
                <w:sz w:val="20"/>
                <w:szCs w:val="20"/>
                <w:lang w:val="sq-AL"/>
              </w:rPr>
              <w:t>7. Shëndetësia</w:t>
            </w:r>
          </w:p>
        </w:tc>
        <w:tc>
          <w:tcPr>
            <w:tcW w:w="567" w:type="pct"/>
            <w:tcBorders>
              <w:top w:val="nil"/>
              <w:left w:val="single" w:sz="8" w:space="0" w:color="auto"/>
              <w:bottom w:val="dotted" w:sz="4" w:space="0" w:color="auto"/>
              <w:right w:val="single" w:sz="8" w:space="0" w:color="auto"/>
            </w:tcBorders>
            <w:shd w:val="clear" w:color="000000" w:fill="FFFFFF"/>
            <w:vAlign w:val="center"/>
            <w:hideMark/>
          </w:tcPr>
          <w:p w14:paraId="39D87987" w14:textId="77777777" w:rsidR="002B41BB" w:rsidRPr="004E5A6E" w:rsidRDefault="002B41BB" w:rsidP="002B41BB">
            <w:pPr>
              <w:jc w:val="center"/>
              <w:rPr>
                <w:color w:val="auto"/>
                <w:sz w:val="20"/>
                <w:szCs w:val="20"/>
                <w:lang w:val="sq-AL"/>
              </w:rPr>
            </w:pPr>
            <w:r w:rsidRPr="004E5A6E">
              <w:rPr>
                <w:color w:val="auto"/>
                <w:sz w:val="20"/>
                <w:szCs w:val="20"/>
                <w:lang w:val="sq-AL"/>
              </w:rPr>
              <w:t>7</w:t>
            </w:r>
          </w:p>
        </w:tc>
        <w:tc>
          <w:tcPr>
            <w:tcW w:w="455" w:type="pct"/>
            <w:tcBorders>
              <w:top w:val="nil"/>
              <w:left w:val="dotted" w:sz="4" w:space="0" w:color="auto"/>
              <w:bottom w:val="dotted" w:sz="4" w:space="0" w:color="auto"/>
              <w:right w:val="dotted" w:sz="4" w:space="0" w:color="auto"/>
            </w:tcBorders>
            <w:shd w:val="clear" w:color="000000" w:fill="FFFFFF"/>
            <w:vAlign w:val="center"/>
            <w:hideMark/>
          </w:tcPr>
          <w:p w14:paraId="40BAF9EC" w14:textId="77777777" w:rsidR="002B41BB" w:rsidRPr="004E5A6E" w:rsidRDefault="002B41BB" w:rsidP="002B41BB">
            <w:pPr>
              <w:jc w:val="center"/>
              <w:rPr>
                <w:color w:val="auto"/>
                <w:sz w:val="20"/>
                <w:szCs w:val="20"/>
                <w:lang w:val="sq-AL"/>
              </w:rPr>
            </w:pPr>
            <w:r w:rsidRPr="004E5A6E">
              <w:rPr>
                <w:color w:val="auto"/>
                <w:sz w:val="20"/>
                <w:szCs w:val="20"/>
                <w:lang w:val="sq-AL"/>
              </w:rPr>
              <w:t>3.1</w:t>
            </w:r>
          </w:p>
        </w:tc>
        <w:tc>
          <w:tcPr>
            <w:tcW w:w="455" w:type="pct"/>
            <w:tcBorders>
              <w:top w:val="nil"/>
              <w:left w:val="nil"/>
              <w:bottom w:val="dotted" w:sz="4" w:space="0" w:color="auto"/>
              <w:right w:val="dotted" w:sz="4" w:space="0" w:color="auto"/>
            </w:tcBorders>
            <w:shd w:val="clear" w:color="000000" w:fill="FFFFFF"/>
            <w:vAlign w:val="center"/>
            <w:hideMark/>
          </w:tcPr>
          <w:p w14:paraId="6012B051" w14:textId="77777777" w:rsidR="002B41BB" w:rsidRPr="004E5A6E" w:rsidRDefault="002B41BB" w:rsidP="002B41BB">
            <w:pPr>
              <w:jc w:val="center"/>
              <w:rPr>
                <w:color w:val="auto"/>
                <w:sz w:val="20"/>
                <w:szCs w:val="20"/>
                <w:lang w:val="sq-AL"/>
              </w:rPr>
            </w:pPr>
            <w:r w:rsidRPr="004E5A6E">
              <w:rPr>
                <w:color w:val="auto"/>
                <w:sz w:val="20"/>
                <w:szCs w:val="20"/>
                <w:lang w:val="sq-AL"/>
              </w:rPr>
              <w:t>2.0</w:t>
            </w:r>
          </w:p>
        </w:tc>
        <w:tc>
          <w:tcPr>
            <w:tcW w:w="455" w:type="pct"/>
            <w:tcBorders>
              <w:top w:val="nil"/>
              <w:left w:val="nil"/>
              <w:bottom w:val="dotted" w:sz="4" w:space="0" w:color="auto"/>
              <w:right w:val="dotted" w:sz="4" w:space="0" w:color="auto"/>
            </w:tcBorders>
            <w:shd w:val="clear" w:color="000000" w:fill="FFFFFF"/>
            <w:vAlign w:val="center"/>
            <w:hideMark/>
          </w:tcPr>
          <w:p w14:paraId="48030E9C"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5" w:type="pct"/>
            <w:tcBorders>
              <w:top w:val="nil"/>
              <w:left w:val="nil"/>
              <w:bottom w:val="dotted" w:sz="4" w:space="0" w:color="auto"/>
              <w:right w:val="dotted" w:sz="4" w:space="0" w:color="auto"/>
            </w:tcBorders>
            <w:shd w:val="clear" w:color="000000" w:fill="FFFFFF"/>
            <w:vAlign w:val="center"/>
            <w:hideMark/>
          </w:tcPr>
          <w:p w14:paraId="385441D3"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46" w:type="pct"/>
            <w:tcBorders>
              <w:top w:val="nil"/>
              <w:left w:val="nil"/>
              <w:bottom w:val="dotted" w:sz="4" w:space="0" w:color="auto"/>
              <w:right w:val="double" w:sz="6" w:space="0" w:color="000000"/>
            </w:tcBorders>
            <w:shd w:val="clear" w:color="000000" w:fill="FFFFFF"/>
            <w:vAlign w:val="center"/>
            <w:hideMark/>
          </w:tcPr>
          <w:p w14:paraId="136E1C9D"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r w:rsidR="002B41BB" w:rsidRPr="004E5A6E" w14:paraId="41BECC24" w14:textId="77777777" w:rsidTr="002B41BB">
        <w:trPr>
          <w:trHeight w:val="318"/>
        </w:trPr>
        <w:tc>
          <w:tcPr>
            <w:tcW w:w="2165" w:type="pct"/>
            <w:tcBorders>
              <w:top w:val="nil"/>
              <w:left w:val="double" w:sz="6" w:space="0" w:color="000000"/>
              <w:bottom w:val="dotted" w:sz="4" w:space="0" w:color="auto"/>
              <w:right w:val="nil"/>
            </w:tcBorders>
            <w:shd w:val="clear" w:color="000000" w:fill="FFFFFF"/>
            <w:vAlign w:val="center"/>
            <w:hideMark/>
          </w:tcPr>
          <w:p w14:paraId="4844BE6B" w14:textId="77777777" w:rsidR="002B41BB" w:rsidRPr="004E5A6E" w:rsidRDefault="002B41BB" w:rsidP="002B41BB">
            <w:pPr>
              <w:rPr>
                <w:color w:val="auto"/>
                <w:sz w:val="20"/>
                <w:szCs w:val="20"/>
                <w:lang w:val="sq-AL"/>
              </w:rPr>
            </w:pPr>
            <w:r w:rsidRPr="004E5A6E">
              <w:rPr>
                <w:color w:val="auto"/>
                <w:sz w:val="20"/>
                <w:szCs w:val="20"/>
                <w:lang w:val="sq-AL"/>
              </w:rPr>
              <w:t xml:space="preserve">8. Rekreacioni, kultura dhe Religjioni </w:t>
            </w:r>
          </w:p>
        </w:tc>
        <w:tc>
          <w:tcPr>
            <w:tcW w:w="567" w:type="pct"/>
            <w:tcBorders>
              <w:top w:val="nil"/>
              <w:left w:val="single" w:sz="8" w:space="0" w:color="auto"/>
              <w:bottom w:val="dotted" w:sz="4" w:space="0" w:color="auto"/>
              <w:right w:val="single" w:sz="8" w:space="0" w:color="auto"/>
            </w:tcBorders>
            <w:shd w:val="clear" w:color="000000" w:fill="FFFFFF"/>
            <w:vAlign w:val="center"/>
            <w:hideMark/>
          </w:tcPr>
          <w:p w14:paraId="1049DA54" w14:textId="77777777" w:rsidR="002B41BB" w:rsidRPr="004E5A6E" w:rsidRDefault="002B41BB" w:rsidP="002B41BB">
            <w:pPr>
              <w:jc w:val="center"/>
              <w:rPr>
                <w:color w:val="auto"/>
                <w:sz w:val="20"/>
                <w:szCs w:val="20"/>
                <w:lang w:val="sq-AL"/>
              </w:rPr>
            </w:pPr>
            <w:r w:rsidRPr="004E5A6E">
              <w:rPr>
                <w:color w:val="auto"/>
                <w:sz w:val="20"/>
                <w:szCs w:val="20"/>
                <w:lang w:val="sq-AL"/>
              </w:rPr>
              <w:t>8</w:t>
            </w:r>
          </w:p>
        </w:tc>
        <w:tc>
          <w:tcPr>
            <w:tcW w:w="455" w:type="pct"/>
            <w:tcBorders>
              <w:top w:val="nil"/>
              <w:left w:val="dotted" w:sz="4" w:space="0" w:color="auto"/>
              <w:bottom w:val="dotted" w:sz="4" w:space="0" w:color="auto"/>
              <w:right w:val="dotted" w:sz="4" w:space="0" w:color="auto"/>
            </w:tcBorders>
            <w:shd w:val="clear" w:color="000000" w:fill="FFFFFF"/>
            <w:vAlign w:val="center"/>
            <w:hideMark/>
          </w:tcPr>
          <w:p w14:paraId="7C498F9F" w14:textId="77777777" w:rsidR="002B41BB" w:rsidRPr="004E5A6E" w:rsidRDefault="002B41BB" w:rsidP="002B41BB">
            <w:pPr>
              <w:jc w:val="center"/>
              <w:rPr>
                <w:color w:val="auto"/>
                <w:sz w:val="20"/>
                <w:szCs w:val="20"/>
                <w:lang w:val="sq-AL"/>
              </w:rPr>
            </w:pPr>
            <w:r w:rsidRPr="004E5A6E">
              <w:rPr>
                <w:color w:val="auto"/>
                <w:sz w:val="20"/>
                <w:szCs w:val="20"/>
                <w:lang w:val="sq-AL"/>
              </w:rPr>
              <w:t>0.9</w:t>
            </w:r>
          </w:p>
        </w:tc>
        <w:tc>
          <w:tcPr>
            <w:tcW w:w="455" w:type="pct"/>
            <w:tcBorders>
              <w:top w:val="nil"/>
              <w:left w:val="nil"/>
              <w:bottom w:val="dotted" w:sz="4" w:space="0" w:color="auto"/>
              <w:right w:val="dotted" w:sz="4" w:space="0" w:color="auto"/>
            </w:tcBorders>
            <w:shd w:val="clear" w:color="000000" w:fill="FFFFFF"/>
            <w:vAlign w:val="center"/>
            <w:hideMark/>
          </w:tcPr>
          <w:p w14:paraId="2D17AF10" w14:textId="77777777" w:rsidR="002B41BB" w:rsidRPr="004E5A6E" w:rsidRDefault="002B41BB" w:rsidP="002B41BB">
            <w:pPr>
              <w:jc w:val="center"/>
              <w:rPr>
                <w:color w:val="auto"/>
                <w:sz w:val="20"/>
                <w:szCs w:val="20"/>
                <w:lang w:val="sq-AL"/>
              </w:rPr>
            </w:pPr>
            <w:r w:rsidRPr="004E5A6E">
              <w:rPr>
                <w:color w:val="auto"/>
                <w:sz w:val="20"/>
                <w:szCs w:val="20"/>
                <w:lang w:val="sq-AL"/>
              </w:rPr>
              <w:t>0.3</w:t>
            </w:r>
          </w:p>
        </w:tc>
        <w:tc>
          <w:tcPr>
            <w:tcW w:w="455" w:type="pct"/>
            <w:tcBorders>
              <w:top w:val="nil"/>
              <w:left w:val="nil"/>
              <w:bottom w:val="dotted" w:sz="4" w:space="0" w:color="auto"/>
              <w:right w:val="dotted" w:sz="4" w:space="0" w:color="auto"/>
            </w:tcBorders>
            <w:shd w:val="clear" w:color="000000" w:fill="FFFFFF"/>
            <w:vAlign w:val="center"/>
            <w:hideMark/>
          </w:tcPr>
          <w:p w14:paraId="00A3CCA9"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5" w:type="pct"/>
            <w:tcBorders>
              <w:top w:val="nil"/>
              <w:left w:val="nil"/>
              <w:bottom w:val="dotted" w:sz="4" w:space="0" w:color="auto"/>
              <w:right w:val="dotted" w:sz="4" w:space="0" w:color="auto"/>
            </w:tcBorders>
            <w:shd w:val="clear" w:color="000000" w:fill="FFFFFF"/>
            <w:vAlign w:val="center"/>
            <w:hideMark/>
          </w:tcPr>
          <w:p w14:paraId="26EF2CB0"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46" w:type="pct"/>
            <w:tcBorders>
              <w:top w:val="nil"/>
              <w:left w:val="nil"/>
              <w:bottom w:val="dotted" w:sz="4" w:space="0" w:color="auto"/>
              <w:right w:val="double" w:sz="6" w:space="0" w:color="000000"/>
            </w:tcBorders>
            <w:shd w:val="clear" w:color="000000" w:fill="FFFFFF"/>
            <w:vAlign w:val="center"/>
            <w:hideMark/>
          </w:tcPr>
          <w:p w14:paraId="409225BE"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r w:rsidR="002B41BB" w:rsidRPr="004E5A6E" w14:paraId="35ACC49D" w14:textId="77777777" w:rsidTr="002B41BB">
        <w:trPr>
          <w:trHeight w:val="318"/>
        </w:trPr>
        <w:tc>
          <w:tcPr>
            <w:tcW w:w="2165" w:type="pct"/>
            <w:tcBorders>
              <w:top w:val="nil"/>
              <w:left w:val="double" w:sz="6" w:space="0" w:color="000000"/>
              <w:bottom w:val="dotted" w:sz="4" w:space="0" w:color="auto"/>
              <w:right w:val="nil"/>
            </w:tcBorders>
            <w:shd w:val="clear" w:color="000000" w:fill="FFFFFF"/>
            <w:vAlign w:val="center"/>
            <w:hideMark/>
          </w:tcPr>
          <w:p w14:paraId="4FAA68A1" w14:textId="77777777" w:rsidR="002B41BB" w:rsidRPr="004E5A6E" w:rsidRDefault="002B41BB" w:rsidP="002B41BB">
            <w:pPr>
              <w:rPr>
                <w:color w:val="auto"/>
                <w:sz w:val="20"/>
                <w:szCs w:val="20"/>
                <w:lang w:val="sq-AL"/>
              </w:rPr>
            </w:pPr>
            <w:r w:rsidRPr="004E5A6E">
              <w:rPr>
                <w:color w:val="auto"/>
                <w:sz w:val="20"/>
                <w:szCs w:val="20"/>
                <w:lang w:val="sq-AL"/>
              </w:rPr>
              <w:t>9. Arsimi</w:t>
            </w:r>
          </w:p>
        </w:tc>
        <w:tc>
          <w:tcPr>
            <w:tcW w:w="567" w:type="pct"/>
            <w:tcBorders>
              <w:top w:val="nil"/>
              <w:left w:val="single" w:sz="8" w:space="0" w:color="auto"/>
              <w:bottom w:val="dotted" w:sz="4" w:space="0" w:color="auto"/>
              <w:right w:val="single" w:sz="8" w:space="0" w:color="auto"/>
            </w:tcBorders>
            <w:shd w:val="clear" w:color="000000" w:fill="FFFFFF"/>
            <w:vAlign w:val="center"/>
            <w:hideMark/>
          </w:tcPr>
          <w:p w14:paraId="577CC360" w14:textId="77777777" w:rsidR="002B41BB" w:rsidRPr="004E5A6E" w:rsidRDefault="002B41BB" w:rsidP="002B41BB">
            <w:pPr>
              <w:jc w:val="center"/>
              <w:rPr>
                <w:color w:val="auto"/>
                <w:sz w:val="20"/>
                <w:szCs w:val="20"/>
                <w:lang w:val="sq-AL"/>
              </w:rPr>
            </w:pPr>
            <w:r w:rsidRPr="004E5A6E">
              <w:rPr>
                <w:color w:val="auto"/>
                <w:sz w:val="20"/>
                <w:szCs w:val="20"/>
                <w:lang w:val="sq-AL"/>
              </w:rPr>
              <w:t>9</w:t>
            </w:r>
          </w:p>
        </w:tc>
        <w:tc>
          <w:tcPr>
            <w:tcW w:w="455" w:type="pct"/>
            <w:tcBorders>
              <w:top w:val="nil"/>
              <w:left w:val="dotted" w:sz="4" w:space="0" w:color="auto"/>
              <w:bottom w:val="dotted" w:sz="4" w:space="0" w:color="auto"/>
              <w:right w:val="dotted" w:sz="4" w:space="0" w:color="auto"/>
            </w:tcBorders>
            <w:shd w:val="clear" w:color="000000" w:fill="FFFFFF"/>
            <w:vAlign w:val="center"/>
            <w:hideMark/>
          </w:tcPr>
          <w:p w14:paraId="68602060" w14:textId="77777777" w:rsidR="002B41BB" w:rsidRPr="004E5A6E" w:rsidRDefault="002B41BB" w:rsidP="002B41BB">
            <w:pPr>
              <w:jc w:val="center"/>
              <w:rPr>
                <w:color w:val="auto"/>
                <w:sz w:val="20"/>
                <w:szCs w:val="20"/>
                <w:lang w:val="sq-AL"/>
              </w:rPr>
            </w:pPr>
            <w:r w:rsidRPr="004E5A6E">
              <w:rPr>
                <w:color w:val="auto"/>
                <w:sz w:val="20"/>
                <w:szCs w:val="20"/>
                <w:lang w:val="sq-AL"/>
              </w:rPr>
              <w:t>4.5</w:t>
            </w:r>
          </w:p>
        </w:tc>
        <w:tc>
          <w:tcPr>
            <w:tcW w:w="455" w:type="pct"/>
            <w:tcBorders>
              <w:top w:val="nil"/>
              <w:left w:val="nil"/>
              <w:bottom w:val="dotted" w:sz="4" w:space="0" w:color="auto"/>
              <w:right w:val="dotted" w:sz="4" w:space="0" w:color="auto"/>
            </w:tcBorders>
            <w:shd w:val="clear" w:color="000000" w:fill="FFFFFF"/>
            <w:vAlign w:val="center"/>
            <w:hideMark/>
          </w:tcPr>
          <w:p w14:paraId="4AC6EF4C" w14:textId="77777777" w:rsidR="002B41BB" w:rsidRPr="004E5A6E" w:rsidRDefault="002B41BB" w:rsidP="002B41BB">
            <w:pPr>
              <w:jc w:val="center"/>
              <w:rPr>
                <w:color w:val="auto"/>
                <w:sz w:val="20"/>
                <w:szCs w:val="20"/>
                <w:lang w:val="sq-AL"/>
              </w:rPr>
            </w:pPr>
            <w:r w:rsidRPr="004E5A6E">
              <w:rPr>
                <w:color w:val="auto"/>
                <w:sz w:val="20"/>
                <w:szCs w:val="20"/>
                <w:lang w:val="sq-AL"/>
              </w:rPr>
              <w:t>2.5</w:t>
            </w:r>
          </w:p>
        </w:tc>
        <w:tc>
          <w:tcPr>
            <w:tcW w:w="455" w:type="pct"/>
            <w:tcBorders>
              <w:top w:val="nil"/>
              <w:left w:val="nil"/>
              <w:bottom w:val="dotted" w:sz="4" w:space="0" w:color="auto"/>
              <w:right w:val="dotted" w:sz="4" w:space="0" w:color="auto"/>
            </w:tcBorders>
            <w:shd w:val="clear" w:color="000000" w:fill="FFFFFF"/>
            <w:vAlign w:val="center"/>
            <w:hideMark/>
          </w:tcPr>
          <w:p w14:paraId="4CD70A14"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5" w:type="pct"/>
            <w:tcBorders>
              <w:top w:val="nil"/>
              <w:left w:val="nil"/>
              <w:bottom w:val="dotted" w:sz="4" w:space="0" w:color="auto"/>
              <w:right w:val="dotted" w:sz="4" w:space="0" w:color="auto"/>
            </w:tcBorders>
            <w:shd w:val="clear" w:color="000000" w:fill="FFFFFF"/>
            <w:vAlign w:val="center"/>
            <w:hideMark/>
          </w:tcPr>
          <w:p w14:paraId="70AA8870"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46" w:type="pct"/>
            <w:tcBorders>
              <w:top w:val="nil"/>
              <w:left w:val="nil"/>
              <w:bottom w:val="dotted" w:sz="4" w:space="0" w:color="auto"/>
              <w:right w:val="double" w:sz="6" w:space="0" w:color="000000"/>
            </w:tcBorders>
            <w:shd w:val="clear" w:color="000000" w:fill="FFFFFF"/>
            <w:vAlign w:val="center"/>
            <w:hideMark/>
          </w:tcPr>
          <w:p w14:paraId="59413576"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r w:rsidR="002B41BB" w:rsidRPr="004E5A6E" w14:paraId="0C264D02" w14:textId="77777777" w:rsidTr="002B41BB">
        <w:trPr>
          <w:trHeight w:val="318"/>
        </w:trPr>
        <w:tc>
          <w:tcPr>
            <w:tcW w:w="2165" w:type="pct"/>
            <w:tcBorders>
              <w:top w:val="nil"/>
              <w:left w:val="double" w:sz="6" w:space="0" w:color="000000"/>
              <w:bottom w:val="dotted" w:sz="4" w:space="0" w:color="auto"/>
              <w:right w:val="nil"/>
            </w:tcBorders>
            <w:shd w:val="clear" w:color="000000" w:fill="FFFFFF"/>
            <w:vAlign w:val="center"/>
            <w:hideMark/>
          </w:tcPr>
          <w:p w14:paraId="3FFF7F38" w14:textId="77777777" w:rsidR="002B41BB" w:rsidRPr="004E5A6E" w:rsidRDefault="002B41BB" w:rsidP="002B41BB">
            <w:pPr>
              <w:rPr>
                <w:color w:val="auto"/>
                <w:sz w:val="20"/>
                <w:szCs w:val="20"/>
                <w:lang w:val="sq-AL"/>
              </w:rPr>
            </w:pPr>
            <w:r w:rsidRPr="004E5A6E">
              <w:rPr>
                <w:color w:val="auto"/>
                <w:sz w:val="20"/>
                <w:szCs w:val="20"/>
                <w:lang w:val="sq-AL"/>
              </w:rPr>
              <w:t>10. Mbrojtja sociale</w:t>
            </w:r>
          </w:p>
        </w:tc>
        <w:tc>
          <w:tcPr>
            <w:tcW w:w="567" w:type="pct"/>
            <w:tcBorders>
              <w:top w:val="nil"/>
              <w:left w:val="single" w:sz="8" w:space="0" w:color="auto"/>
              <w:bottom w:val="dotted" w:sz="4" w:space="0" w:color="auto"/>
              <w:right w:val="single" w:sz="8" w:space="0" w:color="auto"/>
            </w:tcBorders>
            <w:shd w:val="clear" w:color="000000" w:fill="FFFFFF"/>
            <w:vAlign w:val="center"/>
            <w:hideMark/>
          </w:tcPr>
          <w:p w14:paraId="47C06C6C" w14:textId="77777777" w:rsidR="002B41BB" w:rsidRPr="004E5A6E" w:rsidRDefault="002B41BB" w:rsidP="002B41BB">
            <w:pPr>
              <w:jc w:val="center"/>
              <w:rPr>
                <w:color w:val="auto"/>
                <w:sz w:val="20"/>
                <w:szCs w:val="20"/>
                <w:lang w:val="sq-AL"/>
              </w:rPr>
            </w:pPr>
            <w:r w:rsidRPr="004E5A6E">
              <w:rPr>
                <w:color w:val="auto"/>
                <w:sz w:val="20"/>
                <w:szCs w:val="20"/>
                <w:lang w:val="sq-AL"/>
              </w:rPr>
              <w:t>10</w:t>
            </w:r>
          </w:p>
        </w:tc>
        <w:tc>
          <w:tcPr>
            <w:tcW w:w="455" w:type="pct"/>
            <w:tcBorders>
              <w:top w:val="nil"/>
              <w:left w:val="dotted" w:sz="4" w:space="0" w:color="auto"/>
              <w:bottom w:val="dotted" w:sz="4" w:space="0" w:color="auto"/>
              <w:right w:val="dotted" w:sz="4" w:space="0" w:color="auto"/>
            </w:tcBorders>
            <w:shd w:val="clear" w:color="000000" w:fill="FFFFFF"/>
            <w:vAlign w:val="center"/>
            <w:hideMark/>
          </w:tcPr>
          <w:p w14:paraId="3C0C4659" w14:textId="77777777" w:rsidR="002B41BB" w:rsidRPr="004E5A6E" w:rsidRDefault="002B41BB" w:rsidP="002B41BB">
            <w:pPr>
              <w:jc w:val="center"/>
              <w:rPr>
                <w:color w:val="auto"/>
                <w:sz w:val="20"/>
                <w:szCs w:val="20"/>
                <w:lang w:val="sq-AL"/>
              </w:rPr>
            </w:pPr>
            <w:r w:rsidRPr="004E5A6E">
              <w:rPr>
                <w:color w:val="auto"/>
                <w:sz w:val="20"/>
                <w:szCs w:val="20"/>
                <w:lang w:val="sq-AL"/>
              </w:rPr>
              <w:t>6.9</w:t>
            </w:r>
          </w:p>
        </w:tc>
        <w:tc>
          <w:tcPr>
            <w:tcW w:w="455" w:type="pct"/>
            <w:tcBorders>
              <w:top w:val="nil"/>
              <w:left w:val="nil"/>
              <w:bottom w:val="dotted" w:sz="4" w:space="0" w:color="auto"/>
              <w:right w:val="dotted" w:sz="4" w:space="0" w:color="auto"/>
            </w:tcBorders>
            <w:shd w:val="clear" w:color="000000" w:fill="FFFFFF"/>
            <w:vAlign w:val="center"/>
            <w:hideMark/>
          </w:tcPr>
          <w:p w14:paraId="3DF39960" w14:textId="77777777" w:rsidR="002B41BB" w:rsidRPr="004E5A6E" w:rsidRDefault="002B41BB" w:rsidP="002B41BB">
            <w:pPr>
              <w:jc w:val="center"/>
              <w:rPr>
                <w:color w:val="auto"/>
                <w:sz w:val="20"/>
                <w:szCs w:val="20"/>
                <w:lang w:val="sq-AL"/>
              </w:rPr>
            </w:pPr>
            <w:r w:rsidRPr="004E5A6E">
              <w:rPr>
                <w:color w:val="auto"/>
                <w:sz w:val="20"/>
                <w:szCs w:val="20"/>
                <w:lang w:val="sq-AL"/>
              </w:rPr>
              <w:t>5.2</w:t>
            </w:r>
          </w:p>
        </w:tc>
        <w:tc>
          <w:tcPr>
            <w:tcW w:w="455" w:type="pct"/>
            <w:tcBorders>
              <w:top w:val="nil"/>
              <w:left w:val="nil"/>
              <w:bottom w:val="dotted" w:sz="4" w:space="0" w:color="auto"/>
              <w:right w:val="dotted" w:sz="4" w:space="0" w:color="auto"/>
            </w:tcBorders>
            <w:shd w:val="clear" w:color="000000" w:fill="FFFFFF"/>
            <w:vAlign w:val="center"/>
            <w:hideMark/>
          </w:tcPr>
          <w:p w14:paraId="454FD7EF"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55" w:type="pct"/>
            <w:tcBorders>
              <w:top w:val="nil"/>
              <w:left w:val="nil"/>
              <w:bottom w:val="dotted" w:sz="4" w:space="0" w:color="auto"/>
              <w:right w:val="dotted" w:sz="4" w:space="0" w:color="auto"/>
            </w:tcBorders>
            <w:shd w:val="clear" w:color="000000" w:fill="FFFFFF"/>
            <w:vAlign w:val="center"/>
            <w:hideMark/>
          </w:tcPr>
          <w:p w14:paraId="231BC06C"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46" w:type="pct"/>
            <w:tcBorders>
              <w:top w:val="nil"/>
              <w:left w:val="nil"/>
              <w:bottom w:val="dotted" w:sz="4" w:space="0" w:color="auto"/>
              <w:right w:val="double" w:sz="6" w:space="0" w:color="000000"/>
            </w:tcBorders>
            <w:shd w:val="clear" w:color="000000" w:fill="FFFFFF"/>
            <w:vAlign w:val="center"/>
            <w:hideMark/>
          </w:tcPr>
          <w:p w14:paraId="7AB1A57B"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r w:rsidR="002B41BB" w:rsidRPr="004E5A6E" w14:paraId="159D120F" w14:textId="77777777" w:rsidTr="002B41BB">
        <w:trPr>
          <w:trHeight w:val="318"/>
        </w:trPr>
        <w:tc>
          <w:tcPr>
            <w:tcW w:w="2165" w:type="pct"/>
            <w:tcBorders>
              <w:top w:val="nil"/>
              <w:left w:val="double" w:sz="6" w:space="0" w:color="000000"/>
              <w:bottom w:val="double" w:sz="6" w:space="0" w:color="000000"/>
              <w:right w:val="nil"/>
            </w:tcBorders>
            <w:shd w:val="clear" w:color="000000" w:fill="FFFFFF"/>
            <w:vAlign w:val="center"/>
            <w:hideMark/>
          </w:tcPr>
          <w:p w14:paraId="3464F9CE" w14:textId="77777777" w:rsidR="002B41BB" w:rsidRPr="004E5A6E" w:rsidRDefault="002B41BB" w:rsidP="002B41BB">
            <w:pPr>
              <w:rPr>
                <w:color w:val="auto"/>
                <w:sz w:val="20"/>
                <w:szCs w:val="20"/>
                <w:lang w:val="sq-AL"/>
              </w:rPr>
            </w:pPr>
            <w:r w:rsidRPr="004E5A6E">
              <w:rPr>
                <w:color w:val="auto"/>
                <w:sz w:val="20"/>
                <w:szCs w:val="20"/>
                <w:lang w:val="sq-AL"/>
              </w:rPr>
              <w:t>11. Total shpenzimet (artikulli 7 = 23 në Tabelën 2)</w:t>
            </w:r>
          </w:p>
        </w:tc>
        <w:tc>
          <w:tcPr>
            <w:tcW w:w="567" w:type="pct"/>
            <w:tcBorders>
              <w:top w:val="nil"/>
              <w:left w:val="single" w:sz="8" w:space="0" w:color="auto"/>
              <w:bottom w:val="double" w:sz="6" w:space="0" w:color="000000"/>
              <w:right w:val="single" w:sz="8" w:space="0" w:color="auto"/>
            </w:tcBorders>
            <w:shd w:val="clear" w:color="000000" w:fill="FFFFFF"/>
            <w:vAlign w:val="center"/>
            <w:hideMark/>
          </w:tcPr>
          <w:p w14:paraId="20D01088" w14:textId="77777777" w:rsidR="002B41BB" w:rsidRPr="004E5A6E" w:rsidRDefault="002B41BB" w:rsidP="002B41BB">
            <w:pPr>
              <w:jc w:val="center"/>
              <w:rPr>
                <w:color w:val="auto"/>
                <w:sz w:val="20"/>
                <w:szCs w:val="20"/>
                <w:lang w:val="sq-AL"/>
              </w:rPr>
            </w:pPr>
            <w:r w:rsidRPr="004E5A6E">
              <w:rPr>
                <w:color w:val="auto"/>
                <w:sz w:val="20"/>
                <w:szCs w:val="20"/>
                <w:lang w:val="sq-AL"/>
              </w:rPr>
              <w:t>TE</w:t>
            </w:r>
          </w:p>
        </w:tc>
        <w:tc>
          <w:tcPr>
            <w:tcW w:w="455" w:type="pct"/>
            <w:tcBorders>
              <w:top w:val="nil"/>
              <w:left w:val="dotted" w:sz="4" w:space="0" w:color="auto"/>
              <w:bottom w:val="double" w:sz="6" w:space="0" w:color="000000"/>
              <w:right w:val="dotted" w:sz="4" w:space="0" w:color="auto"/>
            </w:tcBorders>
            <w:shd w:val="clear" w:color="000000" w:fill="FFFFFF"/>
            <w:vAlign w:val="center"/>
            <w:hideMark/>
          </w:tcPr>
          <w:p w14:paraId="6916E9D3" w14:textId="77777777" w:rsidR="002B41BB" w:rsidRPr="004E5A6E" w:rsidRDefault="002B41BB" w:rsidP="002B41BB">
            <w:pPr>
              <w:jc w:val="center"/>
              <w:rPr>
                <w:color w:val="auto"/>
                <w:sz w:val="20"/>
                <w:szCs w:val="20"/>
                <w:lang w:val="sq-AL"/>
              </w:rPr>
            </w:pPr>
            <w:r w:rsidRPr="004E5A6E">
              <w:rPr>
                <w:color w:val="auto"/>
                <w:sz w:val="20"/>
                <w:szCs w:val="20"/>
                <w:lang w:val="sq-AL"/>
              </w:rPr>
              <w:t>29.4</w:t>
            </w:r>
          </w:p>
        </w:tc>
        <w:tc>
          <w:tcPr>
            <w:tcW w:w="455" w:type="pct"/>
            <w:tcBorders>
              <w:top w:val="nil"/>
              <w:left w:val="nil"/>
              <w:bottom w:val="double" w:sz="6" w:space="0" w:color="000000"/>
              <w:right w:val="dotted" w:sz="4" w:space="0" w:color="auto"/>
            </w:tcBorders>
            <w:shd w:val="clear" w:color="000000" w:fill="FFFFFF"/>
            <w:vAlign w:val="center"/>
            <w:hideMark/>
          </w:tcPr>
          <w:p w14:paraId="2F153B3D" w14:textId="77777777" w:rsidR="002B41BB" w:rsidRPr="004E5A6E" w:rsidRDefault="002B41BB" w:rsidP="002B41BB">
            <w:pPr>
              <w:jc w:val="center"/>
              <w:rPr>
                <w:color w:val="auto"/>
                <w:sz w:val="20"/>
                <w:szCs w:val="20"/>
                <w:lang w:val="sq-AL"/>
              </w:rPr>
            </w:pPr>
            <w:r w:rsidRPr="004E5A6E">
              <w:rPr>
                <w:color w:val="auto"/>
                <w:sz w:val="20"/>
                <w:szCs w:val="20"/>
                <w:lang w:val="sq-AL"/>
              </w:rPr>
              <w:t>32.1</w:t>
            </w:r>
          </w:p>
        </w:tc>
        <w:tc>
          <w:tcPr>
            <w:tcW w:w="455" w:type="pct"/>
            <w:tcBorders>
              <w:top w:val="nil"/>
              <w:left w:val="nil"/>
              <w:bottom w:val="double" w:sz="6" w:space="0" w:color="000000"/>
              <w:right w:val="dotted" w:sz="4" w:space="0" w:color="auto"/>
            </w:tcBorders>
            <w:shd w:val="clear" w:color="000000" w:fill="FFFFFF"/>
            <w:vAlign w:val="center"/>
            <w:hideMark/>
          </w:tcPr>
          <w:p w14:paraId="5C8E691A" w14:textId="77777777" w:rsidR="002B41BB" w:rsidRPr="004E5A6E" w:rsidRDefault="002B41BB" w:rsidP="002B41BB">
            <w:pPr>
              <w:jc w:val="center"/>
              <w:rPr>
                <w:color w:val="auto"/>
                <w:sz w:val="20"/>
                <w:szCs w:val="20"/>
                <w:lang w:val="sq-AL"/>
              </w:rPr>
            </w:pPr>
            <w:r w:rsidRPr="004E5A6E">
              <w:rPr>
                <w:color w:val="auto"/>
                <w:sz w:val="20"/>
                <w:szCs w:val="20"/>
                <w:lang w:val="sq-AL"/>
              </w:rPr>
              <w:t>33.8</w:t>
            </w:r>
          </w:p>
        </w:tc>
        <w:tc>
          <w:tcPr>
            <w:tcW w:w="455" w:type="pct"/>
            <w:tcBorders>
              <w:top w:val="nil"/>
              <w:left w:val="nil"/>
              <w:bottom w:val="double" w:sz="6" w:space="0" w:color="000000"/>
              <w:right w:val="dotted" w:sz="4" w:space="0" w:color="auto"/>
            </w:tcBorders>
            <w:shd w:val="clear" w:color="000000" w:fill="FFFFFF"/>
            <w:vAlign w:val="center"/>
            <w:hideMark/>
          </w:tcPr>
          <w:p w14:paraId="5E62F165" w14:textId="77777777" w:rsidR="002B41BB" w:rsidRPr="004E5A6E" w:rsidRDefault="002B41BB" w:rsidP="002B41BB">
            <w:pPr>
              <w:jc w:val="center"/>
              <w:rPr>
                <w:color w:val="auto"/>
                <w:sz w:val="20"/>
                <w:szCs w:val="20"/>
                <w:lang w:val="sq-AL"/>
              </w:rPr>
            </w:pPr>
            <w:r w:rsidRPr="004E5A6E">
              <w:rPr>
                <w:color w:val="auto"/>
                <w:sz w:val="20"/>
                <w:szCs w:val="20"/>
                <w:lang w:val="sq-AL"/>
              </w:rPr>
              <w:t>31.6</w:t>
            </w:r>
          </w:p>
        </w:tc>
        <w:tc>
          <w:tcPr>
            <w:tcW w:w="446" w:type="pct"/>
            <w:tcBorders>
              <w:top w:val="nil"/>
              <w:left w:val="nil"/>
              <w:bottom w:val="double" w:sz="6" w:space="0" w:color="000000"/>
              <w:right w:val="double" w:sz="6" w:space="0" w:color="000000"/>
            </w:tcBorders>
            <w:shd w:val="clear" w:color="000000" w:fill="FFFFFF"/>
            <w:vAlign w:val="center"/>
            <w:hideMark/>
          </w:tcPr>
          <w:p w14:paraId="14D39F90" w14:textId="77777777" w:rsidR="002B41BB" w:rsidRPr="004E5A6E" w:rsidRDefault="002B41BB" w:rsidP="002B41BB">
            <w:pPr>
              <w:jc w:val="center"/>
              <w:rPr>
                <w:color w:val="auto"/>
                <w:sz w:val="20"/>
                <w:szCs w:val="20"/>
                <w:lang w:val="sq-AL"/>
              </w:rPr>
            </w:pPr>
            <w:r w:rsidRPr="004E5A6E">
              <w:rPr>
                <w:color w:val="auto"/>
                <w:sz w:val="20"/>
                <w:szCs w:val="20"/>
                <w:lang w:val="sq-AL"/>
              </w:rPr>
              <w:t>30.7</w:t>
            </w:r>
          </w:p>
        </w:tc>
      </w:tr>
    </w:tbl>
    <w:p w14:paraId="519A7E7C" w14:textId="0CBDC3F3" w:rsidR="002B41BB" w:rsidRPr="004E5A6E" w:rsidRDefault="002B41BB" w:rsidP="00693151">
      <w:pPr>
        <w:rPr>
          <w:highlight w:val="yellow"/>
          <w:lang w:val="sq-AL"/>
        </w:rPr>
      </w:pPr>
    </w:p>
    <w:p w14:paraId="6712E910" w14:textId="2241BA12" w:rsidR="002B41BB" w:rsidRPr="004E5A6E" w:rsidRDefault="002B41BB" w:rsidP="00693151">
      <w:pPr>
        <w:rPr>
          <w:highlight w:val="yellow"/>
          <w:lang w:val="sq-AL"/>
        </w:rPr>
      </w:pPr>
    </w:p>
    <w:tbl>
      <w:tblPr>
        <w:tblW w:w="5000" w:type="pct"/>
        <w:tblLook w:val="04A0" w:firstRow="1" w:lastRow="0" w:firstColumn="1" w:lastColumn="0" w:noHBand="0" w:noVBand="1"/>
      </w:tblPr>
      <w:tblGrid>
        <w:gridCol w:w="4223"/>
        <w:gridCol w:w="954"/>
        <w:gridCol w:w="688"/>
        <w:gridCol w:w="688"/>
        <w:gridCol w:w="689"/>
        <w:gridCol w:w="689"/>
        <w:gridCol w:w="693"/>
      </w:tblGrid>
      <w:tr w:rsidR="002B41BB" w:rsidRPr="004E5A6E" w14:paraId="34F804DE" w14:textId="77777777" w:rsidTr="002B41BB">
        <w:trPr>
          <w:trHeight w:val="318"/>
        </w:trPr>
        <w:tc>
          <w:tcPr>
            <w:tcW w:w="2603" w:type="pct"/>
            <w:gridSpan w:val="2"/>
            <w:tcBorders>
              <w:top w:val="nil"/>
              <w:left w:val="nil"/>
              <w:bottom w:val="nil"/>
              <w:right w:val="nil"/>
            </w:tcBorders>
            <w:shd w:val="clear" w:color="000000" w:fill="FFFFFF"/>
            <w:noWrap/>
            <w:vAlign w:val="center"/>
            <w:hideMark/>
          </w:tcPr>
          <w:p w14:paraId="651354A7" w14:textId="77777777" w:rsidR="002B41BB" w:rsidRPr="004E5A6E" w:rsidRDefault="002B41BB" w:rsidP="002B41BB">
            <w:pPr>
              <w:rPr>
                <w:b/>
                <w:bCs/>
                <w:color w:val="auto"/>
                <w:sz w:val="20"/>
                <w:szCs w:val="20"/>
                <w:lang w:val="sq-AL"/>
              </w:rPr>
            </w:pPr>
            <w:r w:rsidRPr="004E5A6E">
              <w:rPr>
                <w:b/>
                <w:bCs/>
                <w:color w:val="auto"/>
                <w:sz w:val="20"/>
                <w:szCs w:val="20"/>
                <w:lang w:val="sq-AL"/>
              </w:rPr>
              <w:t>Tabela 4:  Zhvillimet e borxhit të përgjithshëm të qeverisë</w:t>
            </w:r>
          </w:p>
        </w:tc>
        <w:tc>
          <w:tcPr>
            <w:tcW w:w="479" w:type="pct"/>
            <w:tcBorders>
              <w:top w:val="nil"/>
              <w:left w:val="nil"/>
              <w:bottom w:val="nil"/>
              <w:right w:val="nil"/>
            </w:tcBorders>
            <w:shd w:val="clear" w:color="000000" w:fill="FFFFFF"/>
            <w:noWrap/>
            <w:vAlign w:val="center"/>
            <w:hideMark/>
          </w:tcPr>
          <w:p w14:paraId="31A3681B" w14:textId="77777777" w:rsidR="002B41BB" w:rsidRPr="004E5A6E" w:rsidRDefault="002B41BB" w:rsidP="002B41BB">
            <w:pPr>
              <w:rPr>
                <w:color w:val="auto"/>
                <w:sz w:val="20"/>
                <w:szCs w:val="20"/>
                <w:lang w:val="sq-AL"/>
              </w:rPr>
            </w:pPr>
            <w:r w:rsidRPr="004E5A6E">
              <w:rPr>
                <w:color w:val="auto"/>
                <w:sz w:val="20"/>
                <w:szCs w:val="20"/>
                <w:lang w:val="sq-AL"/>
              </w:rPr>
              <w:t> </w:t>
            </w:r>
          </w:p>
        </w:tc>
        <w:tc>
          <w:tcPr>
            <w:tcW w:w="479" w:type="pct"/>
            <w:tcBorders>
              <w:top w:val="nil"/>
              <w:left w:val="nil"/>
              <w:bottom w:val="nil"/>
              <w:right w:val="nil"/>
            </w:tcBorders>
            <w:shd w:val="clear" w:color="000000" w:fill="FFFFFF"/>
            <w:noWrap/>
            <w:vAlign w:val="center"/>
            <w:hideMark/>
          </w:tcPr>
          <w:p w14:paraId="64DD9AB0" w14:textId="77777777" w:rsidR="002B41BB" w:rsidRPr="004E5A6E" w:rsidRDefault="002B41BB" w:rsidP="002B41BB">
            <w:pPr>
              <w:rPr>
                <w:color w:val="auto"/>
                <w:sz w:val="20"/>
                <w:szCs w:val="20"/>
                <w:lang w:val="sq-AL"/>
              </w:rPr>
            </w:pPr>
            <w:r w:rsidRPr="004E5A6E">
              <w:rPr>
                <w:color w:val="auto"/>
                <w:sz w:val="20"/>
                <w:szCs w:val="20"/>
                <w:lang w:val="sq-AL"/>
              </w:rPr>
              <w:t> </w:t>
            </w:r>
          </w:p>
        </w:tc>
        <w:tc>
          <w:tcPr>
            <w:tcW w:w="479" w:type="pct"/>
            <w:tcBorders>
              <w:top w:val="nil"/>
              <w:left w:val="nil"/>
              <w:bottom w:val="nil"/>
              <w:right w:val="nil"/>
            </w:tcBorders>
            <w:shd w:val="clear" w:color="000000" w:fill="FFFFFF"/>
            <w:noWrap/>
            <w:vAlign w:val="center"/>
            <w:hideMark/>
          </w:tcPr>
          <w:p w14:paraId="24844BB3" w14:textId="77777777" w:rsidR="002B41BB" w:rsidRPr="004E5A6E" w:rsidRDefault="002B41BB" w:rsidP="002B41BB">
            <w:pPr>
              <w:rPr>
                <w:color w:val="auto"/>
                <w:sz w:val="20"/>
                <w:szCs w:val="20"/>
                <w:lang w:val="sq-AL"/>
              </w:rPr>
            </w:pPr>
            <w:r w:rsidRPr="004E5A6E">
              <w:rPr>
                <w:color w:val="auto"/>
                <w:sz w:val="20"/>
                <w:szCs w:val="20"/>
                <w:lang w:val="sq-AL"/>
              </w:rPr>
              <w:t> </w:t>
            </w:r>
          </w:p>
        </w:tc>
        <w:tc>
          <w:tcPr>
            <w:tcW w:w="479" w:type="pct"/>
            <w:tcBorders>
              <w:top w:val="nil"/>
              <w:left w:val="nil"/>
              <w:bottom w:val="nil"/>
              <w:right w:val="nil"/>
            </w:tcBorders>
            <w:shd w:val="clear" w:color="000000" w:fill="FFFFFF"/>
            <w:noWrap/>
            <w:vAlign w:val="center"/>
            <w:hideMark/>
          </w:tcPr>
          <w:p w14:paraId="0258CBE0" w14:textId="77777777" w:rsidR="002B41BB" w:rsidRPr="004E5A6E" w:rsidRDefault="002B41BB" w:rsidP="002B41BB">
            <w:pPr>
              <w:rPr>
                <w:color w:val="auto"/>
                <w:sz w:val="20"/>
                <w:szCs w:val="20"/>
                <w:lang w:val="sq-AL"/>
              </w:rPr>
            </w:pPr>
            <w:r w:rsidRPr="004E5A6E">
              <w:rPr>
                <w:color w:val="auto"/>
                <w:sz w:val="20"/>
                <w:szCs w:val="20"/>
                <w:lang w:val="sq-AL"/>
              </w:rPr>
              <w:t> </w:t>
            </w:r>
          </w:p>
        </w:tc>
        <w:tc>
          <w:tcPr>
            <w:tcW w:w="479" w:type="pct"/>
            <w:tcBorders>
              <w:top w:val="nil"/>
              <w:left w:val="nil"/>
              <w:bottom w:val="nil"/>
              <w:right w:val="nil"/>
            </w:tcBorders>
            <w:shd w:val="clear" w:color="000000" w:fill="FFFFFF"/>
            <w:noWrap/>
            <w:vAlign w:val="center"/>
            <w:hideMark/>
          </w:tcPr>
          <w:p w14:paraId="23920C8B" w14:textId="77777777" w:rsidR="002B41BB" w:rsidRPr="004E5A6E" w:rsidRDefault="002B41BB" w:rsidP="002B41BB">
            <w:pPr>
              <w:rPr>
                <w:color w:val="auto"/>
                <w:sz w:val="20"/>
                <w:szCs w:val="20"/>
                <w:lang w:val="sq-AL"/>
              </w:rPr>
            </w:pPr>
            <w:r w:rsidRPr="004E5A6E">
              <w:rPr>
                <w:color w:val="auto"/>
                <w:sz w:val="20"/>
                <w:szCs w:val="20"/>
                <w:lang w:val="sq-AL"/>
              </w:rPr>
              <w:t> </w:t>
            </w:r>
          </w:p>
        </w:tc>
      </w:tr>
      <w:tr w:rsidR="002B41BB" w:rsidRPr="004E5A6E" w14:paraId="298398C6" w14:textId="77777777" w:rsidTr="002B41BB">
        <w:trPr>
          <w:trHeight w:val="318"/>
        </w:trPr>
        <w:tc>
          <w:tcPr>
            <w:tcW w:w="2123" w:type="pct"/>
            <w:tcBorders>
              <w:top w:val="double" w:sz="6" w:space="0" w:color="auto"/>
              <w:left w:val="double" w:sz="6" w:space="0" w:color="auto"/>
              <w:bottom w:val="double" w:sz="6" w:space="0" w:color="auto"/>
              <w:right w:val="single" w:sz="8" w:space="0" w:color="auto"/>
            </w:tcBorders>
            <w:shd w:val="clear" w:color="000000" w:fill="FFFFFF"/>
            <w:vAlign w:val="center"/>
            <w:hideMark/>
          </w:tcPr>
          <w:p w14:paraId="29DF975C" w14:textId="77777777" w:rsidR="002B41BB" w:rsidRPr="004E5A6E" w:rsidRDefault="002B41BB" w:rsidP="002B41BB">
            <w:pPr>
              <w:rPr>
                <w:b/>
                <w:bCs/>
                <w:color w:val="auto"/>
                <w:sz w:val="20"/>
                <w:szCs w:val="20"/>
                <w:lang w:val="sq-AL"/>
              </w:rPr>
            </w:pPr>
            <w:r w:rsidRPr="004E5A6E">
              <w:rPr>
                <w:b/>
                <w:bCs/>
                <w:color w:val="auto"/>
                <w:sz w:val="20"/>
                <w:szCs w:val="20"/>
                <w:lang w:val="sq-AL"/>
              </w:rPr>
              <w:t>% e BPV-së</w:t>
            </w:r>
          </w:p>
        </w:tc>
        <w:tc>
          <w:tcPr>
            <w:tcW w:w="479" w:type="pct"/>
            <w:tcBorders>
              <w:top w:val="double" w:sz="6" w:space="0" w:color="auto"/>
              <w:left w:val="nil"/>
              <w:bottom w:val="double" w:sz="6" w:space="0" w:color="auto"/>
              <w:right w:val="single" w:sz="8" w:space="0" w:color="auto"/>
            </w:tcBorders>
            <w:shd w:val="clear" w:color="000000" w:fill="FFFFFF"/>
            <w:vAlign w:val="center"/>
            <w:hideMark/>
          </w:tcPr>
          <w:p w14:paraId="01BE6EAE" w14:textId="77777777" w:rsidR="002B41BB" w:rsidRPr="004E5A6E" w:rsidRDefault="002B41BB" w:rsidP="002B41BB">
            <w:pPr>
              <w:rPr>
                <w:b/>
                <w:bCs/>
                <w:color w:val="auto"/>
                <w:sz w:val="20"/>
                <w:szCs w:val="20"/>
                <w:lang w:val="sq-AL"/>
              </w:rPr>
            </w:pPr>
            <w:r w:rsidRPr="004E5A6E">
              <w:rPr>
                <w:b/>
                <w:bCs/>
                <w:color w:val="auto"/>
                <w:sz w:val="20"/>
                <w:szCs w:val="20"/>
                <w:lang w:val="sq-AL"/>
              </w:rPr>
              <w:t>ESA code</w:t>
            </w:r>
          </w:p>
        </w:tc>
        <w:tc>
          <w:tcPr>
            <w:tcW w:w="479" w:type="pct"/>
            <w:tcBorders>
              <w:top w:val="double" w:sz="6" w:space="0" w:color="auto"/>
              <w:left w:val="nil"/>
              <w:bottom w:val="double" w:sz="6" w:space="0" w:color="auto"/>
              <w:right w:val="dotted" w:sz="4" w:space="0" w:color="auto"/>
            </w:tcBorders>
            <w:shd w:val="clear" w:color="000000" w:fill="FFFFFF"/>
            <w:vAlign w:val="center"/>
            <w:hideMark/>
          </w:tcPr>
          <w:p w14:paraId="01A8BCEA" w14:textId="77777777" w:rsidR="002B41BB" w:rsidRPr="004E5A6E" w:rsidRDefault="002B41BB" w:rsidP="002B41BB">
            <w:pPr>
              <w:jc w:val="center"/>
              <w:rPr>
                <w:color w:val="auto"/>
                <w:sz w:val="20"/>
                <w:szCs w:val="20"/>
                <w:lang w:val="sq-AL"/>
              </w:rPr>
            </w:pPr>
            <w:r w:rsidRPr="004E5A6E">
              <w:rPr>
                <w:color w:val="auto"/>
                <w:sz w:val="20"/>
                <w:szCs w:val="20"/>
                <w:lang w:val="sq-AL"/>
              </w:rPr>
              <w:t>2019</w:t>
            </w:r>
          </w:p>
        </w:tc>
        <w:tc>
          <w:tcPr>
            <w:tcW w:w="479" w:type="pct"/>
            <w:tcBorders>
              <w:top w:val="double" w:sz="6" w:space="0" w:color="auto"/>
              <w:left w:val="nil"/>
              <w:bottom w:val="double" w:sz="6" w:space="0" w:color="auto"/>
              <w:right w:val="dotted" w:sz="4" w:space="0" w:color="auto"/>
            </w:tcBorders>
            <w:shd w:val="clear" w:color="000000" w:fill="FFFFFF"/>
            <w:vAlign w:val="center"/>
            <w:hideMark/>
          </w:tcPr>
          <w:p w14:paraId="41641D39" w14:textId="77777777" w:rsidR="002B41BB" w:rsidRPr="004E5A6E" w:rsidRDefault="002B41BB" w:rsidP="002B41BB">
            <w:pPr>
              <w:jc w:val="center"/>
              <w:rPr>
                <w:color w:val="auto"/>
                <w:sz w:val="20"/>
                <w:szCs w:val="20"/>
                <w:lang w:val="sq-AL"/>
              </w:rPr>
            </w:pPr>
            <w:r w:rsidRPr="004E5A6E">
              <w:rPr>
                <w:color w:val="auto"/>
                <w:sz w:val="20"/>
                <w:szCs w:val="20"/>
                <w:lang w:val="sq-AL"/>
              </w:rPr>
              <w:t>2020</w:t>
            </w:r>
          </w:p>
        </w:tc>
        <w:tc>
          <w:tcPr>
            <w:tcW w:w="479" w:type="pct"/>
            <w:tcBorders>
              <w:top w:val="double" w:sz="6" w:space="0" w:color="auto"/>
              <w:left w:val="nil"/>
              <w:bottom w:val="double" w:sz="6" w:space="0" w:color="auto"/>
              <w:right w:val="dotted" w:sz="4" w:space="0" w:color="auto"/>
            </w:tcBorders>
            <w:shd w:val="clear" w:color="000000" w:fill="FFFFFF"/>
            <w:vAlign w:val="center"/>
            <w:hideMark/>
          </w:tcPr>
          <w:p w14:paraId="38C1F7BB" w14:textId="77777777" w:rsidR="002B41BB" w:rsidRPr="004E5A6E" w:rsidRDefault="002B41BB" w:rsidP="002B41BB">
            <w:pPr>
              <w:jc w:val="center"/>
              <w:rPr>
                <w:color w:val="auto"/>
                <w:sz w:val="20"/>
                <w:szCs w:val="20"/>
                <w:lang w:val="sq-AL"/>
              </w:rPr>
            </w:pPr>
            <w:r w:rsidRPr="004E5A6E">
              <w:rPr>
                <w:color w:val="auto"/>
                <w:sz w:val="20"/>
                <w:szCs w:val="20"/>
                <w:lang w:val="sq-AL"/>
              </w:rPr>
              <w:t>2021</w:t>
            </w:r>
          </w:p>
        </w:tc>
        <w:tc>
          <w:tcPr>
            <w:tcW w:w="479" w:type="pct"/>
            <w:tcBorders>
              <w:top w:val="double" w:sz="6" w:space="0" w:color="auto"/>
              <w:left w:val="nil"/>
              <w:bottom w:val="double" w:sz="6" w:space="0" w:color="auto"/>
              <w:right w:val="dotted" w:sz="4" w:space="0" w:color="auto"/>
            </w:tcBorders>
            <w:shd w:val="clear" w:color="000000" w:fill="FFFFFF"/>
            <w:vAlign w:val="center"/>
            <w:hideMark/>
          </w:tcPr>
          <w:p w14:paraId="04499A7A" w14:textId="77777777" w:rsidR="002B41BB" w:rsidRPr="004E5A6E" w:rsidRDefault="002B41BB" w:rsidP="002B41BB">
            <w:pPr>
              <w:jc w:val="center"/>
              <w:rPr>
                <w:color w:val="auto"/>
                <w:sz w:val="20"/>
                <w:szCs w:val="20"/>
                <w:lang w:val="sq-AL"/>
              </w:rPr>
            </w:pPr>
            <w:r w:rsidRPr="004E5A6E">
              <w:rPr>
                <w:color w:val="auto"/>
                <w:sz w:val="20"/>
                <w:szCs w:val="20"/>
                <w:lang w:val="sq-AL"/>
              </w:rPr>
              <w:t>2022</w:t>
            </w:r>
          </w:p>
        </w:tc>
        <w:tc>
          <w:tcPr>
            <w:tcW w:w="479" w:type="pct"/>
            <w:tcBorders>
              <w:top w:val="double" w:sz="6" w:space="0" w:color="auto"/>
              <w:left w:val="nil"/>
              <w:bottom w:val="double" w:sz="6" w:space="0" w:color="auto"/>
              <w:right w:val="double" w:sz="6" w:space="0" w:color="auto"/>
            </w:tcBorders>
            <w:shd w:val="clear" w:color="000000" w:fill="FFFFFF"/>
            <w:vAlign w:val="center"/>
            <w:hideMark/>
          </w:tcPr>
          <w:p w14:paraId="16B7F01F" w14:textId="77777777" w:rsidR="002B41BB" w:rsidRPr="004E5A6E" w:rsidRDefault="002B41BB" w:rsidP="002B41BB">
            <w:pPr>
              <w:jc w:val="center"/>
              <w:rPr>
                <w:color w:val="auto"/>
                <w:sz w:val="20"/>
                <w:szCs w:val="20"/>
                <w:lang w:val="sq-AL"/>
              </w:rPr>
            </w:pPr>
            <w:r w:rsidRPr="004E5A6E">
              <w:rPr>
                <w:color w:val="auto"/>
                <w:sz w:val="20"/>
                <w:szCs w:val="20"/>
                <w:lang w:val="sq-AL"/>
              </w:rPr>
              <w:t>2023</w:t>
            </w:r>
          </w:p>
        </w:tc>
      </w:tr>
      <w:tr w:rsidR="002B41BB" w:rsidRPr="004E5A6E" w14:paraId="5CC202C2" w14:textId="77777777" w:rsidTr="002B41BB">
        <w:trPr>
          <w:trHeight w:val="318"/>
        </w:trPr>
        <w:tc>
          <w:tcPr>
            <w:tcW w:w="2123" w:type="pct"/>
            <w:tcBorders>
              <w:top w:val="nil"/>
              <w:left w:val="double" w:sz="6" w:space="0" w:color="auto"/>
              <w:bottom w:val="single" w:sz="8" w:space="0" w:color="auto"/>
              <w:right w:val="nil"/>
            </w:tcBorders>
            <w:shd w:val="clear" w:color="auto" w:fill="auto"/>
            <w:noWrap/>
            <w:vAlign w:val="bottom"/>
            <w:hideMark/>
          </w:tcPr>
          <w:p w14:paraId="3888B0A8" w14:textId="77777777" w:rsidR="002B41BB" w:rsidRPr="004E5A6E" w:rsidRDefault="002B41BB" w:rsidP="002B41BB">
            <w:pPr>
              <w:rPr>
                <w:color w:val="auto"/>
                <w:sz w:val="20"/>
                <w:szCs w:val="20"/>
                <w:lang w:val="sq-AL"/>
              </w:rPr>
            </w:pPr>
            <w:r w:rsidRPr="004E5A6E">
              <w:rPr>
                <w:color w:val="auto"/>
                <w:sz w:val="20"/>
                <w:szCs w:val="20"/>
                <w:lang w:val="sq-AL"/>
              </w:rPr>
              <w:t xml:space="preserve">  1. Borxhi Bruto [1]</w:t>
            </w:r>
          </w:p>
        </w:tc>
        <w:tc>
          <w:tcPr>
            <w:tcW w:w="479" w:type="pct"/>
            <w:tcBorders>
              <w:top w:val="nil"/>
              <w:left w:val="single" w:sz="8" w:space="0" w:color="auto"/>
              <w:bottom w:val="single" w:sz="8" w:space="0" w:color="auto"/>
              <w:right w:val="single" w:sz="8" w:space="0" w:color="auto"/>
            </w:tcBorders>
            <w:shd w:val="clear" w:color="000000" w:fill="FFFFFF"/>
            <w:vAlign w:val="center"/>
            <w:hideMark/>
          </w:tcPr>
          <w:p w14:paraId="6EEDF6DE" w14:textId="77777777" w:rsidR="002B41BB" w:rsidRPr="004E5A6E" w:rsidRDefault="002B41BB" w:rsidP="002B41BB">
            <w:pPr>
              <w:rPr>
                <w:color w:val="auto"/>
                <w:sz w:val="20"/>
                <w:szCs w:val="20"/>
                <w:lang w:val="sq-AL"/>
              </w:rPr>
            </w:pPr>
            <w:r w:rsidRPr="004E5A6E">
              <w:rPr>
                <w:color w:val="auto"/>
                <w:sz w:val="20"/>
                <w:szCs w:val="20"/>
                <w:lang w:val="sq-AL"/>
              </w:rPr>
              <w:t> </w:t>
            </w:r>
          </w:p>
        </w:tc>
        <w:tc>
          <w:tcPr>
            <w:tcW w:w="479" w:type="pct"/>
            <w:tcBorders>
              <w:top w:val="nil"/>
              <w:left w:val="nil"/>
              <w:bottom w:val="single" w:sz="8" w:space="0" w:color="auto"/>
              <w:right w:val="dotted" w:sz="4" w:space="0" w:color="auto"/>
            </w:tcBorders>
            <w:shd w:val="clear" w:color="000000" w:fill="FFFFFF"/>
            <w:vAlign w:val="center"/>
            <w:hideMark/>
          </w:tcPr>
          <w:p w14:paraId="3A249AAF" w14:textId="77777777" w:rsidR="002B41BB" w:rsidRPr="004E5A6E" w:rsidRDefault="002B41BB" w:rsidP="002B41BB">
            <w:pPr>
              <w:jc w:val="right"/>
              <w:rPr>
                <w:color w:val="auto"/>
                <w:sz w:val="20"/>
                <w:szCs w:val="20"/>
                <w:lang w:val="sq-AL"/>
              </w:rPr>
            </w:pPr>
            <w:r w:rsidRPr="004E5A6E">
              <w:rPr>
                <w:color w:val="auto"/>
                <w:sz w:val="20"/>
                <w:szCs w:val="20"/>
                <w:lang w:val="sq-AL"/>
              </w:rPr>
              <w:t>16.9</w:t>
            </w:r>
          </w:p>
        </w:tc>
        <w:tc>
          <w:tcPr>
            <w:tcW w:w="479" w:type="pct"/>
            <w:tcBorders>
              <w:top w:val="nil"/>
              <w:left w:val="nil"/>
              <w:bottom w:val="single" w:sz="8" w:space="0" w:color="auto"/>
              <w:right w:val="dotted" w:sz="4" w:space="0" w:color="auto"/>
            </w:tcBorders>
            <w:shd w:val="clear" w:color="000000" w:fill="FFFFFF"/>
            <w:vAlign w:val="center"/>
            <w:hideMark/>
          </w:tcPr>
          <w:p w14:paraId="294F051E" w14:textId="77777777" w:rsidR="002B41BB" w:rsidRPr="004E5A6E" w:rsidRDefault="002B41BB" w:rsidP="002B41BB">
            <w:pPr>
              <w:jc w:val="right"/>
              <w:rPr>
                <w:color w:val="auto"/>
                <w:sz w:val="20"/>
                <w:szCs w:val="20"/>
                <w:lang w:val="sq-AL"/>
              </w:rPr>
            </w:pPr>
            <w:r w:rsidRPr="004E5A6E">
              <w:rPr>
                <w:color w:val="auto"/>
                <w:sz w:val="20"/>
                <w:szCs w:val="20"/>
                <w:lang w:val="sq-AL"/>
              </w:rPr>
              <w:t>25.2</w:t>
            </w:r>
          </w:p>
        </w:tc>
        <w:tc>
          <w:tcPr>
            <w:tcW w:w="479" w:type="pct"/>
            <w:tcBorders>
              <w:top w:val="nil"/>
              <w:left w:val="nil"/>
              <w:bottom w:val="single" w:sz="8" w:space="0" w:color="auto"/>
              <w:right w:val="dotted" w:sz="4" w:space="0" w:color="auto"/>
            </w:tcBorders>
            <w:shd w:val="clear" w:color="000000" w:fill="FFFFFF"/>
            <w:vAlign w:val="center"/>
            <w:hideMark/>
          </w:tcPr>
          <w:p w14:paraId="578405B2" w14:textId="77777777" w:rsidR="002B41BB" w:rsidRPr="004E5A6E" w:rsidRDefault="002B41BB" w:rsidP="002B41BB">
            <w:pPr>
              <w:jc w:val="right"/>
              <w:rPr>
                <w:color w:val="auto"/>
                <w:sz w:val="20"/>
                <w:szCs w:val="20"/>
                <w:lang w:val="sq-AL"/>
              </w:rPr>
            </w:pPr>
            <w:r w:rsidRPr="004E5A6E">
              <w:rPr>
                <w:color w:val="auto"/>
                <w:sz w:val="20"/>
                <w:szCs w:val="20"/>
                <w:lang w:val="sq-AL"/>
              </w:rPr>
              <w:t>31.4</w:t>
            </w:r>
          </w:p>
        </w:tc>
        <w:tc>
          <w:tcPr>
            <w:tcW w:w="479" w:type="pct"/>
            <w:tcBorders>
              <w:top w:val="nil"/>
              <w:left w:val="nil"/>
              <w:bottom w:val="single" w:sz="8" w:space="0" w:color="auto"/>
              <w:right w:val="dotted" w:sz="4" w:space="0" w:color="auto"/>
            </w:tcBorders>
            <w:shd w:val="clear" w:color="000000" w:fill="FFFFFF"/>
            <w:vAlign w:val="center"/>
            <w:hideMark/>
          </w:tcPr>
          <w:p w14:paraId="7EDB6789" w14:textId="77777777" w:rsidR="002B41BB" w:rsidRPr="004E5A6E" w:rsidRDefault="002B41BB" w:rsidP="002B41BB">
            <w:pPr>
              <w:jc w:val="right"/>
              <w:rPr>
                <w:color w:val="auto"/>
                <w:sz w:val="20"/>
                <w:szCs w:val="20"/>
                <w:lang w:val="sq-AL"/>
              </w:rPr>
            </w:pPr>
            <w:r w:rsidRPr="004E5A6E">
              <w:rPr>
                <w:color w:val="auto"/>
                <w:sz w:val="20"/>
                <w:szCs w:val="20"/>
                <w:lang w:val="sq-AL"/>
              </w:rPr>
              <w:t>35.5</w:t>
            </w:r>
          </w:p>
        </w:tc>
        <w:tc>
          <w:tcPr>
            <w:tcW w:w="479" w:type="pct"/>
            <w:tcBorders>
              <w:top w:val="nil"/>
              <w:left w:val="nil"/>
              <w:bottom w:val="single" w:sz="8" w:space="0" w:color="auto"/>
              <w:right w:val="double" w:sz="6" w:space="0" w:color="auto"/>
            </w:tcBorders>
            <w:shd w:val="clear" w:color="000000" w:fill="FFFFFF"/>
            <w:vAlign w:val="center"/>
            <w:hideMark/>
          </w:tcPr>
          <w:p w14:paraId="421FE5DC" w14:textId="77777777" w:rsidR="002B41BB" w:rsidRPr="004E5A6E" w:rsidRDefault="002B41BB" w:rsidP="002B41BB">
            <w:pPr>
              <w:jc w:val="right"/>
              <w:rPr>
                <w:color w:val="auto"/>
                <w:sz w:val="20"/>
                <w:szCs w:val="20"/>
                <w:lang w:val="sq-AL"/>
              </w:rPr>
            </w:pPr>
            <w:r w:rsidRPr="004E5A6E">
              <w:rPr>
                <w:color w:val="auto"/>
                <w:sz w:val="20"/>
                <w:szCs w:val="20"/>
                <w:lang w:val="sq-AL"/>
              </w:rPr>
              <w:t>38.6</w:t>
            </w:r>
          </w:p>
        </w:tc>
      </w:tr>
      <w:tr w:rsidR="002B41BB" w:rsidRPr="004E5A6E" w14:paraId="65BADCD7" w14:textId="77777777" w:rsidTr="002B41BB">
        <w:trPr>
          <w:trHeight w:val="318"/>
        </w:trPr>
        <w:tc>
          <w:tcPr>
            <w:tcW w:w="2123" w:type="pct"/>
            <w:tcBorders>
              <w:top w:val="nil"/>
              <w:left w:val="double" w:sz="6" w:space="0" w:color="auto"/>
              <w:bottom w:val="single" w:sz="8" w:space="0" w:color="auto"/>
              <w:right w:val="nil"/>
            </w:tcBorders>
            <w:shd w:val="clear" w:color="000000" w:fill="FFFFFF"/>
            <w:vAlign w:val="center"/>
            <w:hideMark/>
          </w:tcPr>
          <w:p w14:paraId="19F0C484" w14:textId="77777777" w:rsidR="002B41BB" w:rsidRPr="004E5A6E" w:rsidRDefault="002B41BB" w:rsidP="002B41BB">
            <w:pPr>
              <w:rPr>
                <w:color w:val="auto"/>
                <w:sz w:val="20"/>
                <w:szCs w:val="20"/>
                <w:lang w:val="sq-AL"/>
              </w:rPr>
            </w:pPr>
            <w:r w:rsidRPr="004E5A6E">
              <w:rPr>
                <w:color w:val="auto"/>
                <w:sz w:val="20"/>
                <w:szCs w:val="20"/>
                <w:lang w:val="sq-AL"/>
              </w:rPr>
              <w:t xml:space="preserve">  2. Ndryshimi në borxhin bruto</w:t>
            </w:r>
          </w:p>
        </w:tc>
        <w:tc>
          <w:tcPr>
            <w:tcW w:w="479" w:type="pct"/>
            <w:tcBorders>
              <w:top w:val="nil"/>
              <w:left w:val="single" w:sz="8" w:space="0" w:color="auto"/>
              <w:bottom w:val="single" w:sz="8" w:space="0" w:color="auto"/>
              <w:right w:val="single" w:sz="8" w:space="0" w:color="auto"/>
            </w:tcBorders>
            <w:shd w:val="clear" w:color="000000" w:fill="FFFFFF"/>
            <w:vAlign w:val="center"/>
            <w:hideMark/>
          </w:tcPr>
          <w:p w14:paraId="44AFAEFB" w14:textId="77777777" w:rsidR="002B41BB" w:rsidRPr="004E5A6E" w:rsidRDefault="002B41BB" w:rsidP="002B41BB">
            <w:pPr>
              <w:rPr>
                <w:color w:val="auto"/>
                <w:sz w:val="20"/>
                <w:szCs w:val="20"/>
                <w:lang w:val="sq-AL"/>
              </w:rPr>
            </w:pPr>
            <w:r w:rsidRPr="004E5A6E">
              <w:rPr>
                <w:color w:val="auto"/>
                <w:sz w:val="20"/>
                <w:szCs w:val="20"/>
                <w:lang w:val="sq-AL"/>
              </w:rPr>
              <w:t> </w:t>
            </w:r>
          </w:p>
        </w:tc>
        <w:tc>
          <w:tcPr>
            <w:tcW w:w="479" w:type="pct"/>
            <w:tcBorders>
              <w:top w:val="nil"/>
              <w:left w:val="nil"/>
              <w:bottom w:val="single" w:sz="8" w:space="0" w:color="auto"/>
              <w:right w:val="dotted" w:sz="4" w:space="0" w:color="auto"/>
            </w:tcBorders>
            <w:shd w:val="clear" w:color="000000" w:fill="FFFFFF"/>
            <w:vAlign w:val="center"/>
            <w:hideMark/>
          </w:tcPr>
          <w:p w14:paraId="22D8A169" w14:textId="77777777" w:rsidR="002B41BB" w:rsidRPr="004E5A6E" w:rsidRDefault="002B41BB" w:rsidP="002B41BB">
            <w:pPr>
              <w:jc w:val="right"/>
              <w:rPr>
                <w:color w:val="auto"/>
                <w:sz w:val="20"/>
                <w:szCs w:val="20"/>
                <w:lang w:val="sq-AL"/>
              </w:rPr>
            </w:pPr>
            <w:r w:rsidRPr="004E5A6E">
              <w:rPr>
                <w:color w:val="auto"/>
                <w:sz w:val="20"/>
                <w:szCs w:val="20"/>
                <w:lang w:val="sq-AL"/>
              </w:rPr>
              <w:t>1.5</w:t>
            </w:r>
          </w:p>
        </w:tc>
        <w:tc>
          <w:tcPr>
            <w:tcW w:w="479" w:type="pct"/>
            <w:tcBorders>
              <w:top w:val="nil"/>
              <w:left w:val="nil"/>
              <w:bottom w:val="single" w:sz="8" w:space="0" w:color="auto"/>
              <w:right w:val="dotted" w:sz="4" w:space="0" w:color="auto"/>
            </w:tcBorders>
            <w:shd w:val="clear" w:color="000000" w:fill="FFFFFF"/>
            <w:vAlign w:val="center"/>
            <w:hideMark/>
          </w:tcPr>
          <w:p w14:paraId="6BB504E5" w14:textId="77777777" w:rsidR="002B41BB" w:rsidRPr="004E5A6E" w:rsidRDefault="002B41BB" w:rsidP="002B41BB">
            <w:pPr>
              <w:jc w:val="right"/>
              <w:rPr>
                <w:color w:val="auto"/>
                <w:sz w:val="20"/>
                <w:szCs w:val="20"/>
                <w:lang w:val="sq-AL"/>
              </w:rPr>
            </w:pPr>
            <w:r w:rsidRPr="004E5A6E">
              <w:rPr>
                <w:color w:val="auto"/>
                <w:sz w:val="20"/>
                <w:szCs w:val="20"/>
                <w:lang w:val="sq-AL"/>
              </w:rPr>
              <w:t>8.3</w:t>
            </w:r>
          </w:p>
        </w:tc>
        <w:tc>
          <w:tcPr>
            <w:tcW w:w="479" w:type="pct"/>
            <w:tcBorders>
              <w:top w:val="nil"/>
              <w:left w:val="nil"/>
              <w:bottom w:val="single" w:sz="8" w:space="0" w:color="auto"/>
              <w:right w:val="dotted" w:sz="4" w:space="0" w:color="auto"/>
            </w:tcBorders>
            <w:shd w:val="clear" w:color="000000" w:fill="FFFFFF"/>
            <w:vAlign w:val="center"/>
            <w:hideMark/>
          </w:tcPr>
          <w:p w14:paraId="1A89B789" w14:textId="77777777" w:rsidR="002B41BB" w:rsidRPr="004E5A6E" w:rsidRDefault="002B41BB" w:rsidP="002B41BB">
            <w:pPr>
              <w:jc w:val="right"/>
              <w:rPr>
                <w:color w:val="auto"/>
                <w:sz w:val="20"/>
                <w:szCs w:val="20"/>
                <w:lang w:val="sq-AL"/>
              </w:rPr>
            </w:pPr>
            <w:r w:rsidRPr="004E5A6E">
              <w:rPr>
                <w:color w:val="auto"/>
                <w:sz w:val="20"/>
                <w:szCs w:val="20"/>
                <w:lang w:val="sq-AL"/>
              </w:rPr>
              <w:t>6.2</w:t>
            </w:r>
          </w:p>
        </w:tc>
        <w:tc>
          <w:tcPr>
            <w:tcW w:w="479" w:type="pct"/>
            <w:tcBorders>
              <w:top w:val="nil"/>
              <w:left w:val="nil"/>
              <w:bottom w:val="single" w:sz="8" w:space="0" w:color="auto"/>
              <w:right w:val="dotted" w:sz="4" w:space="0" w:color="auto"/>
            </w:tcBorders>
            <w:shd w:val="clear" w:color="000000" w:fill="FFFFFF"/>
            <w:vAlign w:val="center"/>
            <w:hideMark/>
          </w:tcPr>
          <w:p w14:paraId="3052BD71" w14:textId="77777777" w:rsidR="002B41BB" w:rsidRPr="004E5A6E" w:rsidRDefault="002B41BB" w:rsidP="002B41BB">
            <w:pPr>
              <w:jc w:val="right"/>
              <w:rPr>
                <w:color w:val="auto"/>
                <w:sz w:val="20"/>
                <w:szCs w:val="20"/>
                <w:lang w:val="sq-AL"/>
              </w:rPr>
            </w:pPr>
            <w:r w:rsidRPr="004E5A6E">
              <w:rPr>
                <w:color w:val="auto"/>
                <w:sz w:val="20"/>
                <w:szCs w:val="20"/>
                <w:lang w:val="sq-AL"/>
              </w:rPr>
              <w:t>4.1</w:t>
            </w:r>
          </w:p>
        </w:tc>
        <w:tc>
          <w:tcPr>
            <w:tcW w:w="479" w:type="pct"/>
            <w:tcBorders>
              <w:top w:val="nil"/>
              <w:left w:val="nil"/>
              <w:bottom w:val="single" w:sz="8" w:space="0" w:color="auto"/>
              <w:right w:val="double" w:sz="6" w:space="0" w:color="auto"/>
            </w:tcBorders>
            <w:shd w:val="clear" w:color="000000" w:fill="FFFFFF"/>
            <w:vAlign w:val="center"/>
            <w:hideMark/>
          </w:tcPr>
          <w:p w14:paraId="713A5424" w14:textId="77777777" w:rsidR="002B41BB" w:rsidRPr="004E5A6E" w:rsidRDefault="002B41BB" w:rsidP="002B41BB">
            <w:pPr>
              <w:jc w:val="right"/>
              <w:rPr>
                <w:color w:val="auto"/>
                <w:sz w:val="20"/>
                <w:szCs w:val="20"/>
                <w:lang w:val="sq-AL"/>
              </w:rPr>
            </w:pPr>
            <w:r w:rsidRPr="004E5A6E">
              <w:rPr>
                <w:color w:val="auto"/>
                <w:sz w:val="20"/>
                <w:szCs w:val="20"/>
                <w:lang w:val="sq-AL"/>
              </w:rPr>
              <w:t>3.0</w:t>
            </w:r>
          </w:p>
        </w:tc>
      </w:tr>
      <w:tr w:rsidR="002B41BB" w:rsidRPr="004E5A6E" w14:paraId="26E2146D" w14:textId="77777777" w:rsidTr="002B41BB">
        <w:trPr>
          <w:trHeight w:val="630"/>
        </w:trPr>
        <w:tc>
          <w:tcPr>
            <w:tcW w:w="5000" w:type="pct"/>
            <w:gridSpan w:val="7"/>
            <w:tcBorders>
              <w:top w:val="single" w:sz="8" w:space="0" w:color="auto"/>
              <w:left w:val="double" w:sz="6" w:space="0" w:color="auto"/>
              <w:bottom w:val="single" w:sz="8" w:space="0" w:color="auto"/>
              <w:right w:val="double" w:sz="6" w:space="0" w:color="000000"/>
            </w:tcBorders>
            <w:shd w:val="clear" w:color="000000" w:fill="FFFFFF"/>
            <w:vAlign w:val="bottom"/>
            <w:hideMark/>
          </w:tcPr>
          <w:p w14:paraId="4CB7165F" w14:textId="77777777" w:rsidR="002B41BB" w:rsidRPr="004E5A6E" w:rsidRDefault="002B41BB" w:rsidP="002B41BB">
            <w:pPr>
              <w:jc w:val="center"/>
              <w:rPr>
                <w:b/>
                <w:bCs/>
                <w:color w:val="auto"/>
                <w:sz w:val="20"/>
                <w:szCs w:val="20"/>
                <w:lang w:val="sq-AL"/>
              </w:rPr>
            </w:pPr>
            <w:r w:rsidRPr="004E5A6E">
              <w:rPr>
                <w:b/>
                <w:bCs/>
                <w:color w:val="auto"/>
                <w:sz w:val="20"/>
                <w:szCs w:val="20"/>
                <w:lang w:val="sq-AL"/>
              </w:rPr>
              <w:t>Kontribuuesit në ndryshim të borxhit bruto</w:t>
            </w:r>
          </w:p>
        </w:tc>
      </w:tr>
      <w:tr w:rsidR="002B41BB" w:rsidRPr="004E5A6E" w14:paraId="350C66E6" w14:textId="77777777" w:rsidTr="002B41BB">
        <w:trPr>
          <w:trHeight w:val="318"/>
        </w:trPr>
        <w:tc>
          <w:tcPr>
            <w:tcW w:w="2123" w:type="pct"/>
            <w:tcBorders>
              <w:top w:val="nil"/>
              <w:left w:val="double" w:sz="6" w:space="0" w:color="auto"/>
              <w:bottom w:val="nil"/>
              <w:right w:val="nil"/>
            </w:tcBorders>
            <w:shd w:val="clear" w:color="auto" w:fill="auto"/>
            <w:noWrap/>
            <w:vAlign w:val="bottom"/>
            <w:hideMark/>
          </w:tcPr>
          <w:p w14:paraId="4A36723D" w14:textId="77777777" w:rsidR="002B41BB" w:rsidRPr="004E5A6E" w:rsidRDefault="002B41BB" w:rsidP="002B41BB">
            <w:pPr>
              <w:rPr>
                <w:color w:val="auto"/>
                <w:sz w:val="20"/>
                <w:szCs w:val="20"/>
                <w:lang w:val="sq-AL"/>
              </w:rPr>
            </w:pPr>
            <w:r w:rsidRPr="004E5A6E">
              <w:rPr>
                <w:color w:val="auto"/>
                <w:sz w:val="20"/>
                <w:szCs w:val="20"/>
                <w:lang w:val="sq-AL"/>
              </w:rPr>
              <w:t xml:space="preserve">  3. Bilanci Primar [2]</w:t>
            </w:r>
          </w:p>
        </w:tc>
        <w:tc>
          <w:tcPr>
            <w:tcW w:w="479" w:type="pct"/>
            <w:tcBorders>
              <w:top w:val="nil"/>
              <w:left w:val="single" w:sz="8" w:space="0" w:color="auto"/>
              <w:bottom w:val="dotted" w:sz="4" w:space="0" w:color="auto"/>
              <w:right w:val="single" w:sz="8" w:space="0" w:color="auto"/>
            </w:tcBorders>
            <w:shd w:val="clear" w:color="000000" w:fill="FFFFFF"/>
            <w:vAlign w:val="center"/>
            <w:hideMark/>
          </w:tcPr>
          <w:p w14:paraId="25C9636E"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479" w:type="pct"/>
            <w:tcBorders>
              <w:top w:val="nil"/>
              <w:left w:val="nil"/>
              <w:bottom w:val="dotted" w:sz="4" w:space="0" w:color="auto"/>
              <w:right w:val="dotted" w:sz="4" w:space="0" w:color="auto"/>
            </w:tcBorders>
            <w:shd w:val="clear" w:color="000000" w:fill="FFFFFF"/>
            <w:vAlign w:val="center"/>
            <w:hideMark/>
          </w:tcPr>
          <w:p w14:paraId="39F84190" w14:textId="77777777" w:rsidR="002B41BB" w:rsidRPr="004E5A6E" w:rsidRDefault="002B41BB" w:rsidP="002B41BB">
            <w:pPr>
              <w:jc w:val="right"/>
              <w:rPr>
                <w:color w:val="auto"/>
                <w:sz w:val="20"/>
                <w:szCs w:val="20"/>
                <w:lang w:val="sq-AL"/>
              </w:rPr>
            </w:pPr>
            <w:r w:rsidRPr="004E5A6E">
              <w:rPr>
                <w:color w:val="auto"/>
                <w:sz w:val="20"/>
                <w:szCs w:val="20"/>
                <w:lang w:val="sq-AL"/>
              </w:rPr>
              <w:t>2.6</w:t>
            </w:r>
          </w:p>
        </w:tc>
        <w:tc>
          <w:tcPr>
            <w:tcW w:w="479" w:type="pct"/>
            <w:tcBorders>
              <w:top w:val="nil"/>
              <w:left w:val="nil"/>
              <w:bottom w:val="dotted" w:sz="4" w:space="0" w:color="auto"/>
              <w:right w:val="dotted" w:sz="4" w:space="0" w:color="auto"/>
            </w:tcBorders>
            <w:shd w:val="clear" w:color="000000" w:fill="FFFFFF"/>
            <w:vAlign w:val="center"/>
            <w:hideMark/>
          </w:tcPr>
          <w:p w14:paraId="03F7F98C" w14:textId="77777777" w:rsidR="002B41BB" w:rsidRPr="004E5A6E" w:rsidRDefault="002B41BB" w:rsidP="002B41BB">
            <w:pPr>
              <w:jc w:val="right"/>
              <w:rPr>
                <w:color w:val="auto"/>
                <w:sz w:val="20"/>
                <w:szCs w:val="20"/>
                <w:lang w:val="sq-AL"/>
              </w:rPr>
            </w:pPr>
            <w:r w:rsidRPr="004E5A6E">
              <w:rPr>
                <w:color w:val="auto"/>
                <w:sz w:val="20"/>
                <w:szCs w:val="20"/>
                <w:lang w:val="sq-AL"/>
              </w:rPr>
              <w:t>3.4</w:t>
            </w:r>
          </w:p>
        </w:tc>
        <w:tc>
          <w:tcPr>
            <w:tcW w:w="479" w:type="pct"/>
            <w:tcBorders>
              <w:top w:val="nil"/>
              <w:left w:val="nil"/>
              <w:bottom w:val="dotted" w:sz="4" w:space="0" w:color="auto"/>
              <w:right w:val="dotted" w:sz="4" w:space="0" w:color="auto"/>
            </w:tcBorders>
            <w:shd w:val="clear" w:color="000000" w:fill="FFFFFF"/>
            <w:vAlign w:val="center"/>
            <w:hideMark/>
          </w:tcPr>
          <w:p w14:paraId="5B2D273B" w14:textId="77777777" w:rsidR="002B41BB" w:rsidRPr="004E5A6E" w:rsidRDefault="002B41BB" w:rsidP="002B41BB">
            <w:pPr>
              <w:jc w:val="right"/>
              <w:rPr>
                <w:color w:val="auto"/>
                <w:sz w:val="20"/>
                <w:szCs w:val="20"/>
                <w:lang w:val="sq-AL"/>
              </w:rPr>
            </w:pPr>
            <w:r w:rsidRPr="004E5A6E">
              <w:rPr>
                <w:color w:val="auto"/>
                <w:sz w:val="20"/>
                <w:szCs w:val="20"/>
                <w:lang w:val="sq-AL"/>
              </w:rPr>
              <w:t>6.8</w:t>
            </w:r>
          </w:p>
        </w:tc>
        <w:tc>
          <w:tcPr>
            <w:tcW w:w="479" w:type="pct"/>
            <w:tcBorders>
              <w:top w:val="nil"/>
              <w:left w:val="nil"/>
              <w:bottom w:val="dotted" w:sz="4" w:space="0" w:color="auto"/>
              <w:right w:val="dotted" w:sz="4" w:space="0" w:color="auto"/>
            </w:tcBorders>
            <w:shd w:val="clear" w:color="000000" w:fill="FFFFFF"/>
            <w:vAlign w:val="center"/>
            <w:hideMark/>
          </w:tcPr>
          <w:p w14:paraId="6E46E530" w14:textId="77777777" w:rsidR="002B41BB" w:rsidRPr="004E5A6E" w:rsidRDefault="002B41BB" w:rsidP="002B41BB">
            <w:pPr>
              <w:jc w:val="right"/>
              <w:rPr>
                <w:color w:val="auto"/>
                <w:sz w:val="20"/>
                <w:szCs w:val="20"/>
                <w:lang w:val="sq-AL"/>
              </w:rPr>
            </w:pPr>
            <w:r w:rsidRPr="004E5A6E">
              <w:rPr>
                <w:color w:val="auto"/>
                <w:sz w:val="20"/>
                <w:szCs w:val="20"/>
                <w:lang w:val="sq-AL"/>
              </w:rPr>
              <w:t>4.3</w:t>
            </w:r>
          </w:p>
        </w:tc>
        <w:tc>
          <w:tcPr>
            <w:tcW w:w="479" w:type="pct"/>
            <w:tcBorders>
              <w:top w:val="nil"/>
              <w:left w:val="nil"/>
              <w:bottom w:val="dotted" w:sz="4" w:space="0" w:color="auto"/>
              <w:right w:val="double" w:sz="6" w:space="0" w:color="auto"/>
            </w:tcBorders>
            <w:shd w:val="clear" w:color="000000" w:fill="FFFFFF"/>
            <w:vAlign w:val="center"/>
            <w:hideMark/>
          </w:tcPr>
          <w:p w14:paraId="30D34BB7" w14:textId="77777777" w:rsidR="002B41BB" w:rsidRPr="004E5A6E" w:rsidRDefault="002B41BB" w:rsidP="002B41BB">
            <w:pPr>
              <w:jc w:val="right"/>
              <w:rPr>
                <w:color w:val="auto"/>
                <w:sz w:val="20"/>
                <w:szCs w:val="20"/>
                <w:lang w:val="sq-AL"/>
              </w:rPr>
            </w:pPr>
            <w:r w:rsidRPr="004E5A6E">
              <w:rPr>
                <w:color w:val="auto"/>
                <w:sz w:val="20"/>
                <w:szCs w:val="20"/>
                <w:lang w:val="sq-AL"/>
              </w:rPr>
              <w:t>3.5</w:t>
            </w:r>
          </w:p>
        </w:tc>
      </w:tr>
      <w:tr w:rsidR="002B41BB" w:rsidRPr="004E5A6E" w14:paraId="7F955B39" w14:textId="77777777" w:rsidTr="002B41BB">
        <w:trPr>
          <w:trHeight w:val="318"/>
        </w:trPr>
        <w:tc>
          <w:tcPr>
            <w:tcW w:w="2123" w:type="pct"/>
            <w:tcBorders>
              <w:top w:val="dotted" w:sz="4" w:space="0" w:color="auto"/>
              <w:left w:val="double" w:sz="6" w:space="0" w:color="auto"/>
              <w:bottom w:val="dotted" w:sz="4" w:space="0" w:color="auto"/>
              <w:right w:val="nil"/>
            </w:tcBorders>
            <w:shd w:val="clear" w:color="auto" w:fill="auto"/>
            <w:noWrap/>
            <w:vAlign w:val="bottom"/>
            <w:hideMark/>
          </w:tcPr>
          <w:p w14:paraId="37D460F8" w14:textId="77777777" w:rsidR="002B41BB" w:rsidRPr="004E5A6E" w:rsidRDefault="002B41BB" w:rsidP="002B41BB">
            <w:pPr>
              <w:rPr>
                <w:color w:val="auto"/>
                <w:sz w:val="20"/>
                <w:szCs w:val="20"/>
                <w:lang w:val="sq-AL"/>
              </w:rPr>
            </w:pPr>
            <w:r w:rsidRPr="004E5A6E">
              <w:rPr>
                <w:color w:val="auto"/>
                <w:sz w:val="20"/>
                <w:szCs w:val="20"/>
                <w:lang w:val="sq-AL"/>
              </w:rPr>
              <w:t xml:space="preserve">  4. Shpenzimet e Interesit  [3]</w:t>
            </w:r>
          </w:p>
        </w:tc>
        <w:tc>
          <w:tcPr>
            <w:tcW w:w="479" w:type="pct"/>
            <w:tcBorders>
              <w:top w:val="nil"/>
              <w:left w:val="single" w:sz="8" w:space="0" w:color="auto"/>
              <w:bottom w:val="dotted" w:sz="4" w:space="0" w:color="auto"/>
              <w:right w:val="single" w:sz="8" w:space="0" w:color="auto"/>
            </w:tcBorders>
            <w:shd w:val="clear" w:color="000000" w:fill="FFFFFF"/>
            <w:vAlign w:val="center"/>
            <w:hideMark/>
          </w:tcPr>
          <w:p w14:paraId="6998D4A5"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479" w:type="pct"/>
            <w:tcBorders>
              <w:top w:val="nil"/>
              <w:left w:val="nil"/>
              <w:bottom w:val="dotted" w:sz="4" w:space="0" w:color="auto"/>
              <w:right w:val="dotted" w:sz="4" w:space="0" w:color="auto"/>
            </w:tcBorders>
            <w:shd w:val="clear" w:color="000000" w:fill="FFFFFF"/>
            <w:vAlign w:val="center"/>
            <w:hideMark/>
          </w:tcPr>
          <w:p w14:paraId="2722B3E1" w14:textId="77777777" w:rsidR="002B41BB" w:rsidRPr="004E5A6E" w:rsidRDefault="002B41BB" w:rsidP="002B41BB">
            <w:pPr>
              <w:jc w:val="right"/>
              <w:rPr>
                <w:color w:val="auto"/>
                <w:sz w:val="20"/>
                <w:szCs w:val="20"/>
                <w:lang w:val="sq-AL"/>
              </w:rPr>
            </w:pPr>
            <w:r w:rsidRPr="004E5A6E">
              <w:rPr>
                <w:color w:val="auto"/>
                <w:sz w:val="20"/>
                <w:szCs w:val="20"/>
                <w:lang w:val="sq-AL"/>
              </w:rPr>
              <w:t>0.3</w:t>
            </w:r>
          </w:p>
        </w:tc>
        <w:tc>
          <w:tcPr>
            <w:tcW w:w="479" w:type="pct"/>
            <w:tcBorders>
              <w:top w:val="nil"/>
              <w:left w:val="nil"/>
              <w:bottom w:val="dotted" w:sz="4" w:space="0" w:color="auto"/>
              <w:right w:val="dotted" w:sz="4" w:space="0" w:color="auto"/>
            </w:tcBorders>
            <w:shd w:val="clear" w:color="000000" w:fill="FFFFFF"/>
            <w:vAlign w:val="center"/>
            <w:hideMark/>
          </w:tcPr>
          <w:p w14:paraId="795B94D4" w14:textId="77777777" w:rsidR="002B41BB" w:rsidRPr="004E5A6E" w:rsidRDefault="002B41BB" w:rsidP="002B41BB">
            <w:pPr>
              <w:jc w:val="right"/>
              <w:rPr>
                <w:color w:val="auto"/>
                <w:sz w:val="20"/>
                <w:szCs w:val="20"/>
                <w:lang w:val="sq-AL"/>
              </w:rPr>
            </w:pPr>
            <w:r w:rsidRPr="004E5A6E">
              <w:rPr>
                <w:color w:val="auto"/>
                <w:sz w:val="20"/>
                <w:szCs w:val="20"/>
                <w:lang w:val="sq-AL"/>
              </w:rPr>
              <w:t>0.4</w:t>
            </w:r>
          </w:p>
        </w:tc>
        <w:tc>
          <w:tcPr>
            <w:tcW w:w="479" w:type="pct"/>
            <w:tcBorders>
              <w:top w:val="nil"/>
              <w:left w:val="nil"/>
              <w:bottom w:val="dotted" w:sz="4" w:space="0" w:color="auto"/>
              <w:right w:val="dotted" w:sz="4" w:space="0" w:color="auto"/>
            </w:tcBorders>
            <w:shd w:val="clear" w:color="000000" w:fill="FFFFFF"/>
            <w:vAlign w:val="center"/>
            <w:hideMark/>
          </w:tcPr>
          <w:p w14:paraId="49697DE7" w14:textId="77777777" w:rsidR="002B41BB" w:rsidRPr="004E5A6E" w:rsidRDefault="002B41BB" w:rsidP="002B41BB">
            <w:pPr>
              <w:jc w:val="right"/>
              <w:rPr>
                <w:color w:val="auto"/>
                <w:sz w:val="20"/>
                <w:szCs w:val="20"/>
                <w:lang w:val="sq-AL"/>
              </w:rPr>
            </w:pPr>
            <w:r w:rsidRPr="004E5A6E">
              <w:rPr>
                <w:color w:val="auto"/>
                <w:sz w:val="20"/>
                <w:szCs w:val="20"/>
                <w:lang w:val="sq-AL"/>
              </w:rPr>
              <w:t>0.5</w:t>
            </w:r>
          </w:p>
        </w:tc>
        <w:tc>
          <w:tcPr>
            <w:tcW w:w="479" w:type="pct"/>
            <w:tcBorders>
              <w:top w:val="nil"/>
              <w:left w:val="nil"/>
              <w:bottom w:val="dotted" w:sz="4" w:space="0" w:color="auto"/>
              <w:right w:val="dotted" w:sz="4" w:space="0" w:color="auto"/>
            </w:tcBorders>
            <w:shd w:val="clear" w:color="000000" w:fill="FFFFFF"/>
            <w:vAlign w:val="center"/>
            <w:hideMark/>
          </w:tcPr>
          <w:p w14:paraId="6F0FEE8B" w14:textId="77777777" w:rsidR="002B41BB" w:rsidRPr="004E5A6E" w:rsidRDefault="002B41BB" w:rsidP="002B41BB">
            <w:pPr>
              <w:jc w:val="right"/>
              <w:rPr>
                <w:color w:val="auto"/>
                <w:sz w:val="20"/>
                <w:szCs w:val="20"/>
                <w:lang w:val="sq-AL"/>
              </w:rPr>
            </w:pPr>
            <w:r w:rsidRPr="004E5A6E">
              <w:rPr>
                <w:color w:val="auto"/>
                <w:sz w:val="20"/>
                <w:szCs w:val="20"/>
                <w:lang w:val="sq-AL"/>
              </w:rPr>
              <w:t>0.7</w:t>
            </w:r>
          </w:p>
        </w:tc>
        <w:tc>
          <w:tcPr>
            <w:tcW w:w="479" w:type="pct"/>
            <w:tcBorders>
              <w:top w:val="nil"/>
              <w:left w:val="nil"/>
              <w:bottom w:val="dotted" w:sz="4" w:space="0" w:color="auto"/>
              <w:right w:val="double" w:sz="6" w:space="0" w:color="auto"/>
            </w:tcBorders>
            <w:shd w:val="clear" w:color="000000" w:fill="FFFFFF"/>
            <w:vAlign w:val="center"/>
            <w:hideMark/>
          </w:tcPr>
          <w:p w14:paraId="513F2C5A" w14:textId="77777777" w:rsidR="002B41BB" w:rsidRPr="004E5A6E" w:rsidRDefault="002B41BB" w:rsidP="002B41BB">
            <w:pPr>
              <w:jc w:val="right"/>
              <w:rPr>
                <w:color w:val="auto"/>
                <w:sz w:val="20"/>
                <w:szCs w:val="20"/>
                <w:lang w:val="sq-AL"/>
              </w:rPr>
            </w:pPr>
            <w:r w:rsidRPr="004E5A6E">
              <w:rPr>
                <w:color w:val="auto"/>
                <w:sz w:val="20"/>
                <w:szCs w:val="20"/>
                <w:lang w:val="sq-AL"/>
              </w:rPr>
              <w:t>0.8</w:t>
            </w:r>
          </w:p>
        </w:tc>
      </w:tr>
      <w:tr w:rsidR="002B41BB" w:rsidRPr="004E5A6E" w14:paraId="0207E463" w14:textId="77777777" w:rsidTr="002B41BB">
        <w:trPr>
          <w:trHeight w:val="318"/>
        </w:trPr>
        <w:tc>
          <w:tcPr>
            <w:tcW w:w="2123" w:type="pct"/>
            <w:tcBorders>
              <w:top w:val="nil"/>
              <w:left w:val="double" w:sz="6" w:space="0" w:color="auto"/>
              <w:bottom w:val="single" w:sz="4" w:space="0" w:color="auto"/>
              <w:right w:val="nil"/>
            </w:tcBorders>
            <w:shd w:val="clear" w:color="000000" w:fill="FFFFFF"/>
            <w:vAlign w:val="center"/>
            <w:hideMark/>
          </w:tcPr>
          <w:p w14:paraId="1FD99471" w14:textId="77777777" w:rsidR="002B41BB" w:rsidRPr="004E5A6E" w:rsidRDefault="002B41BB" w:rsidP="002B41BB">
            <w:pPr>
              <w:rPr>
                <w:color w:val="auto"/>
                <w:sz w:val="20"/>
                <w:szCs w:val="20"/>
                <w:lang w:val="sq-AL"/>
              </w:rPr>
            </w:pPr>
            <w:r w:rsidRPr="004E5A6E">
              <w:rPr>
                <w:color w:val="auto"/>
                <w:sz w:val="20"/>
                <w:szCs w:val="20"/>
                <w:lang w:val="sq-AL"/>
              </w:rPr>
              <w:t xml:space="preserve">  5. Rregullimi Stock-flow</w:t>
            </w:r>
          </w:p>
        </w:tc>
        <w:tc>
          <w:tcPr>
            <w:tcW w:w="479" w:type="pct"/>
            <w:tcBorders>
              <w:top w:val="nil"/>
              <w:left w:val="single" w:sz="8" w:space="0" w:color="auto"/>
              <w:bottom w:val="single" w:sz="4" w:space="0" w:color="auto"/>
              <w:right w:val="single" w:sz="8" w:space="0" w:color="auto"/>
            </w:tcBorders>
            <w:shd w:val="clear" w:color="000000" w:fill="FFFFFF"/>
            <w:vAlign w:val="center"/>
            <w:hideMark/>
          </w:tcPr>
          <w:p w14:paraId="79207AE7"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479" w:type="pct"/>
            <w:tcBorders>
              <w:top w:val="nil"/>
              <w:left w:val="nil"/>
              <w:bottom w:val="single" w:sz="4" w:space="0" w:color="auto"/>
              <w:right w:val="dotted" w:sz="4" w:space="0" w:color="auto"/>
            </w:tcBorders>
            <w:shd w:val="clear" w:color="000000" w:fill="FFFFFF"/>
            <w:vAlign w:val="center"/>
            <w:hideMark/>
          </w:tcPr>
          <w:p w14:paraId="6E17F789" w14:textId="77777777" w:rsidR="002B41BB" w:rsidRPr="004E5A6E" w:rsidRDefault="002B41BB" w:rsidP="002B41BB">
            <w:pPr>
              <w:jc w:val="right"/>
              <w:rPr>
                <w:color w:val="auto"/>
                <w:sz w:val="20"/>
                <w:szCs w:val="20"/>
                <w:lang w:val="sq-AL"/>
              </w:rPr>
            </w:pPr>
            <w:r w:rsidRPr="004E5A6E">
              <w:rPr>
                <w:color w:val="auto"/>
                <w:sz w:val="20"/>
                <w:szCs w:val="20"/>
                <w:lang w:val="sq-AL"/>
              </w:rPr>
              <w:t>-1.4</w:t>
            </w:r>
          </w:p>
        </w:tc>
        <w:tc>
          <w:tcPr>
            <w:tcW w:w="479" w:type="pct"/>
            <w:tcBorders>
              <w:top w:val="nil"/>
              <w:left w:val="nil"/>
              <w:bottom w:val="single" w:sz="4" w:space="0" w:color="auto"/>
              <w:right w:val="dotted" w:sz="4" w:space="0" w:color="auto"/>
            </w:tcBorders>
            <w:shd w:val="clear" w:color="000000" w:fill="FFFFFF"/>
            <w:vAlign w:val="center"/>
            <w:hideMark/>
          </w:tcPr>
          <w:p w14:paraId="28803A48" w14:textId="77777777" w:rsidR="002B41BB" w:rsidRPr="004E5A6E" w:rsidRDefault="002B41BB" w:rsidP="002B41BB">
            <w:pPr>
              <w:jc w:val="right"/>
              <w:rPr>
                <w:color w:val="auto"/>
                <w:sz w:val="20"/>
                <w:szCs w:val="20"/>
                <w:lang w:val="sq-AL"/>
              </w:rPr>
            </w:pPr>
            <w:r w:rsidRPr="004E5A6E">
              <w:rPr>
                <w:color w:val="auto"/>
                <w:sz w:val="20"/>
                <w:szCs w:val="20"/>
                <w:lang w:val="sq-AL"/>
              </w:rPr>
              <w:t>4.5</w:t>
            </w:r>
          </w:p>
        </w:tc>
        <w:tc>
          <w:tcPr>
            <w:tcW w:w="479" w:type="pct"/>
            <w:tcBorders>
              <w:top w:val="nil"/>
              <w:left w:val="nil"/>
              <w:bottom w:val="single" w:sz="4" w:space="0" w:color="auto"/>
              <w:right w:val="dotted" w:sz="4" w:space="0" w:color="auto"/>
            </w:tcBorders>
            <w:shd w:val="clear" w:color="000000" w:fill="FFFFFF"/>
            <w:vAlign w:val="center"/>
            <w:hideMark/>
          </w:tcPr>
          <w:p w14:paraId="5A48AB34" w14:textId="77777777" w:rsidR="002B41BB" w:rsidRPr="004E5A6E" w:rsidRDefault="002B41BB" w:rsidP="002B41BB">
            <w:pPr>
              <w:jc w:val="right"/>
              <w:rPr>
                <w:color w:val="auto"/>
                <w:sz w:val="20"/>
                <w:szCs w:val="20"/>
                <w:lang w:val="sq-AL"/>
              </w:rPr>
            </w:pPr>
            <w:r w:rsidRPr="004E5A6E">
              <w:rPr>
                <w:color w:val="auto"/>
                <w:sz w:val="20"/>
                <w:szCs w:val="20"/>
                <w:lang w:val="sq-AL"/>
              </w:rPr>
              <w:t>-1.2</w:t>
            </w:r>
          </w:p>
        </w:tc>
        <w:tc>
          <w:tcPr>
            <w:tcW w:w="479" w:type="pct"/>
            <w:tcBorders>
              <w:top w:val="nil"/>
              <w:left w:val="nil"/>
              <w:bottom w:val="single" w:sz="4" w:space="0" w:color="auto"/>
              <w:right w:val="dotted" w:sz="4" w:space="0" w:color="auto"/>
            </w:tcBorders>
            <w:shd w:val="clear" w:color="000000" w:fill="FFFFFF"/>
            <w:vAlign w:val="center"/>
            <w:hideMark/>
          </w:tcPr>
          <w:p w14:paraId="30DCDBEF" w14:textId="77777777" w:rsidR="002B41BB" w:rsidRPr="004E5A6E" w:rsidRDefault="002B41BB" w:rsidP="002B41BB">
            <w:pPr>
              <w:jc w:val="right"/>
              <w:rPr>
                <w:color w:val="auto"/>
                <w:sz w:val="20"/>
                <w:szCs w:val="20"/>
                <w:lang w:val="sq-AL"/>
              </w:rPr>
            </w:pPr>
            <w:r w:rsidRPr="004E5A6E">
              <w:rPr>
                <w:color w:val="auto"/>
                <w:sz w:val="20"/>
                <w:szCs w:val="20"/>
                <w:lang w:val="sq-AL"/>
              </w:rPr>
              <w:t>-0.9</w:t>
            </w:r>
          </w:p>
        </w:tc>
        <w:tc>
          <w:tcPr>
            <w:tcW w:w="479" w:type="pct"/>
            <w:tcBorders>
              <w:top w:val="nil"/>
              <w:left w:val="nil"/>
              <w:bottom w:val="single" w:sz="4" w:space="0" w:color="auto"/>
              <w:right w:val="double" w:sz="6" w:space="0" w:color="auto"/>
            </w:tcBorders>
            <w:shd w:val="clear" w:color="000000" w:fill="FFFFFF"/>
            <w:vAlign w:val="center"/>
            <w:hideMark/>
          </w:tcPr>
          <w:p w14:paraId="23EE24D6" w14:textId="77777777" w:rsidR="002B41BB" w:rsidRPr="004E5A6E" w:rsidRDefault="002B41BB" w:rsidP="002B41BB">
            <w:pPr>
              <w:jc w:val="right"/>
              <w:rPr>
                <w:color w:val="auto"/>
                <w:sz w:val="20"/>
                <w:szCs w:val="20"/>
                <w:lang w:val="sq-AL"/>
              </w:rPr>
            </w:pPr>
            <w:r w:rsidRPr="004E5A6E">
              <w:rPr>
                <w:color w:val="auto"/>
                <w:sz w:val="20"/>
                <w:szCs w:val="20"/>
                <w:lang w:val="sq-AL"/>
              </w:rPr>
              <w:t>-1.2</w:t>
            </w:r>
          </w:p>
        </w:tc>
      </w:tr>
      <w:tr w:rsidR="002B41BB" w:rsidRPr="004E5A6E" w14:paraId="1058244E" w14:textId="77777777" w:rsidTr="002B41BB">
        <w:trPr>
          <w:trHeight w:val="318"/>
        </w:trPr>
        <w:tc>
          <w:tcPr>
            <w:tcW w:w="2123" w:type="pct"/>
            <w:tcBorders>
              <w:top w:val="nil"/>
              <w:left w:val="double" w:sz="6" w:space="0" w:color="auto"/>
              <w:bottom w:val="dotted" w:sz="4" w:space="0" w:color="auto"/>
              <w:right w:val="nil"/>
            </w:tcBorders>
            <w:shd w:val="clear" w:color="000000" w:fill="FFFFFF"/>
            <w:vAlign w:val="center"/>
            <w:hideMark/>
          </w:tcPr>
          <w:p w14:paraId="03D157C0" w14:textId="77777777" w:rsidR="002B41BB" w:rsidRPr="004E5A6E" w:rsidRDefault="002B41BB" w:rsidP="002B41BB">
            <w:pPr>
              <w:rPr>
                <w:i/>
                <w:iCs/>
                <w:color w:val="auto"/>
                <w:sz w:val="20"/>
                <w:szCs w:val="20"/>
                <w:lang w:val="sq-AL"/>
              </w:rPr>
            </w:pPr>
            <w:r w:rsidRPr="004E5A6E">
              <w:rPr>
                <w:i/>
                <w:iCs/>
                <w:color w:val="auto"/>
                <w:sz w:val="20"/>
                <w:szCs w:val="20"/>
                <w:lang w:val="sq-AL"/>
              </w:rPr>
              <w:t>nga të cilat:</w:t>
            </w:r>
          </w:p>
        </w:tc>
        <w:tc>
          <w:tcPr>
            <w:tcW w:w="479" w:type="pct"/>
            <w:tcBorders>
              <w:top w:val="nil"/>
              <w:left w:val="single" w:sz="8" w:space="0" w:color="auto"/>
              <w:bottom w:val="dotted" w:sz="4" w:space="0" w:color="auto"/>
              <w:right w:val="single" w:sz="8" w:space="0" w:color="auto"/>
            </w:tcBorders>
            <w:shd w:val="clear" w:color="000000" w:fill="FFFFFF"/>
            <w:vAlign w:val="center"/>
            <w:hideMark/>
          </w:tcPr>
          <w:p w14:paraId="1120138F"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479" w:type="pct"/>
            <w:tcBorders>
              <w:top w:val="nil"/>
              <w:left w:val="dotted" w:sz="4" w:space="0" w:color="auto"/>
              <w:bottom w:val="dotted" w:sz="4" w:space="0" w:color="auto"/>
              <w:right w:val="dotted" w:sz="4" w:space="0" w:color="auto"/>
            </w:tcBorders>
            <w:shd w:val="clear" w:color="000000" w:fill="FFFFFF"/>
            <w:vAlign w:val="center"/>
            <w:hideMark/>
          </w:tcPr>
          <w:p w14:paraId="169AFEE7" w14:textId="77777777" w:rsidR="002B41BB" w:rsidRPr="004E5A6E" w:rsidRDefault="002B41BB" w:rsidP="002B41BB">
            <w:pPr>
              <w:jc w:val="right"/>
              <w:rPr>
                <w:color w:val="auto"/>
                <w:sz w:val="20"/>
                <w:szCs w:val="20"/>
                <w:lang w:val="sq-AL"/>
              </w:rPr>
            </w:pPr>
            <w:r w:rsidRPr="004E5A6E">
              <w:rPr>
                <w:color w:val="auto"/>
                <w:sz w:val="20"/>
                <w:szCs w:val="20"/>
                <w:lang w:val="sq-AL"/>
              </w:rPr>
              <w:t> </w:t>
            </w:r>
          </w:p>
        </w:tc>
        <w:tc>
          <w:tcPr>
            <w:tcW w:w="479" w:type="pct"/>
            <w:tcBorders>
              <w:top w:val="nil"/>
              <w:left w:val="nil"/>
              <w:bottom w:val="dotted" w:sz="4" w:space="0" w:color="auto"/>
              <w:right w:val="dotted" w:sz="4" w:space="0" w:color="auto"/>
            </w:tcBorders>
            <w:shd w:val="clear" w:color="000000" w:fill="FFFFFF"/>
            <w:vAlign w:val="center"/>
            <w:hideMark/>
          </w:tcPr>
          <w:p w14:paraId="5331A3B8" w14:textId="77777777" w:rsidR="002B41BB" w:rsidRPr="004E5A6E" w:rsidRDefault="002B41BB" w:rsidP="002B41BB">
            <w:pPr>
              <w:jc w:val="right"/>
              <w:rPr>
                <w:color w:val="auto"/>
                <w:sz w:val="20"/>
                <w:szCs w:val="20"/>
                <w:lang w:val="sq-AL"/>
              </w:rPr>
            </w:pPr>
            <w:r w:rsidRPr="004E5A6E">
              <w:rPr>
                <w:color w:val="auto"/>
                <w:sz w:val="20"/>
                <w:szCs w:val="20"/>
                <w:lang w:val="sq-AL"/>
              </w:rPr>
              <w:t> </w:t>
            </w:r>
          </w:p>
        </w:tc>
        <w:tc>
          <w:tcPr>
            <w:tcW w:w="479" w:type="pct"/>
            <w:tcBorders>
              <w:top w:val="nil"/>
              <w:left w:val="nil"/>
              <w:bottom w:val="dotted" w:sz="4" w:space="0" w:color="auto"/>
              <w:right w:val="dotted" w:sz="4" w:space="0" w:color="auto"/>
            </w:tcBorders>
            <w:shd w:val="clear" w:color="000000" w:fill="FFFFFF"/>
            <w:vAlign w:val="center"/>
            <w:hideMark/>
          </w:tcPr>
          <w:p w14:paraId="3262AA17" w14:textId="77777777" w:rsidR="002B41BB" w:rsidRPr="004E5A6E" w:rsidRDefault="002B41BB" w:rsidP="002B41BB">
            <w:pPr>
              <w:jc w:val="right"/>
              <w:rPr>
                <w:color w:val="auto"/>
                <w:sz w:val="20"/>
                <w:szCs w:val="20"/>
                <w:lang w:val="sq-AL"/>
              </w:rPr>
            </w:pPr>
            <w:r w:rsidRPr="004E5A6E">
              <w:rPr>
                <w:color w:val="auto"/>
                <w:sz w:val="20"/>
                <w:szCs w:val="20"/>
                <w:lang w:val="sq-AL"/>
              </w:rPr>
              <w:t> </w:t>
            </w:r>
          </w:p>
        </w:tc>
        <w:tc>
          <w:tcPr>
            <w:tcW w:w="479" w:type="pct"/>
            <w:tcBorders>
              <w:top w:val="nil"/>
              <w:left w:val="nil"/>
              <w:bottom w:val="dotted" w:sz="4" w:space="0" w:color="auto"/>
              <w:right w:val="dotted" w:sz="4" w:space="0" w:color="auto"/>
            </w:tcBorders>
            <w:shd w:val="clear" w:color="000000" w:fill="FFFFFF"/>
            <w:vAlign w:val="center"/>
            <w:hideMark/>
          </w:tcPr>
          <w:p w14:paraId="0E24073B" w14:textId="77777777" w:rsidR="002B41BB" w:rsidRPr="004E5A6E" w:rsidRDefault="002B41BB" w:rsidP="002B41BB">
            <w:pPr>
              <w:jc w:val="right"/>
              <w:rPr>
                <w:color w:val="auto"/>
                <w:sz w:val="20"/>
                <w:szCs w:val="20"/>
                <w:lang w:val="sq-AL"/>
              </w:rPr>
            </w:pPr>
            <w:r w:rsidRPr="004E5A6E">
              <w:rPr>
                <w:color w:val="auto"/>
                <w:sz w:val="20"/>
                <w:szCs w:val="20"/>
                <w:lang w:val="sq-AL"/>
              </w:rPr>
              <w:t> </w:t>
            </w:r>
          </w:p>
        </w:tc>
        <w:tc>
          <w:tcPr>
            <w:tcW w:w="479" w:type="pct"/>
            <w:tcBorders>
              <w:top w:val="nil"/>
              <w:left w:val="nil"/>
              <w:bottom w:val="dotted" w:sz="4" w:space="0" w:color="auto"/>
              <w:right w:val="double" w:sz="6" w:space="0" w:color="auto"/>
            </w:tcBorders>
            <w:shd w:val="clear" w:color="000000" w:fill="FFFFFF"/>
            <w:vAlign w:val="center"/>
            <w:hideMark/>
          </w:tcPr>
          <w:p w14:paraId="173611DE" w14:textId="77777777" w:rsidR="002B41BB" w:rsidRPr="004E5A6E" w:rsidRDefault="002B41BB" w:rsidP="002B41BB">
            <w:pPr>
              <w:jc w:val="right"/>
              <w:rPr>
                <w:color w:val="auto"/>
                <w:sz w:val="20"/>
                <w:szCs w:val="20"/>
                <w:lang w:val="sq-AL"/>
              </w:rPr>
            </w:pPr>
            <w:r w:rsidRPr="004E5A6E">
              <w:rPr>
                <w:color w:val="auto"/>
                <w:sz w:val="20"/>
                <w:szCs w:val="20"/>
                <w:lang w:val="sq-AL"/>
              </w:rPr>
              <w:t> </w:t>
            </w:r>
          </w:p>
        </w:tc>
      </w:tr>
      <w:tr w:rsidR="002B41BB" w:rsidRPr="004E5A6E" w14:paraId="50F4FD84" w14:textId="77777777" w:rsidTr="002B41BB">
        <w:trPr>
          <w:trHeight w:val="318"/>
        </w:trPr>
        <w:tc>
          <w:tcPr>
            <w:tcW w:w="2123" w:type="pct"/>
            <w:tcBorders>
              <w:top w:val="nil"/>
              <w:left w:val="double" w:sz="6" w:space="0" w:color="auto"/>
              <w:bottom w:val="dotted" w:sz="4" w:space="0" w:color="auto"/>
              <w:right w:val="nil"/>
            </w:tcBorders>
            <w:shd w:val="clear" w:color="000000" w:fill="FFFFFF"/>
            <w:noWrap/>
            <w:vAlign w:val="bottom"/>
            <w:hideMark/>
          </w:tcPr>
          <w:p w14:paraId="20756FB9" w14:textId="77777777" w:rsidR="002B41BB" w:rsidRPr="004E5A6E" w:rsidRDefault="002B41BB" w:rsidP="002B41BB">
            <w:pPr>
              <w:rPr>
                <w:color w:val="auto"/>
                <w:sz w:val="20"/>
                <w:szCs w:val="20"/>
                <w:lang w:val="sq-AL"/>
              </w:rPr>
            </w:pPr>
            <w:r w:rsidRPr="004E5A6E">
              <w:rPr>
                <w:color w:val="auto"/>
                <w:sz w:val="20"/>
                <w:szCs w:val="20"/>
                <w:lang w:val="sq-AL"/>
              </w:rPr>
              <w:t xml:space="preserve">   - Diferenca në mes keshit dhe akruales [4]</w:t>
            </w:r>
          </w:p>
        </w:tc>
        <w:tc>
          <w:tcPr>
            <w:tcW w:w="479" w:type="pct"/>
            <w:tcBorders>
              <w:top w:val="nil"/>
              <w:left w:val="single" w:sz="8" w:space="0" w:color="auto"/>
              <w:bottom w:val="dotted" w:sz="4" w:space="0" w:color="auto"/>
              <w:right w:val="single" w:sz="8" w:space="0" w:color="auto"/>
            </w:tcBorders>
            <w:shd w:val="clear" w:color="000000" w:fill="FFFFFF"/>
            <w:vAlign w:val="center"/>
            <w:hideMark/>
          </w:tcPr>
          <w:p w14:paraId="544BC633"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479" w:type="pct"/>
            <w:tcBorders>
              <w:top w:val="nil"/>
              <w:left w:val="dotted" w:sz="4" w:space="0" w:color="auto"/>
              <w:bottom w:val="dotted" w:sz="4" w:space="0" w:color="auto"/>
              <w:right w:val="dotted" w:sz="4" w:space="0" w:color="auto"/>
            </w:tcBorders>
            <w:shd w:val="clear" w:color="000000" w:fill="FFFFFF"/>
            <w:vAlign w:val="center"/>
            <w:hideMark/>
          </w:tcPr>
          <w:p w14:paraId="79FF82FE" w14:textId="77777777" w:rsidR="002B41BB" w:rsidRPr="004E5A6E" w:rsidRDefault="002B41BB" w:rsidP="002B41BB">
            <w:pPr>
              <w:jc w:val="right"/>
              <w:rPr>
                <w:color w:val="auto"/>
                <w:sz w:val="20"/>
                <w:szCs w:val="20"/>
                <w:lang w:val="sq-AL"/>
              </w:rPr>
            </w:pPr>
            <w:r w:rsidRPr="004E5A6E">
              <w:rPr>
                <w:color w:val="auto"/>
                <w:sz w:val="20"/>
                <w:szCs w:val="20"/>
                <w:lang w:val="sq-AL"/>
              </w:rPr>
              <w:t>:</w:t>
            </w:r>
          </w:p>
        </w:tc>
        <w:tc>
          <w:tcPr>
            <w:tcW w:w="479" w:type="pct"/>
            <w:tcBorders>
              <w:top w:val="nil"/>
              <w:left w:val="nil"/>
              <w:bottom w:val="dotted" w:sz="4" w:space="0" w:color="auto"/>
              <w:right w:val="dotted" w:sz="4" w:space="0" w:color="auto"/>
            </w:tcBorders>
            <w:shd w:val="clear" w:color="000000" w:fill="FFFFFF"/>
            <w:vAlign w:val="center"/>
            <w:hideMark/>
          </w:tcPr>
          <w:p w14:paraId="5A513CC3" w14:textId="77777777" w:rsidR="002B41BB" w:rsidRPr="004E5A6E" w:rsidRDefault="002B41BB" w:rsidP="002B41BB">
            <w:pPr>
              <w:jc w:val="right"/>
              <w:rPr>
                <w:color w:val="auto"/>
                <w:sz w:val="20"/>
                <w:szCs w:val="20"/>
                <w:lang w:val="sq-AL"/>
              </w:rPr>
            </w:pPr>
            <w:r w:rsidRPr="004E5A6E">
              <w:rPr>
                <w:color w:val="auto"/>
                <w:sz w:val="20"/>
                <w:szCs w:val="20"/>
                <w:lang w:val="sq-AL"/>
              </w:rPr>
              <w:t>:</w:t>
            </w:r>
          </w:p>
        </w:tc>
        <w:tc>
          <w:tcPr>
            <w:tcW w:w="479" w:type="pct"/>
            <w:tcBorders>
              <w:top w:val="nil"/>
              <w:left w:val="nil"/>
              <w:bottom w:val="dotted" w:sz="4" w:space="0" w:color="auto"/>
              <w:right w:val="dotted" w:sz="4" w:space="0" w:color="auto"/>
            </w:tcBorders>
            <w:shd w:val="clear" w:color="000000" w:fill="FFFFFF"/>
            <w:vAlign w:val="center"/>
            <w:hideMark/>
          </w:tcPr>
          <w:p w14:paraId="7994F3A8" w14:textId="77777777" w:rsidR="002B41BB" w:rsidRPr="004E5A6E" w:rsidRDefault="002B41BB" w:rsidP="002B41BB">
            <w:pPr>
              <w:jc w:val="right"/>
              <w:rPr>
                <w:color w:val="auto"/>
                <w:sz w:val="20"/>
                <w:szCs w:val="20"/>
                <w:lang w:val="sq-AL"/>
              </w:rPr>
            </w:pPr>
            <w:r w:rsidRPr="004E5A6E">
              <w:rPr>
                <w:color w:val="auto"/>
                <w:sz w:val="20"/>
                <w:szCs w:val="20"/>
                <w:lang w:val="sq-AL"/>
              </w:rPr>
              <w:t>:</w:t>
            </w:r>
          </w:p>
        </w:tc>
        <w:tc>
          <w:tcPr>
            <w:tcW w:w="479" w:type="pct"/>
            <w:tcBorders>
              <w:top w:val="nil"/>
              <w:left w:val="nil"/>
              <w:bottom w:val="dotted" w:sz="4" w:space="0" w:color="auto"/>
              <w:right w:val="dotted" w:sz="4" w:space="0" w:color="auto"/>
            </w:tcBorders>
            <w:shd w:val="clear" w:color="000000" w:fill="FFFFFF"/>
            <w:vAlign w:val="center"/>
            <w:hideMark/>
          </w:tcPr>
          <w:p w14:paraId="625466AB" w14:textId="77777777" w:rsidR="002B41BB" w:rsidRPr="004E5A6E" w:rsidRDefault="002B41BB" w:rsidP="002B41BB">
            <w:pPr>
              <w:jc w:val="right"/>
              <w:rPr>
                <w:color w:val="auto"/>
                <w:sz w:val="20"/>
                <w:szCs w:val="20"/>
                <w:lang w:val="sq-AL"/>
              </w:rPr>
            </w:pPr>
            <w:r w:rsidRPr="004E5A6E">
              <w:rPr>
                <w:color w:val="auto"/>
                <w:sz w:val="20"/>
                <w:szCs w:val="20"/>
                <w:lang w:val="sq-AL"/>
              </w:rPr>
              <w:t>:</w:t>
            </w:r>
          </w:p>
        </w:tc>
        <w:tc>
          <w:tcPr>
            <w:tcW w:w="479" w:type="pct"/>
            <w:tcBorders>
              <w:top w:val="nil"/>
              <w:left w:val="nil"/>
              <w:bottom w:val="dotted" w:sz="4" w:space="0" w:color="auto"/>
              <w:right w:val="double" w:sz="6" w:space="0" w:color="auto"/>
            </w:tcBorders>
            <w:shd w:val="clear" w:color="000000" w:fill="FFFFFF"/>
            <w:vAlign w:val="center"/>
            <w:hideMark/>
          </w:tcPr>
          <w:p w14:paraId="5AF3AB06" w14:textId="77777777" w:rsidR="002B41BB" w:rsidRPr="004E5A6E" w:rsidRDefault="002B41BB" w:rsidP="002B41BB">
            <w:pPr>
              <w:jc w:val="right"/>
              <w:rPr>
                <w:color w:val="auto"/>
                <w:sz w:val="20"/>
                <w:szCs w:val="20"/>
                <w:lang w:val="sq-AL"/>
              </w:rPr>
            </w:pPr>
            <w:r w:rsidRPr="004E5A6E">
              <w:rPr>
                <w:color w:val="auto"/>
                <w:sz w:val="20"/>
                <w:szCs w:val="20"/>
                <w:lang w:val="sq-AL"/>
              </w:rPr>
              <w:t>:</w:t>
            </w:r>
          </w:p>
        </w:tc>
      </w:tr>
      <w:tr w:rsidR="002B41BB" w:rsidRPr="004E5A6E" w14:paraId="5A466DA7" w14:textId="77777777" w:rsidTr="002B41BB">
        <w:trPr>
          <w:trHeight w:val="318"/>
        </w:trPr>
        <w:tc>
          <w:tcPr>
            <w:tcW w:w="2123" w:type="pct"/>
            <w:tcBorders>
              <w:top w:val="nil"/>
              <w:left w:val="double" w:sz="6" w:space="0" w:color="auto"/>
              <w:bottom w:val="single" w:sz="4" w:space="0" w:color="auto"/>
              <w:right w:val="nil"/>
            </w:tcBorders>
            <w:shd w:val="clear" w:color="auto" w:fill="auto"/>
            <w:noWrap/>
            <w:vAlign w:val="bottom"/>
            <w:hideMark/>
          </w:tcPr>
          <w:p w14:paraId="61AE7FDA" w14:textId="77777777" w:rsidR="002B41BB" w:rsidRPr="004E5A6E" w:rsidRDefault="002B41BB" w:rsidP="002B41BB">
            <w:pPr>
              <w:rPr>
                <w:color w:val="auto"/>
                <w:sz w:val="20"/>
                <w:szCs w:val="20"/>
                <w:lang w:val="sq-AL"/>
              </w:rPr>
            </w:pPr>
            <w:r w:rsidRPr="004E5A6E">
              <w:rPr>
                <w:color w:val="auto"/>
                <w:sz w:val="20"/>
                <w:szCs w:val="20"/>
                <w:lang w:val="sq-AL"/>
              </w:rPr>
              <w:t xml:space="preserve">  - Akumulimi neto i aseteve financiare  [5]</w:t>
            </w:r>
          </w:p>
        </w:tc>
        <w:tc>
          <w:tcPr>
            <w:tcW w:w="479" w:type="pct"/>
            <w:tcBorders>
              <w:top w:val="nil"/>
              <w:left w:val="single" w:sz="8" w:space="0" w:color="auto"/>
              <w:bottom w:val="single" w:sz="4" w:space="0" w:color="auto"/>
              <w:right w:val="single" w:sz="8" w:space="0" w:color="auto"/>
            </w:tcBorders>
            <w:shd w:val="clear" w:color="000000" w:fill="FFFFFF"/>
            <w:vAlign w:val="center"/>
            <w:hideMark/>
          </w:tcPr>
          <w:p w14:paraId="7E6BB24C"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479" w:type="pct"/>
            <w:tcBorders>
              <w:top w:val="nil"/>
              <w:left w:val="dotted" w:sz="4" w:space="0" w:color="auto"/>
              <w:bottom w:val="single" w:sz="4" w:space="0" w:color="auto"/>
              <w:right w:val="dotted" w:sz="4" w:space="0" w:color="auto"/>
            </w:tcBorders>
            <w:shd w:val="clear" w:color="000000" w:fill="FFFFFF"/>
            <w:vAlign w:val="center"/>
            <w:hideMark/>
          </w:tcPr>
          <w:p w14:paraId="04A4013A" w14:textId="77777777" w:rsidR="002B41BB" w:rsidRPr="004E5A6E" w:rsidRDefault="002B41BB" w:rsidP="002B41BB">
            <w:pPr>
              <w:jc w:val="right"/>
              <w:rPr>
                <w:color w:val="auto"/>
                <w:sz w:val="20"/>
                <w:szCs w:val="20"/>
                <w:lang w:val="sq-AL"/>
              </w:rPr>
            </w:pPr>
            <w:r w:rsidRPr="004E5A6E">
              <w:rPr>
                <w:color w:val="auto"/>
                <w:sz w:val="20"/>
                <w:szCs w:val="20"/>
                <w:lang w:val="sq-AL"/>
              </w:rPr>
              <w:t>:</w:t>
            </w:r>
          </w:p>
        </w:tc>
        <w:tc>
          <w:tcPr>
            <w:tcW w:w="479" w:type="pct"/>
            <w:tcBorders>
              <w:top w:val="nil"/>
              <w:left w:val="nil"/>
              <w:bottom w:val="single" w:sz="4" w:space="0" w:color="auto"/>
              <w:right w:val="dotted" w:sz="4" w:space="0" w:color="auto"/>
            </w:tcBorders>
            <w:shd w:val="clear" w:color="000000" w:fill="FFFFFF"/>
            <w:vAlign w:val="center"/>
            <w:hideMark/>
          </w:tcPr>
          <w:p w14:paraId="22CFCC0A" w14:textId="77777777" w:rsidR="002B41BB" w:rsidRPr="004E5A6E" w:rsidRDefault="002B41BB" w:rsidP="002B41BB">
            <w:pPr>
              <w:jc w:val="right"/>
              <w:rPr>
                <w:color w:val="auto"/>
                <w:sz w:val="20"/>
                <w:szCs w:val="20"/>
                <w:lang w:val="sq-AL"/>
              </w:rPr>
            </w:pPr>
            <w:r w:rsidRPr="004E5A6E">
              <w:rPr>
                <w:color w:val="auto"/>
                <w:sz w:val="20"/>
                <w:szCs w:val="20"/>
                <w:lang w:val="sq-AL"/>
              </w:rPr>
              <w:t>:</w:t>
            </w:r>
          </w:p>
        </w:tc>
        <w:tc>
          <w:tcPr>
            <w:tcW w:w="479" w:type="pct"/>
            <w:tcBorders>
              <w:top w:val="nil"/>
              <w:left w:val="nil"/>
              <w:bottom w:val="single" w:sz="4" w:space="0" w:color="auto"/>
              <w:right w:val="dotted" w:sz="4" w:space="0" w:color="auto"/>
            </w:tcBorders>
            <w:shd w:val="clear" w:color="000000" w:fill="FFFFFF"/>
            <w:vAlign w:val="center"/>
            <w:hideMark/>
          </w:tcPr>
          <w:p w14:paraId="18D3576E" w14:textId="77777777" w:rsidR="002B41BB" w:rsidRPr="004E5A6E" w:rsidRDefault="002B41BB" w:rsidP="002B41BB">
            <w:pPr>
              <w:jc w:val="right"/>
              <w:rPr>
                <w:color w:val="auto"/>
                <w:sz w:val="20"/>
                <w:szCs w:val="20"/>
                <w:lang w:val="sq-AL"/>
              </w:rPr>
            </w:pPr>
            <w:r w:rsidRPr="004E5A6E">
              <w:rPr>
                <w:color w:val="auto"/>
                <w:sz w:val="20"/>
                <w:szCs w:val="20"/>
                <w:lang w:val="sq-AL"/>
              </w:rPr>
              <w:t>:</w:t>
            </w:r>
          </w:p>
        </w:tc>
        <w:tc>
          <w:tcPr>
            <w:tcW w:w="479" w:type="pct"/>
            <w:tcBorders>
              <w:top w:val="nil"/>
              <w:left w:val="nil"/>
              <w:bottom w:val="single" w:sz="4" w:space="0" w:color="auto"/>
              <w:right w:val="dotted" w:sz="4" w:space="0" w:color="auto"/>
            </w:tcBorders>
            <w:shd w:val="clear" w:color="000000" w:fill="FFFFFF"/>
            <w:vAlign w:val="center"/>
            <w:hideMark/>
          </w:tcPr>
          <w:p w14:paraId="7ECDC87C" w14:textId="77777777" w:rsidR="002B41BB" w:rsidRPr="004E5A6E" w:rsidRDefault="002B41BB" w:rsidP="002B41BB">
            <w:pPr>
              <w:jc w:val="right"/>
              <w:rPr>
                <w:color w:val="auto"/>
                <w:sz w:val="20"/>
                <w:szCs w:val="20"/>
                <w:lang w:val="sq-AL"/>
              </w:rPr>
            </w:pPr>
            <w:r w:rsidRPr="004E5A6E">
              <w:rPr>
                <w:color w:val="auto"/>
                <w:sz w:val="20"/>
                <w:szCs w:val="20"/>
                <w:lang w:val="sq-AL"/>
              </w:rPr>
              <w:t>:</w:t>
            </w:r>
          </w:p>
        </w:tc>
        <w:tc>
          <w:tcPr>
            <w:tcW w:w="479" w:type="pct"/>
            <w:tcBorders>
              <w:top w:val="nil"/>
              <w:left w:val="nil"/>
              <w:bottom w:val="single" w:sz="4" w:space="0" w:color="auto"/>
              <w:right w:val="double" w:sz="6" w:space="0" w:color="auto"/>
            </w:tcBorders>
            <w:shd w:val="clear" w:color="000000" w:fill="FFFFFF"/>
            <w:vAlign w:val="center"/>
            <w:hideMark/>
          </w:tcPr>
          <w:p w14:paraId="37913FB9" w14:textId="77777777" w:rsidR="002B41BB" w:rsidRPr="004E5A6E" w:rsidRDefault="002B41BB" w:rsidP="002B41BB">
            <w:pPr>
              <w:jc w:val="right"/>
              <w:rPr>
                <w:color w:val="auto"/>
                <w:sz w:val="20"/>
                <w:szCs w:val="20"/>
                <w:lang w:val="sq-AL"/>
              </w:rPr>
            </w:pPr>
            <w:r w:rsidRPr="004E5A6E">
              <w:rPr>
                <w:color w:val="auto"/>
                <w:sz w:val="20"/>
                <w:szCs w:val="20"/>
                <w:lang w:val="sq-AL"/>
              </w:rPr>
              <w:t>:</w:t>
            </w:r>
          </w:p>
        </w:tc>
      </w:tr>
      <w:tr w:rsidR="002B41BB" w:rsidRPr="004E5A6E" w14:paraId="7D7C989C" w14:textId="77777777" w:rsidTr="002B41BB">
        <w:trPr>
          <w:trHeight w:val="318"/>
        </w:trPr>
        <w:tc>
          <w:tcPr>
            <w:tcW w:w="2123" w:type="pct"/>
            <w:tcBorders>
              <w:top w:val="nil"/>
              <w:left w:val="double" w:sz="6" w:space="0" w:color="auto"/>
              <w:bottom w:val="dotted" w:sz="4" w:space="0" w:color="auto"/>
              <w:right w:val="nil"/>
            </w:tcBorders>
            <w:shd w:val="clear" w:color="000000" w:fill="FFFFFF"/>
            <w:vAlign w:val="center"/>
            <w:hideMark/>
          </w:tcPr>
          <w:p w14:paraId="5AE98A84" w14:textId="77777777" w:rsidR="002B41BB" w:rsidRPr="004E5A6E" w:rsidRDefault="002B41BB" w:rsidP="002B41BB">
            <w:pPr>
              <w:rPr>
                <w:i/>
                <w:iCs/>
                <w:color w:val="auto"/>
                <w:sz w:val="20"/>
                <w:szCs w:val="20"/>
                <w:lang w:val="sq-AL"/>
              </w:rPr>
            </w:pPr>
            <w:r w:rsidRPr="004E5A6E">
              <w:rPr>
                <w:i/>
                <w:iCs/>
                <w:color w:val="auto"/>
                <w:sz w:val="20"/>
                <w:szCs w:val="20"/>
                <w:lang w:val="sq-AL"/>
              </w:rPr>
              <w:t>nga të cilat:</w:t>
            </w:r>
          </w:p>
        </w:tc>
        <w:tc>
          <w:tcPr>
            <w:tcW w:w="479" w:type="pct"/>
            <w:tcBorders>
              <w:top w:val="nil"/>
              <w:left w:val="single" w:sz="8" w:space="0" w:color="auto"/>
              <w:bottom w:val="dotted" w:sz="4" w:space="0" w:color="auto"/>
              <w:right w:val="single" w:sz="8" w:space="0" w:color="auto"/>
            </w:tcBorders>
            <w:shd w:val="clear" w:color="000000" w:fill="FFFFFF"/>
            <w:vAlign w:val="center"/>
            <w:hideMark/>
          </w:tcPr>
          <w:p w14:paraId="4C73C48A"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479" w:type="pct"/>
            <w:tcBorders>
              <w:top w:val="nil"/>
              <w:left w:val="nil"/>
              <w:bottom w:val="dotted" w:sz="4" w:space="0" w:color="auto"/>
              <w:right w:val="dotted" w:sz="4" w:space="0" w:color="auto"/>
            </w:tcBorders>
            <w:shd w:val="clear" w:color="000000" w:fill="FFFFFF"/>
            <w:vAlign w:val="center"/>
            <w:hideMark/>
          </w:tcPr>
          <w:p w14:paraId="1047D321" w14:textId="77777777" w:rsidR="002B41BB" w:rsidRPr="004E5A6E" w:rsidRDefault="002B41BB" w:rsidP="002B41BB">
            <w:pPr>
              <w:jc w:val="right"/>
              <w:rPr>
                <w:color w:val="auto"/>
                <w:sz w:val="20"/>
                <w:szCs w:val="20"/>
                <w:lang w:val="sq-AL"/>
              </w:rPr>
            </w:pPr>
            <w:r w:rsidRPr="004E5A6E">
              <w:rPr>
                <w:color w:val="auto"/>
                <w:sz w:val="20"/>
                <w:szCs w:val="20"/>
                <w:lang w:val="sq-AL"/>
              </w:rPr>
              <w:t> </w:t>
            </w:r>
          </w:p>
        </w:tc>
        <w:tc>
          <w:tcPr>
            <w:tcW w:w="479" w:type="pct"/>
            <w:tcBorders>
              <w:top w:val="nil"/>
              <w:left w:val="nil"/>
              <w:bottom w:val="dotted" w:sz="4" w:space="0" w:color="auto"/>
              <w:right w:val="dotted" w:sz="4" w:space="0" w:color="auto"/>
            </w:tcBorders>
            <w:shd w:val="clear" w:color="000000" w:fill="FFFFFF"/>
            <w:vAlign w:val="center"/>
            <w:hideMark/>
          </w:tcPr>
          <w:p w14:paraId="2E7B492B" w14:textId="77777777" w:rsidR="002B41BB" w:rsidRPr="004E5A6E" w:rsidRDefault="002B41BB" w:rsidP="002B41BB">
            <w:pPr>
              <w:jc w:val="right"/>
              <w:rPr>
                <w:color w:val="auto"/>
                <w:sz w:val="20"/>
                <w:szCs w:val="20"/>
                <w:lang w:val="sq-AL"/>
              </w:rPr>
            </w:pPr>
            <w:r w:rsidRPr="004E5A6E">
              <w:rPr>
                <w:color w:val="auto"/>
                <w:sz w:val="20"/>
                <w:szCs w:val="20"/>
                <w:lang w:val="sq-AL"/>
              </w:rPr>
              <w:t> </w:t>
            </w:r>
          </w:p>
        </w:tc>
        <w:tc>
          <w:tcPr>
            <w:tcW w:w="479" w:type="pct"/>
            <w:tcBorders>
              <w:top w:val="nil"/>
              <w:left w:val="nil"/>
              <w:bottom w:val="dotted" w:sz="4" w:space="0" w:color="auto"/>
              <w:right w:val="dotted" w:sz="4" w:space="0" w:color="auto"/>
            </w:tcBorders>
            <w:shd w:val="clear" w:color="000000" w:fill="FFFFFF"/>
            <w:vAlign w:val="center"/>
            <w:hideMark/>
          </w:tcPr>
          <w:p w14:paraId="4AB2C898" w14:textId="77777777" w:rsidR="002B41BB" w:rsidRPr="004E5A6E" w:rsidRDefault="002B41BB" w:rsidP="002B41BB">
            <w:pPr>
              <w:jc w:val="right"/>
              <w:rPr>
                <w:color w:val="auto"/>
                <w:sz w:val="20"/>
                <w:szCs w:val="20"/>
                <w:lang w:val="sq-AL"/>
              </w:rPr>
            </w:pPr>
            <w:r w:rsidRPr="004E5A6E">
              <w:rPr>
                <w:color w:val="auto"/>
                <w:sz w:val="20"/>
                <w:szCs w:val="20"/>
                <w:lang w:val="sq-AL"/>
              </w:rPr>
              <w:t> </w:t>
            </w:r>
          </w:p>
        </w:tc>
        <w:tc>
          <w:tcPr>
            <w:tcW w:w="479" w:type="pct"/>
            <w:tcBorders>
              <w:top w:val="nil"/>
              <w:left w:val="nil"/>
              <w:bottom w:val="dotted" w:sz="4" w:space="0" w:color="auto"/>
              <w:right w:val="dotted" w:sz="4" w:space="0" w:color="auto"/>
            </w:tcBorders>
            <w:shd w:val="clear" w:color="000000" w:fill="FFFFFF"/>
            <w:vAlign w:val="center"/>
            <w:hideMark/>
          </w:tcPr>
          <w:p w14:paraId="47C63E1E" w14:textId="77777777" w:rsidR="002B41BB" w:rsidRPr="004E5A6E" w:rsidRDefault="002B41BB" w:rsidP="002B41BB">
            <w:pPr>
              <w:jc w:val="right"/>
              <w:rPr>
                <w:color w:val="auto"/>
                <w:sz w:val="20"/>
                <w:szCs w:val="20"/>
                <w:lang w:val="sq-AL"/>
              </w:rPr>
            </w:pPr>
            <w:r w:rsidRPr="004E5A6E">
              <w:rPr>
                <w:color w:val="auto"/>
                <w:sz w:val="20"/>
                <w:szCs w:val="20"/>
                <w:lang w:val="sq-AL"/>
              </w:rPr>
              <w:t> </w:t>
            </w:r>
          </w:p>
        </w:tc>
        <w:tc>
          <w:tcPr>
            <w:tcW w:w="479" w:type="pct"/>
            <w:tcBorders>
              <w:top w:val="nil"/>
              <w:left w:val="nil"/>
              <w:bottom w:val="dotted" w:sz="4" w:space="0" w:color="auto"/>
              <w:right w:val="double" w:sz="6" w:space="0" w:color="auto"/>
            </w:tcBorders>
            <w:shd w:val="clear" w:color="000000" w:fill="FFFFFF"/>
            <w:vAlign w:val="center"/>
            <w:hideMark/>
          </w:tcPr>
          <w:p w14:paraId="1B49E901" w14:textId="77777777" w:rsidR="002B41BB" w:rsidRPr="004E5A6E" w:rsidRDefault="002B41BB" w:rsidP="002B41BB">
            <w:pPr>
              <w:jc w:val="right"/>
              <w:rPr>
                <w:color w:val="auto"/>
                <w:sz w:val="20"/>
                <w:szCs w:val="20"/>
                <w:lang w:val="sq-AL"/>
              </w:rPr>
            </w:pPr>
            <w:r w:rsidRPr="004E5A6E">
              <w:rPr>
                <w:color w:val="auto"/>
                <w:sz w:val="20"/>
                <w:szCs w:val="20"/>
                <w:lang w:val="sq-AL"/>
              </w:rPr>
              <w:t> </w:t>
            </w:r>
          </w:p>
        </w:tc>
      </w:tr>
      <w:tr w:rsidR="002B41BB" w:rsidRPr="004E5A6E" w14:paraId="39193C67" w14:textId="77777777" w:rsidTr="002B41BB">
        <w:trPr>
          <w:trHeight w:val="318"/>
        </w:trPr>
        <w:tc>
          <w:tcPr>
            <w:tcW w:w="2123" w:type="pct"/>
            <w:tcBorders>
              <w:top w:val="nil"/>
              <w:left w:val="double" w:sz="6" w:space="0" w:color="auto"/>
              <w:bottom w:val="dotted" w:sz="4" w:space="0" w:color="auto"/>
              <w:right w:val="nil"/>
            </w:tcBorders>
            <w:shd w:val="clear" w:color="000000" w:fill="FFFFFF"/>
            <w:vAlign w:val="center"/>
            <w:hideMark/>
          </w:tcPr>
          <w:p w14:paraId="2FF7A34A" w14:textId="77777777" w:rsidR="002B41BB" w:rsidRPr="004E5A6E" w:rsidRDefault="002B41BB" w:rsidP="002B41BB">
            <w:pPr>
              <w:rPr>
                <w:color w:val="auto"/>
                <w:sz w:val="20"/>
                <w:szCs w:val="20"/>
                <w:lang w:val="sq-AL"/>
              </w:rPr>
            </w:pPr>
            <w:r w:rsidRPr="004E5A6E">
              <w:rPr>
                <w:color w:val="auto"/>
                <w:sz w:val="20"/>
                <w:szCs w:val="20"/>
                <w:lang w:val="sq-AL"/>
              </w:rPr>
              <w:t xml:space="preserve">   - Proceduarat e privatizimit</w:t>
            </w:r>
          </w:p>
        </w:tc>
        <w:tc>
          <w:tcPr>
            <w:tcW w:w="479" w:type="pct"/>
            <w:tcBorders>
              <w:top w:val="nil"/>
              <w:left w:val="single" w:sz="8" w:space="0" w:color="auto"/>
              <w:bottom w:val="dotted" w:sz="4" w:space="0" w:color="auto"/>
              <w:right w:val="single" w:sz="8" w:space="0" w:color="auto"/>
            </w:tcBorders>
            <w:shd w:val="clear" w:color="000000" w:fill="FFFFFF"/>
            <w:vAlign w:val="center"/>
            <w:hideMark/>
          </w:tcPr>
          <w:p w14:paraId="4A402938"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479" w:type="pct"/>
            <w:tcBorders>
              <w:top w:val="nil"/>
              <w:left w:val="nil"/>
              <w:bottom w:val="dotted" w:sz="4" w:space="0" w:color="auto"/>
              <w:right w:val="dotted" w:sz="4" w:space="0" w:color="auto"/>
            </w:tcBorders>
            <w:shd w:val="clear" w:color="000000" w:fill="FFFFFF"/>
            <w:vAlign w:val="center"/>
            <w:hideMark/>
          </w:tcPr>
          <w:p w14:paraId="1A7A334C" w14:textId="77777777" w:rsidR="002B41BB" w:rsidRPr="004E5A6E" w:rsidRDefault="002B41BB" w:rsidP="002B41BB">
            <w:pPr>
              <w:jc w:val="right"/>
              <w:rPr>
                <w:color w:val="auto"/>
                <w:sz w:val="20"/>
                <w:szCs w:val="20"/>
                <w:lang w:val="sq-AL"/>
              </w:rPr>
            </w:pPr>
            <w:r w:rsidRPr="004E5A6E">
              <w:rPr>
                <w:color w:val="auto"/>
                <w:sz w:val="20"/>
                <w:szCs w:val="20"/>
                <w:lang w:val="sq-AL"/>
              </w:rPr>
              <w:t>:</w:t>
            </w:r>
          </w:p>
        </w:tc>
        <w:tc>
          <w:tcPr>
            <w:tcW w:w="479" w:type="pct"/>
            <w:tcBorders>
              <w:top w:val="nil"/>
              <w:left w:val="nil"/>
              <w:bottom w:val="dotted" w:sz="4" w:space="0" w:color="auto"/>
              <w:right w:val="dotted" w:sz="4" w:space="0" w:color="auto"/>
            </w:tcBorders>
            <w:shd w:val="clear" w:color="000000" w:fill="FFFFFF"/>
            <w:vAlign w:val="center"/>
            <w:hideMark/>
          </w:tcPr>
          <w:p w14:paraId="5D0E97F1" w14:textId="77777777" w:rsidR="002B41BB" w:rsidRPr="004E5A6E" w:rsidRDefault="002B41BB" w:rsidP="002B41BB">
            <w:pPr>
              <w:jc w:val="right"/>
              <w:rPr>
                <w:color w:val="auto"/>
                <w:sz w:val="20"/>
                <w:szCs w:val="20"/>
                <w:lang w:val="sq-AL"/>
              </w:rPr>
            </w:pPr>
            <w:r w:rsidRPr="004E5A6E">
              <w:rPr>
                <w:color w:val="auto"/>
                <w:sz w:val="20"/>
                <w:szCs w:val="20"/>
                <w:lang w:val="sq-AL"/>
              </w:rPr>
              <w:t>:</w:t>
            </w:r>
          </w:p>
        </w:tc>
        <w:tc>
          <w:tcPr>
            <w:tcW w:w="479" w:type="pct"/>
            <w:tcBorders>
              <w:top w:val="nil"/>
              <w:left w:val="nil"/>
              <w:bottom w:val="dotted" w:sz="4" w:space="0" w:color="auto"/>
              <w:right w:val="dotted" w:sz="4" w:space="0" w:color="auto"/>
            </w:tcBorders>
            <w:shd w:val="clear" w:color="000000" w:fill="FFFFFF"/>
            <w:vAlign w:val="center"/>
            <w:hideMark/>
          </w:tcPr>
          <w:p w14:paraId="13E7CE46" w14:textId="77777777" w:rsidR="002B41BB" w:rsidRPr="004E5A6E" w:rsidRDefault="002B41BB" w:rsidP="002B41BB">
            <w:pPr>
              <w:jc w:val="right"/>
              <w:rPr>
                <w:color w:val="auto"/>
                <w:sz w:val="20"/>
                <w:szCs w:val="20"/>
                <w:lang w:val="sq-AL"/>
              </w:rPr>
            </w:pPr>
            <w:r w:rsidRPr="004E5A6E">
              <w:rPr>
                <w:color w:val="auto"/>
                <w:sz w:val="20"/>
                <w:szCs w:val="20"/>
                <w:lang w:val="sq-AL"/>
              </w:rPr>
              <w:t>:</w:t>
            </w:r>
          </w:p>
        </w:tc>
        <w:tc>
          <w:tcPr>
            <w:tcW w:w="479" w:type="pct"/>
            <w:tcBorders>
              <w:top w:val="nil"/>
              <w:left w:val="nil"/>
              <w:bottom w:val="dotted" w:sz="4" w:space="0" w:color="auto"/>
              <w:right w:val="dotted" w:sz="4" w:space="0" w:color="auto"/>
            </w:tcBorders>
            <w:shd w:val="clear" w:color="000000" w:fill="FFFFFF"/>
            <w:vAlign w:val="center"/>
            <w:hideMark/>
          </w:tcPr>
          <w:p w14:paraId="3EE0FF1D" w14:textId="77777777" w:rsidR="002B41BB" w:rsidRPr="004E5A6E" w:rsidRDefault="002B41BB" w:rsidP="002B41BB">
            <w:pPr>
              <w:jc w:val="right"/>
              <w:rPr>
                <w:color w:val="auto"/>
                <w:sz w:val="20"/>
                <w:szCs w:val="20"/>
                <w:lang w:val="sq-AL"/>
              </w:rPr>
            </w:pPr>
            <w:r w:rsidRPr="004E5A6E">
              <w:rPr>
                <w:color w:val="auto"/>
                <w:sz w:val="20"/>
                <w:szCs w:val="20"/>
                <w:lang w:val="sq-AL"/>
              </w:rPr>
              <w:t>:</w:t>
            </w:r>
          </w:p>
        </w:tc>
        <w:tc>
          <w:tcPr>
            <w:tcW w:w="479" w:type="pct"/>
            <w:tcBorders>
              <w:top w:val="nil"/>
              <w:left w:val="nil"/>
              <w:bottom w:val="dotted" w:sz="4" w:space="0" w:color="auto"/>
              <w:right w:val="double" w:sz="6" w:space="0" w:color="auto"/>
            </w:tcBorders>
            <w:shd w:val="clear" w:color="000000" w:fill="FFFFFF"/>
            <w:vAlign w:val="center"/>
            <w:hideMark/>
          </w:tcPr>
          <w:p w14:paraId="58A7D167" w14:textId="77777777" w:rsidR="002B41BB" w:rsidRPr="004E5A6E" w:rsidRDefault="002B41BB" w:rsidP="002B41BB">
            <w:pPr>
              <w:jc w:val="right"/>
              <w:rPr>
                <w:color w:val="auto"/>
                <w:sz w:val="20"/>
                <w:szCs w:val="20"/>
                <w:lang w:val="sq-AL"/>
              </w:rPr>
            </w:pPr>
            <w:r w:rsidRPr="004E5A6E">
              <w:rPr>
                <w:color w:val="auto"/>
                <w:sz w:val="20"/>
                <w:szCs w:val="20"/>
                <w:lang w:val="sq-AL"/>
              </w:rPr>
              <w:t>:</w:t>
            </w:r>
          </w:p>
        </w:tc>
      </w:tr>
      <w:tr w:rsidR="002B41BB" w:rsidRPr="004E5A6E" w14:paraId="45612F81" w14:textId="77777777" w:rsidTr="002B41BB">
        <w:trPr>
          <w:trHeight w:val="318"/>
        </w:trPr>
        <w:tc>
          <w:tcPr>
            <w:tcW w:w="2123" w:type="pct"/>
            <w:tcBorders>
              <w:top w:val="nil"/>
              <w:left w:val="double" w:sz="6" w:space="0" w:color="auto"/>
              <w:bottom w:val="single" w:sz="4" w:space="0" w:color="auto"/>
              <w:right w:val="nil"/>
            </w:tcBorders>
            <w:shd w:val="clear" w:color="auto" w:fill="auto"/>
            <w:noWrap/>
            <w:vAlign w:val="bottom"/>
            <w:hideMark/>
          </w:tcPr>
          <w:p w14:paraId="182F090C" w14:textId="77777777" w:rsidR="002B41BB" w:rsidRPr="004E5A6E" w:rsidRDefault="002B41BB" w:rsidP="002B41BB">
            <w:pPr>
              <w:rPr>
                <w:color w:val="auto"/>
                <w:sz w:val="20"/>
                <w:szCs w:val="20"/>
                <w:lang w:val="sq-AL"/>
              </w:rPr>
            </w:pPr>
            <w:bookmarkStart w:id="234" w:name="RANGE!B15"/>
            <w:r w:rsidRPr="004E5A6E">
              <w:rPr>
                <w:color w:val="auto"/>
                <w:sz w:val="20"/>
                <w:szCs w:val="20"/>
                <w:lang w:val="sq-AL"/>
              </w:rPr>
              <w:t xml:space="preserve">   - Efektet e vlersimit dhe të tjera [6]</w:t>
            </w:r>
            <w:bookmarkEnd w:id="234"/>
          </w:p>
        </w:tc>
        <w:tc>
          <w:tcPr>
            <w:tcW w:w="479" w:type="pct"/>
            <w:tcBorders>
              <w:top w:val="nil"/>
              <w:left w:val="single" w:sz="8" w:space="0" w:color="auto"/>
              <w:bottom w:val="single" w:sz="4" w:space="0" w:color="auto"/>
              <w:right w:val="single" w:sz="8" w:space="0" w:color="auto"/>
            </w:tcBorders>
            <w:shd w:val="clear" w:color="000000" w:fill="FFFFFF"/>
            <w:vAlign w:val="center"/>
            <w:hideMark/>
          </w:tcPr>
          <w:p w14:paraId="5F7ACBBA"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479" w:type="pct"/>
            <w:tcBorders>
              <w:top w:val="nil"/>
              <w:left w:val="nil"/>
              <w:bottom w:val="single" w:sz="4" w:space="0" w:color="auto"/>
              <w:right w:val="dotted" w:sz="4" w:space="0" w:color="auto"/>
            </w:tcBorders>
            <w:shd w:val="clear" w:color="000000" w:fill="FFFFFF"/>
            <w:vAlign w:val="center"/>
            <w:hideMark/>
          </w:tcPr>
          <w:p w14:paraId="04E68B85" w14:textId="77777777" w:rsidR="002B41BB" w:rsidRPr="004E5A6E" w:rsidRDefault="002B41BB" w:rsidP="002B41BB">
            <w:pPr>
              <w:jc w:val="right"/>
              <w:rPr>
                <w:color w:val="auto"/>
                <w:sz w:val="20"/>
                <w:szCs w:val="20"/>
                <w:lang w:val="sq-AL"/>
              </w:rPr>
            </w:pPr>
            <w:r w:rsidRPr="004E5A6E">
              <w:rPr>
                <w:color w:val="auto"/>
                <w:sz w:val="20"/>
                <w:szCs w:val="20"/>
                <w:lang w:val="sq-AL"/>
              </w:rPr>
              <w:t>:</w:t>
            </w:r>
          </w:p>
        </w:tc>
        <w:tc>
          <w:tcPr>
            <w:tcW w:w="479" w:type="pct"/>
            <w:tcBorders>
              <w:top w:val="nil"/>
              <w:left w:val="nil"/>
              <w:bottom w:val="single" w:sz="4" w:space="0" w:color="auto"/>
              <w:right w:val="dotted" w:sz="4" w:space="0" w:color="auto"/>
            </w:tcBorders>
            <w:shd w:val="clear" w:color="000000" w:fill="FFFFFF"/>
            <w:vAlign w:val="center"/>
            <w:hideMark/>
          </w:tcPr>
          <w:p w14:paraId="1B8324D7" w14:textId="77777777" w:rsidR="002B41BB" w:rsidRPr="004E5A6E" w:rsidRDefault="002B41BB" w:rsidP="002B41BB">
            <w:pPr>
              <w:jc w:val="right"/>
              <w:rPr>
                <w:color w:val="auto"/>
                <w:sz w:val="20"/>
                <w:szCs w:val="20"/>
                <w:lang w:val="sq-AL"/>
              </w:rPr>
            </w:pPr>
            <w:r w:rsidRPr="004E5A6E">
              <w:rPr>
                <w:color w:val="auto"/>
                <w:sz w:val="20"/>
                <w:szCs w:val="20"/>
                <w:lang w:val="sq-AL"/>
              </w:rPr>
              <w:t>:</w:t>
            </w:r>
          </w:p>
        </w:tc>
        <w:tc>
          <w:tcPr>
            <w:tcW w:w="479" w:type="pct"/>
            <w:tcBorders>
              <w:top w:val="nil"/>
              <w:left w:val="nil"/>
              <w:bottom w:val="single" w:sz="4" w:space="0" w:color="auto"/>
              <w:right w:val="dotted" w:sz="4" w:space="0" w:color="auto"/>
            </w:tcBorders>
            <w:shd w:val="clear" w:color="000000" w:fill="FFFFFF"/>
            <w:vAlign w:val="center"/>
            <w:hideMark/>
          </w:tcPr>
          <w:p w14:paraId="11291670" w14:textId="77777777" w:rsidR="002B41BB" w:rsidRPr="004E5A6E" w:rsidRDefault="002B41BB" w:rsidP="002B41BB">
            <w:pPr>
              <w:jc w:val="right"/>
              <w:rPr>
                <w:color w:val="auto"/>
                <w:sz w:val="20"/>
                <w:szCs w:val="20"/>
                <w:lang w:val="sq-AL"/>
              </w:rPr>
            </w:pPr>
            <w:r w:rsidRPr="004E5A6E">
              <w:rPr>
                <w:color w:val="auto"/>
                <w:sz w:val="20"/>
                <w:szCs w:val="20"/>
                <w:lang w:val="sq-AL"/>
              </w:rPr>
              <w:t>:</w:t>
            </w:r>
          </w:p>
        </w:tc>
        <w:tc>
          <w:tcPr>
            <w:tcW w:w="479" w:type="pct"/>
            <w:tcBorders>
              <w:top w:val="nil"/>
              <w:left w:val="nil"/>
              <w:bottom w:val="single" w:sz="4" w:space="0" w:color="auto"/>
              <w:right w:val="dotted" w:sz="4" w:space="0" w:color="auto"/>
            </w:tcBorders>
            <w:shd w:val="clear" w:color="000000" w:fill="FFFFFF"/>
            <w:vAlign w:val="center"/>
            <w:hideMark/>
          </w:tcPr>
          <w:p w14:paraId="704E815B" w14:textId="77777777" w:rsidR="002B41BB" w:rsidRPr="004E5A6E" w:rsidRDefault="002B41BB" w:rsidP="002B41BB">
            <w:pPr>
              <w:jc w:val="right"/>
              <w:rPr>
                <w:color w:val="auto"/>
                <w:sz w:val="20"/>
                <w:szCs w:val="20"/>
                <w:lang w:val="sq-AL"/>
              </w:rPr>
            </w:pPr>
            <w:r w:rsidRPr="004E5A6E">
              <w:rPr>
                <w:color w:val="auto"/>
                <w:sz w:val="20"/>
                <w:szCs w:val="20"/>
                <w:lang w:val="sq-AL"/>
              </w:rPr>
              <w:t>:</w:t>
            </w:r>
          </w:p>
        </w:tc>
        <w:tc>
          <w:tcPr>
            <w:tcW w:w="479" w:type="pct"/>
            <w:tcBorders>
              <w:top w:val="nil"/>
              <w:left w:val="nil"/>
              <w:bottom w:val="single" w:sz="4" w:space="0" w:color="auto"/>
              <w:right w:val="double" w:sz="6" w:space="0" w:color="auto"/>
            </w:tcBorders>
            <w:shd w:val="clear" w:color="000000" w:fill="FFFFFF"/>
            <w:vAlign w:val="center"/>
            <w:hideMark/>
          </w:tcPr>
          <w:p w14:paraId="0EC56285" w14:textId="77777777" w:rsidR="002B41BB" w:rsidRPr="004E5A6E" w:rsidRDefault="002B41BB" w:rsidP="002B41BB">
            <w:pPr>
              <w:jc w:val="right"/>
              <w:rPr>
                <w:color w:val="auto"/>
                <w:sz w:val="20"/>
                <w:szCs w:val="20"/>
                <w:lang w:val="sq-AL"/>
              </w:rPr>
            </w:pPr>
            <w:r w:rsidRPr="004E5A6E">
              <w:rPr>
                <w:color w:val="auto"/>
                <w:sz w:val="20"/>
                <w:szCs w:val="20"/>
                <w:lang w:val="sq-AL"/>
              </w:rPr>
              <w:t>:</w:t>
            </w:r>
          </w:p>
        </w:tc>
      </w:tr>
      <w:tr w:rsidR="002B41BB" w:rsidRPr="004E5A6E" w14:paraId="5DB4703F" w14:textId="77777777" w:rsidTr="002B41BB">
        <w:trPr>
          <w:trHeight w:val="318"/>
        </w:trPr>
        <w:tc>
          <w:tcPr>
            <w:tcW w:w="2123" w:type="pct"/>
            <w:tcBorders>
              <w:top w:val="nil"/>
              <w:left w:val="double" w:sz="6" w:space="0" w:color="auto"/>
              <w:bottom w:val="single" w:sz="8" w:space="0" w:color="auto"/>
              <w:right w:val="nil"/>
            </w:tcBorders>
            <w:shd w:val="clear" w:color="auto" w:fill="auto"/>
            <w:noWrap/>
            <w:vAlign w:val="bottom"/>
            <w:hideMark/>
          </w:tcPr>
          <w:p w14:paraId="3C6841A1" w14:textId="77777777" w:rsidR="002B41BB" w:rsidRPr="004E5A6E" w:rsidRDefault="002B41BB" w:rsidP="002B41BB">
            <w:pPr>
              <w:rPr>
                <w:color w:val="auto"/>
                <w:sz w:val="20"/>
                <w:szCs w:val="20"/>
                <w:lang w:val="sq-AL"/>
              </w:rPr>
            </w:pPr>
            <w:bookmarkStart w:id="235" w:name="RANGE!B16"/>
            <w:r w:rsidRPr="004E5A6E">
              <w:rPr>
                <w:color w:val="auto"/>
                <w:sz w:val="20"/>
                <w:szCs w:val="20"/>
                <w:lang w:val="sq-AL"/>
              </w:rPr>
              <w:t xml:space="preserve">   p.m. norma e interesit e nënkuptuar në</w:t>
            </w:r>
            <w:r w:rsidRPr="004E5A6E">
              <w:rPr>
                <w:color w:val="auto"/>
                <w:sz w:val="20"/>
                <w:szCs w:val="20"/>
                <w:lang w:val="sq-AL"/>
              </w:rPr>
              <w:br/>
              <w:t>borxh [7]</w:t>
            </w:r>
            <w:bookmarkEnd w:id="235"/>
          </w:p>
        </w:tc>
        <w:tc>
          <w:tcPr>
            <w:tcW w:w="479" w:type="pct"/>
            <w:tcBorders>
              <w:top w:val="nil"/>
              <w:left w:val="single" w:sz="8" w:space="0" w:color="auto"/>
              <w:bottom w:val="single" w:sz="8" w:space="0" w:color="auto"/>
              <w:right w:val="single" w:sz="8" w:space="0" w:color="auto"/>
            </w:tcBorders>
            <w:shd w:val="clear" w:color="000000" w:fill="FFFFFF"/>
            <w:vAlign w:val="center"/>
            <w:hideMark/>
          </w:tcPr>
          <w:p w14:paraId="06AA8832"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479" w:type="pct"/>
            <w:tcBorders>
              <w:top w:val="nil"/>
              <w:left w:val="nil"/>
              <w:bottom w:val="single" w:sz="8" w:space="0" w:color="auto"/>
              <w:right w:val="dotted" w:sz="4" w:space="0" w:color="auto"/>
            </w:tcBorders>
            <w:shd w:val="clear" w:color="000000" w:fill="FFFFFF"/>
            <w:vAlign w:val="center"/>
            <w:hideMark/>
          </w:tcPr>
          <w:p w14:paraId="57379D4F" w14:textId="77777777" w:rsidR="002B41BB" w:rsidRPr="004E5A6E" w:rsidRDefault="002B41BB" w:rsidP="002B41BB">
            <w:pPr>
              <w:jc w:val="right"/>
              <w:rPr>
                <w:color w:val="auto"/>
                <w:sz w:val="20"/>
                <w:szCs w:val="20"/>
                <w:lang w:val="sq-AL"/>
              </w:rPr>
            </w:pPr>
            <w:r w:rsidRPr="004E5A6E">
              <w:rPr>
                <w:color w:val="auto"/>
                <w:sz w:val="20"/>
                <w:szCs w:val="20"/>
                <w:lang w:val="sq-AL"/>
              </w:rPr>
              <w:t>2.1</w:t>
            </w:r>
          </w:p>
        </w:tc>
        <w:tc>
          <w:tcPr>
            <w:tcW w:w="479" w:type="pct"/>
            <w:tcBorders>
              <w:top w:val="nil"/>
              <w:left w:val="nil"/>
              <w:bottom w:val="single" w:sz="8" w:space="0" w:color="auto"/>
              <w:right w:val="dotted" w:sz="4" w:space="0" w:color="auto"/>
            </w:tcBorders>
            <w:shd w:val="clear" w:color="000000" w:fill="FFFFFF"/>
            <w:vAlign w:val="center"/>
            <w:hideMark/>
          </w:tcPr>
          <w:p w14:paraId="0B9AD3EB" w14:textId="77777777" w:rsidR="002B41BB" w:rsidRPr="004E5A6E" w:rsidRDefault="002B41BB" w:rsidP="002B41BB">
            <w:pPr>
              <w:jc w:val="right"/>
              <w:rPr>
                <w:color w:val="auto"/>
                <w:sz w:val="20"/>
                <w:szCs w:val="20"/>
                <w:lang w:val="sq-AL"/>
              </w:rPr>
            </w:pPr>
            <w:r w:rsidRPr="004E5A6E">
              <w:rPr>
                <w:color w:val="auto"/>
                <w:sz w:val="20"/>
                <w:szCs w:val="20"/>
                <w:lang w:val="sq-AL"/>
              </w:rPr>
              <w:t>2.4</w:t>
            </w:r>
          </w:p>
        </w:tc>
        <w:tc>
          <w:tcPr>
            <w:tcW w:w="479" w:type="pct"/>
            <w:tcBorders>
              <w:top w:val="nil"/>
              <w:left w:val="nil"/>
              <w:bottom w:val="single" w:sz="8" w:space="0" w:color="auto"/>
              <w:right w:val="dotted" w:sz="4" w:space="0" w:color="auto"/>
            </w:tcBorders>
            <w:shd w:val="clear" w:color="000000" w:fill="FFFFFF"/>
            <w:vAlign w:val="center"/>
            <w:hideMark/>
          </w:tcPr>
          <w:p w14:paraId="4DC08748" w14:textId="77777777" w:rsidR="002B41BB" w:rsidRPr="004E5A6E" w:rsidRDefault="002B41BB" w:rsidP="002B41BB">
            <w:pPr>
              <w:jc w:val="right"/>
              <w:rPr>
                <w:color w:val="auto"/>
                <w:sz w:val="20"/>
                <w:szCs w:val="20"/>
                <w:lang w:val="sq-AL"/>
              </w:rPr>
            </w:pPr>
            <w:r w:rsidRPr="004E5A6E">
              <w:rPr>
                <w:color w:val="auto"/>
                <w:sz w:val="20"/>
                <w:szCs w:val="20"/>
                <w:lang w:val="sq-AL"/>
              </w:rPr>
              <w:t>2.3</w:t>
            </w:r>
          </w:p>
        </w:tc>
        <w:tc>
          <w:tcPr>
            <w:tcW w:w="479" w:type="pct"/>
            <w:tcBorders>
              <w:top w:val="nil"/>
              <w:left w:val="nil"/>
              <w:bottom w:val="single" w:sz="8" w:space="0" w:color="auto"/>
              <w:right w:val="dotted" w:sz="4" w:space="0" w:color="auto"/>
            </w:tcBorders>
            <w:shd w:val="clear" w:color="000000" w:fill="FFFFFF"/>
            <w:vAlign w:val="center"/>
            <w:hideMark/>
          </w:tcPr>
          <w:p w14:paraId="6E12B5BD" w14:textId="77777777" w:rsidR="002B41BB" w:rsidRPr="004E5A6E" w:rsidRDefault="002B41BB" w:rsidP="002B41BB">
            <w:pPr>
              <w:jc w:val="right"/>
              <w:rPr>
                <w:color w:val="auto"/>
                <w:sz w:val="20"/>
                <w:szCs w:val="20"/>
                <w:lang w:val="sq-AL"/>
              </w:rPr>
            </w:pPr>
            <w:r w:rsidRPr="004E5A6E">
              <w:rPr>
                <w:color w:val="auto"/>
                <w:sz w:val="20"/>
                <w:szCs w:val="20"/>
                <w:lang w:val="sq-AL"/>
              </w:rPr>
              <w:t>2.2</w:t>
            </w:r>
          </w:p>
        </w:tc>
        <w:tc>
          <w:tcPr>
            <w:tcW w:w="479" w:type="pct"/>
            <w:tcBorders>
              <w:top w:val="nil"/>
              <w:left w:val="nil"/>
              <w:bottom w:val="single" w:sz="8" w:space="0" w:color="auto"/>
              <w:right w:val="double" w:sz="6" w:space="0" w:color="auto"/>
            </w:tcBorders>
            <w:shd w:val="clear" w:color="000000" w:fill="FFFFFF"/>
            <w:vAlign w:val="center"/>
            <w:hideMark/>
          </w:tcPr>
          <w:p w14:paraId="5ED2F2AB" w14:textId="77777777" w:rsidR="002B41BB" w:rsidRPr="004E5A6E" w:rsidRDefault="002B41BB" w:rsidP="002B41BB">
            <w:pPr>
              <w:jc w:val="right"/>
              <w:rPr>
                <w:color w:val="auto"/>
                <w:sz w:val="20"/>
                <w:szCs w:val="20"/>
                <w:lang w:val="sq-AL"/>
              </w:rPr>
            </w:pPr>
            <w:r w:rsidRPr="004E5A6E">
              <w:rPr>
                <w:color w:val="auto"/>
                <w:sz w:val="20"/>
                <w:szCs w:val="20"/>
                <w:lang w:val="sq-AL"/>
              </w:rPr>
              <w:t>2.3</w:t>
            </w:r>
          </w:p>
        </w:tc>
      </w:tr>
      <w:tr w:rsidR="002B41BB" w:rsidRPr="004E5A6E" w14:paraId="1DE97D18" w14:textId="77777777" w:rsidTr="002B41BB">
        <w:trPr>
          <w:trHeight w:val="318"/>
        </w:trPr>
        <w:tc>
          <w:tcPr>
            <w:tcW w:w="5000" w:type="pct"/>
            <w:gridSpan w:val="7"/>
            <w:tcBorders>
              <w:top w:val="single" w:sz="8" w:space="0" w:color="auto"/>
              <w:left w:val="double" w:sz="6" w:space="0" w:color="auto"/>
              <w:bottom w:val="single" w:sz="8" w:space="0" w:color="auto"/>
              <w:right w:val="double" w:sz="6" w:space="0" w:color="000000"/>
            </w:tcBorders>
            <w:shd w:val="clear" w:color="000000" w:fill="FFFFFF"/>
            <w:vAlign w:val="center"/>
            <w:hideMark/>
          </w:tcPr>
          <w:p w14:paraId="6E4310D4" w14:textId="77777777" w:rsidR="002B41BB" w:rsidRPr="004E5A6E" w:rsidRDefault="002B41BB" w:rsidP="002B41BB">
            <w:pPr>
              <w:jc w:val="center"/>
              <w:rPr>
                <w:b/>
                <w:bCs/>
                <w:color w:val="auto"/>
                <w:sz w:val="20"/>
                <w:szCs w:val="20"/>
                <w:lang w:val="sq-AL"/>
              </w:rPr>
            </w:pPr>
            <w:r w:rsidRPr="004E5A6E">
              <w:rPr>
                <w:b/>
                <w:bCs/>
                <w:color w:val="auto"/>
                <w:sz w:val="20"/>
                <w:szCs w:val="20"/>
                <w:lang w:val="sq-AL"/>
              </w:rPr>
              <w:t>Variabla tjera relevante</w:t>
            </w:r>
          </w:p>
        </w:tc>
      </w:tr>
      <w:tr w:rsidR="002B41BB" w:rsidRPr="004E5A6E" w14:paraId="29285609" w14:textId="77777777" w:rsidTr="002B41BB">
        <w:trPr>
          <w:trHeight w:val="318"/>
        </w:trPr>
        <w:tc>
          <w:tcPr>
            <w:tcW w:w="2123" w:type="pct"/>
            <w:tcBorders>
              <w:top w:val="nil"/>
              <w:left w:val="double" w:sz="6" w:space="0" w:color="auto"/>
              <w:bottom w:val="dotted" w:sz="4" w:space="0" w:color="auto"/>
              <w:right w:val="nil"/>
            </w:tcBorders>
            <w:shd w:val="clear" w:color="auto" w:fill="auto"/>
            <w:noWrap/>
            <w:vAlign w:val="bottom"/>
            <w:hideMark/>
          </w:tcPr>
          <w:p w14:paraId="2170C0BC" w14:textId="77777777" w:rsidR="002B41BB" w:rsidRPr="004E5A6E" w:rsidRDefault="002B41BB" w:rsidP="002B41BB">
            <w:pPr>
              <w:rPr>
                <w:color w:val="auto"/>
                <w:sz w:val="20"/>
                <w:szCs w:val="20"/>
                <w:lang w:val="sq-AL"/>
              </w:rPr>
            </w:pPr>
            <w:bookmarkStart w:id="236" w:name="RANGE!B18"/>
            <w:r w:rsidRPr="004E5A6E">
              <w:rPr>
                <w:color w:val="auto"/>
                <w:sz w:val="20"/>
                <w:szCs w:val="20"/>
                <w:lang w:val="sq-AL"/>
              </w:rPr>
              <w:t xml:space="preserve">  6. Asetet financiare likuide [8]</w:t>
            </w:r>
            <w:bookmarkEnd w:id="236"/>
          </w:p>
        </w:tc>
        <w:tc>
          <w:tcPr>
            <w:tcW w:w="479" w:type="pct"/>
            <w:tcBorders>
              <w:top w:val="nil"/>
              <w:left w:val="single" w:sz="8" w:space="0" w:color="auto"/>
              <w:bottom w:val="dotted" w:sz="4" w:space="0" w:color="auto"/>
              <w:right w:val="single" w:sz="8" w:space="0" w:color="auto"/>
            </w:tcBorders>
            <w:shd w:val="clear" w:color="000000" w:fill="FFFFFF"/>
            <w:vAlign w:val="center"/>
            <w:hideMark/>
          </w:tcPr>
          <w:p w14:paraId="7D9EBCEB"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479" w:type="pct"/>
            <w:tcBorders>
              <w:top w:val="nil"/>
              <w:left w:val="nil"/>
              <w:bottom w:val="dotted" w:sz="4" w:space="0" w:color="auto"/>
              <w:right w:val="dotted" w:sz="4" w:space="0" w:color="auto"/>
            </w:tcBorders>
            <w:shd w:val="clear" w:color="000000" w:fill="FFFFFF"/>
            <w:vAlign w:val="center"/>
            <w:hideMark/>
          </w:tcPr>
          <w:p w14:paraId="4DC26E4B" w14:textId="77777777" w:rsidR="002B41BB" w:rsidRPr="004E5A6E" w:rsidRDefault="002B41BB" w:rsidP="002B41BB">
            <w:pPr>
              <w:jc w:val="right"/>
              <w:rPr>
                <w:color w:val="auto"/>
                <w:sz w:val="20"/>
                <w:szCs w:val="20"/>
                <w:lang w:val="sq-AL"/>
              </w:rPr>
            </w:pPr>
            <w:r w:rsidRPr="004E5A6E">
              <w:rPr>
                <w:color w:val="auto"/>
                <w:sz w:val="20"/>
                <w:szCs w:val="20"/>
                <w:lang w:val="sq-AL"/>
              </w:rPr>
              <w:t>:</w:t>
            </w:r>
          </w:p>
        </w:tc>
        <w:tc>
          <w:tcPr>
            <w:tcW w:w="479" w:type="pct"/>
            <w:tcBorders>
              <w:top w:val="nil"/>
              <w:left w:val="nil"/>
              <w:bottom w:val="dotted" w:sz="4" w:space="0" w:color="auto"/>
              <w:right w:val="dotted" w:sz="4" w:space="0" w:color="auto"/>
            </w:tcBorders>
            <w:shd w:val="clear" w:color="000000" w:fill="FFFFFF"/>
            <w:vAlign w:val="center"/>
            <w:hideMark/>
          </w:tcPr>
          <w:p w14:paraId="370E14E1" w14:textId="77777777" w:rsidR="002B41BB" w:rsidRPr="004E5A6E" w:rsidRDefault="002B41BB" w:rsidP="002B41BB">
            <w:pPr>
              <w:jc w:val="right"/>
              <w:rPr>
                <w:color w:val="auto"/>
                <w:sz w:val="20"/>
                <w:szCs w:val="20"/>
                <w:lang w:val="sq-AL"/>
              </w:rPr>
            </w:pPr>
            <w:r w:rsidRPr="004E5A6E">
              <w:rPr>
                <w:color w:val="auto"/>
                <w:sz w:val="20"/>
                <w:szCs w:val="20"/>
                <w:lang w:val="sq-AL"/>
              </w:rPr>
              <w:t>:</w:t>
            </w:r>
          </w:p>
        </w:tc>
        <w:tc>
          <w:tcPr>
            <w:tcW w:w="479" w:type="pct"/>
            <w:tcBorders>
              <w:top w:val="nil"/>
              <w:left w:val="nil"/>
              <w:bottom w:val="dotted" w:sz="4" w:space="0" w:color="auto"/>
              <w:right w:val="dotted" w:sz="4" w:space="0" w:color="auto"/>
            </w:tcBorders>
            <w:shd w:val="clear" w:color="000000" w:fill="FFFFFF"/>
            <w:vAlign w:val="center"/>
            <w:hideMark/>
          </w:tcPr>
          <w:p w14:paraId="3243C937" w14:textId="77777777" w:rsidR="002B41BB" w:rsidRPr="004E5A6E" w:rsidRDefault="002B41BB" w:rsidP="002B41BB">
            <w:pPr>
              <w:jc w:val="right"/>
              <w:rPr>
                <w:color w:val="auto"/>
                <w:sz w:val="20"/>
                <w:szCs w:val="20"/>
                <w:lang w:val="sq-AL"/>
              </w:rPr>
            </w:pPr>
            <w:r w:rsidRPr="004E5A6E">
              <w:rPr>
                <w:color w:val="auto"/>
                <w:sz w:val="20"/>
                <w:szCs w:val="20"/>
                <w:lang w:val="sq-AL"/>
              </w:rPr>
              <w:t>:</w:t>
            </w:r>
          </w:p>
        </w:tc>
        <w:tc>
          <w:tcPr>
            <w:tcW w:w="479" w:type="pct"/>
            <w:tcBorders>
              <w:top w:val="nil"/>
              <w:left w:val="nil"/>
              <w:bottom w:val="dotted" w:sz="4" w:space="0" w:color="auto"/>
              <w:right w:val="dotted" w:sz="4" w:space="0" w:color="auto"/>
            </w:tcBorders>
            <w:shd w:val="clear" w:color="000000" w:fill="FFFFFF"/>
            <w:vAlign w:val="center"/>
            <w:hideMark/>
          </w:tcPr>
          <w:p w14:paraId="6D8B15C6" w14:textId="77777777" w:rsidR="002B41BB" w:rsidRPr="004E5A6E" w:rsidRDefault="002B41BB" w:rsidP="002B41BB">
            <w:pPr>
              <w:jc w:val="right"/>
              <w:rPr>
                <w:color w:val="auto"/>
                <w:sz w:val="20"/>
                <w:szCs w:val="20"/>
                <w:lang w:val="sq-AL"/>
              </w:rPr>
            </w:pPr>
            <w:r w:rsidRPr="004E5A6E">
              <w:rPr>
                <w:color w:val="auto"/>
                <w:sz w:val="20"/>
                <w:szCs w:val="20"/>
                <w:lang w:val="sq-AL"/>
              </w:rPr>
              <w:t>:</w:t>
            </w:r>
          </w:p>
        </w:tc>
        <w:tc>
          <w:tcPr>
            <w:tcW w:w="479" w:type="pct"/>
            <w:tcBorders>
              <w:top w:val="nil"/>
              <w:left w:val="nil"/>
              <w:bottom w:val="dotted" w:sz="4" w:space="0" w:color="auto"/>
              <w:right w:val="double" w:sz="6" w:space="0" w:color="auto"/>
            </w:tcBorders>
            <w:shd w:val="clear" w:color="000000" w:fill="FFFFFF"/>
            <w:vAlign w:val="center"/>
            <w:hideMark/>
          </w:tcPr>
          <w:p w14:paraId="0BCF421F" w14:textId="77777777" w:rsidR="002B41BB" w:rsidRPr="004E5A6E" w:rsidRDefault="002B41BB" w:rsidP="002B41BB">
            <w:pPr>
              <w:jc w:val="right"/>
              <w:rPr>
                <w:color w:val="auto"/>
                <w:sz w:val="20"/>
                <w:szCs w:val="20"/>
                <w:lang w:val="sq-AL"/>
              </w:rPr>
            </w:pPr>
            <w:r w:rsidRPr="004E5A6E">
              <w:rPr>
                <w:color w:val="auto"/>
                <w:sz w:val="20"/>
                <w:szCs w:val="20"/>
                <w:lang w:val="sq-AL"/>
              </w:rPr>
              <w:t>:</w:t>
            </w:r>
          </w:p>
        </w:tc>
      </w:tr>
      <w:tr w:rsidR="002B41BB" w:rsidRPr="004E5A6E" w14:paraId="2CE2C465" w14:textId="77777777" w:rsidTr="002B41BB">
        <w:trPr>
          <w:trHeight w:val="318"/>
        </w:trPr>
        <w:tc>
          <w:tcPr>
            <w:tcW w:w="2123" w:type="pct"/>
            <w:tcBorders>
              <w:top w:val="nil"/>
              <w:left w:val="double" w:sz="6" w:space="0" w:color="auto"/>
              <w:bottom w:val="double" w:sz="6" w:space="0" w:color="auto"/>
              <w:right w:val="nil"/>
            </w:tcBorders>
            <w:shd w:val="clear" w:color="000000" w:fill="FFFFFF"/>
            <w:vAlign w:val="center"/>
            <w:hideMark/>
          </w:tcPr>
          <w:p w14:paraId="0B7968A5" w14:textId="77777777" w:rsidR="002B41BB" w:rsidRPr="004E5A6E" w:rsidRDefault="002B41BB" w:rsidP="002B41BB">
            <w:pPr>
              <w:rPr>
                <w:color w:val="auto"/>
                <w:sz w:val="20"/>
                <w:szCs w:val="20"/>
                <w:lang w:val="sq-AL"/>
              </w:rPr>
            </w:pPr>
            <w:r w:rsidRPr="004E5A6E">
              <w:rPr>
                <w:color w:val="auto"/>
                <w:sz w:val="20"/>
                <w:szCs w:val="20"/>
                <w:lang w:val="sq-AL"/>
              </w:rPr>
              <w:t xml:space="preserve">  7. Borxhi financiar neto (7 = 1 - 6)</w:t>
            </w:r>
          </w:p>
        </w:tc>
        <w:tc>
          <w:tcPr>
            <w:tcW w:w="479" w:type="pct"/>
            <w:tcBorders>
              <w:top w:val="nil"/>
              <w:left w:val="single" w:sz="8" w:space="0" w:color="auto"/>
              <w:bottom w:val="double" w:sz="6" w:space="0" w:color="auto"/>
              <w:right w:val="single" w:sz="8" w:space="0" w:color="auto"/>
            </w:tcBorders>
            <w:shd w:val="clear" w:color="000000" w:fill="FFFFFF"/>
            <w:vAlign w:val="center"/>
            <w:hideMark/>
          </w:tcPr>
          <w:p w14:paraId="4BB03F75"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479" w:type="pct"/>
            <w:tcBorders>
              <w:top w:val="nil"/>
              <w:left w:val="nil"/>
              <w:bottom w:val="double" w:sz="6" w:space="0" w:color="auto"/>
              <w:right w:val="dotted" w:sz="4" w:space="0" w:color="auto"/>
            </w:tcBorders>
            <w:shd w:val="clear" w:color="000000" w:fill="FFFFFF"/>
            <w:vAlign w:val="center"/>
            <w:hideMark/>
          </w:tcPr>
          <w:p w14:paraId="437F4A37" w14:textId="77777777" w:rsidR="002B41BB" w:rsidRPr="004E5A6E" w:rsidRDefault="002B41BB" w:rsidP="002B41BB">
            <w:pPr>
              <w:jc w:val="right"/>
              <w:rPr>
                <w:color w:val="auto"/>
                <w:sz w:val="20"/>
                <w:szCs w:val="20"/>
                <w:lang w:val="sq-AL"/>
              </w:rPr>
            </w:pPr>
            <w:r w:rsidRPr="004E5A6E">
              <w:rPr>
                <w:color w:val="auto"/>
                <w:sz w:val="20"/>
                <w:szCs w:val="20"/>
                <w:lang w:val="sq-AL"/>
              </w:rPr>
              <w:t>:</w:t>
            </w:r>
          </w:p>
        </w:tc>
        <w:tc>
          <w:tcPr>
            <w:tcW w:w="479" w:type="pct"/>
            <w:tcBorders>
              <w:top w:val="nil"/>
              <w:left w:val="nil"/>
              <w:bottom w:val="double" w:sz="6" w:space="0" w:color="auto"/>
              <w:right w:val="dotted" w:sz="4" w:space="0" w:color="auto"/>
            </w:tcBorders>
            <w:shd w:val="clear" w:color="000000" w:fill="FFFFFF"/>
            <w:vAlign w:val="center"/>
            <w:hideMark/>
          </w:tcPr>
          <w:p w14:paraId="054EEA3D" w14:textId="77777777" w:rsidR="002B41BB" w:rsidRPr="004E5A6E" w:rsidRDefault="002B41BB" w:rsidP="002B41BB">
            <w:pPr>
              <w:jc w:val="right"/>
              <w:rPr>
                <w:color w:val="auto"/>
                <w:sz w:val="20"/>
                <w:szCs w:val="20"/>
                <w:lang w:val="sq-AL"/>
              </w:rPr>
            </w:pPr>
            <w:r w:rsidRPr="004E5A6E">
              <w:rPr>
                <w:color w:val="auto"/>
                <w:sz w:val="20"/>
                <w:szCs w:val="20"/>
                <w:lang w:val="sq-AL"/>
              </w:rPr>
              <w:t>:</w:t>
            </w:r>
          </w:p>
        </w:tc>
        <w:tc>
          <w:tcPr>
            <w:tcW w:w="479" w:type="pct"/>
            <w:tcBorders>
              <w:top w:val="nil"/>
              <w:left w:val="nil"/>
              <w:bottom w:val="double" w:sz="6" w:space="0" w:color="auto"/>
              <w:right w:val="dotted" w:sz="4" w:space="0" w:color="auto"/>
            </w:tcBorders>
            <w:shd w:val="clear" w:color="000000" w:fill="FFFFFF"/>
            <w:vAlign w:val="center"/>
            <w:hideMark/>
          </w:tcPr>
          <w:p w14:paraId="3F7CD9DC" w14:textId="77777777" w:rsidR="002B41BB" w:rsidRPr="004E5A6E" w:rsidRDefault="002B41BB" w:rsidP="002B41BB">
            <w:pPr>
              <w:jc w:val="right"/>
              <w:rPr>
                <w:color w:val="auto"/>
                <w:sz w:val="20"/>
                <w:szCs w:val="20"/>
                <w:lang w:val="sq-AL"/>
              </w:rPr>
            </w:pPr>
            <w:r w:rsidRPr="004E5A6E">
              <w:rPr>
                <w:color w:val="auto"/>
                <w:sz w:val="20"/>
                <w:szCs w:val="20"/>
                <w:lang w:val="sq-AL"/>
              </w:rPr>
              <w:t>:</w:t>
            </w:r>
          </w:p>
        </w:tc>
        <w:tc>
          <w:tcPr>
            <w:tcW w:w="479" w:type="pct"/>
            <w:tcBorders>
              <w:top w:val="nil"/>
              <w:left w:val="nil"/>
              <w:bottom w:val="double" w:sz="6" w:space="0" w:color="auto"/>
              <w:right w:val="dotted" w:sz="4" w:space="0" w:color="auto"/>
            </w:tcBorders>
            <w:shd w:val="clear" w:color="000000" w:fill="FFFFFF"/>
            <w:vAlign w:val="center"/>
            <w:hideMark/>
          </w:tcPr>
          <w:p w14:paraId="33BEB380" w14:textId="77777777" w:rsidR="002B41BB" w:rsidRPr="004E5A6E" w:rsidRDefault="002B41BB" w:rsidP="002B41BB">
            <w:pPr>
              <w:jc w:val="right"/>
              <w:rPr>
                <w:color w:val="auto"/>
                <w:sz w:val="20"/>
                <w:szCs w:val="20"/>
                <w:lang w:val="sq-AL"/>
              </w:rPr>
            </w:pPr>
            <w:r w:rsidRPr="004E5A6E">
              <w:rPr>
                <w:color w:val="auto"/>
                <w:sz w:val="20"/>
                <w:szCs w:val="20"/>
                <w:lang w:val="sq-AL"/>
              </w:rPr>
              <w:t>:</w:t>
            </w:r>
          </w:p>
        </w:tc>
        <w:tc>
          <w:tcPr>
            <w:tcW w:w="479" w:type="pct"/>
            <w:tcBorders>
              <w:top w:val="nil"/>
              <w:left w:val="nil"/>
              <w:bottom w:val="double" w:sz="6" w:space="0" w:color="auto"/>
              <w:right w:val="double" w:sz="6" w:space="0" w:color="auto"/>
            </w:tcBorders>
            <w:shd w:val="clear" w:color="000000" w:fill="FFFFFF"/>
            <w:vAlign w:val="center"/>
            <w:hideMark/>
          </w:tcPr>
          <w:p w14:paraId="35F90287" w14:textId="77777777" w:rsidR="002B41BB" w:rsidRPr="004E5A6E" w:rsidRDefault="002B41BB" w:rsidP="002B41BB">
            <w:pPr>
              <w:jc w:val="right"/>
              <w:rPr>
                <w:color w:val="auto"/>
                <w:sz w:val="20"/>
                <w:szCs w:val="20"/>
                <w:lang w:val="sq-AL"/>
              </w:rPr>
            </w:pPr>
            <w:r w:rsidRPr="004E5A6E">
              <w:rPr>
                <w:color w:val="auto"/>
                <w:sz w:val="20"/>
                <w:szCs w:val="20"/>
                <w:lang w:val="sq-AL"/>
              </w:rPr>
              <w:t>:</w:t>
            </w:r>
          </w:p>
        </w:tc>
      </w:tr>
    </w:tbl>
    <w:p w14:paraId="4E8C1B4E" w14:textId="297225B9" w:rsidR="002B41BB" w:rsidRPr="004E5A6E" w:rsidRDefault="002B41BB" w:rsidP="00693151">
      <w:pPr>
        <w:rPr>
          <w:highlight w:val="yellow"/>
          <w:lang w:val="sq-AL"/>
        </w:rPr>
      </w:pPr>
    </w:p>
    <w:p w14:paraId="1B1DE94D" w14:textId="1D64D773" w:rsidR="002B41BB" w:rsidRPr="004E5A6E" w:rsidRDefault="002B41BB" w:rsidP="00693151">
      <w:pPr>
        <w:rPr>
          <w:highlight w:val="yellow"/>
          <w:lang w:val="sq-AL"/>
        </w:rPr>
      </w:pPr>
    </w:p>
    <w:tbl>
      <w:tblPr>
        <w:tblW w:w="5000" w:type="pct"/>
        <w:tblLook w:val="04A0" w:firstRow="1" w:lastRow="0" w:firstColumn="1" w:lastColumn="0" w:noHBand="0" w:noVBand="1"/>
      </w:tblPr>
      <w:tblGrid>
        <w:gridCol w:w="3446"/>
        <w:gridCol w:w="874"/>
        <w:gridCol w:w="850"/>
        <w:gridCol w:w="850"/>
        <w:gridCol w:w="850"/>
        <w:gridCol w:w="851"/>
        <w:gridCol w:w="903"/>
      </w:tblGrid>
      <w:tr w:rsidR="002B41BB" w:rsidRPr="004E5A6E" w14:paraId="1921DD74" w14:textId="77777777" w:rsidTr="002B41BB">
        <w:trPr>
          <w:trHeight w:val="276"/>
        </w:trPr>
        <w:tc>
          <w:tcPr>
            <w:tcW w:w="2000" w:type="pct"/>
            <w:tcBorders>
              <w:top w:val="nil"/>
              <w:left w:val="nil"/>
              <w:bottom w:val="nil"/>
              <w:right w:val="nil"/>
            </w:tcBorders>
            <w:shd w:val="clear" w:color="auto" w:fill="auto"/>
            <w:noWrap/>
            <w:vAlign w:val="bottom"/>
            <w:hideMark/>
          </w:tcPr>
          <w:p w14:paraId="32C67354" w14:textId="77777777" w:rsidR="002B41BB" w:rsidRPr="004E5A6E" w:rsidRDefault="002B41BB" w:rsidP="002B41BB">
            <w:pPr>
              <w:rPr>
                <w:b/>
                <w:bCs/>
                <w:color w:val="auto"/>
                <w:sz w:val="20"/>
                <w:szCs w:val="20"/>
                <w:lang w:val="sq-AL"/>
              </w:rPr>
            </w:pPr>
            <w:r w:rsidRPr="004E5A6E">
              <w:rPr>
                <w:b/>
                <w:bCs/>
                <w:color w:val="auto"/>
                <w:sz w:val="20"/>
                <w:szCs w:val="20"/>
                <w:lang w:val="sq-AL"/>
              </w:rPr>
              <w:t>Tabela 5: Zhvillimet ciklike</w:t>
            </w:r>
          </w:p>
        </w:tc>
        <w:tc>
          <w:tcPr>
            <w:tcW w:w="495" w:type="pct"/>
            <w:tcBorders>
              <w:top w:val="nil"/>
              <w:left w:val="nil"/>
              <w:bottom w:val="nil"/>
              <w:right w:val="nil"/>
            </w:tcBorders>
            <w:shd w:val="clear" w:color="000000" w:fill="FFFFFF"/>
            <w:noWrap/>
            <w:vAlign w:val="bottom"/>
            <w:hideMark/>
          </w:tcPr>
          <w:p w14:paraId="024339E8" w14:textId="77777777" w:rsidR="002B41BB" w:rsidRPr="004E5A6E" w:rsidRDefault="002B41BB" w:rsidP="002B41BB">
            <w:pPr>
              <w:rPr>
                <w:color w:val="auto"/>
                <w:sz w:val="20"/>
                <w:szCs w:val="20"/>
                <w:lang w:val="sq-AL"/>
              </w:rPr>
            </w:pPr>
            <w:r w:rsidRPr="004E5A6E">
              <w:rPr>
                <w:color w:val="auto"/>
                <w:sz w:val="20"/>
                <w:szCs w:val="20"/>
                <w:lang w:val="sq-AL"/>
              </w:rPr>
              <w:t> </w:t>
            </w:r>
          </w:p>
        </w:tc>
        <w:tc>
          <w:tcPr>
            <w:tcW w:w="495" w:type="pct"/>
            <w:tcBorders>
              <w:top w:val="nil"/>
              <w:left w:val="nil"/>
              <w:bottom w:val="nil"/>
              <w:right w:val="nil"/>
            </w:tcBorders>
            <w:shd w:val="clear" w:color="000000" w:fill="FFFFFF"/>
            <w:noWrap/>
            <w:vAlign w:val="bottom"/>
            <w:hideMark/>
          </w:tcPr>
          <w:p w14:paraId="681136D5" w14:textId="77777777" w:rsidR="002B41BB" w:rsidRPr="004E5A6E" w:rsidRDefault="002B41BB" w:rsidP="002B41BB">
            <w:pPr>
              <w:rPr>
                <w:color w:val="auto"/>
                <w:sz w:val="20"/>
                <w:szCs w:val="20"/>
                <w:lang w:val="sq-AL"/>
              </w:rPr>
            </w:pPr>
            <w:r w:rsidRPr="004E5A6E">
              <w:rPr>
                <w:color w:val="auto"/>
                <w:sz w:val="20"/>
                <w:szCs w:val="20"/>
                <w:lang w:val="sq-AL"/>
              </w:rPr>
              <w:t> </w:t>
            </w:r>
          </w:p>
        </w:tc>
        <w:tc>
          <w:tcPr>
            <w:tcW w:w="495" w:type="pct"/>
            <w:tcBorders>
              <w:top w:val="nil"/>
              <w:left w:val="nil"/>
              <w:bottom w:val="nil"/>
              <w:right w:val="nil"/>
            </w:tcBorders>
            <w:shd w:val="clear" w:color="000000" w:fill="FFFFFF"/>
            <w:noWrap/>
            <w:vAlign w:val="bottom"/>
            <w:hideMark/>
          </w:tcPr>
          <w:p w14:paraId="77717EC1" w14:textId="77777777" w:rsidR="002B41BB" w:rsidRPr="004E5A6E" w:rsidRDefault="002B41BB" w:rsidP="002B41BB">
            <w:pPr>
              <w:rPr>
                <w:color w:val="auto"/>
                <w:sz w:val="20"/>
                <w:szCs w:val="20"/>
                <w:lang w:val="sq-AL"/>
              </w:rPr>
            </w:pPr>
            <w:r w:rsidRPr="004E5A6E">
              <w:rPr>
                <w:color w:val="auto"/>
                <w:sz w:val="20"/>
                <w:szCs w:val="20"/>
                <w:lang w:val="sq-AL"/>
              </w:rPr>
              <w:t> </w:t>
            </w:r>
          </w:p>
        </w:tc>
        <w:tc>
          <w:tcPr>
            <w:tcW w:w="495" w:type="pct"/>
            <w:tcBorders>
              <w:top w:val="nil"/>
              <w:left w:val="nil"/>
              <w:bottom w:val="nil"/>
              <w:right w:val="nil"/>
            </w:tcBorders>
            <w:shd w:val="clear" w:color="000000" w:fill="FFFFFF"/>
            <w:noWrap/>
            <w:vAlign w:val="bottom"/>
            <w:hideMark/>
          </w:tcPr>
          <w:p w14:paraId="5818A474" w14:textId="77777777" w:rsidR="002B41BB" w:rsidRPr="004E5A6E" w:rsidRDefault="002B41BB" w:rsidP="002B41BB">
            <w:pPr>
              <w:rPr>
                <w:color w:val="auto"/>
                <w:sz w:val="20"/>
                <w:szCs w:val="20"/>
                <w:lang w:val="sq-AL"/>
              </w:rPr>
            </w:pPr>
            <w:r w:rsidRPr="004E5A6E">
              <w:rPr>
                <w:color w:val="auto"/>
                <w:sz w:val="20"/>
                <w:szCs w:val="20"/>
                <w:lang w:val="sq-AL"/>
              </w:rPr>
              <w:t> </w:t>
            </w:r>
          </w:p>
        </w:tc>
        <w:tc>
          <w:tcPr>
            <w:tcW w:w="495" w:type="pct"/>
            <w:tcBorders>
              <w:top w:val="nil"/>
              <w:left w:val="nil"/>
              <w:bottom w:val="nil"/>
              <w:right w:val="nil"/>
            </w:tcBorders>
            <w:shd w:val="clear" w:color="000000" w:fill="FFFFFF"/>
            <w:noWrap/>
            <w:vAlign w:val="bottom"/>
            <w:hideMark/>
          </w:tcPr>
          <w:p w14:paraId="4469D72C" w14:textId="77777777" w:rsidR="002B41BB" w:rsidRPr="004E5A6E" w:rsidRDefault="002B41BB" w:rsidP="002B41BB">
            <w:pPr>
              <w:rPr>
                <w:color w:val="auto"/>
                <w:sz w:val="20"/>
                <w:szCs w:val="20"/>
                <w:lang w:val="sq-AL"/>
              </w:rPr>
            </w:pPr>
            <w:r w:rsidRPr="004E5A6E">
              <w:rPr>
                <w:color w:val="auto"/>
                <w:sz w:val="20"/>
                <w:szCs w:val="20"/>
                <w:lang w:val="sq-AL"/>
              </w:rPr>
              <w:t> </w:t>
            </w:r>
          </w:p>
        </w:tc>
        <w:tc>
          <w:tcPr>
            <w:tcW w:w="525" w:type="pct"/>
            <w:tcBorders>
              <w:top w:val="nil"/>
              <w:left w:val="nil"/>
              <w:bottom w:val="nil"/>
              <w:right w:val="nil"/>
            </w:tcBorders>
            <w:shd w:val="clear" w:color="000000" w:fill="FFFFFF"/>
            <w:noWrap/>
            <w:vAlign w:val="bottom"/>
            <w:hideMark/>
          </w:tcPr>
          <w:p w14:paraId="2B709571" w14:textId="77777777" w:rsidR="002B41BB" w:rsidRPr="004E5A6E" w:rsidRDefault="002B41BB" w:rsidP="002B41BB">
            <w:pPr>
              <w:rPr>
                <w:color w:val="auto"/>
                <w:sz w:val="20"/>
                <w:szCs w:val="20"/>
                <w:lang w:val="sq-AL"/>
              </w:rPr>
            </w:pPr>
            <w:r w:rsidRPr="004E5A6E">
              <w:rPr>
                <w:color w:val="auto"/>
                <w:sz w:val="20"/>
                <w:szCs w:val="20"/>
                <w:lang w:val="sq-AL"/>
              </w:rPr>
              <w:t> </w:t>
            </w:r>
          </w:p>
        </w:tc>
      </w:tr>
      <w:tr w:rsidR="002B41BB" w:rsidRPr="004E5A6E" w14:paraId="79C11A3E" w14:textId="77777777" w:rsidTr="002B41BB">
        <w:trPr>
          <w:trHeight w:val="288"/>
        </w:trPr>
        <w:tc>
          <w:tcPr>
            <w:tcW w:w="2000" w:type="pct"/>
            <w:tcBorders>
              <w:top w:val="double" w:sz="6" w:space="0" w:color="000000"/>
              <w:left w:val="double" w:sz="6" w:space="0" w:color="000000"/>
              <w:bottom w:val="double" w:sz="6" w:space="0" w:color="000000"/>
              <w:right w:val="nil"/>
            </w:tcBorders>
            <w:shd w:val="clear" w:color="000000" w:fill="FFFFFF"/>
            <w:vAlign w:val="bottom"/>
            <w:hideMark/>
          </w:tcPr>
          <w:p w14:paraId="433976F8" w14:textId="77777777" w:rsidR="002B41BB" w:rsidRPr="004E5A6E" w:rsidRDefault="002B41BB" w:rsidP="002B41BB">
            <w:pPr>
              <w:jc w:val="center"/>
              <w:rPr>
                <w:b/>
                <w:bCs/>
                <w:color w:val="auto"/>
                <w:sz w:val="20"/>
                <w:szCs w:val="20"/>
                <w:lang w:val="sq-AL"/>
              </w:rPr>
            </w:pPr>
            <w:r w:rsidRPr="004E5A6E">
              <w:rPr>
                <w:b/>
                <w:bCs/>
                <w:color w:val="auto"/>
                <w:sz w:val="20"/>
                <w:szCs w:val="20"/>
                <w:lang w:val="sq-AL"/>
              </w:rPr>
              <w:t>% e BPV-së</w:t>
            </w:r>
          </w:p>
        </w:tc>
        <w:tc>
          <w:tcPr>
            <w:tcW w:w="495" w:type="pct"/>
            <w:tcBorders>
              <w:top w:val="double" w:sz="6" w:space="0" w:color="000000"/>
              <w:left w:val="single" w:sz="8" w:space="0" w:color="000000"/>
              <w:bottom w:val="double" w:sz="6" w:space="0" w:color="000000"/>
              <w:right w:val="single" w:sz="8" w:space="0" w:color="000000"/>
            </w:tcBorders>
            <w:shd w:val="clear" w:color="000000" w:fill="FFFFFF"/>
            <w:vAlign w:val="bottom"/>
            <w:hideMark/>
          </w:tcPr>
          <w:p w14:paraId="0E95DB0B" w14:textId="77777777" w:rsidR="002B41BB" w:rsidRPr="004E5A6E" w:rsidRDefault="002B41BB" w:rsidP="002B41BB">
            <w:pPr>
              <w:rPr>
                <w:b/>
                <w:bCs/>
                <w:color w:val="auto"/>
                <w:sz w:val="20"/>
                <w:szCs w:val="20"/>
                <w:lang w:val="sq-AL"/>
              </w:rPr>
            </w:pPr>
            <w:r w:rsidRPr="004E5A6E">
              <w:rPr>
                <w:b/>
                <w:bCs/>
                <w:color w:val="auto"/>
                <w:sz w:val="20"/>
                <w:szCs w:val="20"/>
                <w:lang w:val="sq-AL"/>
              </w:rPr>
              <w:t>ESA Code</w:t>
            </w:r>
          </w:p>
        </w:tc>
        <w:tc>
          <w:tcPr>
            <w:tcW w:w="495" w:type="pct"/>
            <w:tcBorders>
              <w:top w:val="double" w:sz="6" w:space="0" w:color="000000"/>
              <w:left w:val="dotted" w:sz="4" w:space="0" w:color="000000"/>
              <w:bottom w:val="double" w:sz="6" w:space="0" w:color="000000"/>
              <w:right w:val="dotted" w:sz="4" w:space="0" w:color="000000"/>
            </w:tcBorders>
            <w:shd w:val="clear" w:color="000000" w:fill="FFFFFF"/>
            <w:vAlign w:val="bottom"/>
            <w:hideMark/>
          </w:tcPr>
          <w:p w14:paraId="2600EB65" w14:textId="77777777" w:rsidR="002B41BB" w:rsidRPr="004E5A6E" w:rsidRDefault="002B41BB" w:rsidP="002B41BB">
            <w:pPr>
              <w:jc w:val="center"/>
              <w:rPr>
                <w:color w:val="auto"/>
                <w:sz w:val="20"/>
                <w:szCs w:val="20"/>
                <w:lang w:val="sq-AL"/>
              </w:rPr>
            </w:pPr>
            <w:r w:rsidRPr="004E5A6E">
              <w:rPr>
                <w:color w:val="auto"/>
                <w:sz w:val="20"/>
                <w:szCs w:val="20"/>
                <w:lang w:val="sq-AL"/>
              </w:rPr>
              <w:t>2019</w:t>
            </w:r>
          </w:p>
        </w:tc>
        <w:tc>
          <w:tcPr>
            <w:tcW w:w="495" w:type="pct"/>
            <w:tcBorders>
              <w:top w:val="double" w:sz="6" w:space="0" w:color="000000"/>
              <w:left w:val="nil"/>
              <w:bottom w:val="double" w:sz="6" w:space="0" w:color="000000"/>
              <w:right w:val="dotted" w:sz="4" w:space="0" w:color="000000"/>
            </w:tcBorders>
            <w:shd w:val="clear" w:color="000000" w:fill="FFFFFF"/>
            <w:vAlign w:val="bottom"/>
            <w:hideMark/>
          </w:tcPr>
          <w:p w14:paraId="0C535697" w14:textId="77777777" w:rsidR="002B41BB" w:rsidRPr="004E5A6E" w:rsidRDefault="002B41BB" w:rsidP="002B41BB">
            <w:pPr>
              <w:jc w:val="center"/>
              <w:rPr>
                <w:color w:val="auto"/>
                <w:sz w:val="20"/>
                <w:szCs w:val="20"/>
                <w:lang w:val="sq-AL"/>
              </w:rPr>
            </w:pPr>
            <w:r w:rsidRPr="004E5A6E">
              <w:rPr>
                <w:color w:val="auto"/>
                <w:sz w:val="20"/>
                <w:szCs w:val="20"/>
                <w:lang w:val="sq-AL"/>
              </w:rPr>
              <w:t>2020</w:t>
            </w:r>
          </w:p>
        </w:tc>
        <w:tc>
          <w:tcPr>
            <w:tcW w:w="495" w:type="pct"/>
            <w:tcBorders>
              <w:top w:val="double" w:sz="6" w:space="0" w:color="000000"/>
              <w:left w:val="nil"/>
              <w:bottom w:val="double" w:sz="6" w:space="0" w:color="000000"/>
              <w:right w:val="dotted" w:sz="4" w:space="0" w:color="000000"/>
            </w:tcBorders>
            <w:shd w:val="clear" w:color="000000" w:fill="FFFFFF"/>
            <w:vAlign w:val="bottom"/>
            <w:hideMark/>
          </w:tcPr>
          <w:p w14:paraId="742D8A9C" w14:textId="77777777" w:rsidR="002B41BB" w:rsidRPr="004E5A6E" w:rsidRDefault="002B41BB" w:rsidP="002B41BB">
            <w:pPr>
              <w:jc w:val="center"/>
              <w:rPr>
                <w:color w:val="auto"/>
                <w:sz w:val="20"/>
                <w:szCs w:val="20"/>
                <w:lang w:val="sq-AL"/>
              </w:rPr>
            </w:pPr>
            <w:r w:rsidRPr="004E5A6E">
              <w:rPr>
                <w:color w:val="auto"/>
                <w:sz w:val="20"/>
                <w:szCs w:val="20"/>
                <w:lang w:val="sq-AL"/>
              </w:rPr>
              <w:t>2021</w:t>
            </w:r>
          </w:p>
        </w:tc>
        <w:tc>
          <w:tcPr>
            <w:tcW w:w="495" w:type="pct"/>
            <w:tcBorders>
              <w:top w:val="double" w:sz="6" w:space="0" w:color="000000"/>
              <w:left w:val="nil"/>
              <w:bottom w:val="double" w:sz="6" w:space="0" w:color="000000"/>
              <w:right w:val="dotted" w:sz="4" w:space="0" w:color="000000"/>
            </w:tcBorders>
            <w:shd w:val="clear" w:color="000000" w:fill="FFFFFF"/>
            <w:vAlign w:val="bottom"/>
            <w:hideMark/>
          </w:tcPr>
          <w:p w14:paraId="122B85E0" w14:textId="77777777" w:rsidR="002B41BB" w:rsidRPr="004E5A6E" w:rsidRDefault="002B41BB" w:rsidP="002B41BB">
            <w:pPr>
              <w:jc w:val="center"/>
              <w:rPr>
                <w:color w:val="auto"/>
                <w:sz w:val="20"/>
                <w:szCs w:val="20"/>
                <w:lang w:val="sq-AL"/>
              </w:rPr>
            </w:pPr>
            <w:r w:rsidRPr="004E5A6E">
              <w:rPr>
                <w:color w:val="auto"/>
                <w:sz w:val="20"/>
                <w:szCs w:val="20"/>
                <w:lang w:val="sq-AL"/>
              </w:rPr>
              <w:t>2022</w:t>
            </w:r>
          </w:p>
        </w:tc>
        <w:tc>
          <w:tcPr>
            <w:tcW w:w="525" w:type="pct"/>
            <w:tcBorders>
              <w:top w:val="double" w:sz="6" w:space="0" w:color="000000"/>
              <w:left w:val="nil"/>
              <w:bottom w:val="double" w:sz="6" w:space="0" w:color="000000"/>
              <w:right w:val="double" w:sz="6" w:space="0" w:color="000000"/>
            </w:tcBorders>
            <w:shd w:val="clear" w:color="000000" w:fill="FFFFFF"/>
            <w:vAlign w:val="bottom"/>
            <w:hideMark/>
          </w:tcPr>
          <w:p w14:paraId="2ABB97F3" w14:textId="77777777" w:rsidR="002B41BB" w:rsidRPr="004E5A6E" w:rsidRDefault="002B41BB" w:rsidP="002B41BB">
            <w:pPr>
              <w:jc w:val="center"/>
              <w:rPr>
                <w:color w:val="auto"/>
                <w:sz w:val="20"/>
                <w:szCs w:val="20"/>
                <w:lang w:val="sq-AL"/>
              </w:rPr>
            </w:pPr>
            <w:r w:rsidRPr="004E5A6E">
              <w:rPr>
                <w:color w:val="auto"/>
                <w:sz w:val="20"/>
                <w:szCs w:val="20"/>
                <w:lang w:val="sq-AL"/>
              </w:rPr>
              <w:t>2023</w:t>
            </w:r>
          </w:p>
        </w:tc>
      </w:tr>
      <w:tr w:rsidR="002B41BB" w:rsidRPr="004E5A6E" w14:paraId="68062ABE" w14:textId="77777777" w:rsidTr="002B41BB">
        <w:trPr>
          <w:trHeight w:val="255"/>
        </w:trPr>
        <w:tc>
          <w:tcPr>
            <w:tcW w:w="2000" w:type="pct"/>
            <w:tcBorders>
              <w:top w:val="nil"/>
              <w:left w:val="double" w:sz="6" w:space="0" w:color="000000"/>
              <w:bottom w:val="dotted" w:sz="4" w:space="0" w:color="000000"/>
              <w:right w:val="nil"/>
            </w:tcBorders>
            <w:shd w:val="clear" w:color="000000" w:fill="FFFFFF"/>
            <w:vAlign w:val="bottom"/>
            <w:hideMark/>
          </w:tcPr>
          <w:p w14:paraId="0018BBFB" w14:textId="77777777" w:rsidR="002B41BB" w:rsidRPr="004E5A6E" w:rsidRDefault="002B41BB" w:rsidP="002B41BB">
            <w:pPr>
              <w:ind w:firstLineChars="100" w:firstLine="200"/>
              <w:rPr>
                <w:color w:val="auto"/>
                <w:sz w:val="20"/>
                <w:szCs w:val="20"/>
                <w:lang w:val="sq-AL"/>
              </w:rPr>
            </w:pPr>
            <w:r w:rsidRPr="004E5A6E">
              <w:rPr>
                <w:color w:val="auto"/>
                <w:sz w:val="20"/>
                <w:szCs w:val="20"/>
                <w:lang w:val="sq-AL"/>
              </w:rPr>
              <w:t xml:space="preserve">1.  Norma Reale e rritjes së BPV-së (%, vpv) </w:t>
            </w:r>
          </w:p>
        </w:tc>
        <w:tc>
          <w:tcPr>
            <w:tcW w:w="495" w:type="pct"/>
            <w:tcBorders>
              <w:top w:val="nil"/>
              <w:left w:val="single" w:sz="8" w:space="0" w:color="000000"/>
              <w:bottom w:val="dotted" w:sz="4" w:space="0" w:color="000000"/>
              <w:right w:val="single" w:sz="8" w:space="0" w:color="000000"/>
            </w:tcBorders>
            <w:shd w:val="clear" w:color="000000" w:fill="FFFFFF"/>
            <w:vAlign w:val="bottom"/>
            <w:hideMark/>
          </w:tcPr>
          <w:p w14:paraId="4FF03E9C" w14:textId="77777777" w:rsidR="002B41BB" w:rsidRPr="004E5A6E" w:rsidRDefault="002B41BB" w:rsidP="002B41BB">
            <w:pPr>
              <w:rPr>
                <w:color w:val="auto"/>
                <w:sz w:val="18"/>
                <w:szCs w:val="18"/>
                <w:lang w:val="sq-AL"/>
              </w:rPr>
            </w:pPr>
            <w:r w:rsidRPr="004E5A6E">
              <w:rPr>
                <w:color w:val="auto"/>
                <w:sz w:val="18"/>
                <w:szCs w:val="18"/>
                <w:lang w:val="sq-AL"/>
              </w:rPr>
              <w:t>B1g</w:t>
            </w:r>
          </w:p>
        </w:tc>
        <w:tc>
          <w:tcPr>
            <w:tcW w:w="495" w:type="pct"/>
            <w:tcBorders>
              <w:top w:val="nil"/>
              <w:left w:val="dotted" w:sz="4" w:space="0" w:color="000000"/>
              <w:bottom w:val="dotted" w:sz="4" w:space="0" w:color="000000"/>
              <w:right w:val="dotted" w:sz="4" w:space="0" w:color="000000"/>
            </w:tcBorders>
            <w:shd w:val="clear" w:color="000000" w:fill="FFFFFF"/>
            <w:vAlign w:val="bottom"/>
            <w:hideMark/>
          </w:tcPr>
          <w:p w14:paraId="4E9EC9E1" w14:textId="77777777" w:rsidR="002B41BB" w:rsidRPr="004E5A6E" w:rsidRDefault="002B41BB" w:rsidP="002B41BB">
            <w:pPr>
              <w:jc w:val="center"/>
              <w:rPr>
                <w:color w:val="auto"/>
                <w:sz w:val="20"/>
                <w:szCs w:val="20"/>
                <w:lang w:val="sq-AL"/>
              </w:rPr>
            </w:pPr>
            <w:r w:rsidRPr="004E5A6E">
              <w:rPr>
                <w:color w:val="auto"/>
                <w:sz w:val="20"/>
                <w:szCs w:val="20"/>
                <w:lang w:val="sq-AL"/>
              </w:rPr>
              <w:t>4.9</w:t>
            </w:r>
          </w:p>
        </w:tc>
        <w:tc>
          <w:tcPr>
            <w:tcW w:w="495" w:type="pct"/>
            <w:tcBorders>
              <w:top w:val="nil"/>
              <w:left w:val="nil"/>
              <w:bottom w:val="dotted" w:sz="4" w:space="0" w:color="000000"/>
              <w:right w:val="dotted" w:sz="4" w:space="0" w:color="000000"/>
            </w:tcBorders>
            <w:shd w:val="clear" w:color="000000" w:fill="FFFFFF"/>
            <w:vAlign w:val="bottom"/>
            <w:hideMark/>
          </w:tcPr>
          <w:p w14:paraId="3CB390BC" w14:textId="77777777" w:rsidR="002B41BB" w:rsidRPr="004E5A6E" w:rsidRDefault="002B41BB" w:rsidP="002B41BB">
            <w:pPr>
              <w:jc w:val="center"/>
              <w:rPr>
                <w:color w:val="auto"/>
                <w:sz w:val="20"/>
                <w:szCs w:val="20"/>
                <w:lang w:val="sq-AL"/>
              </w:rPr>
            </w:pPr>
            <w:r w:rsidRPr="004E5A6E">
              <w:rPr>
                <w:color w:val="auto"/>
                <w:sz w:val="20"/>
                <w:szCs w:val="20"/>
                <w:lang w:val="sq-AL"/>
              </w:rPr>
              <w:t>-6.7</w:t>
            </w:r>
          </w:p>
        </w:tc>
        <w:tc>
          <w:tcPr>
            <w:tcW w:w="495" w:type="pct"/>
            <w:tcBorders>
              <w:top w:val="nil"/>
              <w:left w:val="nil"/>
              <w:bottom w:val="dotted" w:sz="4" w:space="0" w:color="000000"/>
              <w:right w:val="dotted" w:sz="4" w:space="0" w:color="000000"/>
            </w:tcBorders>
            <w:shd w:val="clear" w:color="000000" w:fill="FFFFFF"/>
            <w:vAlign w:val="bottom"/>
            <w:hideMark/>
          </w:tcPr>
          <w:p w14:paraId="4FC44786" w14:textId="77777777" w:rsidR="002B41BB" w:rsidRPr="004E5A6E" w:rsidRDefault="002B41BB" w:rsidP="002B41BB">
            <w:pPr>
              <w:jc w:val="center"/>
              <w:rPr>
                <w:color w:val="auto"/>
                <w:sz w:val="20"/>
                <w:szCs w:val="20"/>
                <w:lang w:val="sq-AL"/>
              </w:rPr>
            </w:pPr>
            <w:r w:rsidRPr="004E5A6E">
              <w:rPr>
                <w:color w:val="auto"/>
                <w:sz w:val="20"/>
                <w:szCs w:val="20"/>
                <w:lang w:val="sq-AL"/>
              </w:rPr>
              <w:t>5.2</w:t>
            </w:r>
          </w:p>
        </w:tc>
        <w:tc>
          <w:tcPr>
            <w:tcW w:w="495" w:type="pct"/>
            <w:tcBorders>
              <w:top w:val="nil"/>
              <w:left w:val="nil"/>
              <w:bottom w:val="dotted" w:sz="4" w:space="0" w:color="000000"/>
              <w:right w:val="dotted" w:sz="4" w:space="0" w:color="000000"/>
            </w:tcBorders>
            <w:shd w:val="clear" w:color="000000" w:fill="FFFFFF"/>
            <w:vAlign w:val="bottom"/>
            <w:hideMark/>
          </w:tcPr>
          <w:p w14:paraId="37F8C79B" w14:textId="77777777" w:rsidR="002B41BB" w:rsidRPr="004E5A6E" w:rsidRDefault="002B41BB" w:rsidP="002B41BB">
            <w:pPr>
              <w:jc w:val="center"/>
              <w:rPr>
                <w:color w:val="auto"/>
                <w:sz w:val="20"/>
                <w:szCs w:val="20"/>
                <w:lang w:val="sq-AL"/>
              </w:rPr>
            </w:pPr>
            <w:r w:rsidRPr="004E5A6E">
              <w:rPr>
                <w:color w:val="auto"/>
                <w:sz w:val="20"/>
                <w:szCs w:val="20"/>
                <w:lang w:val="sq-AL"/>
              </w:rPr>
              <w:t>4.1</w:t>
            </w:r>
          </w:p>
        </w:tc>
        <w:tc>
          <w:tcPr>
            <w:tcW w:w="525" w:type="pct"/>
            <w:tcBorders>
              <w:top w:val="nil"/>
              <w:left w:val="nil"/>
              <w:bottom w:val="dotted" w:sz="4" w:space="0" w:color="000000"/>
              <w:right w:val="double" w:sz="6" w:space="0" w:color="000000"/>
            </w:tcBorders>
            <w:shd w:val="clear" w:color="000000" w:fill="FFFFFF"/>
            <w:vAlign w:val="bottom"/>
            <w:hideMark/>
          </w:tcPr>
          <w:p w14:paraId="5E0E5CAC" w14:textId="77777777" w:rsidR="002B41BB" w:rsidRPr="004E5A6E" w:rsidRDefault="002B41BB" w:rsidP="002B41BB">
            <w:pPr>
              <w:jc w:val="center"/>
              <w:rPr>
                <w:color w:val="auto"/>
                <w:sz w:val="20"/>
                <w:szCs w:val="20"/>
                <w:lang w:val="sq-AL"/>
              </w:rPr>
            </w:pPr>
            <w:r w:rsidRPr="004E5A6E">
              <w:rPr>
                <w:color w:val="auto"/>
                <w:sz w:val="20"/>
                <w:szCs w:val="20"/>
                <w:lang w:val="sq-AL"/>
              </w:rPr>
              <w:t>4.2</w:t>
            </w:r>
          </w:p>
        </w:tc>
      </w:tr>
      <w:tr w:rsidR="002B41BB" w:rsidRPr="004E5A6E" w14:paraId="6D6DFEB0" w14:textId="77777777" w:rsidTr="002B41BB">
        <w:trPr>
          <w:trHeight w:val="528"/>
        </w:trPr>
        <w:tc>
          <w:tcPr>
            <w:tcW w:w="2000" w:type="pct"/>
            <w:tcBorders>
              <w:top w:val="nil"/>
              <w:left w:val="double" w:sz="6" w:space="0" w:color="000000"/>
              <w:bottom w:val="dotted" w:sz="4" w:space="0" w:color="000000"/>
              <w:right w:val="nil"/>
            </w:tcBorders>
            <w:shd w:val="clear" w:color="000000" w:fill="FFFFFF"/>
            <w:vAlign w:val="bottom"/>
            <w:hideMark/>
          </w:tcPr>
          <w:p w14:paraId="4FA2A951" w14:textId="77777777" w:rsidR="002B41BB" w:rsidRPr="004E5A6E" w:rsidRDefault="002B41BB" w:rsidP="002B41BB">
            <w:pPr>
              <w:ind w:firstLineChars="100" w:firstLine="200"/>
              <w:rPr>
                <w:color w:val="auto"/>
                <w:sz w:val="20"/>
                <w:szCs w:val="20"/>
                <w:lang w:val="sq-AL"/>
              </w:rPr>
            </w:pPr>
            <w:r w:rsidRPr="004E5A6E">
              <w:rPr>
                <w:color w:val="auto"/>
                <w:sz w:val="20"/>
                <w:szCs w:val="20"/>
                <w:lang w:val="sq-AL"/>
              </w:rPr>
              <w:t xml:space="preserve">2. Huadhënja neto e Qeverisë së Përgjithshme </w:t>
            </w:r>
          </w:p>
        </w:tc>
        <w:tc>
          <w:tcPr>
            <w:tcW w:w="495" w:type="pct"/>
            <w:tcBorders>
              <w:top w:val="nil"/>
              <w:left w:val="single" w:sz="8" w:space="0" w:color="000000"/>
              <w:bottom w:val="dotted" w:sz="4" w:space="0" w:color="000000"/>
              <w:right w:val="single" w:sz="8" w:space="0" w:color="000000"/>
            </w:tcBorders>
            <w:shd w:val="clear" w:color="000000" w:fill="FFFFFF"/>
            <w:vAlign w:val="bottom"/>
            <w:hideMark/>
          </w:tcPr>
          <w:p w14:paraId="2E4670A7" w14:textId="77777777" w:rsidR="002B41BB" w:rsidRPr="004E5A6E" w:rsidRDefault="002B41BB" w:rsidP="002B41BB">
            <w:pPr>
              <w:rPr>
                <w:color w:val="auto"/>
                <w:sz w:val="18"/>
                <w:szCs w:val="18"/>
                <w:lang w:val="sq-AL"/>
              </w:rPr>
            </w:pPr>
            <w:r w:rsidRPr="004E5A6E">
              <w:rPr>
                <w:color w:val="auto"/>
                <w:sz w:val="18"/>
                <w:szCs w:val="18"/>
                <w:lang w:val="sq-AL"/>
              </w:rPr>
              <w:t>EDP.B.9</w:t>
            </w:r>
          </w:p>
        </w:tc>
        <w:tc>
          <w:tcPr>
            <w:tcW w:w="495" w:type="pct"/>
            <w:tcBorders>
              <w:top w:val="nil"/>
              <w:left w:val="dotted" w:sz="4" w:space="0" w:color="000000"/>
              <w:bottom w:val="dotted" w:sz="4" w:space="0" w:color="000000"/>
              <w:right w:val="dotted" w:sz="4" w:space="0" w:color="000000"/>
            </w:tcBorders>
            <w:shd w:val="clear" w:color="000000" w:fill="FFFFFF"/>
            <w:vAlign w:val="bottom"/>
            <w:hideMark/>
          </w:tcPr>
          <w:p w14:paraId="5F5C838B" w14:textId="77777777" w:rsidR="002B41BB" w:rsidRPr="004E5A6E" w:rsidRDefault="002B41BB" w:rsidP="002B41BB">
            <w:pPr>
              <w:jc w:val="center"/>
              <w:rPr>
                <w:color w:val="auto"/>
                <w:sz w:val="20"/>
                <w:szCs w:val="20"/>
                <w:lang w:val="sq-AL"/>
              </w:rPr>
            </w:pPr>
            <w:r w:rsidRPr="004E5A6E">
              <w:rPr>
                <w:color w:val="auto"/>
                <w:sz w:val="20"/>
                <w:szCs w:val="20"/>
                <w:lang w:val="sq-AL"/>
              </w:rPr>
              <w:t>-2.9</w:t>
            </w:r>
          </w:p>
        </w:tc>
        <w:tc>
          <w:tcPr>
            <w:tcW w:w="495" w:type="pct"/>
            <w:tcBorders>
              <w:top w:val="nil"/>
              <w:left w:val="nil"/>
              <w:bottom w:val="dotted" w:sz="4" w:space="0" w:color="000000"/>
              <w:right w:val="dotted" w:sz="4" w:space="0" w:color="000000"/>
            </w:tcBorders>
            <w:shd w:val="clear" w:color="000000" w:fill="FFFFFF"/>
            <w:vAlign w:val="bottom"/>
            <w:hideMark/>
          </w:tcPr>
          <w:p w14:paraId="7B2F5345" w14:textId="77777777" w:rsidR="002B41BB" w:rsidRPr="004E5A6E" w:rsidRDefault="002B41BB" w:rsidP="002B41BB">
            <w:pPr>
              <w:jc w:val="center"/>
              <w:rPr>
                <w:color w:val="auto"/>
                <w:sz w:val="20"/>
                <w:szCs w:val="20"/>
                <w:lang w:val="sq-AL"/>
              </w:rPr>
            </w:pPr>
            <w:r w:rsidRPr="004E5A6E">
              <w:rPr>
                <w:color w:val="auto"/>
                <w:sz w:val="20"/>
                <w:szCs w:val="20"/>
                <w:lang w:val="sq-AL"/>
              </w:rPr>
              <w:t>-3.8</w:t>
            </w:r>
          </w:p>
        </w:tc>
        <w:tc>
          <w:tcPr>
            <w:tcW w:w="495" w:type="pct"/>
            <w:tcBorders>
              <w:top w:val="nil"/>
              <w:left w:val="nil"/>
              <w:bottom w:val="dotted" w:sz="4" w:space="0" w:color="000000"/>
              <w:right w:val="dotted" w:sz="4" w:space="0" w:color="000000"/>
            </w:tcBorders>
            <w:shd w:val="clear" w:color="000000" w:fill="FFFFFF"/>
            <w:vAlign w:val="bottom"/>
            <w:hideMark/>
          </w:tcPr>
          <w:p w14:paraId="619A6DDC" w14:textId="77777777" w:rsidR="002B41BB" w:rsidRPr="004E5A6E" w:rsidRDefault="002B41BB" w:rsidP="002B41BB">
            <w:pPr>
              <w:jc w:val="center"/>
              <w:rPr>
                <w:color w:val="auto"/>
                <w:sz w:val="20"/>
                <w:szCs w:val="20"/>
                <w:lang w:val="sq-AL"/>
              </w:rPr>
            </w:pPr>
            <w:r w:rsidRPr="004E5A6E">
              <w:rPr>
                <w:color w:val="auto"/>
                <w:sz w:val="20"/>
                <w:szCs w:val="20"/>
                <w:lang w:val="sq-AL"/>
              </w:rPr>
              <w:t>-7.4</w:t>
            </w:r>
          </w:p>
        </w:tc>
        <w:tc>
          <w:tcPr>
            <w:tcW w:w="495" w:type="pct"/>
            <w:tcBorders>
              <w:top w:val="nil"/>
              <w:left w:val="nil"/>
              <w:bottom w:val="dotted" w:sz="4" w:space="0" w:color="000000"/>
              <w:right w:val="dotted" w:sz="4" w:space="0" w:color="000000"/>
            </w:tcBorders>
            <w:shd w:val="clear" w:color="000000" w:fill="FFFFFF"/>
            <w:vAlign w:val="bottom"/>
            <w:hideMark/>
          </w:tcPr>
          <w:p w14:paraId="7C756B0F" w14:textId="77777777" w:rsidR="002B41BB" w:rsidRPr="004E5A6E" w:rsidRDefault="002B41BB" w:rsidP="002B41BB">
            <w:pPr>
              <w:jc w:val="center"/>
              <w:rPr>
                <w:color w:val="auto"/>
                <w:sz w:val="20"/>
                <w:szCs w:val="20"/>
                <w:lang w:val="sq-AL"/>
              </w:rPr>
            </w:pPr>
            <w:r w:rsidRPr="004E5A6E">
              <w:rPr>
                <w:color w:val="auto"/>
                <w:sz w:val="20"/>
                <w:szCs w:val="20"/>
                <w:lang w:val="sq-AL"/>
              </w:rPr>
              <w:t>-5.0</w:t>
            </w:r>
          </w:p>
        </w:tc>
        <w:tc>
          <w:tcPr>
            <w:tcW w:w="525" w:type="pct"/>
            <w:tcBorders>
              <w:top w:val="nil"/>
              <w:left w:val="nil"/>
              <w:bottom w:val="dotted" w:sz="4" w:space="0" w:color="000000"/>
              <w:right w:val="double" w:sz="6" w:space="0" w:color="000000"/>
            </w:tcBorders>
            <w:shd w:val="clear" w:color="000000" w:fill="FFFFFF"/>
            <w:vAlign w:val="bottom"/>
            <w:hideMark/>
          </w:tcPr>
          <w:p w14:paraId="3F990BFF" w14:textId="77777777" w:rsidR="002B41BB" w:rsidRPr="004E5A6E" w:rsidRDefault="002B41BB" w:rsidP="002B41BB">
            <w:pPr>
              <w:jc w:val="center"/>
              <w:rPr>
                <w:color w:val="auto"/>
                <w:sz w:val="20"/>
                <w:szCs w:val="20"/>
                <w:lang w:val="sq-AL"/>
              </w:rPr>
            </w:pPr>
            <w:r w:rsidRPr="004E5A6E">
              <w:rPr>
                <w:color w:val="auto"/>
                <w:sz w:val="20"/>
                <w:szCs w:val="20"/>
                <w:lang w:val="sq-AL"/>
              </w:rPr>
              <w:t>-4.2</w:t>
            </w:r>
          </w:p>
        </w:tc>
      </w:tr>
      <w:tr w:rsidR="002B41BB" w:rsidRPr="004E5A6E" w14:paraId="536A6044" w14:textId="77777777" w:rsidTr="002B41BB">
        <w:trPr>
          <w:trHeight w:val="300"/>
        </w:trPr>
        <w:tc>
          <w:tcPr>
            <w:tcW w:w="2000" w:type="pct"/>
            <w:tcBorders>
              <w:top w:val="nil"/>
              <w:left w:val="double" w:sz="6" w:space="0" w:color="000000"/>
              <w:bottom w:val="dotted" w:sz="4" w:space="0" w:color="000000"/>
              <w:right w:val="nil"/>
            </w:tcBorders>
            <w:shd w:val="clear" w:color="000000" w:fill="FFFFFF"/>
            <w:vAlign w:val="bottom"/>
            <w:hideMark/>
          </w:tcPr>
          <w:p w14:paraId="2FD0A9F6" w14:textId="77777777" w:rsidR="002B41BB" w:rsidRPr="004E5A6E" w:rsidRDefault="002B41BB" w:rsidP="002B41BB">
            <w:pPr>
              <w:ind w:firstLineChars="100" w:firstLine="200"/>
              <w:rPr>
                <w:color w:val="auto"/>
                <w:sz w:val="20"/>
                <w:szCs w:val="20"/>
                <w:lang w:val="sq-AL"/>
              </w:rPr>
            </w:pPr>
            <w:r w:rsidRPr="004E5A6E">
              <w:rPr>
                <w:color w:val="auto"/>
                <w:sz w:val="20"/>
                <w:szCs w:val="20"/>
                <w:lang w:val="sq-AL"/>
              </w:rPr>
              <w:t>3. Shpenzimet e Interesit</w:t>
            </w:r>
          </w:p>
        </w:tc>
        <w:tc>
          <w:tcPr>
            <w:tcW w:w="495" w:type="pct"/>
            <w:tcBorders>
              <w:top w:val="nil"/>
              <w:left w:val="single" w:sz="8" w:space="0" w:color="000000"/>
              <w:bottom w:val="dotted" w:sz="4" w:space="0" w:color="000000"/>
              <w:right w:val="single" w:sz="8" w:space="0" w:color="000000"/>
            </w:tcBorders>
            <w:shd w:val="clear" w:color="000000" w:fill="FFFFFF"/>
            <w:vAlign w:val="bottom"/>
            <w:hideMark/>
          </w:tcPr>
          <w:p w14:paraId="73151E4D" w14:textId="77777777" w:rsidR="002B41BB" w:rsidRPr="004E5A6E" w:rsidRDefault="002B41BB" w:rsidP="002B41BB">
            <w:pPr>
              <w:rPr>
                <w:color w:val="auto"/>
                <w:sz w:val="16"/>
                <w:szCs w:val="16"/>
                <w:lang w:val="sq-AL"/>
              </w:rPr>
            </w:pPr>
            <w:r w:rsidRPr="004E5A6E">
              <w:rPr>
                <w:color w:val="auto"/>
                <w:sz w:val="16"/>
                <w:szCs w:val="16"/>
                <w:lang w:val="sq-AL"/>
              </w:rPr>
              <w:t>EDP.D.41</w:t>
            </w:r>
          </w:p>
        </w:tc>
        <w:tc>
          <w:tcPr>
            <w:tcW w:w="495" w:type="pct"/>
            <w:tcBorders>
              <w:top w:val="nil"/>
              <w:left w:val="dotted" w:sz="4" w:space="0" w:color="000000"/>
              <w:bottom w:val="dotted" w:sz="4" w:space="0" w:color="000000"/>
              <w:right w:val="dotted" w:sz="4" w:space="0" w:color="000000"/>
            </w:tcBorders>
            <w:shd w:val="clear" w:color="000000" w:fill="FFFFFF"/>
            <w:hideMark/>
          </w:tcPr>
          <w:p w14:paraId="0C386B4F" w14:textId="77777777" w:rsidR="002B41BB" w:rsidRPr="004E5A6E" w:rsidRDefault="002B41BB" w:rsidP="002B41BB">
            <w:pPr>
              <w:jc w:val="center"/>
              <w:rPr>
                <w:color w:val="auto"/>
                <w:sz w:val="20"/>
                <w:szCs w:val="20"/>
                <w:lang w:val="sq-AL"/>
              </w:rPr>
            </w:pPr>
            <w:r w:rsidRPr="004E5A6E">
              <w:rPr>
                <w:color w:val="auto"/>
                <w:sz w:val="20"/>
                <w:szCs w:val="20"/>
                <w:lang w:val="sq-AL"/>
              </w:rPr>
              <w:t>0.3</w:t>
            </w:r>
          </w:p>
        </w:tc>
        <w:tc>
          <w:tcPr>
            <w:tcW w:w="495" w:type="pct"/>
            <w:tcBorders>
              <w:top w:val="nil"/>
              <w:left w:val="nil"/>
              <w:bottom w:val="dotted" w:sz="4" w:space="0" w:color="000000"/>
              <w:right w:val="dotted" w:sz="4" w:space="0" w:color="000000"/>
            </w:tcBorders>
            <w:shd w:val="clear" w:color="000000" w:fill="FFFFFF"/>
            <w:hideMark/>
          </w:tcPr>
          <w:p w14:paraId="6B796893" w14:textId="77777777" w:rsidR="002B41BB" w:rsidRPr="004E5A6E" w:rsidRDefault="002B41BB" w:rsidP="002B41BB">
            <w:pPr>
              <w:jc w:val="center"/>
              <w:rPr>
                <w:color w:val="auto"/>
                <w:sz w:val="20"/>
                <w:szCs w:val="20"/>
                <w:lang w:val="sq-AL"/>
              </w:rPr>
            </w:pPr>
            <w:r w:rsidRPr="004E5A6E">
              <w:rPr>
                <w:color w:val="auto"/>
                <w:sz w:val="20"/>
                <w:szCs w:val="20"/>
                <w:lang w:val="sq-AL"/>
              </w:rPr>
              <w:t>0.4</w:t>
            </w:r>
          </w:p>
        </w:tc>
        <w:tc>
          <w:tcPr>
            <w:tcW w:w="495" w:type="pct"/>
            <w:tcBorders>
              <w:top w:val="nil"/>
              <w:left w:val="nil"/>
              <w:bottom w:val="dotted" w:sz="4" w:space="0" w:color="000000"/>
              <w:right w:val="dotted" w:sz="4" w:space="0" w:color="000000"/>
            </w:tcBorders>
            <w:shd w:val="clear" w:color="000000" w:fill="FFFFFF"/>
            <w:hideMark/>
          </w:tcPr>
          <w:p w14:paraId="2BADB60E" w14:textId="77777777" w:rsidR="002B41BB" w:rsidRPr="004E5A6E" w:rsidRDefault="002B41BB" w:rsidP="002B41BB">
            <w:pPr>
              <w:jc w:val="center"/>
              <w:rPr>
                <w:color w:val="auto"/>
                <w:sz w:val="20"/>
                <w:szCs w:val="20"/>
                <w:lang w:val="sq-AL"/>
              </w:rPr>
            </w:pPr>
            <w:r w:rsidRPr="004E5A6E">
              <w:rPr>
                <w:color w:val="auto"/>
                <w:sz w:val="20"/>
                <w:szCs w:val="20"/>
                <w:lang w:val="sq-AL"/>
              </w:rPr>
              <w:t>0.5</w:t>
            </w:r>
          </w:p>
        </w:tc>
        <w:tc>
          <w:tcPr>
            <w:tcW w:w="495" w:type="pct"/>
            <w:tcBorders>
              <w:top w:val="nil"/>
              <w:left w:val="nil"/>
              <w:bottom w:val="dotted" w:sz="4" w:space="0" w:color="000000"/>
              <w:right w:val="dotted" w:sz="4" w:space="0" w:color="000000"/>
            </w:tcBorders>
            <w:shd w:val="clear" w:color="000000" w:fill="FFFFFF"/>
            <w:hideMark/>
          </w:tcPr>
          <w:p w14:paraId="422E0B3B" w14:textId="77777777" w:rsidR="002B41BB" w:rsidRPr="004E5A6E" w:rsidRDefault="002B41BB" w:rsidP="002B41BB">
            <w:pPr>
              <w:jc w:val="center"/>
              <w:rPr>
                <w:color w:val="auto"/>
                <w:sz w:val="20"/>
                <w:szCs w:val="20"/>
                <w:lang w:val="sq-AL"/>
              </w:rPr>
            </w:pPr>
            <w:r w:rsidRPr="004E5A6E">
              <w:rPr>
                <w:color w:val="auto"/>
                <w:sz w:val="20"/>
                <w:szCs w:val="20"/>
                <w:lang w:val="sq-AL"/>
              </w:rPr>
              <w:t>0.7</w:t>
            </w:r>
          </w:p>
        </w:tc>
        <w:tc>
          <w:tcPr>
            <w:tcW w:w="525" w:type="pct"/>
            <w:tcBorders>
              <w:top w:val="nil"/>
              <w:left w:val="nil"/>
              <w:bottom w:val="dotted" w:sz="4" w:space="0" w:color="000000"/>
              <w:right w:val="double" w:sz="6" w:space="0" w:color="000000"/>
            </w:tcBorders>
            <w:shd w:val="clear" w:color="000000" w:fill="FFFFFF"/>
            <w:hideMark/>
          </w:tcPr>
          <w:p w14:paraId="7B71AF98" w14:textId="77777777" w:rsidR="002B41BB" w:rsidRPr="004E5A6E" w:rsidRDefault="002B41BB" w:rsidP="002B41BB">
            <w:pPr>
              <w:jc w:val="center"/>
              <w:rPr>
                <w:color w:val="auto"/>
                <w:sz w:val="20"/>
                <w:szCs w:val="20"/>
                <w:lang w:val="sq-AL"/>
              </w:rPr>
            </w:pPr>
            <w:r w:rsidRPr="004E5A6E">
              <w:rPr>
                <w:color w:val="auto"/>
                <w:sz w:val="20"/>
                <w:szCs w:val="20"/>
                <w:lang w:val="sq-AL"/>
              </w:rPr>
              <w:t>0.8</w:t>
            </w:r>
          </w:p>
        </w:tc>
      </w:tr>
      <w:tr w:rsidR="002B41BB" w:rsidRPr="004E5A6E" w14:paraId="5B227380" w14:textId="77777777" w:rsidTr="002B41BB">
        <w:trPr>
          <w:trHeight w:val="528"/>
        </w:trPr>
        <w:tc>
          <w:tcPr>
            <w:tcW w:w="2000" w:type="pct"/>
            <w:tcBorders>
              <w:top w:val="nil"/>
              <w:left w:val="double" w:sz="6" w:space="0" w:color="000000"/>
              <w:bottom w:val="dotted" w:sz="4" w:space="0" w:color="000000"/>
              <w:right w:val="nil"/>
            </w:tcBorders>
            <w:shd w:val="clear" w:color="000000" w:fill="FFFFFF"/>
            <w:vAlign w:val="bottom"/>
            <w:hideMark/>
          </w:tcPr>
          <w:p w14:paraId="32FBE8E5" w14:textId="77777777" w:rsidR="002B41BB" w:rsidRPr="004E5A6E" w:rsidRDefault="002B41BB" w:rsidP="002B41BB">
            <w:pPr>
              <w:ind w:firstLineChars="100" w:firstLine="200"/>
              <w:rPr>
                <w:color w:val="auto"/>
                <w:sz w:val="20"/>
                <w:szCs w:val="20"/>
                <w:lang w:val="sq-AL"/>
              </w:rPr>
            </w:pPr>
            <w:r w:rsidRPr="004E5A6E">
              <w:rPr>
                <w:color w:val="auto"/>
                <w:sz w:val="20"/>
                <w:szCs w:val="20"/>
                <w:lang w:val="sq-AL"/>
              </w:rPr>
              <w:t>4. Masat e njëhershme dhe masat e përkohshme  [1]</w:t>
            </w:r>
          </w:p>
        </w:tc>
        <w:tc>
          <w:tcPr>
            <w:tcW w:w="495" w:type="pct"/>
            <w:tcBorders>
              <w:top w:val="nil"/>
              <w:left w:val="single" w:sz="8" w:space="0" w:color="000000"/>
              <w:bottom w:val="dotted" w:sz="4" w:space="0" w:color="000000"/>
              <w:right w:val="single" w:sz="8" w:space="0" w:color="000000"/>
            </w:tcBorders>
            <w:shd w:val="clear" w:color="000000" w:fill="FFFFFF"/>
            <w:vAlign w:val="bottom"/>
            <w:hideMark/>
          </w:tcPr>
          <w:p w14:paraId="05226B04" w14:textId="77777777" w:rsidR="002B41BB" w:rsidRPr="004E5A6E" w:rsidRDefault="002B41BB" w:rsidP="002B41BB">
            <w:pPr>
              <w:rPr>
                <w:color w:val="auto"/>
                <w:sz w:val="16"/>
                <w:szCs w:val="16"/>
                <w:lang w:val="sq-AL"/>
              </w:rPr>
            </w:pPr>
            <w:r w:rsidRPr="004E5A6E">
              <w:rPr>
                <w:color w:val="auto"/>
                <w:sz w:val="16"/>
                <w:szCs w:val="16"/>
                <w:lang w:val="sq-AL"/>
              </w:rPr>
              <w:t> </w:t>
            </w:r>
          </w:p>
        </w:tc>
        <w:tc>
          <w:tcPr>
            <w:tcW w:w="495" w:type="pct"/>
            <w:tcBorders>
              <w:top w:val="nil"/>
              <w:left w:val="dotted" w:sz="4" w:space="0" w:color="000000"/>
              <w:bottom w:val="dotted" w:sz="4" w:space="0" w:color="000000"/>
              <w:right w:val="dotted" w:sz="4" w:space="0" w:color="000000"/>
            </w:tcBorders>
            <w:shd w:val="clear" w:color="auto" w:fill="auto"/>
            <w:hideMark/>
          </w:tcPr>
          <w:p w14:paraId="1470396B"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95" w:type="pct"/>
            <w:tcBorders>
              <w:top w:val="nil"/>
              <w:left w:val="nil"/>
              <w:bottom w:val="dotted" w:sz="4" w:space="0" w:color="000000"/>
              <w:right w:val="dotted" w:sz="4" w:space="0" w:color="000000"/>
            </w:tcBorders>
            <w:shd w:val="clear" w:color="auto" w:fill="auto"/>
            <w:hideMark/>
          </w:tcPr>
          <w:p w14:paraId="305783DB"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95" w:type="pct"/>
            <w:tcBorders>
              <w:top w:val="nil"/>
              <w:left w:val="nil"/>
              <w:bottom w:val="dotted" w:sz="4" w:space="0" w:color="000000"/>
              <w:right w:val="dotted" w:sz="4" w:space="0" w:color="000000"/>
            </w:tcBorders>
            <w:shd w:val="clear" w:color="auto" w:fill="auto"/>
            <w:hideMark/>
          </w:tcPr>
          <w:p w14:paraId="286A3510"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95" w:type="pct"/>
            <w:tcBorders>
              <w:top w:val="nil"/>
              <w:left w:val="nil"/>
              <w:bottom w:val="dotted" w:sz="4" w:space="0" w:color="000000"/>
              <w:right w:val="dotted" w:sz="4" w:space="0" w:color="000000"/>
            </w:tcBorders>
            <w:shd w:val="clear" w:color="auto" w:fill="auto"/>
            <w:hideMark/>
          </w:tcPr>
          <w:p w14:paraId="0D826BC0"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525" w:type="pct"/>
            <w:tcBorders>
              <w:top w:val="nil"/>
              <w:left w:val="nil"/>
              <w:bottom w:val="dotted" w:sz="4" w:space="0" w:color="000000"/>
              <w:right w:val="double" w:sz="6" w:space="0" w:color="000000"/>
            </w:tcBorders>
            <w:shd w:val="clear" w:color="auto" w:fill="auto"/>
            <w:hideMark/>
          </w:tcPr>
          <w:p w14:paraId="5F6C5C6C"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r w:rsidR="002B41BB" w:rsidRPr="004E5A6E" w14:paraId="43DFDFC4" w14:textId="77777777" w:rsidTr="002B41BB">
        <w:trPr>
          <w:trHeight w:val="264"/>
        </w:trPr>
        <w:tc>
          <w:tcPr>
            <w:tcW w:w="2000" w:type="pct"/>
            <w:tcBorders>
              <w:top w:val="nil"/>
              <w:left w:val="double" w:sz="6" w:space="0" w:color="000000"/>
              <w:bottom w:val="dotted" w:sz="4" w:space="0" w:color="000000"/>
              <w:right w:val="nil"/>
            </w:tcBorders>
            <w:shd w:val="clear" w:color="000000" w:fill="FFFFFF"/>
            <w:vAlign w:val="bottom"/>
            <w:hideMark/>
          </w:tcPr>
          <w:p w14:paraId="53B5CE4A" w14:textId="77777777" w:rsidR="002B41BB" w:rsidRPr="004E5A6E" w:rsidRDefault="002B41BB" w:rsidP="002B41BB">
            <w:pPr>
              <w:ind w:firstLineChars="100" w:firstLine="200"/>
              <w:rPr>
                <w:color w:val="auto"/>
                <w:sz w:val="20"/>
                <w:szCs w:val="20"/>
                <w:lang w:val="sq-AL"/>
              </w:rPr>
            </w:pPr>
            <w:r w:rsidRPr="004E5A6E">
              <w:rPr>
                <w:color w:val="auto"/>
                <w:sz w:val="20"/>
                <w:szCs w:val="20"/>
                <w:lang w:val="sq-AL"/>
              </w:rPr>
              <w:t>5. Rritja potenciale e BPV-së (%, vpv)</w:t>
            </w:r>
          </w:p>
        </w:tc>
        <w:tc>
          <w:tcPr>
            <w:tcW w:w="495" w:type="pct"/>
            <w:tcBorders>
              <w:top w:val="nil"/>
              <w:left w:val="single" w:sz="8" w:space="0" w:color="000000"/>
              <w:bottom w:val="dotted" w:sz="4" w:space="0" w:color="000000"/>
              <w:right w:val="single" w:sz="8" w:space="0" w:color="000000"/>
            </w:tcBorders>
            <w:shd w:val="clear" w:color="000000" w:fill="FFFFFF"/>
            <w:vAlign w:val="bottom"/>
            <w:hideMark/>
          </w:tcPr>
          <w:p w14:paraId="00B7D018"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495" w:type="pct"/>
            <w:tcBorders>
              <w:top w:val="nil"/>
              <w:left w:val="dotted" w:sz="4" w:space="0" w:color="000000"/>
              <w:bottom w:val="dotted" w:sz="4" w:space="0" w:color="000000"/>
              <w:right w:val="dotted" w:sz="4" w:space="0" w:color="000000"/>
            </w:tcBorders>
            <w:shd w:val="clear" w:color="auto" w:fill="auto"/>
            <w:vAlign w:val="bottom"/>
            <w:hideMark/>
          </w:tcPr>
          <w:p w14:paraId="26B6C8B7" w14:textId="77777777" w:rsidR="002B41BB" w:rsidRPr="004E5A6E" w:rsidRDefault="002B41BB" w:rsidP="002B41BB">
            <w:pPr>
              <w:jc w:val="center"/>
              <w:rPr>
                <w:color w:val="auto"/>
                <w:sz w:val="20"/>
                <w:szCs w:val="20"/>
                <w:lang w:val="sq-AL"/>
              </w:rPr>
            </w:pPr>
            <w:r w:rsidRPr="004E5A6E">
              <w:rPr>
                <w:color w:val="auto"/>
                <w:sz w:val="20"/>
                <w:szCs w:val="20"/>
                <w:lang w:val="sq-AL"/>
              </w:rPr>
              <w:t>4.4</w:t>
            </w:r>
          </w:p>
        </w:tc>
        <w:tc>
          <w:tcPr>
            <w:tcW w:w="495" w:type="pct"/>
            <w:tcBorders>
              <w:top w:val="nil"/>
              <w:left w:val="nil"/>
              <w:bottom w:val="dotted" w:sz="4" w:space="0" w:color="000000"/>
              <w:right w:val="dotted" w:sz="4" w:space="0" w:color="000000"/>
            </w:tcBorders>
            <w:shd w:val="clear" w:color="auto" w:fill="auto"/>
            <w:vAlign w:val="bottom"/>
            <w:hideMark/>
          </w:tcPr>
          <w:p w14:paraId="4D3EDD76" w14:textId="77777777" w:rsidR="002B41BB" w:rsidRPr="004E5A6E" w:rsidRDefault="002B41BB" w:rsidP="002B41BB">
            <w:pPr>
              <w:jc w:val="center"/>
              <w:rPr>
                <w:color w:val="auto"/>
                <w:sz w:val="20"/>
                <w:szCs w:val="20"/>
                <w:lang w:val="sq-AL"/>
              </w:rPr>
            </w:pPr>
            <w:r w:rsidRPr="004E5A6E">
              <w:rPr>
                <w:color w:val="auto"/>
                <w:sz w:val="20"/>
                <w:szCs w:val="20"/>
                <w:lang w:val="sq-AL"/>
              </w:rPr>
              <w:t>0.1</w:t>
            </w:r>
          </w:p>
        </w:tc>
        <w:tc>
          <w:tcPr>
            <w:tcW w:w="495" w:type="pct"/>
            <w:tcBorders>
              <w:top w:val="nil"/>
              <w:left w:val="nil"/>
              <w:bottom w:val="dotted" w:sz="4" w:space="0" w:color="000000"/>
              <w:right w:val="dotted" w:sz="4" w:space="0" w:color="000000"/>
            </w:tcBorders>
            <w:shd w:val="clear" w:color="auto" w:fill="auto"/>
            <w:vAlign w:val="bottom"/>
            <w:hideMark/>
          </w:tcPr>
          <w:p w14:paraId="7FC2DA0F" w14:textId="77777777" w:rsidR="002B41BB" w:rsidRPr="004E5A6E" w:rsidRDefault="002B41BB" w:rsidP="002B41BB">
            <w:pPr>
              <w:jc w:val="center"/>
              <w:rPr>
                <w:color w:val="auto"/>
                <w:sz w:val="20"/>
                <w:szCs w:val="20"/>
                <w:lang w:val="sq-AL"/>
              </w:rPr>
            </w:pPr>
            <w:r w:rsidRPr="004E5A6E">
              <w:rPr>
                <w:color w:val="auto"/>
                <w:sz w:val="20"/>
                <w:szCs w:val="20"/>
                <w:lang w:val="sq-AL"/>
              </w:rPr>
              <w:t>1.2</w:t>
            </w:r>
          </w:p>
        </w:tc>
        <w:tc>
          <w:tcPr>
            <w:tcW w:w="495" w:type="pct"/>
            <w:tcBorders>
              <w:top w:val="nil"/>
              <w:left w:val="nil"/>
              <w:bottom w:val="dotted" w:sz="4" w:space="0" w:color="000000"/>
              <w:right w:val="dotted" w:sz="4" w:space="0" w:color="000000"/>
            </w:tcBorders>
            <w:shd w:val="clear" w:color="auto" w:fill="auto"/>
            <w:vAlign w:val="bottom"/>
            <w:hideMark/>
          </w:tcPr>
          <w:p w14:paraId="7134600A" w14:textId="77777777" w:rsidR="002B41BB" w:rsidRPr="004E5A6E" w:rsidRDefault="002B41BB" w:rsidP="002B41BB">
            <w:pPr>
              <w:jc w:val="center"/>
              <w:rPr>
                <w:color w:val="auto"/>
                <w:sz w:val="20"/>
                <w:szCs w:val="20"/>
                <w:lang w:val="sq-AL"/>
              </w:rPr>
            </w:pPr>
            <w:r w:rsidRPr="004E5A6E">
              <w:rPr>
                <w:color w:val="auto"/>
                <w:sz w:val="20"/>
                <w:szCs w:val="20"/>
                <w:lang w:val="sq-AL"/>
              </w:rPr>
              <w:t>3.3</w:t>
            </w:r>
          </w:p>
        </w:tc>
        <w:tc>
          <w:tcPr>
            <w:tcW w:w="525" w:type="pct"/>
            <w:tcBorders>
              <w:top w:val="nil"/>
              <w:left w:val="nil"/>
              <w:bottom w:val="dotted" w:sz="4" w:space="0" w:color="000000"/>
              <w:right w:val="double" w:sz="6" w:space="0" w:color="000000"/>
            </w:tcBorders>
            <w:shd w:val="clear" w:color="auto" w:fill="auto"/>
            <w:vAlign w:val="bottom"/>
            <w:hideMark/>
          </w:tcPr>
          <w:p w14:paraId="015563BC" w14:textId="77777777" w:rsidR="002B41BB" w:rsidRPr="004E5A6E" w:rsidRDefault="002B41BB" w:rsidP="002B41BB">
            <w:pPr>
              <w:jc w:val="center"/>
              <w:rPr>
                <w:color w:val="auto"/>
                <w:sz w:val="20"/>
                <w:szCs w:val="20"/>
                <w:lang w:val="sq-AL"/>
              </w:rPr>
            </w:pPr>
            <w:r w:rsidRPr="004E5A6E">
              <w:rPr>
                <w:color w:val="auto"/>
                <w:sz w:val="20"/>
                <w:szCs w:val="20"/>
                <w:lang w:val="sq-AL"/>
              </w:rPr>
              <w:t>3.5</w:t>
            </w:r>
          </w:p>
        </w:tc>
      </w:tr>
      <w:tr w:rsidR="002B41BB" w:rsidRPr="004E5A6E" w14:paraId="2B9CFC22" w14:textId="77777777" w:rsidTr="002B41BB">
        <w:trPr>
          <w:trHeight w:val="255"/>
        </w:trPr>
        <w:tc>
          <w:tcPr>
            <w:tcW w:w="2000" w:type="pct"/>
            <w:tcBorders>
              <w:top w:val="nil"/>
              <w:left w:val="double" w:sz="6" w:space="0" w:color="000000"/>
              <w:bottom w:val="dotted" w:sz="4" w:space="0" w:color="000000"/>
              <w:right w:val="nil"/>
            </w:tcBorders>
            <w:shd w:val="clear" w:color="000000" w:fill="FFFFFF"/>
            <w:vAlign w:val="bottom"/>
            <w:hideMark/>
          </w:tcPr>
          <w:p w14:paraId="7E982C15" w14:textId="77777777" w:rsidR="002B41BB" w:rsidRPr="004E5A6E" w:rsidRDefault="002B41BB" w:rsidP="002B41BB">
            <w:pPr>
              <w:ind w:firstLineChars="200" w:firstLine="400"/>
              <w:rPr>
                <w:color w:val="auto"/>
                <w:sz w:val="20"/>
                <w:szCs w:val="20"/>
                <w:lang w:val="sq-AL"/>
              </w:rPr>
            </w:pPr>
            <w:r w:rsidRPr="004E5A6E">
              <w:rPr>
                <w:color w:val="auto"/>
                <w:sz w:val="20"/>
                <w:szCs w:val="20"/>
                <w:lang w:val="sq-AL"/>
              </w:rPr>
              <w:lastRenderedPageBreak/>
              <w:t>Kontribuesit::</w:t>
            </w:r>
          </w:p>
        </w:tc>
        <w:tc>
          <w:tcPr>
            <w:tcW w:w="495" w:type="pct"/>
            <w:tcBorders>
              <w:top w:val="nil"/>
              <w:left w:val="single" w:sz="8" w:space="0" w:color="000000"/>
              <w:bottom w:val="dotted" w:sz="4" w:space="0" w:color="000000"/>
              <w:right w:val="single" w:sz="8" w:space="0" w:color="000000"/>
            </w:tcBorders>
            <w:shd w:val="clear" w:color="000000" w:fill="FFFFFF"/>
            <w:vAlign w:val="bottom"/>
            <w:hideMark/>
          </w:tcPr>
          <w:p w14:paraId="2EE00AAE"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495" w:type="pct"/>
            <w:tcBorders>
              <w:top w:val="nil"/>
              <w:left w:val="dotted" w:sz="4" w:space="0" w:color="000000"/>
              <w:bottom w:val="dotted" w:sz="4" w:space="0" w:color="000000"/>
              <w:right w:val="dotted" w:sz="4" w:space="0" w:color="000000"/>
            </w:tcBorders>
            <w:shd w:val="clear" w:color="auto" w:fill="auto"/>
            <w:vAlign w:val="bottom"/>
            <w:hideMark/>
          </w:tcPr>
          <w:p w14:paraId="64068229"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495" w:type="pct"/>
            <w:tcBorders>
              <w:top w:val="nil"/>
              <w:left w:val="nil"/>
              <w:bottom w:val="dotted" w:sz="4" w:space="0" w:color="000000"/>
              <w:right w:val="dotted" w:sz="4" w:space="0" w:color="000000"/>
            </w:tcBorders>
            <w:shd w:val="clear" w:color="auto" w:fill="auto"/>
            <w:vAlign w:val="bottom"/>
            <w:hideMark/>
          </w:tcPr>
          <w:p w14:paraId="68BC4DA3"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495" w:type="pct"/>
            <w:tcBorders>
              <w:top w:val="nil"/>
              <w:left w:val="nil"/>
              <w:bottom w:val="dotted" w:sz="4" w:space="0" w:color="000000"/>
              <w:right w:val="dotted" w:sz="4" w:space="0" w:color="000000"/>
            </w:tcBorders>
            <w:shd w:val="clear" w:color="auto" w:fill="auto"/>
            <w:vAlign w:val="bottom"/>
            <w:hideMark/>
          </w:tcPr>
          <w:p w14:paraId="1AFB51E4"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495" w:type="pct"/>
            <w:tcBorders>
              <w:top w:val="nil"/>
              <w:left w:val="nil"/>
              <w:bottom w:val="dotted" w:sz="4" w:space="0" w:color="000000"/>
              <w:right w:val="dotted" w:sz="4" w:space="0" w:color="000000"/>
            </w:tcBorders>
            <w:shd w:val="clear" w:color="auto" w:fill="auto"/>
            <w:vAlign w:val="bottom"/>
            <w:hideMark/>
          </w:tcPr>
          <w:p w14:paraId="36814BFB"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525" w:type="pct"/>
            <w:tcBorders>
              <w:top w:val="nil"/>
              <w:left w:val="nil"/>
              <w:bottom w:val="dotted" w:sz="4" w:space="0" w:color="000000"/>
              <w:right w:val="double" w:sz="6" w:space="0" w:color="000000"/>
            </w:tcBorders>
            <w:shd w:val="clear" w:color="auto" w:fill="auto"/>
            <w:vAlign w:val="bottom"/>
            <w:hideMark/>
          </w:tcPr>
          <w:p w14:paraId="194C9FD9"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r>
      <w:tr w:rsidR="002B41BB" w:rsidRPr="004E5A6E" w14:paraId="4B446459" w14:textId="77777777" w:rsidTr="002B41BB">
        <w:trPr>
          <w:trHeight w:val="300"/>
        </w:trPr>
        <w:tc>
          <w:tcPr>
            <w:tcW w:w="2000" w:type="pct"/>
            <w:tcBorders>
              <w:top w:val="nil"/>
              <w:left w:val="double" w:sz="6" w:space="0" w:color="000000"/>
              <w:bottom w:val="dotted" w:sz="4" w:space="0" w:color="000000"/>
              <w:right w:val="nil"/>
            </w:tcBorders>
            <w:shd w:val="clear" w:color="000000" w:fill="FFFFFF"/>
            <w:vAlign w:val="bottom"/>
            <w:hideMark/>
          </w:tcPr>
          <w:p w14:paraId="408175F3" w14:textId="77777777" w:rsidR="002B41BB" w:rsidRPr="004E5A6E" w:rsidRDefault="002B41BB" w:rsidP="002B41BB">
            <w:pPr>
              <w:ind w:firstLineChars="300" w:firstLine="600"/>
              <w:rPr>
                <w:color w:val="auto"/>
                <w:sz w:val="20"/>
                <w:szCs w:val="20"/>
                <w:lang w:val="sq-AL"/>
              </w:rPr>
            </w:pPr>
            <w:r w:rsidRPr="004E5A6E">
              <w:rPr>
                <w:color w:val="auto"/>
                <w:sz w:val="20"/>
                <w:szCs w:val="20"/>
                <w:lang w:val="sq-AL"/>
              </w:rPr>
              <w:t>fuqi punëtore</w:t>
            </w:r>
          </w:p>
        </w:tc>
        <w:tc>
          <w:tcPr>
            <w:tcW w:w="495" w:type="pct"/>
            <w:tcBorders>
              <w:top w:val="nil"/>
              <w:left w:val="single" w:sz="8" w:space="0" w:color="000000"/>
              <w:bottom w:val="dotted" w:sz="4" w:space="0" w:color="000000"/>
              <w:right w:val="single" w:sz="8" w:space="0" w:color="000000"/>
            </w:tcBorders>
            <w:shd w:val="clear" w:color="000000" w:fill="FFFFFF"/>
            <w:vAlign w:val="bottom"/>
            <w:hideMark/>
          </w:tcPr>
          <w:p w14:paraId="4196BDB3"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495" w:type="pct"/>
            <w:tcBorders>
              <w:top w:val="nil"/>
              <w:left w:val="dotted" w:sz="4" w:space="0" w:color="000000"/>
              <w:bottom w:val="dotted" w:sz="4" w:space="0" w:color="000000"/>
              <w:right w:val="dotted" w:sz="4" w:space="0" w:color="000000"/>
            </w:tcBorders>
            <w:shd w:val="clear" w:color="auto" w:fill="auto"/>
            <w:hideMark/>
          </w:tcPr>
          <w:p w14:paraId="4EF84E5F" w14:textId="77777777" w:rsidR="002B41BB" w:rsidRPr="004E5A6E" w:rsidRDefault="002B41BB" w:rsidP="002B41BB">
            <w:pPr>
              <w:jc w:val="center"/>
              <w:rPr>
                <w:color w:val="auto"/>
                <w:sz w:val="20"/>
                <w:szCs w:val="20"/>
                <w:lang w:val="sq-AL"/>
              </w:rPr>
            </w:pPr>
            <w:r w:rsidRPr="004E5A6E">
              <w:rPr>
                <w:color w:val="auto"/>
                <w:sz w:val="20"/>
                <w:szCs w:val="20"/>
                <w:lang w:val="sq-AL"/>
              </w:rPr>
              <w:t>0.2</w:t>
            </w:r>
          </w:p>
        </w:tc>
        <w:tc>
          <w:tcPr>
            <w:tcW w:w="495" w:type="pct"/>
            <w:tcBorders>
              <w:top w:val="nil"/>
              <w:left w:val="nil"/>
              <w:bottom w:val="dotted" w:sz="4" w:space="0" w:color="000000"/>
              <w:right w:val="dotted" w:sz="4" w:space="0" w:color="000000"/>
            </w:tcBorders>
            <w:shd w:val="clear" w:color="auto" w:fill="auto"/>
            <w:hideMark/>
          </w:tcPr>
          <w:p w14:paraId="26E38441" w14:textId="77777777" w:rsidR="002B41BB" w:rsidRPr="004E5A6E" w:rsidRDefault="002B41BB" w:rsidP="002B41BB">
            <w:pPr>
              <w:jc w:val="center"/>
              <w:rPr>
                <w:color w:val="auto"/>
                <w:sz w:val="20"/>
                <w:szCs w:val="20"/>
                <w:lang w:val="sq-AL"/>
              </w:rPr>
            </w:pPr>
            <w:r w:rsidRPr="004E5A6E">
              <w:rPr>
                <w:color w:val="auto"/>
                <w:sz w:val="20"/>
                <w:szCs w:val="20"/>
                <w:lang w:val="sq-AL"/>
              </w:rPr>
              <w:t>0.5</w:t>
            </w:r>
          </w:p>
        </w:tc>
        <w:tc>
          <w:tcPr>
            <w:tcW w:w="495" w:type="pct"/>
            <w:tcBorders>
              <w:top w:val="nil"/>
              <w:left w:val="nil"/>
              <w:bottom w:val="dotted" w:sz="4" w:space="0" w:color="000000"/>
              <w:right w:val="dotted" w:sz="4" w:space="0" w:color="000000"/>
            </w:tcBorders>
            <w:shd w:val="clear" w:color="auto" w:fill="auto"/>
            <w:hideMark/>
          </w:tcPr>
          <w:p w14:paraId="0155811E" w14:textId="77777777" w:rsidR="002B41BB" w:rsidRPr="004E5A6E" w:rsidRDefault="002B41BB" w:rsidP="002B41BB">
            <w:pPr>
              <w:jc w:val="center"/>
              <w:rPr>
                <w:color w:val="auto"/>
                <w:sz w:val="20"/>
                <w:szCs w:val="20"/>
                <w:lang w:val="sq-AL"/>
              </w:rPr>
            </w:pPr>
            <w:r w:rsidRPr="004E5A6E">
              <w:rPr>
                <w:color w:val="auto"/>
                <w:sz w:val="20"/>
                <w:szCs w:val="20"/>
                <w:lang w:val="sq-AL"/>
              </w:rPr>
              <w:t>-1.2</w:t>
            </w:r>
          </w:p>
        </w:tc>
        <w:tc>
          <w:tcPr>
            <w:tcW w:w="495" w:type="pct"/>
            <w:tcBorders>
              <w:top w:val="nil"/>
              <w:left w:val="nil"/>
              <w:bottom w:val="dotted" w:sz="4" w:space="0" w:color="000000"/>
              <w:right w:val="dotted" w:sz="4" w:space="0" w:color="000000"/>
            </w:tcBorders>
            <w:shd w:val="clear" w:color="auto" w:fill="auto"/>
            <w:hideMark/>
          </w:tcPr>
          <w:p w14:paraId="484704A9" w14:textId="77777777" w:rsidR="002B41BB" w:rsidRPr="004E5A6E" w:rsidRDefault="002B41BB" w:rsidP="002B41BB">
            <w:pPr>
              <w:jc w:val="center"/>
              <w:rPr>
                <w:color w:val="auto"/>
                <w:sz w:val="20"/>
                <w:szCs w:val="20"/>
                <w:lang w:val="sq-AL"/>
              </w:rPr>
            </w:pPr>
            <w:r w:rsidRPr="004E5A6E">
              <w:rPr>
                <w:color w:val="auto"/>
                <w:sz w:val="20"/>
                <w:szCs w:val="20"/>
                <w:lang w:val="sq-AL"/>
              </w:rPr>
              <w:t>0.5</w:t>
            </w:r>
          </w:p>
        </w:tc>
        <w:tc>
          <w:tcPr>
            <w:tcW w:w="525" w:type="pct"/>
            <w:tcBorders>
              <w:top w:val="nil"/>
              <w:left w:val="nil"/>
              <w:bottom w:val="dotted" w:sz="4" w:space="0" w:color="000000"/>
              <w:right w:val="double" w:sz="6" w:space="0" w:color="000000"/>
            </w:tcBorders>
            <w:shd w:val="clear" w:color="auto" w:fill="auto"/>
            <w:hideMark/>
          </w:tcPr>
          <w:p w14:paraId="678A9A0A" w14:textId="77777777" w:rsidR="002B41BB" w:rsidRPr="004E5A6E" w:rsidRDefault="002B41BB" w:rsidP="002B41BB">
            <w:pPr>
              <w:jc w:val="center"/>
              <w:rPr>
                <w:color w:val="auto"/>
                <w:sz w:val="20"/>
                <w:szCs w:val="20"/>
                <w:lang w:val="sq-AL"/>
              </w:rPr>
            </w:pPr>
            <w:r w:rsidRPr="004E5A6E">
              <w:rPr>
                <w:color w:val="auto"/>
                <w:sz w:val="20"/>
                <w:szCs w:val="20"/>
                <w:lang w:val="sq-AL"/>
              </w:rPr>
              <w:t>0.5</w:t>
            </w:r>
          </w:p>
        </w:tc>
      </w:tr>
      <w:tr w:rsidR="002B41BB" w:rsidRPr="004E5A6E" w14:paraId="60375866" w14:textId="77777777" w:rsidTr="002B41BB">
        <w:trPr>
          <w:trHeight w:val="300"/>
        </w:trPr>
        <w:tc>
          <w:tcPr>
            <w:tcW w:w="2000" w:type="pct"/>
            <w:tcBorders>
              <w:top w:val="nil"/>
              <w:left w:val="double" w:sz="6" w:space="0" w:color="000000"/>
              <w:bottom w:val="dotted" w:sz="4" w:space="0" w:color="000000"/>
              <w:right w:val="nil"/>
            </w:tcBorders>
            <w:shd w:val="clear" w:color="000000" w:fill="FFFFFF"/>
            <w:vAlign w:val="bottom"/>
            <w:hideMark/>
          </w:tcPr>
          <w:p w14:paraId="19CA87B2" w14:textId="77777777" w:rsidR="002B41BB" w:rsidRPr="004E5A6E" w:rsidRDefault="002B41BB" w:rsidP="002B41BB">
            <w:pPr>
              <w:ind w:firstLineChars="300" w:firstLine="600"/>
              <w:rPr>
                <w:color w:val="auto"/>
                <w:sz w:val="20"/>
                <w:szCs w:val="20"/>
                <w:lang w:val="sq-AL"/>
              </w:rPr>
            </w:pPr>
            <w:r w:rsidRPr="004E5A6E">
              <w:rPr>
                <w:color w:val="auto"/>
                <w:sz w:val="20"/>
                <w:szCs w:val="20"/>
                <w:lang w:val="sq-AL"/>
              </w:rPr>
              <w:t>kapital</w:t>
            </w:r>
          </w:p>
        </w:tc>
        <w:tc>
          <w:tcPr>
            <w:tcW w:w="495" w:type="pct"/>
            <w:tcBorders>
              <w:top w:val="nil"/>
              <w:left w:val="single" w:sz="8" w:space="0" w:color="000000"/>
              <w:bottom w:val="dotted" w:sz="4" w:space="0" w:color="000000"/>
              <w:right w:val="single" w:sz="8" w:space="0" w:color="000000"/>
            </w:tcBorders>
            <w:shd w:val="clear" w:color="000000" w:fill="FFFFFF"/>
            <w:vAlign w:val="bottom"/>
            <w:hideMark/>
          </w:tcPr>
          <w:p w14:paraId="09C47795"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495" w:type="pct"/>
            <w:tcBorders>
              <w:top w:val="nil"/>
              <w:left w:val="dotted" w:sz="4" w:space="0" w:color="000000"/>
              <w:bottom w:val="dotted" w:sz="4" w:space="0" w:color="000000"/>
              <w:right w:val="dotted" w:sz="4" w:space="0" w:color="000000"/>
            </w:tcBorders>
            <w:shd w:val="clear" w:color="auto" w:fill="auto"/>
            <w:hideMark/>
          </w:tcPr>
          <w:p w14:paraId="512C4048" w14:textId="77777777" w:rsidR="002B41BB" w:rsidRPr="004E5A6E" w:rsidRDefault="002B41BB" w:rsidP="002B41BB">
            <w:pPr>
              <w:jc w:val="center"/>
              <w:rPr>
                <w:color w:val="auto"/>
                <w:sz w:val="20"/>
                <w:szCs w:val="20"/>
                <w:lang w:val="sq-AL"/>
              </w:rPr>
            </w:pPr>
            <w:r w:rsidRPr="004E5A6E">
              <w:rPr>
                <w:color w:val="auto"/>
                <w:sz w:val="20"/>
                <w:szCs w:val="20"/>
                <w:lang w:val="sq-AL"/>
              </w:rPr>
              <w:t>1.6</w:t>
            </w:r>
          </w:p>
        </w:tc>
        <w:tc>
          <w:tcPr>
            <w:tcW w:w="495" w:type="pct"/>
            <w:tcBorders>
              <w:top w:val="nil"/>
              <w:left w:val="nil"/>
              <w:bottom w:val="dotted" w:sz="4" w:space="0" w:color="000000"/>
              <w:right w:val="dotted" w:sz="4" w:space="0" w:color="000000"/>
            </w:tcBorders>
            <w:shd w:val="clear" w:color="auto" w:fill="auto"/>
            <w:hideMark/>
          </w:tcPr>
          <w:p w14:paraId="29AAE9FE" w14:textId="77777777" w:rsidR="002B41BB" w:rsidRPr="004E5A6E" w:rsidRDefault="002B41BB" w:rsidP="002B41BB">
            <w:pPr>
              <w:jc w:val="center"/>
              <w:rPr>
                <w:color w:val="auto"/>
                <w:sz w:val="20"/>
                <w:szCs w:val="20"/>
                <w:lang w:val="sq-AL"/>
              </w:rPr>
            </w:pPr>
            <w:r w:rsidRPr="004E5A6E">
              <w:rPr>
                <w:color w:val="auto"/>
                <w:sz w:val="20"/>
                <w:szCs w:val="20"/>
                <w:lang w:val="sq-AL"/>
              </w:rPr>
              <w:t>1.6</w:t>
            </w:r>
          </w:p>
        </w:tc>
        <w:tc>
          <w:tcPr>
            <w:tcW w:w="495" w:type="pct"/>
            <w:tcBorders>
              <w:top w:val="nil"/>
              <w:left w:val="nil"/>
              <w:bottom w:val="dotted" w:sz="4" w:space="0" w:color="000000"/>
              <w:right w:val="dotted" w:sz="4" w:space="0" w:color="000000"/>
            </w:tcBorders>
            <w:shd w:val="clear" w:color="auto" w:fill="auto"/>
            <w:hideMark/>
          </w:tcPr>
          <w:p w14:paraId="1CDF74F7" w14:textId="77777777" w:rsidR="002B41BB" w:rsidRPr="004E5A6E" w:rsidRDefault="002B41BB" w:rsidP="002B41BB">
            <w:pPr>
              <w:jc w:val="center"/>
              <w:rPr>
                <w:color w:val="auto"/>
                <w:sz w:val="20"/>
                <w:szCs w:val="20"/>
                <w:lang w:val="sq-AL"/>
              </w:rPr>
            </w:pPr>
            <w:r w:rsidRPr="004E5A6E">
              <w:rPr>
                <w:color w:val="auto"/>
                <w:sz w:val="20"/>
                <w:szCs w:val="20"/>
                <w:lang w:val="sq-AL"/>
              </w:rPr>
              <w:t>0.8</w:t>
            </w:r>
          </w:p>
        </w:tc>
        <w:tc>
          <w:tcPr>
            <w:tcW w:w="495" w:type="pct"/>
            <w:tcBorders>
              <w:top w:val="nil"/>
              <w:left w:val="nil"/>
              <w:bottom w:val="dotted" w:sz="4" w:space="0" w:color="000000"/>
              <w:right w:val="dotted" w:sz="4" w:space="0" w:color="000000"/>
            </w:tcBorders>
            <w:shd w:val="clear" w:color="auto" w:fill="auto"/>
            <w:hideMark/>
          </w:tcPr>
          <w:p w14:paraId="4396EA58" w14:textId="77777777" w:rsidR="002B41BB" w:rsidRPr="004E5A6E" w:rsidRDefault="002B41BB" w:rsidP="002B41BB">
            <w:pPr>
              <w:jc w:val="center"/>
              <w:rPr>
                <w:color w:val="auto"/>
                <w:sz w:val="20"/>
                <w:szCs w:val="20"/>
                <w:lang w:val="sq-AL"/>
              </w:rPr>
            </w:pPr>
            <w:r w:rsidRPr="004E5A6E">
              <w:rPr>
                <w:color w:val="auto"/>
                <w:sz w:val="20"/>
                <w:szCs w:val="20"/>
                <w:lang w:val="sq-AL"/>
              </w:rPr>
              <w:t>1.2</w:t>
            </w:r>
          </w:p>
        </w:tc>
        <w:tc>
          <w:tcPr>
            <w:tcW w:w="525" w:type="pct"/>
            <w:tcBorders>
              <w:top w:val="nil"/>
              <w:left w:val="nil"/>
              <w:bottom w:val="dotted" w:sz="4" w:space="0" w:color="000000"/>
              <w:right w:val="double" w:sz="6" w:space="0" w:color="000000"/>
            </w:tcBorders>
            <w:shd w:val="clear" w:color="auto" w:fill="auto"/>
            <w:hideMark/>
          </w:tcPr>
          <w:p w14:paraId="0FA8F7CE" w14:textId="77777777" w:rsidR="002B41BB" w:rsidRPr="004E5A6E" w:rsidRDefault="002B41BB" w:rsidP="002B41BB">
            <w:pPr>
              <w:jc w:val="center"/>
              <w:rPr>
                <w:color w:val="auto"/>
                <w:sz w:val="20"/>
                <w:szCs w:val="20"/>
                <w:lang w:val="sq-AL"/>
              </w:rPr>
            </w:pPr>
            <w:r w:rsidRPr="004E5A6E">
              <w:rPr>
                <w:color w:val="auto"/>
                <w:sz w:val="20"/>
                <w:szCs w:val="20"/>
                <w:lang w:val="sq-AL"/>
              </w:rPr>
              <w:t>1.4</w:t>
            </w:r>
          </w:p>
        </w:tc>
      </w:tr>
      <w:tr w:rsidR="002B41BB" w:rsidRPr="004E5A6E" w14:paraId="4092BDD1" w14:textId="77777777" w:rsidTr="002B41BB">
        <w:trPr>
          <w:trHeight w:val="264"/>
        </w:trPr>
        <w:tc>
          <w:tcPr>
            <w:tcW w:w="2000" w:type="pct"/>
            <w:tcBorders>
              <w:top w:val="nil"/>
              <w:left w:val="double" w:sz="6" w:space="0" w:color="000000"/>
              <w:bottom w:val="dotted" w:sz="4" w:space="0" w:color="000000"/>
              <w:right w:val="nil"/>
            </w:tcBorders>
            <w:shd w:val="clear" w:color="000000" w:fill="FFFFFF"/>
            <w:vAlign w:val="bottom"/>
            <w:hideMark/>
          </w:tcPr>
          <w:p w14:paraId="46473498" w14:textId="77777777" w:rsidR="002B41BB" w:rsidRPr="004E5A6E" w:rsidRDefault="002B41BB" w:rsidP="002B41BB">
            <w:pPr>
              <w:ind w:firstLineChars="300" w:firstLine="600"/>
              <w:rPr>
                <w:color w:val="auto"/>
                <w:sz w:val="20"/>
                <w:szCs w:val="20"/>
                <w:lang w:val="sq-AL"/>
              </w:rPr>
            </w:pPr>
            <w:r w:rsidRPr="004E5A6E">
              <w:rPr>
                <w:color w:val="auto"/>
                <w:sz w:val="20"/>
                <w:szCs w:val="20"/>
                <w:lang w:val="sq-AL"/>
              </w:rPr>
              <w:t xml:space="preserve">produktiviteti total i faktorëve </w:t>
            </w:r>
          </w:p>
        </w:tc>
        <w:tc>
          <w:tcPr>
            <w:tcW w:w="495" w:type="pct"/>
            <w:tcBorders>
              <w:top w:val="nil"/>
              <w:left w:val="single" w:sz="8" w:space="0" w:color="000000"/>
              <w:bottom w:val="dotted" w:sz="4" w:space="0" w:color="000000"/>
              <w:right w:val="single" w:sz="8" w:space="0" w:color="000000"/>
            </w:tcBorders>
            <w:shd w:val="clear" w:color="000000" w:fill="FFFFFF"/>
            <w:vAlign w:val="bottom"/>
            <w:hideMark/>
          </w:tcPr>
          <w:p w14:paraId="34B98881"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495" w:type="pct"/>
            <w:tcBorders>
              <w:top w:val="nil"/>
              <w:left w:val="dotted" w:sz="4" w:space="0" w:color="000000"/>
              <w:bottom w:val="dotted" w:sz="4" w:space="0" w:color="000000"/>
              <w:right w:val="dotted" w:sz="4" w:space="0" w:color="000000"/>
            </w:tcBorders>
            <w:shd w:val="clear" w:color="auto" w:fill="auto"/>
            <w:hideMark/>
          </w:tcPr>
          <w:p w14:paraId="4CB69C2C" w14:textId="77777777" w:rsidR="002B41BB" w:rsidRPr="004E5A6E" w:rsidRDefault="002B41BB" w:rsidP="002B41BB">
            <w:pPr>
              <w:jc w:val="center"/>
              <w:rPr>
                <w:color w:val="auto"/>
                <w:sz w:val="20"/>
                <w:szCs w:val="20"/>
                <w:lang w:val="sq-AL"/>
              </w:rPr>
            </w:pPr>
            <w:r w:rsidRPr="004E5A6E">
              <w:rPr>
                <w:color w:val="auto"/>
                <w:sz w:val="20"/>
                <w:szCs w:val="20"/>
                <w:lang w:val="sq-AL"/>
              </w:rPr>
              <w:t>2.6</w:t>
            </w:r>
          </w:p>
        </w:tc>
        <w:tc>
          <w:tcPr>
            <w:tcW w:w="495" w:type="pct"/>
            <w:tcBorders>
              <w:top w:val="nil"/>
              <w:left w:val="nil"/>
              <w:bottom w:val="dotted" w:sz="4" w:space="0" w:color="000000"/>
              <w:right w:val="dotted" w:sz="4" w:space="0" w:color="000000"/>
            </w:tcBorders>
            <w:shd w:val="clear" w:color="auto" w:fill="auto"/>
            <w:hideMark/>
          </w:tcPr>
          <w:p w14:paraId="14921FA0" w14:textId="77777777" w:rsidR="002B41BB" w:rsidRPr="004E5A6E" w:rsidRDefault="002B41BB" w:rsidP="002B41BB">
            <w:pPr>
              <w:jc w:val="center"/>
              <w:rPr>
                <w:color w:val="auto"/>
                <w:sz w:val="20"/>
                <w:szCs w:val="20"/>
                <w:lang w:val="sq-AL"/>
              </w:rPr>
            </w:pPr>
            <w:r w:rsidRPr="004E5A6E">
              <w:rPr>
                <w:color w:val="auto"/>
                <w:sz w:val="20"/>
                <w:szCs w:val="20"/>
                <w:lang w:val="sq-AL"/>
              </w:rPr>
              <w:t>-2.0</w:t>
            </w:r>
          </w:p>
        </w:tc>
        <w:tc>
          <w:tcPr>
            <w:tcW w:w="495" w:type="pct"/>
            <w:tcBorders>
              <w:top w:val="nil"/>
              <w:left w:val="nil"/>
              <w:bottom w:val="dotted" w:sz="4" w:space="0" w:color="000000"/>
              <w:right w:val="dotted" w:sz="4" w:space="0" w:color="000000"/>
            </w:tcBorders>
            <w:shd w:val="clear" w:color="auto" w:fill="auto"/>
            <w:hideMark/>
          </w:tcPr>
          <w:p w14:paraId="44D3F638" w14:textId="77777777" w:rsidR="002B41BB" w:rsidRPr="004E5A6E" w:rsidRDefault="002B41BB" w:rsidP="002B41BB">
            <w:pPr>
              <w:jc w:val="center"/>
              <w:rPr>
                <w:color w:val="auto"/>
                <w:sz w:val="20"/>
                <w:szCs w:val="20"/>
                <w:lang w:val="sq-AL"/>
              </w:rPr>
            </w:pPr>
            <w:r w:rsidRPr="004E5A6E">
              <w:rPr>
                <w:color w:val="auto"/>
                <w:sz w:val="20"/>
                <w:szCs w:val="20"/>
                <w:lang w:val="sq-AL"/>
              </w:rPr>
              <w:t>1.6</w:t>
            </w:r>
          </w:p>
        </w:tc>
        <w:tc>
          <w:tcPr>
            <w:tcW w:w="495" w:type="pct"/>
            <w:tcBorders>
              <w:top w:val="nil"/>
              <w:left w:val="nil"/>
              <w:bottom w:val="dotted" w:sz="4" w:space="0" w:color="000000"/>
              <w:right w:val="dotted" w:sz="4" w:space="0" w:color="000000"/>
            </w:tcBorders>
            <w:shd w:val="clear" w:color="auto" w:fill="auto"/>
            <w:hideMark/>
          </w:tcPr>
          <w:p w14:paraId="1299ABEC" w14:textId="77777777" w:rsidR="002B41BB" w:rsidRPr="004E5A6E" w:rsidRDefault="002B41BB" w:rsidP="002B41BB">
            <w:pPr>
              <w:jc w:val="center"/>
              <w:rPr>
                <w:color w:val="auto"/>
                <w:sz w:val="20"/>
                <w:szCs w:val="20"/>
                <w:lang w:val="sq-AL"/>
              </w:rPr>
            </w:pPr>
            <w:r w:rsidRPr="004E5A6E">
              <w:rPr>
                <w:color w:val="auto"/>
                <w:sz w:val="20"/>
                <w:szCs w:val="20"/>
                <w:lang w:val="sq-AL"/>
              </w:rPr>
              <w:t>1.6</w:t>
            </w:r>
          </w:p>
        </w:tc>
        <w:tc>
          <w:tcPr>
            <w:tcW w:w="525" w:type="pct"/>
            <w:tcBorders>
              <w:top w:val="nil"/>
              <w:left w:val="nil"/>
              <w:bottom w:val="dotted" w:sz="4" w:space="0" w:color="000000"/>
              <w:right w:val="double" w:sz="6" w:space="0" w:color="000000"/>
            </w:tcBorders>
            <w:shd w:val="clear" w:color="auto" w:fill="auto"/>
            <w:hideMark/>
          </w:tcPr>
          <w:p w14:paraId="2C652D97" w14:textId="77777777" w:rsidR="002B41BB" w:rsidRPr="004E5A6E" w:rsidRDefault="002B41BB" w:rsidP="002B41BB">
            <w:pPr>
              <w:jc w:val="center"/>
              <w:rPr>
                <w:color w:val="auto"/>
                <w:sz w:val="20"/>
                <w:szCs w:val="20"/>
                <w:lang w:val="sq-AL"/>
              </w:rPr>
            </w:pPr>
            <w:r w:rsidRPr="004E5A6E">
              <w:rPr>
                <w:color w:val="auto"/>
                <w:sz w:val="20"/>
                <w:szCs w:val="20"/>
                <w:lang w:val="sq-AL"/>
              </w:rPr>
              <w:t>1.6</w:t>
            </w:r>
          </w:p>
        </w:tc>
      </w:tr>
      <w:tr w:rsidR="002B41BB" w:rsidRPr="004E5A6E" w14:paraId="49EEDA46" w14:textId="77777777" w:rsidTr="002B41BB">
        <w:trPr>
          <w:trHeight w:val="255"/>
        </w:trPr>
        <w:tc>
          <w:tcPr>
            <w:tcW w:w="2000" w:type="pct"/>
            <w:tcBorders>
              <w:top w:val="nil"/>
              <w:left w:val="double" w:sz="6" w:space="0" w:color="000000"/>
              <w:bottom w:val="dotted" w:sz="4" w:space="0" w:color="000000"/>
              <w:right w:val="nil"/>
            </w:tcBorders>
            <w:shd w:val="clear" w:color="000000" w:fill="FFFFFF"/>
            <w:vAlign w:val="bottom"/>
            <w:hideMark/>
          </w:tcPr>
          <w:p w14:paraId="5888CB19" w14:textId="77777777" w:rsidR="002B41BB" w:rsidRPr="004E5A6E" w:rsidRDefault="002B41BB" w:rsidP="002B41BB">
            <w:pPr>
              <w:rPr>
                <w:color w:val="auto"/>
                <w:sz w:val="20"/>
                <w:szCs w:val="20"/>
                <w:lang w:val="sq-AL"/>
              </w:rPr>
            </w:pPr>
            <w:r w:rsidRPr="004E5A6E">
              <w:rPr>
                <w:color w:val="auto"/>
                <w:sz w:val="20"/>
                <w:szCs w:val="20"/>
                <w:lang w:val="sq-AL"/>
              </w:rPr>
              <w:t xml:space="preserve">   6. Hendeku i prodhimit </w:t>
            </w:r>
          </w:p>
        </w:tc>
        <w:tc>
          <w:tcPr>
            <w:tcW w:w="495" w:type="pct"/>
            <w:tcBorders>
              <w:top w:val="nil"/>
              <w:left w:val="single" w:sz="8" w:space="0" w:color="000000"/>
              <w:bottom w:val="dotted" w:sz="4" w:space="0" w:color="000000"/>
              <w:right w:val="single" w:sz="8" w:space="0" w:color="000000"/>
            </w:tcBorders>
            <w:shd w:val="clear" w:color="000000" w:fill="FFFFFF"/>
            <w:vAlign w:val="bottom"/>
            <w:hideMark/>
          </w:tcPr>
          <w:p w14:paraId="12E46590"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495" w:type="pct"/>
            <w:tcBorders>
              <w:top w:val="nil"/>
              <w:left w:val="dotted" w:sz="4" w:space="0" w:color="000000"/>
              <w:bottom w:val="dotted" w:sz="4" w:space="0" w:color="000000"/>
              <w:right w:val="dotted" w:sz="4" w:space="0" w:color="000000"/>
            </w:tcBorders>
            <w:shd w:val="clear" w:color="auto" w:fill="auto"/>
            <w:vAlign w:val="bottom"/>
            <w:hideMark/>
          </w:tcPr>
          <w:p w14:paraId="5F18F2DE" w14:textId="77777777" w:rsidR="002B41BB" w:rsidRPr="004E5A6E" w:rsidRDefault="002B41BB" w:rsidP="002B41BB">
            <w:pPr>
              <w:jc w:val="center"/>
              <w:rPr>
                <w:color w:val="auto"/>
                <w:sz w:val="20"/>
                <w:szCs w:val="20"/>
                <w:lang w:val="sq-AL"/>
              </w:rPr>
            </w:pPr>
            <w:r w:rsidRPr="004E5A6E">
              <w:rPr>
                <w:color w:val="auto"/>
                <w:sz w:val="20"/>
                <w:szCs w:val="20"/>
                <w:lang w:val="sq-AL"/>
              </w:rPr>
              <w:t>0.5</w:t>
            </w:r>
          </w:p>
        </w:tc>
        <w:tc>
          <w:tcPr>
            <w:tcW w:w="495" w:type="pct"/>
            <w:tcBorders>
              <w:top w:val="nil"/>
              <w:left w:val="nil"/>
              <w:bottom w:val="dotted" w:sz="4" w:space="0" w:color="000000"/>
              <w:right w:val="dotted" w:sz="4" w:space="0" w:color="000000"/>
            </w:tcBorders>
            <w:shd w:val="clear" w:color="auto" w:fill="auto"/>
            <w:vAlign w:val="bottom"/>
            <w:hideMark/>
          </w:tcPr>
          <w:p w14:paraId="5B2A1945" w14:textId="77777777" w:rsidR="002B41BB" w:rsidRPr="004E5A6E" w:rsidRDefault="002B41BB" w:rsidP="002B41BB">
            <w:pPr>
              <w:jc w:val="center"/>
              <w:rPr>
                <w:color w:val="auto"/>
                <w:sz w:val="20"/>
                <w:szCs w:val="20"/>
                <w:lang w:val="sq-AL"/>
              </w:rPr>
            </w:pPr>
            <w:r w:rsidRPr="004E5A6E">
              <w:rPr>
                <w:color w:val="auto"/>
                <w:sz w:val="20"/>
                <w:szCs w:val="20"/>
                <w:lang w:val="sq-AL"/>
              </w:rPr>
              <w:t>-6.4</w:t>
            </w:r>
          </w:p>
        </w:tc>
        <w:tc>
          <w:tcPr>
            <w:tcW w:w="495" w:type="pct"/>
            <w:tcBorders>
              <w:top w:val="nil"/>
              <w:left w:val="nil"/>
              <w:bottom w:val="dotted" w:sz="4" w:space="0" w:color="000000"/>
              <w:right w:val="dotted" w:sz="4" w:space="0" w:color="000000"/>
            </w:tcBorders>
            <w:shd w:val="clear" w:color="auto" w:fill="auto"/>
            <w:vAlign w:val="bottom"/>
            <w:hideMark/>
          </w:tcPr>
          <w:p w14:paraId="7918581C" w14:textId="77777777" w:rsidR="002B41BB" w:rsidRPr="004E5A6E" w:rsidRDefault="002B41BB" w:rsidP="002B41BB">
            <w:pPr>
              <w:jc w:val="center"/>
              <w:rPr>
                <w:color w:val="auto"/>
                <w:sz w:val="20"/>
                <w:szCs w:val="20"/>
                <w:lang w:val="sq-AL"/>
              </w:rPr>
            </w:pPr>
            <w:r w:rsidRPr="004E5A6E">
              <w:rPr>
                <w:color w:val="auto"/>
                <w:sz w:val="20"/>
                <w:szCs w:val="20"/>
                <w:lang w:val="sq-AL"/>
              </w:rPr>
              <w:t>-2.7</w:t>
            </w:r>
          </w:p>
        </w:tc>
        <w:tc>
          <w:tcPr>
            <w:tcW w:w="495" w:type="pct"/>
            <w:tcBorders>
              <w:top w:val="nil"/>
              <w:left w:val="nil"/>
              <w:bottom w:val="dotted" w:sz="4" w:space="0" w:color="000000"/>
              <w:right w:val="dotted" w:sz="4" w:space="0" w:color="000000"/>
            </w:tcBorders>
            <w:shd w:val="clear" w:color="auto" w:fill="auto"/>
            <w:vAlign w:val="bottom"/>
            <w:hideMark/>
          </w:tcPr>
          <w:p w14:paraId="35F92787" w14:textId="77777777" w:rsidR="002B41BB" w:rsidRPr="004E5A6E" w:rsidRDefault="002B41BB" w:rsidP="002B41BB">
            <w:pPr>
              <w:jc w:val="center"/>
              <w:rPr>
                <w:color w:val="auto"/>
                <w:sz w:val="20"/>
                <w:szCs w:val="20"/>
                <w:lang w:val="sq-AL"/>
              </w:rPr>
            </w:pPr>
            <w:r w:rsidRPr="004E5A6E">
              <w:rPr>
                <w:color w:val="auto"/>
                <w:sz w:val="20"/>
                <w:szCs w:val="20"/>
                <w:lang w:val="sq-AL"/>
              </w:rPr>
              <w:t>-1.9</w:t>
            </w:r>
          </w:p>
        </w:tc>
        <w:tc>
          <w:tcPr>
            <w:tcW w:w="525" w:type="pct"/>
            <w:tcBorders>
              <w:top w:val="nil"/>
              <w:left w:val="nil"/>
              <w:bottom w:val="dotted" w:sz="4" w:space="0" w:color="000000"/>
              <w:right w:val="double" w:sz="6" w:space="0" w:color="000000"/>
            </w:tcBorders>
            <w:shd w:val="clear" w:color="auto" w:fill="auto"/>
            <w:vAlign w:val="bottom"/>
            <w:hideMark/>
          </w:tcPr>
          <w:p w14:paraId="326E3B8A" w14:textId="77777777" w:rsidR="002B41BB" w:rsidRPr="004E5A6E" w:rsidRDefault="002B41BB" w:rsidP="002B41BB">
            <w:pPr>
              <w:jc w:val="center"/>
              <w:rPr>
                <w:color w:val="auto"/>
                <w:sz w:val="20"/>
                <w:szCs w:val="20"/>
                <w:lang w:val="sq-AL"/>
              </w:rPr>
            </w:pPr>
            <w:r w:rsidRPr="004E5A6E">
              <w:rPr>
                <w:color w:val="auto"/>
                <w:sz w:val="20"/>
                <w:szCs w:val="20"/>
                <w:lang w:val="sq-AL"/>
              </w:rPr>
              <w:t>-1.2</w:t>
            </w:r>
          </w:p>
        </w:tc>
      </w:tr>
      <w:tr w:rsidR="002B41BB" w:rsidRPr="004E5A6E" w14:paraId="1248734A" w14:textId="77777777" w:rsidTr="002B41BB">
        <w:trPr>
          <w:trHeight w:val="300"/>
        </w:trPr>
        <w:tc>
          <w:tcPr>
            <w:tcW w:w="2000" w:type="pct"/>
            <w:tcBorders>
              <w:top w:val="nil"/>
              <w:left w:val="double" w:sz="6" w:space="0" w:color="000000"/>
              <w:bottom w:val="dotted" w:sz="4" w:space="0" w:color="000000"/>
              <w:right w:val="nil"/>
            </w:tcBorders>
            <w:shd w:val="clear" w:color="000000" w:fill="FFFFFF"/>
            <w:vAlign w:val="bottom"/>
            <w:hideMark/>
          </w:tcPr>
          <w:p w14:paraId="6B3891A9" w14:textId="77777777" w:rsidR="002B41BB" w:rsidRPr="004E5A6E" w:rsidRDefault="002B41BB" w:rsidP="002B41BB">
            <w:pPr>
              <w:rPr>
                <w:color w:val="auto"/>
                <w:sz w:val="20"/>
                <w:szCs w:val="20"/>
                <w:lang w:val="sq-AL"/>
              </w:rPr>
            </w:pPr>
            <w:r w:rsidRPr="004E5A6E">
              <w:rPr>
                <w:color w:val="auto"/>
                <w:sz w:val="20"/>
                <w:szCs w:val="20"/>
                <w:lang w:val="sq-AL"/>
              </w:rPr>
              <w:t xml:space="preserve">   7. Komponentet ciklike buxhetore</w:t>
            </w:r>
          </w:p>
        </w:tc>
        <w:tc>
          <w:tcPr>
            <w:tcW w:w="495" w:type="pct"/>
            <w:tcBorders>
              <w:top w:val="nil"/>
              <w:left w:val="single" w:sz="8" w:space="0" w:color="000000"/>
              <w:bottom w:val="dotted" w:sz="4" w:space="0" w:color="000000"/>
              <w:right w:val="single" w:sz="8" w:space="0" w:color="000000"/>
            </w:tcBorders>
            <w:shd w:val="clear" w:color="000000" w:fill="FFFFFF"/>
            <w:vAlign w:val="bottom"/>
            <w:hideMark/>
          </w:tcPr>
          <w:p w14:paraId="7438DF40"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495" w:type="pct"/>
            <w:tcBorders>
              <w:top w:val="nil"/>
              <w:left w:val="dotted" w:sz="4" w:space="0" w:color="000000"/>
              <w:bottom w:val="dotted" w:sz="4" w:space="0" w:color="000000"/>
              <w:right w:val="dotted" w:sz="4" w:space="0" w:color="000000"/>
            </w:tcBorders>
            <w:shd w:val="clear" w:color="auto" w:fill="auto"/>
            <w:vAlign w:val="bottom"/>
            <w:hideMark/>
          </w:tcPr>
          <w:p w14:paraId="44D998F4" w14:textId="77777777" w:rsidR="002B41BB" w:rsidRPr="004E5A6E" w:rsidRDefault="002B41BB" w:rsidP="002B41BB">
            <w:pPr>
              <w:jc w:val="center"/>
              <w:rPr>
                <w:color w:val="auto"/>
                <w:sz w:val="20"/>
                <w:szCs w:val="20"/>
                <w:lang w:val="sq-AL"/>
              </w:rPr>
            </w:pPr>
            <w:r w:rsidRPr="004E5A6E">
              <w:rPr>
                <w:color w:val="auto"/>
                <w:sz w:val="20"/>
                <w:szCs w:val="20"/>
                <w:lang w:val="sq-AL"/>
              </w:rPr>
              <w:t>0.0</w:t>
            </w:r>
          </w:p>
        </w:tc>
        <w:tc>
          <w:tcPr>
            <w:tcW w:w="495" w:type="pct"/>
            <w:tcBorders>
              <w:top w:val="nil"/>
              <w:left w:val="nil"/>
              <w:bottom w:val="dotted" w:sz="4" w:space="0" w:color="000000"/>
              <w:right w:val="dotted" w:sz="4" w:space="0" w:color="000000"/>
            </w:tcBorders>
            <w:shd w:val="clear" w:color="auto" w:fill="auto"/>
            <w:vAlign w:val="bottom"/>
            <w:hideMark/>
          </w:tcPr>
          <w:p w14:paraId="6ACDA879" w14:textId="77777777" w:rsidR="002B41BB" w:rsidRPr="004E5A6E" w:rsidRDefault="002B41BB" w:rsidP="002B41BB">
            <w:pPr>
              <w:jc w:val="center"/>
              <w:rPr>
                <w:color w:val="auto"/>
                <w:sz w:val="20"/>
                <w:szCs w:val="20"/>
                <w:lang w:val="sq-AL"/>
              </w:rPr>
            </w:pPr>
            <w:r w:rsidRPr="004E5A6E">
              <w:rPr>
                <w:color w:val="auto"/>
                <w:sz w:val="20"/>
                <w:szCs w:val="20"/>
                <w:lang w:val="sq-AL"/>
              </w:rPr>
              <w:t>-2.4</w:t>
            </w:r>
          </w:p>
        </w:tc>
        <w:tc>
          <w:tcPr>
            <w:tcW w:w="495" w:type="pct"/>
            <w:tcBorders>
              <w:top w:val="nil"/>
              <w:left w:val="nil"/>
              <w:bottom w:val="dotted" w:sz="4" w:space="0" w:color="000000"/>
              <w:right w:val="dotted" w:sz="4" w:space="0" w:color="000000"/>
            </w:tcBorders>
            <w:shd w:val="clear" w:color="auto" w:fill="auto"/>
            <w:vAlign w:val="bottom"/>
            <w:hideMark/>
          </w:tcPr>
          <w:p w14:paraId="6EC51002" w14:textId="77777777" w:rsidR="002B41BB" w:rsidRPr="004E5A6E" w:rsidRDefault="002B41BB" w:rsidP="002B41BB">
            <w:pPr>
              <w:jc w:val="center"/>
              <w:rPr>
                <w:color w:val="auto"/>
                <w:sz w:val="20"/>
                <w:szCs w:val="20"/>
                <w:lang w:val="sq-AL"/>
              </w:rPr>
            </w:pPr>
            <w:r w:rsidRPr="004E5A6E">
              <w:rPr>
                <w:color w:val="auto"/>
                <w:sz w:val="20"/>
                <w:szCs w:val="20"/>
                <w:lang w:val="sq-AL"/>
              </w:rPr>
              <w:t>-1.4</w:t>
            </w:r>
          </w:p>
        </w:tc>
        <w:tc>
          <w:tcPr>
            <w:tcW w:w="495" w:type="pct"/>
            <w:tcBorders>
              <w:top w:val="nil"/>
              <w:left w:val="nil"/>
              <w:bottom w:val="dotted" w:sz="4" w:space="0" w:color="000000"/>
              <w:right w:val="dotted" w:sz="4" w:space="0" w:color="000000"/>
            </w:tcBorders>
            <w:shd w:val="clear" w:color="auto" w:fill="auto"/>
            <w:vAlign w:val="bottom"/>
            <w:hideMark/>
          </w:tcPr>
          <w:p w14:paraId="190405DB" w14:textId="77777777" w:rsidR="002B41BB" w:rsidRPr="004E5A6E" w:rsidRDefault="002B41BB" w:rsidP="002B41BB">
            <w:pPr>
              <w:jc w:val="center"/>
              <w:rPr>
                <w:color w:val="auto"/>
                <w:sz w:val="20"/>
                <w:szCs w:val="20"/>
                <w:lang w:val="sq-AL"/>
              </w:rPr>
            </w:pPr>
            <w:r w:rsidRPr="004E5A6E">
              <w:rPr>
                <w:color w:val="auto"/>
                <w:sz w:val="20"/>
                <w:szCs w:val="20"/>
                <w:lang w:val="sq-AL"/>
              </w:rPr>
              <w:t>-1.1</w:t>
            </w:r>
          </w:p>
        </w:tc>
        <w:tc>
          <w:tcPr>
            <w:tcW w:w="525" w:type="pct"/>
            <w:tcBorders>
              <w:top w:val="nil"/>
              <w:left w:val="nil"/>
              <w:bottom w:val="dotted" w:sz="4" w:space="0" w:color="000000"/>
              <w:right w:val="double" w:sz="6" w:space="0" w:color="000000"/>
            </w:tcBorders>
            <w:shd w:val="clear" w:color="auto" w:fill="auto"/>
            <w:vAlign w:val="bottom"/>
            <w:hideMark/>
          </w:tcPr>
          <w:p w14:paraId="4A61500A" w14:textId="77777777" w:rsidR="002B41BB" w:rsidRPr="004E5A6E" w:rsidRDefault="002B41BB" w:rsidP="002B41BB">
            <w:pPr>
              <w:jc w:val="center"/>
              <w:rPr>
                <w:color w:val="auto"/>
                <w:sz w:val="20"/>
                <w:szCs w:val="20"/>
                <w:lang w:val="sq-AL"/>
              </w:rPr>
            </w:pPr>
            <w:r w:rsidRPr="004E5A6E">
              <w:rPr>
                <w:color w:val="auto"/>
                <w:sz w:val="20"/>
                <w:szCs w:val="20"/>
                <w:lang w:val="sq-AL"/>
              </w:rPr>
              <w:t>-0.9</w:t>
            </w:r>
          </w:p>
        </w:tc>
      </w:tr>
      <w:tr w:rsidR="002B41BB" w:rsidRPr="004E5A6E" w14:paraId="00C7E0DF" w14:textId="77777777" w:rsidTr="002B41BB">
        <w:trPr>
          <w:trHeight w:val="300"/>
        </w:trPr>
        <w:tc>
          <w:tcPr>
            <w:tcW w:w="2000" w:type="pct"/>
            <w:tcBorders>
              <w:top w:val="nil"/>
              <w:left w:val="double" w:sz="6" w:space="0" w:color="000000"/>
              <w:bottom w:val="dotted" w:sz="4" w:space="0" w:color="000000"/>
              <w:right w:val="nil"/>
            </w:tcBorders>
            <w:shd w:val="clear" w:color="000000" w:fill="FFFFFF"/>
            <w:vAlign w:val="bottom"/>
            <w:hideMark/>
          </w:tcPr>
          <w:p w14:paraId="007BA7B1" w14:textId="77777777" w:rsidR="002B41BB" w:rsidRPr="004E5A6E" w:rsidRDefault="002B41BB" w:rsidP="002B41BB">
            <w:pPr>
              <w:rPr>
                <w:color w:val="auto"/>
                <w:sz w:val="20"/>
                <w:szCs w:val="20"/>
                <w:lang w:val="sq-AL"/>
              </w:rPr>
            </w:pPr>
            <w:r w:rsidRPr="004E5A6E">
              <w:rPr>
                <w:color w:val="auto"/>
                <w:sz w:val="20"/>
                <w:szCs w:val="20"/>
                <w:lang w:val="sq-AL"/>
              </w:rPr>
              <w:t xml:space="preserve">   8. Balancet ciklikisht të përshtatura (2-7)</w:t>
            </w:r>
          </w:p>
        </w:tc>
        <w:tc>
          <w:tcPr>
            <w:tcW w:w="495" w:type="pct"/>
            <w:tcBorders>
              <w:top w:val="nil"/>
              <w:left w:val="single" w:sz="8" w:space="0" w:color="000000"/>
              <w:bottom w:val="dotted" w:sz="4" w:space="0" w:color="000000"/>
              <w:right w:val="single" w:sz="8" w:space="0" w:color="000000"/>
            </w:tcBorders>
            <w:shd w:val="clear" w:color="000000" w:fill="FFFFFF"/>
            <w:vAlign w:val="bottom"/>
            <w:hideMark/>
          </w:tcPr>
          <w:p w14:paraId="22DCE18F"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495" w:type="pct"/>
            <w:tcBorders>
              <w:top w:val="nil"/>
              <w:left w:val="dotted" w:sz="4" w:space="0" w:color="000000"/>
              <w:bottom w:val="dotted" w:sz="4" w:space="0" w:color="000000"/>
              <w:right w:val="dotted" w:sz="4" w:space="0" w:color="000000"/>
            </w:tcBorders>
            <w:shd w:val="clear" w:color="auto" w:fill="auto"/>
            <w:vAlign w:val="bottom"/>
            <w:hideMark/>
          </w:tcPr>
          <w:p w14:paraId="0EC5DD88" w14:textId="77777777" w:rsidR="002B41BB" w:rsidRPr="004E5A6E" w:rsidRDefault="002B41BB" w:rsidP="002B41BB">
            <w:pPr>
              <w:jc w:val="center"/>
              <w:rPr>
                <w:color w:val="auto"/>
                <w:sz w:val="20"/>
                <w:szCs w:val="20"/>
                <w:lang w:val="sq-AL"/>
              </w:rPr>
            </w:pPr>
            <w:r w:rsidRPr="004E5A6E">
              <w:rPr>
                <w:color w:val="auto"/>
                <w:sz w:val="20"/>
                <w:szCs w:val="20"/>
                <w:lang w:val="sq-AL"/>
              </w:rPr>
              <w:t>-2.9</w:t>
            </w:r>
          </w:p>
        </w:tc>
        <w:tc>
          <w:tcPr>
            <w:tcW w:w="495" w:type="pct"/>
            <w:tcBorders>
              <w:top w:val="nil"/>
              <w:left w:val="nil"/>
              <w:bottom w:val="dotted" w:sz="4" w:space="0" w:color="000000"/>
              <w:right w:val="dotted" w:sz="4" w:space="0" w:color="000000"/>
            </w:tcBorders>
            <w:shd w:val="clear" w:color="auto" w:fill="auto"/>
            <w:vAlign w:val="bottom"/>
            <w:hideMark/>
          </w:tcPr>
          <w:p w14:paraId="57D05A52" w14:textId="77777777" w:rsidR="002B41BB" w:rsidRPr="004E5A6E" w:rsidRDefault="002B41BB" w:rsidP="002B41BB">
            <w:pPr>
              <w:jc w:val="center"/>
              <w:rPr>
                <w:color w:val="auto"/>
                <w:sz w:val="20"/>
                <w:szCs w:val="20"/>
                <w:lang w:val="sq-AL"/>
              </w:rPr>
            </w:pPr>
            <w:r w:rsidRPr="004E5A6E">
              <w:rPr>
                <w:color w:val="auto"/>
                <w:sz w:val="20"/>
                <w:szCs w:val="20"/>
                <w:lang w:val="sq-AL"/>
              </w:rPr>
              <w:t>-1.4</w:t>
            </w:r>
          </w:p>
        </w:tc>
        <w:tc>
          <w:tcPr>
            <w:tcW w:w="495" w:type="pct"/>
            <w:tcBorders>
              <w:top w:val="nil"/>
              <w:left w:val="nil"/>
              <w:bottom w:val="dotted" w:sz="4" w:space="0" w:color="000000"/>
              <w:right w:val="dotted" w:sz="4" w:space="0" w:color="000000"/>
            </w:tcBorders>
            <w:shd w:val="clear" w:color="auto" w:fill="auto"/>
            <w:vAlign w:val="bottom"/>
            <w:hideMark/>
          </w:tcPr>
          <w:p w14:paraId="6F25EEEA" w14:textId="77777777" w:rsidR="002B41BB" w:rsidRPr="004E5A6E" w:rsidRDefault="002B41BB" w:rsidP="002B41BB">
            <w:pPr>
              <w:jc w:val="center"/>
              <w:rPr>
                <w:color w:val="auto"/>
                <w:sz w:val="20"/>
                <w:szCs w:val="20"/>
                <w:lang w:val="sq-AL"/>
              </w:rPr>
            </w:pPr>
            <w:r w:rsidRPr="004E5A6E">
              <w:rPr>
                <w:color w:val="auto"/>
                <w:sz w:val="20"/>
                <w:szCs w:val="20"/>
                <w:lang w:val="sq-AL"/>
              </w:rPr>
              <w:t>-6.0</w:t>
            </w:r>
          </w:p>
        </w:tc>
        <w:tc>
          <w:tcPr>
            <w:tcW w:w="495" w:type="pct"/>
            <w:tcBorders>
              <w:top w:val="nil"/>
              <w:left w:val="nil"/>
              <w:bottom w:val="dotted" w:sz="4" w:space="0" w:color="000000"/>
              <w:right w:val="dotted" w:sz="4" w:space="0" w:color="000000"/>
            </w:tcBorders>
            <w:shd w:val="clear" w:color="auto" w:fill="auto"/>
            <w:vAlign w:val="bottom"/>
            <w:hideMark/>
          </w:tcPr>
          <w:p w14:paraId="1D4B778D" w14:textId="77777777" w:rsidR="002B41BB" w:rsidRPr="004E5A6E" w:rsidRDefault="002B41BB" w:rsidP="002B41BB">
            <w:pPr>
              <w:jc w:val="center"/>
              <w:rPr>
                <w:color w:val="auto"/>
                <w:sz w:val="20"/>
                <w:szCs w:val="20"/>
                <w:lang w:val="sq-AL"/>
              </w:rPr>
            </w:pPr>
            <w:r w:rsidRPr="004E5A6E">
              <w:rPr>
                <w:color w:val="auto"/>
                <w:sz w:val="20"/>
                <w:szCs w:val="20"/>
                <w:lang w:val="sq-AL"/>
              </w:rPr>
              <w:t>-3.9</w:t>
            </w:r>
          </w:p>
        </w:tc>
        <w:tc>
          <w:tcPr>
            <w:tcW w:w="525" w:type="pct"/>
            <w:tcBorders>
              <w:top w:val="nil"/>
              <w:left w:val="nil"/>
              <w:bottom w:val="dotted" w:sz="4" w:space="0" w:color="000000"/>
              <w:right w:val="double" w:sz="6" w:space="0" w:color="000000"/>
            </w:tcBorders>
            <w:shd w:val="clear" w:color="auto" w:fill="auto"/>
            <w:vAlign w:val="bottom"/>
            <w:hideMark/>
          </w:tcPr>
          <w:p w14:paraId="73362F77" w14:textId="77777777" w:rsidR="002B41BB" w:rsidRPr="004E5A6E" w:rsidRDefault="002B41BB" w:rsidP="002B41BB">
            <w:pPr>
              <w:jc w:val="center"/>
              <w:rPr>
                <w:color w:val="auto"/>
                <w:sz w:val="20"/>
                <w:szCs w:val="20"/>
                <w:lang w:val="sq-AL"/>
              </w:rPr>
            </w:pPr>
            <w:r w:rsidRPr="004E5A6E">
              <w:rPr>
                <w:color w:val="auto"/>
                <w:sz w:val="20"/>
                <w:szCs w:val="20"/>
                <w:lang w:val="sq-AL"/>
              </w:rPr>
              <w:t>-3.3</w:t>
            </w:r>
          </w:p>
        </w:tc>
      </w:tr>
      <w:tr w:rsidR="002B41BB" w:rsidRPr="004E5A6E" w14:paraId="789C4088" w14:textId="77777777" w:rsidTr="002B41BB">
        <w:trPr>
          <w:trHeight w:val="300"/>
        </w:trPr>
        <w:tc>
          <w:tcPr>
            <w:tcW w:w="2000" w:type="pct"/>
            <w:tcBorders>
              <w:top w:val="nil"/>
              <w:left w:val="double" w:sz="6" w:space="0" w:color="000000"/>
              <w:bottom w:val="dotted" w:sz="4" w:space="0" w:color="000000"/>
              <w:right w:val="nil"/>
            </w:tcBorders>
            <w:shd w:val="clear" w:color="000000" w:fill="FFFFFF"/>
            <w:vAlign w:val="bottom"/>
            <w:hideMark/>
          </w:tcPr>
          <w:p w14:paraId="0F0A6936" w14:textId="77777777" w:rsidR="002B41BB" w:rsidRPr="004E5A6E" w:rsidRDefault="002B41BB" w:rsidP="002B41BB">
            <w:pPr>
              <w:rPr>
                <w:color w:val="auto"/>
                <w:sz w:val="20"/>
                <w:szCs w:val="20"/>
                <w:lang w:val="sq-AL"/>
              </w:rPr>
            </w:pPr>
            <w:r w:rsidRPr="004E5A6E">
              <w:rPr>
                <w:color w:val="auto"/>
                <w:sz w:val="20"/>
                <w:szCs w:val="20"/>
                <w:lang w:val="sq-AL"/>
              </w:rPr>
              <w:t xml:space="preserve">   9.Bilanci primar ciklikisht i përshtatur (8+3) </w:t>
            </w:r>
          </w:p>
        </w:tc>
        <w:tc>
          <w:tcPr>
            <w:tcW w:w="495" w:type="pct"/>
            <w:tcBorders>
              <w:top w:val="nil"/>
              <w:left w:val="single" w:sz="8" w:space="0" w:color="000000"/>
              <w:bottom w:val="dotted" w:sz="4" w:space="0" w:color="000000"/>
              <w:right w:val="single" w:sz="8" w:space="0" w:color="000000"/>
            </w:tcBorders>
            <w:shd w:val="clear" w:color="000000" w:fill="FFFFFF"/>
            <w:vAlign w:val="bottom"/>
            <w:hideMark/>
          </w:tcPr>
          <w:p w14:paraId="1D72F7D0"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495" w:type="pct"/>
            <w:tcBorders>
              <w:top w:val="nil"/>
              <w:left w:val="dotted" w:sz="4" w:space="0" w:color="000000"/>
              <w:bottom w:val="dotted" w:sz="4" w:space="0" w:color="000000"/>
              <w:right w:val="dotted" w:sz="4" w:space="0" w:color="000000"/>
            </w:tcBorders>
            <w:shd w:val="clear" w:color="auto" w:fill="auto"/>
            <w:vAlign w:val="bottom"/>
            <w:hideMark/>
          </w:tcPr>
          <w:p w14:paraId="5E99B892" w14:textId="77777777" w:rsidR="002B41BB" w:rsidRPr="004E5A6E" w:rsidRDefault="002B41BB" w:rsidP="002B41BB">
            <w:pPr>
              <w:jc w:val="center"/>
              <w:rPr>
                <w:color w:val="auto"/>
                <w:sz w:val="20"/>
                <w:szCs w:val="20"/>
                <w:lang w:val="sq-AL"/>
              </w:rPr>
            </w:pPr>
            <w:r w:rsidRPr="004E5A6E">
              <w:rPr>
                <w:color w:val="auto"/>
                <w:sz w:val="20"/>
                <w:szCs w:val="20"/>
                <w:lang w:val="sq-AL"/>
              </w:rPr>
              <w:t>-2.6</w:t>
            </w:r>
          </w:p>
        </w:tc>
        <w:tc>
          <w:tcPr>
            <w:tcW w:w="495" w:type="pct"/>
            <w:tcBorders>
              <w:top w:val="nil"/>
              <w:left w:val="nil"/>
              <w:bottom w:val="dotted" w:sz="4" w:space="0" w:color="000000"/>
              <w:right w:val="dotted" w:sz="4" w:space="0" w:color="000000"/>
            </w:tcBorders>
            <w:shd w:val="clear" w:color="auto" w:fill="auto"/>
            <w:vAlign w:val="bottom"/>
            <w:hideMark/>
          </w:tcPr>
          <w:p w14:paraId="4A4A9E9B" w14:textId="77777777" w:rsidR="002B41BB" w:rsidRPr="004E5A6E" w:rsidRDefault="002B41BB" w:rsidP="002B41BB">
            <w:pPr>
              <w:jc w:val="center"/>
              <w:rPr>
                <w:color w:val="auto"/>
                <w:sz w:val="20"/>
                <w:szCs w:val="20"/>
                <w:lang w:val="sq-AL"/>
              </w:rPr>
            </w:pPr>
            <w:r w:rsidRPr="004E5A6E">
              <w:rPr>
                <w:color w:val="auto"/>
                <w:sz w:val="20"/>
                <w:szCs w:val="20"/>
                <w:lang w:val="sq-AL"/>
              </w:rPr>
              <w:t>-1.0</w:t>
            </w:r>
          </w:p>
        </w:tc>
        <w:tc>
          <w:tcPr>
            <w:tcW w:w="495" w:type="pct"/>
            <w:tcBorders>
              <w:top w:val="nil"/>
              <w:left w:val="nil"/>
              <w:bottom w:val="dotted" w:sz="4" w:space="0" w:color="000000"/>
              <w:right w:val="dotted" w:sz="4" w:space="0" w:color="000000"/>
            </w:tcBorders>
            <w:shd w:val="clear" w:color="auto" w:fill="auto"/>
            <w:vAlign w:val="bottom"/>
            <w:hideMark/>
          </w:tcPr>
          <w:p w14:paraId="2BB36F22" w14:textId="77777777" w:rsidR="002B41BB" w:rsidRPr="004E5A6E" w:rsidRDefault="002B41BB" w:rsidP="002B41BB">
            <w:pPr>
              <w:jc w:val="center"/>
              <w:rPr>
                <w:color w:val="auto"/>
                <w:sz w:val="20"/>
                <w:szCs w:val="20"/>
                <w:lang w:val="sq-AL"/>
              </w:rPr>
            </w:pPr>
            <w:r w:rsidRPr="004E5A6E">
              <w:rPr>
                <w:color w:val="auto"/>
                <w:sz w:val="20"/>
                <w:szCs w:val="20"/>
                <w:lang w:val="sq-AL"/>
              </w:rPr>
              <w:t>-5.4</w:t>
            </w:r>
          </w:p>
        </w:tc>
        <w:tc>
          <w:tcPr>
            <w:tcW w:w="495" w:type="pct"/>
            <w:tcBorders>
              <w:top w:val="nil"/>
              <w:left w:val="nil"/>
              <w:bottom w:val="dotted" w:sz="4" w:space="0" w:color="000000"/>
              <w:right w:val="dotted" w:sz="4" w:space="0" w:color="000000"/>
            </w:tcBorders>
            <w:shd w:val="clear" w:color="auto" w:fill="auto"/>
            <w:vAlign w:val="bottom"/>
            <w:hideMark/>
          </w:tcPr>
          <w:p w14:paraId="1DBB487D" w14:textId="77777777" w:rsidR="002B41BB" w:rsidRPr="004E5A6E" w:rsidRDefault="002B41BB" w:rsidP="002B41BB">
            <w:pPr>
              <w:jc w:val="center"/>
              <w:rPr>
                <w:color w:val="auto"/>
                <w:sz w:val="20"/>
                <w:szCs w:val="20"/>
                <w:lang w:val="sq-AL"/>
              </w:rPr>
            </w:pPr>
            <w:r w:rsidRPr="004E5A6E">
              <w:rPr>
                <w:color w:val="auto"/>
                <w:sz w:val="20"/>
                <w:szCs w:val="20"/>
                <w:lang w:val="sq-AL"/>
              </w:rPr>
              <w:t>-3.2</w:t>
            </w:r>
          </w:p>
        </w:tc>
        <w:tc>
          <w:tcPr>
            <w:tcW w:w="525" w:type="pct"/>
            <w:tcBorders>
              <w:top w:val="nil"/>
              <w:left w:val="nil"/>
              <w:bottom w:val="dotted" w:sz="4" w:space="0" w:color="000000"/>
              <w:right w:val="double" w:sz="6" w:space="0" w:color="000000"/>
            </w:tcBorders>
            <w:shd w:val="clear" w:color="auto" w:fill="auto"/>
            <w:vAlign w:val="bottom"/>
            <w:hideMark/>
          </w:tcPr>
          <w:p w14:paraId="34D8B4C9" w14:textId="77777777" w:rsidR="002B41BB" w:rsidRPr="004E5A6E" w:rsidRDefault="002B41BB" w:rsidP="002B41BB">
            <w:pPr>
              <w:jc w:val="center"/>
              <w:rPr>
                <w:color w:val="auto"/>
                <w:sz w:val="20"/>
                <w:szCs w:val="20"/>
                <w:lang w:val="sq-AL"/>
              </w:rPr>
            </w:pPr>
            <w:r w:rsidRPr="004E5A6E">
              <w:rPr>
                <w:color w:val="auto"/>
                <w:sz w:val="20"/>
                <w:szCs w:val="20"/>
                <w:lang w:val="sq-AL"/>
              </w:rPr>
              <w:t>-2.6</w:t>
            </w:r>
          </w:p>
        </w:tc>
      </w:tr>
      <w:tr w:rsidR="002B41BB" w:rsidRPr="004E5A6E" w14:paraId="2A0E5B14" w14:textId="77777777" w:rsidTr="002B41BB">
        <w:trPr>
          <w:trHeight w:val="276"/>
        </w:trPr>
        <w:tc>
          <w:tcPr>
            <w:tcW w:w="2000" w:type="pct"/>
            <w:tcBorders>
              <w:top w:val="nil"/>
              <w:left w:val="double" w:sz="6" w:space="0" w:color="000000"/>
              <w:bottom w:val="double" w:sz="6" w:space="0" w:color="000000"/>
              <w:right w:val="nil"/>
            </w:tcBorders>
            <w:shd w:val="clear" w:color="000000" w:fill="FFFFFF"/>
            <w:vAlign w:val="bottom"/>
            <w:hideMark/>
          </w:tcPr>
          <w:p w14:paraId="1D64A67B" w14:textId="77777777" w:rsidR="002B41BB" w:rsidRPr="004E5A6E" w:rsidRDefault="002B41BB" w:rsidP="002B41BB">
            <w:pPr>
              <w:rPr>
                <w:color w:val="auto"/>
                <w:sz w:val="20"/>
                <w:szCs w:val="20"/>
                <w:lang w:val="sq-AL"/>
              </w:rPr>
            </w:pPr>
            <w:r w:rsidRPr="004E5A6E">
              <w:rPr>
                <w:color w:val="auto"/>
                <w:sz w:val="20"/>
                <w:szCs w:val="20"/>
                <w:lang w:val="sq-AL"/>
              </w:rPr>
              <w:t xml:space="preserve">   10. Bilanci strukturor (8-4) </w:t>
            </w:r>
          </w:p>
        </w:tc>
        <w:tc>
          <w:tcPr>
            <w:tcW w:w="495" w:type="pct"/>
            <w:tcBorders>
              <w:top w:val="nil"/>
              <w:left w:val="single" w:sz="8" w:space="0" w:color="000000"/>
              <w:bottom w:val="double" w:sz="6" w:space="0" w:color="000000"/>
              <w:right w:val="single" w:sz="8" w:space="0" w:color="000000"/>
            </w:tcBorders>
            <w:shd w:val="clear" w:color="000000" w:fill="FFFFFF"/>
            <w:vAlign w:val="bottom"/>
            <w:hideMark/>
          </w:tcPr>
          <w:p w14:paraId="395386F0"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495" w:type="pct"/>
            <w:tcBorders>
              <w:top w:val="nil"/>
              <w:left w:val="dotted" w:sz="4" w:space="0" w:color="000000"/>
              <w:bottom w:val="double" w:sz="6" w:space="0" w:color="000000"/>
              <w:right w:val="dotted" w:sz="4" w:space="0" w:color="000000"/>
            </w:tcBorders>
            <w:shd w:val="clear" w:color="auto" w:fill="auto"/>
            <w:vAlign w:val="bottom"/>
            <w:hideMark/>
          </w:tcPr>
          <w:p w14:paraId="546C7F40"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95" w:type="pct"/>
            <w:tcBorders>
              <w:top w:val="nil"/>
              <w:left w:val="nil"/>
              <w:bottom w:val="double" w:sz="6" w:space="0" w:color="000000"/>
              <w:right w:val="dotted" w:sz="4" w:space="0" w:color="000000"/>
            </w:tcBorders>
            <w:shd w:val="clear" w:color="auto" w:fill="auto"/>
            <w:vAlign w:val="bottom"/>
            <w:hideMark/>
          </w:tcPr>
          <w:p w14:paraId="615AA0D3"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95" w:type="pct"/>
            <w:tcBorders>
              <w:top w:val="nil"/>
              <w:left w:val="nil"/>
              <w:bottom w:val="double" w:sz="6" w:space="0" w:color="000000"/>
              <w:right w:val="dotted" w:sz="4" w:space="0" w:color="000000"/>
            </w:tcBorders>
            <w:shd w:val="clear" w:color="auto" w:fill="auto"/>
            <w:vAlign w:val="bottom"/>
            <w:hideMark/>
          </w:tcPr>
          <w:p w14:paraId="6CD8B20A"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95" w:type="pct"/>
            <w:tcBorders>
              <w:top w:val="nil"/>
              <w:left w:val="nil"/>
              <w:bottom w:val="double" w:sz="6" w:space="0" w:color="000000"/>
              <w:right w:val="dotted" w:sz="4" w:space="0" w:color="000000"/>
            </w:tcBorders>
            <w:shd w:val="clear" w:color="auto" w:fill="auto"/>
            <w:vAlign w:val="bottom"/>
            <w:hideMark/>
          </w:tcPr>
          <w:p w14:paraId="50331F58"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525" w:type="pct"/>
            <w:tcBorders>
              <w:top w:val="nil"/>
              <w:left w:val="nil"/>
              <w:bottom w:val="double" w:sz="6" w:space="0" w:color="000000"/>
              <w:right w:val="double" w:sz="6" w:space="0" w:color="000000"/>
            </w:tcBorders>
            <w:shd w:val="clear" w:color="auto" w:fill="auto"/>
            <w:vAlign w:val="bottom"/>
            <w:hideMark/>
          </w:tcPr>
          <w:p w14:paraId="54465A98"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bl>
    <w:p w14:paraId="40AA19C3" w14:textId="61197272" w:rsidR="002B41BB" w:rsidRPr="004E5A6E" w:rsidRDefault="002B41BB" w:rsidP="00693151">
      <w:pPr>
        <w:rPr>
          <w:highlight w:val="yellow"/>
          <w:lang w:val="sq-AL"/>
        </w:rPr>
      </w:pPr>
    </w:p>
    <w:p w14:paraId="284867A4" w14:textId="300BC9FB" w:rsidR="002B41BB" w:rsidRPr="004E5A6E" w:rsidRDefault="002B41BB" w:rsidP="00693151">
      <w:pPr>
        <w:rPr>
          <w:highlight w:val="yellow"/>
          <w:lang w:val="sq-AL"/>
        </w:rPr>
      </w:pPr>
    </w:p>
    <w:tbl>
      <w:tblPr>
        <w:tblW w:w="5000" w:type="pct"/>
        <w:tblLook w:val="04A0" w:firstRow="1" w:lastRow="0" w:firstColumn="1" w:lastColumn="0" w:noHBand="0" w:noVBand="1"/>
      </w:tblPr>
      <w:tblGrid>
        <w:gridCol w:w="3652"/>
        <w:gridCol w:w="999"/>
        <w:gridCol w:w="999"/>
        <w:gridCol w:w="999"/>
        <w:gridCol w:w="999"/>
        <w:gridCol w:w="976"/>
      </w:tblGrid>
      <w:tr w:rsidR="002B41BB" w:rsidRPr="004E5A6E" w14:paraId="7226042C" w14:textId="77777777" w:rsidTr="002B41BB">
        <w:trPr>
          <w:trHeight w:val="318"/>
        </w:trPr>
        <w:tc>
          <w:tcPr>
            <w:tcW w:w="2697" w:type="pct"/>
            <w:gridSpan w:val="2"/>
            <w:tcBorders>
              <w:top w:val="nil"/>
              <w:left w:val="nil"/>
              <w:bottom w:val="nil"/>
              <w:right w:val="nil"/>
            </w:tcBorders>
            <w:shd w:val="clear" w:color="000000" w:fill="FFFFFF"/>
            <w:noWrap/>
            <w:vAlign w:val="bottom"/>
            <w:hideMark/>
          </w:tcPr>
          <w:p w14:paraId="59F0CC91" w14:textId="77777777" w:rsidR="002B41BB" w:rsidRPr="004E5A6E" w:rsidRDefault="002B41BB" w:rsidP="002B41BB">
            <w:pPr>
              <w:rPr>
                <w:b/>
                <w:bCs/>
                <w:color w:val="auto"/>
                <w:sz w:val="20"/>
                <w:szCs w:val="20"/>
                <w:lang w:val="sq-AL"/>
              </w:rPr>
            </w:pPr>
            <w:r w:rsidRPr="004E5A6E">
              <w:rPr>
                <w:b/>
                <w:bCs/>
                <w:color w:val="auto"/>
                <w:sz w:val="20"/>
                <w:szCs w:val="20"/>
                <w:lang w:val="sq-AL"/>
              </w:rPr>
              <w:t>Tabela 6:  Divergjenca nga programi paraprak</w:t>
            </w:r>
          </w:p>
        </w:tc>
        <w:tc>
          <w:tcPr>
            <w:tcW w:w="579" w:type="pct"/>
            <w:tcBorders>
              <w:top w:val="nil"/>
              <w:left w:val="nil"/>
              <w:bottom w:val="nil"/>
              <w:right w:val="nil"/>
            </w:tcBorders>
            <w:shd w:val="clear" w:color="000000" w:fill="FFFFFF"/>
            <w:noWrap/>
            <w:vAlign w:val="center"/>
            <w:hideMark/>
          </w:tcPr>
          <w:p w14:paraId="05E4AA26" w14:textId="77777777" w:rsidR="002B41BB" w:rsidRPr="004E5A6E" w:rsidRDefault="002B41BB" w:rsidP="002B41BB">
            <w:pPr>
              <w:rPr>
                <w:color w:val="auto"/>
                <w:sz w:val="20"/>
                <w:szCs w:val="20"/>
                <w:lang w:val="sq-AL"/>
              </w:rPr>
            </w:pPr>
            <w:r w:rsidRPr="004E5A6E">
              <w:rPr>
                <w:color w:val="auto"/>
                <w:sz w:val="20"/>
                <w:szCs w:val="20"/>
                <w:lang w:val="sq-AL"/>
              </w:rPr>
              <w:t> </w:t>
            </w:r>
          </w:p>
        </w:tc>
        <w:tc>
          <w:tcPr>
            <w:tcW w:w="579" w:type="pct"/>
            <w:tcBorders>
              <w:top w:val="nil"/>
              <w:left w:val="nil"/>
              <w:bottom w:val="nil"/>
              <w:right w:val="nil"/>
            </w:tcBorders>
            <w:shd w:val="clear" w:color="000000" w:fill="FFFFFF"/>
            <w:noWrap/>
            <w:vAlign w:val="center"/>
            <w:hideMark/>
          </w:tcPr>
          <w:p w14:paraId="3060349E" w14:textId="77777777" w:rsidR="002B41BB" w:rsidRPr="004E5A6E" w:rsidRDefault="002B41BB" w:rsidP="002B41BB">
            <w:pPr>
              <w:rPr>
                <w:color w:val="auto"/>
                <w:sz w:val="20"/>
                <w:szCs w:val="20"/>
                <w:lang w:val="sq-AL"/>
              </w:rPr>
            </w:pPr>
            <w:r w:rsidRPr="004E5A6E">
              <w:rPr>
                <w:color w:val="auto"/>
                <w:sz w:val="20"/>
                <w:szCs w:val="20"/>
                <w:lang w:val="sq-AL"/>
              </w:rPr>
              <w:t> </w:t>
            </w:r>
          </w:p>
        </w:tc>
        <w:tc>
          <w:tcPr>
            <w:tcW w:w="579" w:type="pct"/>
            <w:tcBorders>
              <w:top w:val="nil"/>
              <w:left w:val="nil"/>
              <w:bottom w:val="nil"/>
              <w:right w:val="nil"/>
            </w:tcBorders>
            <w:shd w:val="clear" w:color="000000" w:fill="FFFFFF"/>
            <w:noWrap/>
            <w:vAlign w:val="center"/>
            <w:hideMark/>
          </w:tcPr>
          <w:p w14:paraId="75CF6FCE" w14:textId="77777777" w:rsidR="002B41BB" w:rsidRPr="004E5A6E" w:rsidRDefault="002B41BB" w:rsidP="002B41BB">
            <w:pPr>
              <w:rPr>
                <w:color w:val="auto"/>
                <w:sz w:val="20"/>
                <w:szCs w:val="20"/>
                <w:lang w:val="sq-AL"/>
              </w:rPr>
            </w:pPr>
            <w:r w:rsidRPr="004E5A6E">
              <w:rPr>
                <w:color w:val="auto"/>
                <w:sz w:val="20"/>
                <w:szCs w:val="20"/>
                <w:lang w:val="sq-AL"/>
              </w:rPr>
              <w:t> </w:t>
            </w:r>
          </w:p>
        </w:tc>
        <w:tc>
          <w:tcPr>
            <w:tcW w:w="568" w:type="pct"/>
            <w:tcBorders>
              <w:top w:val="nil"/>
              <w:left w:val="nil"/>
              <w:bottom w:val="nil"/>
              <w:right w:val="nil"/>
            </w:tcBorders>
            <w:shd w:val="clear" w:color="000000" w:fill="FFFFFF"/>
            <w:noWrap/>
            <w:vAlign w:val="center"/>
            <w:hideMark/>
          </w:tcPr>
          <w:p w14:paraId="32012CF2" w14:textId="77777777" w:rsidR="002B41BB" w:rsidRPr="004E5A6E" w:rsidRDefault="002B41BB" w:rsidP="002B41BB">
            <w:pPr>
              <w:rPr>
                <w:color w:val="auto"/>
                <w:sz w:val="20"/>
                <w:szCs w:val="20"/>
                <w:lang w:val="sq-AL"/>
              </w:rPr>
            </w:pPr>
            <w:r w:rsidRPr="004E5A6E">
              <w:rPr>
                <w:color w:val="auto"/>
                <w:sz w:val="20"/>
                <w:szCs w:val="20"/>
                <w:lang w:val="sq-AL"/>
              </w:rPr>
              <w:t> </w:t>
            </w:r>
          </w:p>
        </w:tc>
      </w:tr>
      <w:tr w:rsidR="002B41BB" w:rsidRPr="004E5A6E" w14:paraId="61ACD532" w14:textId="77777777" w:rsidTr="002B41BB">
        <w:trPr>
          <w:trHeight w:val="318"/>
        </w:trPr>
        <w:tc>
          <w:tcPr>
            <w:tcW w:w="2118" w:type="pct"/>
            <w:tcBorders>
              <w:top w:val="double" w:sz="6" w:space="0" w:color="auto"/>
              <w:left w:val="double" w:sz="6" w:space="0" w:color="auto"/>
              <w:bottom w:val="double" w:sz="6" w:space="0" w:color="auto"/>
              <w:right w:val="single" w:sz="8" w:space="0" w:color="auto"/>
            </w:tcBorders>
            <w:shd w:val="clear" w:color="000000" w:fill="FFFFFF"/>
            <w:hideMark/>
          </w:tcPr>
          <w:p w14:paraId="377AF808" w14:textId="77777777" w:rsidR="002B41BB" w:rsidRPr="004E5A6E" w:rsidRDefault="002B41BB" w:rsidP="002B41BB">
            <w:pPr>
              <w:jc w:val="center"/>
              <w:rPr>
                <w:color w:val="auto"/>
                <w:sz w:val="20"/>
                <w:szCs w:val="20"/>
                <w:lang w:val="sq-AL"/>
              </w:rPr>
            </w:pPr>
            <w:r w:rsidRPr="004E5A6E">
              <w:rPr>
                <w:color w:val="auto"/>
                <w:sz w:val="20"/>
                <w:szCs w:val="20"/>
                <w:lang w:val="sq-AL"/>
              </w:rPr>
              <w:t> </w:t>
            </w:r>
          </w:p>
        </w:tc>
        <w:tc>
          <w:tcPr>
            <w:tcW w:w="579" w:type="pct"/>
            <w:tcBorders>
              <w:top w:val="double" w:sz="6" w:space="0" w:color="auto"/>
              <w:left w:val="nil"/>
              <w:bottom w:val="double" w:sz="6" w:space="0" w:color="auto"/>
              <w:right w:val="dotted" w:sz="4" w:space="0" w:color="auto"/>
            </w:tcBorders>
            <w:shd w:val="clear" w:color="000000" w:fill="FFFFFF"/>
            <w:hideMark/>
          </w:tcPr>
          <w:p w14:paraId="038A220D" w14:textId="77777777" w:rsidR="002B41BB" w:rsidRPr="004E5A6E" w:rsidRDefault="002B41BB" w:rsidP="002B41BB">
            <w:pPr>
              <w:jc w:val="center"/>
              <w:rPr>
                <w:color w:val="auto"/>
                <w:sz w:val="20"/>
                <w:szCs w:val="20"/>
                <w:lang w:val="sq-AL"/>
              </w:rPr>
            </w:pPr>
            <w:r w:rsidRPr="004E5A6E">
              <w:rPr>
                <w:color w:val="auto"/>
                <w:sz w:val="20"/>
                <w:szCs w:val="20"/>
                <w:lang w:val="sq-AL"/>
              </w:rPr>
              <w:t>2019</w:t>
            </w:r>
          </w:p>
        </w:tc>
        <w:tc>
          <w:tcPr>
            <w:tcW w:w="579" w:type="pct"/>
            <w:tcBorders>
              <w:top w:val="double" w:sz="6" w:space="0" w:color="auto"/>
              <w:left w:val="nil"/>
              <w:bottom w:val="double" w:sz="6" w:space="0" w:color="auto"/>
              <w:right w:val="dotted" w:sz="4" w:space="0" w:color="auto"/>
            </w:tcBorders>
            <w:shd w:val="clear" w:color="000000" w:fill="FFFFFF"/>
            <w:hideMark/>
          </w:tcPr>
          <w:p w14:paraId="654909B6" w14:textId="77777777" w:rsidR="002B41BB" w:rsidRPr="004E5A6E" w:rsidRDefault="002B41BB" w:rsidP="002B41BB">
            <w:pPr>
              <w:jc w:val="center"/>
              <w:rPr>
                <w:color w:val="auto"/>
                <w:sz w:val="20"/>
                <w:szCs w:val="20"/>
                <w:lang w:val="sq-AL"/>
              </w:rPr>
            </w:pPr>
            <w:r w:rsidRPr="004E5A6E">
              <w:rPr>
                <w:color w:val="auto"/>
                <w:sz w:val="20"/>
                <w:szCs w:val="20"/>
                <w:lang w:val="sq-AL"/>
              </w:rPr>
              <w:t>2020</w:t>
            </w:r>
          </w:p>
        </w:tc>
        <w:tc>
          <w:tcPr>
            <w:tcW w:w="579" w:type="pct"/>
            <w:tcBorders>
              <w:top w:val="double" w:sz="6" w:space="0" w:color="auto"/>
              <w:left w:val="nil"/>
              <w:bottom w:val="double" w:sz="6" w:space="0" w:color="auto"/>
              <w:right w:val="dotted" w:sz="4" w:space="0" w:color="auto"/>
            </w:tcBorders>
            <w:shd w:val="clear" w:color="000000" w:fill="FFFFFF"/>
            <w:hideMark/>
          </w:tcPr>
          <w:p w14:paraId="3E0685C6" w14:textId="77777777" w:rsidR="002B41BB" w:rsidRPr="004E5A6E" w:rsidRDefault="002B41BB" w:rsidP="002B41BB">
            <w:pPr>
              <w:jc w:val="center"/>
              <w:rPr>
                <w:color w:val="auto"/>
                <w:sz w:val="20"/>
                <w:szCs w:val="20"/>
                <w:lang w:val="sq-AL"/>
              </w:rPr>
            </w:pPr>
            <w:r w:rsidRPr="004E5A6E">
              <w:rPr>
                <w:color w:val="auto"/>
                <w:sz w:val="20"/>
                <w:szCs w:val="20"/>
                <w:lang w:val="sq-AL"/>
              </w:rPr>
              <w:t>2021</w:t>
            </w:r>
          </w:p>
        </w:tc>
        <w:tc>
          <w:tcPr>
            <w:tcW w:w="579" w:type="pct"/>
            <w:tcBorders>
              <w:top w:val="double" w:sz="6" w:space="0" w:color="auto"/>
              <w:left w:val="nil"/>
              <w:bottom w:val="double" w:sz="6" w:space="0" w:color="auto"/>
              <w:right w:val="dotted" w:sz="4" w:space="0" w:color="auto"/>
            </w:tcBorders>
            <w:shd w:val="clear" w:color="000000" w:fill="FFFFFF"/>
            <w:hideMark/>
          </w:tcPr>
          <w:p w14:paraId="1B46E409" w14:textId="77777777" w:rsidR="002B41BB" w:rsidRPr="004E5A6E" w:rsidRDefault="002B41BB" w:rsidP="002B41BB">
            <w:pPr>
              <w:jc w:val="center"/>
              <w:rPr>
                <w:color w:val="auto"/>
                <w:sz w:val="20"/>
                <w:szCs w:val="20"/>
                <w:lang w:val="sq-AL"/>
              </w:rPr>
            </w:pPr>
            <w:r w:rsidRPr="004E5A6E">
              <w:rPr>
                <w:color w:val="auto"/>
                <w:sz w:val="20"/>
                <w:szCs w:val="20"/>
                <w:lang w:val="sq-AL"/>
              </w:rPr>
              <w:t>2022</w:t>
            </w:r>
          </w:p>
        </w:tc>
        <w:tc>
          <w:tcPr>
            <w:tcW w:w="568" w:type="pct"/>
            <w:tcBorders>
              <w:top w:val="double" w:sz="6" w:space="0" w:color="auto"/>
              <w:left w:val="nil"/>
              <w:bottom w:val="double" w:sz="6" w:space="0" w:color="auto"/>
              <w:right w:val="double" w:sz="6" w:space="0" w:color="auto"/>
            </w:tcBorders>
            <w:shd w:val="clear" w:color="000000" w:fill="FFFFFF"/>
            <w:hideMark/>
          </w:tcPr>
          <w:p w14:paraId="09A6DE5A" w14:textId="77777777" w:rsidR="002B41BB" w:rsidRPr="004E5A6E" w:rsidRDefault="002B41BB" w:rsidP="002B41BB">
            <w:pPr>
              <w:jc w:val="center"/>
              <w:rPr>
                <w:color w:val="auto"/>
                <w:sz w:val="20"/>
                <w:szCs w:val="20"/>
                <w:lang w:val="sq-AL"/>
              </w:rPr>
            </w:pPr>
            <w:r w:rsidRPr="004E5A6E">
              <w:rPr>
                <w:color w:val="auto"/>
                <w:sz w:val="20"/>
                <w:szCs w:val="20"/>
                <w:lang w:val="sq-AL"/>
              </w:rPr>
              <w:t>2023</w:t>
            </w:r>
          </w:p>
        </w:tc>
      </w:tr>
      <w:tr w:rsidR="002B41BB" w:rsidRPr="004E5A6E" w14:paraId="2DE7D0D8" w14:textId="77777777" w:rsidTr="002B41BB">
        <w:trPr>
          <w:trHeight w:val="318"/>
        </w:trPr>
        <w:tc>
          <w:tcPr>
            <w:tcW w:w="5000" w:type="pct"/>
            <w:gridSpan w:val="6"/>
            <w:tcBorders>
              <w:top w:val="nil"/>
              <w:left w:val="double" w:sz="6" w:space="0" w:color="auto"/>
              <w:bottom w:val="single" w:sz="8" w:space="0" w:color="auto"/>
              <w:right w:val="double" w:sz="6" w:space="0" w:color="000000"/>
            </w:tcBorders>
            <w:shd w:val="clear" w:color="000000" w:fill="FFFFFF"/>
            <w:hideMark/>
          </w:tcPr>
          <w:p w14:paraId="3E7BC956" w14:textId="77777777" w:rsidR="002B41BB" w:rsidRPr="004E5A6E" w:rsidRDefault="002B41BB" w:rsidP="002B41BB">
            <w:pPr>
              <w:jc w:val="center"/>
              <w:rPr>
                <w:b/>
                <w:bCs/>
                <w:color w:val="auto"/>
                <w:sz w:val="20"/>
                <w:szCs w:val="20"/>
                <w:lang w:val="sq-AL"/>
              </w:rPr>
            </w:pPr>
            <w:r w:rsidRPr="004E5A6E">
              <w:rPr>
                <w:b/>
                <w:bCs/>
                <w:color w:val="auto"/>
                <w:sz w:val="20"/>
                <w:szCs w:val="20"/>
                <w:lang w:val="sq-AL"/>
              </w:rPr>
              <w:t>1. Rritja e BPV-së (%, vpv)</w:t>
            </w:r>
          </w:p>
        </w:tc>
      </w:tr>
      <w:tr w:rsidR="002B41BB" w:rsidRPr="004E5A6E" w14:paraId="4D67A5FB" w14:textId="77777777" w:rsidTr="002B41BB">
        <w:trPr>
          <w:trHeight w:val="318"/>
        </w:trPr>
        <w:tc>
          <w:tcPr>
            <w:tcW w:w="2118" w:type="pct"/>
            <w:tcBorders>
              <w:top w:val="nil"/>
              <w:left w:val="double" w:sz="6" w:space="0" w:color="auto"/>
              <w:bottom w:val="dotted" w:sz="4" w:space="0" w:color="auto"/>
              <w:right w:val="single" w:sz="8" w:space="0" w:color="auto"/>
            </w:tcBorders>
            <w:shd w:val="clear" w:color="000000" w:fill="FFFFFF"/>
            <w:hideMark/>
          </w:tcPr>
          <w:p w14:paraId="3143B7D3" w14:textId="77777777" w:rsidR="002B41BB" w:rsidRPr="004E5A6E" w:rsidRDefault="002B41BB" w:rsidP="002B41BB">
            <w:pPr>
              <w:rPr>
                <w:color w:val="auto"/>
                <w:sz w:val="20"/>
                <w:szCs w:val="20"/>
                <w:lang w:val="sq-AL"/>
              </w:rPr>
            </w:pPr>
            <w:r w:rsidRPr="004E5A6E">
              <w:rPr>
                <w:color w:val="auto"/>
                <w:sz w:val="20"/>
                <w:szCs w:val="20"/>
                <w:lang w:val="sq-AL"/>
              </w:rPr>
              <w:t>Programi paraprak</w:t>
            </w:r>
          </w:p>
        </w:tc>
        <w:tc>
          <w:tcPr>
            <w:tcW w:w="579" w:type="pct"/>
            <w:tcBorders>
              <w:top w:val="nil"/>
              <w:left w:val="nil"/>
              <w:bottom w:val="dotted" w:sz="4" w:space="0" w:color="auto"/>
              <w:right w:val="dotted" w:sz="4" w:space="0" w:color="auto"/>
            </w:tcBorders>
            <w:shd w:val="clear" w:color="auto" w:fill="auto"/>
            <w:hideMark/>
          </w:tcPr>
          <w:p w14:paraId="0DEFECD3" w14:textId="77777777" w:rsidR="002B41BB" w:rsidRPr="004E5A6E" w:rsidRDefault="002B41BB" w:rsidP="002B41BB">
            <w:pPr>
              <w:jc w:val="center"/>
              <w:rPr>
                <w:color w:val="auto"/>
                <w:sz w:val="20"/>
                <w:szCs w:val="20"/>
                <w:lang w:val="sq-AL"/>
              </w:rPr>
            </w:pPr>
            <w:r w:rsidRPr="004E5A6E">
              <w:rPr>
                <w:color w:val="auto"/>
                <w:sz w:val="20"/>
                <w:szCs w:val="20"/>
                <w:lang w:val="sq-AL"/>
              </w:rPr>
              <w:t>4.0</w:t>
            </w:r>
          </w:p>
        </w:tc>
        <w:tc>
          <w:tcPr>
            <w:tcW w:w="579" w:type="pct"/>
            <w:tcBorders>
              <w:top w:val="nil"/>
              <w:left w:val="nil"/>
              <w:bottom w:val="dotted" w:sz="4" w:space="0" w:color="auto"/>
              <w:right w:val="dotted" w:sz="4" w:space="0" w:color="auto"/>
            </w:tcBorders>
            <w:shd w:val="clear" w:color="auto" w:fill="auto"/>
            <w:hideMark/>
          </w:tcPr>
          <w:p w14:paraId="485D25F5" w14:textId="77777777" w:rsidR="002B41BB" w:rsidRPr="004E5A6E" w:rsidRDefault="002B41BB" w:rsidP="002B41BB">
            <w:pPr>
              <w:jc w:val="center"/>
              <w:rPr>
                <w:color w:val="auto"/>
                <w:sz w:val="20"/>
                <w:szCs w:val="20"/>
                <w:lang w:val="sq-AL"/>
              </w:rPr>
            </w:pPr>
            <w:r w:rsidRPr="004E5A6E">
              <w:rPr>
                <w:color w:val="auto"/>
                <w:sz w:val="20"/>
                <w:szCs w:val="20"/>
                <w:lang w:val="sq-AL"/>
              </w:rPr>
              <w:t>4.4</w:t>
            </w:r>
          </w:p>
        </w:tc>
        <w:tc>
          <w:tcPr>
            <w:tcW w:w="579" w:type="pct"/>
            <w:tcBorders>
              <w:top w:val="nil"/>
              <w:left w:val="nil"/>
              <w:bottom w:val="dotted" w:sz="4" w:space="0" w:color="auto"/>
              <w:right w:val="dotted" w:sz="4" w:space="0" w:color="auto"/>
            </w:tcBorders>
            <w:shd w:val="clear" w:color="auto" w:fill="auto"/>
            <w:hideMark/>
          </w:tcPr>
          <w:p w14:paraId="3885F089" w14:textId="77777777" w:rsidR="002B41BB" w:rsidRPr="004E5A6E" w:rsidRDefault="002B41BB" w:rsidP="002B41BB">
            <w:pPr>
              <w:jc w:val="center"/>
              <w:rPr>
                <w:color w:val="auto"/>
                <w:sz w:val="20"/>
                <w:szCs w:val="20"/>
                <w:lang w:val="sq-AL"/>
              </w:rPr>
            </w:pPr>
            <w:r w:rsidRPr="004E5A6E">
              <w:rPr>
                <w:color w:val="auto"/>
                <w:sz w:val="20"/>
                <w:szCs w:val="20"/>
                <w:lang w:val="sq-AL"/>
              </w:rPr>
              <w:t>4.5</w:t>
            </w:r>
          </w:p>
        </w:tc>
        <w:tc>
          <w:tcPr>
            <w:tcW w:w="579" w:type="pct"/>
            <w:tcBorders>
              <w:top w:val="nil"/>
              <w:left w:val="nil"/>
              <w:bottom w:val="dotted" w:sz="4" w:space="0" w:color="auto"/>
              <w:right w:val="dotted" w:sz="4" w:space="0" w:color="auto"/>
            </w:tcBorders>
            <w:shd w:val="clear" w:color="auto" w:fill="auto"/>
            <w:hideMark/>
          </w:tcPr>
          <w:p w14:paraId="05698B05" w14:textId="77777777" w:rsidR="002B41BB" w:rsidRPr="004E5A6E" w:rsidRDefault="002B41BB" w:rsidP="002B41BB">
            <w:pPr>
              <w:jc w:val="center"/>
              <w:rPr>
                <w:color w:val="auto"/>
                <w:sz w:val="20"/>
                <w:szCs w:val="20"/>
                <w:lang w:val="sq-AL"/>
              </w:rPr>
            </w:pPr>
            <w:r w:rsidRPr="004E5A6E">
              <w:rPr>
                <w:color w:val="auto"/>
                <w:sz w:val="20"/>
                <w:szCs w:val="20"/>
                <w:lang w:val="sq-AL"/>
              </w:rPr>
              <w:t>4.5</w:t>
            </w:r>
          </w:p>
        </w:tc>
        <w:tc>
          <w:tcPr>
            <w:tcW w:w="568" w:type="pct"/>
            <w:tcBorders>
              <w:top w:val="nil"/>
              <w:left w:val="nil"/>
              <w:bottom w:val="dotted" w:sz="4" w:space="0" w:color="auto"/>
              <w:right w:val="double" w:sz="6" w:space="0" w:color="auto"/>
            </w:tcBorders>
            <w:shd w:val="clear" w:color="auto" w:fill="auto"/>
            <w:hideMark/>
          </w:tcPr>
          <w:p w14:paraId="3D06EABA"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r w:rsidR="002B41BB" w:rsidRPr="004E5A6E" w14:paraId="6044C403" w14:textId="77777777" w:rsidTr="002B41BB">
        <w:trPr>
          <w:trHeight w:val="318"/>
        </w:trPr>
        <w:tc>
          <w:tcPr>
            <w:tcW w:w="2118" w:type="pct"/>
            <w:tcBorders>
              <w:top w:val="nil"/>
              <w:left w:val="double" w:sz="6" w:space="0" w:color="auto"/>
              <w:bottom w:val="dotted" w:sz="4" w:space="0" w:color="auto"/>
              <w:right w:val="single" w:sz="8" w:space="0" w:color="auto"/>
            </w:tcBorders>
            <w:shd w:val="clear" w:color="000000" w:fill="FFFFFF"/>
            <w:hideMark/>
          </w:tcPr>
          <w:p w14:paraId="1C5761CE" w14:textId="77777777" w:rsidR="002B41BB" w:rsidRPr="004E5A6E" w:rsidRDefault="002B41BB" w:rsidP="002B41BB">
            <w:pPr>
              <w:rPr>
                <w:color w:val="auto"/>
                <w:sz w:val="20"/>
                <w:szCs w:val="20"/>
                <w:lang w:val="sq-AL"/>
              </w:rPr>
            </w:pPr>
            <w:r w:rsidRPr="004E5A6E">
              <w:rPr>
                <w:color w:val="auto"/>
                <w:sz w:val="20"/>
                <w:szCs w:val="20"/>
                <w:lang w:val="sq-AL"/>
              </w:rPr>
              <w:t>Azhurnimi i fundit</w:t>
            </w:r>
          </w:p>
        </w:tc>
        <w:tc>
          <w:tcPr>
            <w:tcW w:w="579" w:type="pct"/>
            <w:tcBorders>
              <w:top w:val="nil"/>
              <w:left w:val="nil"/>
              <w:bottom w:val="dotted" w:sz="4" w:space="0" w:color="auto"/>
              <w:right w:val="dotted" w:sz="4" w:space="0" w:color="auto"/>
            </w:tcBorders>
            <w:shd w:val="clear" w:color="000000" w:fill="FFFFFF"/>
            <w:hideMark/>
          </w:tcPr>
          <w:p w14:paraId="5F4FEA96" w14:textId="77777777" w:rsidR="002B41BB" w:rsidRPr="004E5A6E" w:rsidRDefault="002B41BB" w:rsidP="002B41BB">
            <w:pPr>
              <w:jc w:val="center"/>
              <w:rPr>
                <w:color w:val="auto"/>
                <w:sz w:val="20"/>
                <w:szCs w:val="20"/>
                <w:lang w:val="sq-AL"/>
              </w:rPr>
            </w:pPr>
            <w:r w:rsidRPr="004E5A6E">
              <w:rPr>
                <w:color w:val="auto"/>
                <w:sz w:val="20"/>
                <w:szCs w:val="20"/>
                <w:lang w:val="sq-AL"/>
              </w:rPr>
              <w:t>4.9</w:t>
            </w:r>
          </w:p>
        </w:tc>
        <w:tc>
          <w:tcPr>
            <w:tcW w:w="579" w:type="pct"/>
            <w:tcBorders>
              <w:top w:val="nil"/>
              <w:left w:val="nil"/>
              <w:bottom w:val="dotted" w:sz="4" w:space="0" w:color="auto"/>
              <w:right w:val="dotted" w:sz="4" w:space="0" w:color="auto"/>
            </w:tcBorders>
            <w:shd w:val="clear" w:color="000000" w:fill="FFFFFF"/>
            <w:hideMark/>
          </w:tcPr>
          <w:p w14:paraId="17E752AA" w14:textId="77777777" w:rsidR="002B41BB" w:rsidRPr="004E5A6E" w:rsidRDefault="002B41BB" w:rsidP="002B41BB">
            <w:pPr>
              <w:jc w:val="center"/>
              <w:rPr>
                <w:color w:val="auto"/>
                <w:sz w:val="20"/>
                <w:szCs w:val="20"/>
                <w:lang w:val="sq-AL"/>
              </w:rPr>
            </w:pPr>
            <w:r w:rsidRPr="004E5A6E">
              <w:rPr>
                <w:color w:val="auto"/>
                <w:sz w:val="20"/>
                <w:szCs w:val="20"/>
                <w:lang w:val="sq-AL"/>
              </w:rPr>
              <w:t>-6.7</w:t>
            </w:r>
          </w:p>
        </w:tc>
        <w:tc>
          <w:tcPr>
            <w:tcW w:w="579" w:type="pct"/>
            <w:tcBorders>
              <w:top w:val="nil"/>
              <w:left w:val="nil"/>
              <w:bottom w:val="dotted" w:sz="4" w:space="0" w:color="auto"/>
              <w:right w:val="dotted" w:sz="4" w:space="0" w:color="auto"/>
            </w:tcBorders>
            <w:shd w:val="clear" w:color="000000" w:fill="FFFFFF"/>
            <w:hideMark/>
          </w:tcPr>
          <w:p w14:paraId="205AF2E4" w14:textId="77777777" w:rsidR="002B41BB" w:rsidRPr="004E5A6E" w:rsidRDefault="002B41BB" w:rsidP="002B41BB">
            <w:pPr>
              <w:jc w:val="center"/>
              <w:rPr>
                <w:color w:val="auto"/>
                <w:sz w:val="20"/>
                <w:szCs w:val="20"/>
                <w:lang w:val="sq-AL"/>
              </w:rPr>
            </w:pPr>
            <w:r w:rsidRPr="004E5A6E">
              <w:rPr>
                <w:color w:val="auto"/>
                <w:sz w:val="20"/>
                <w:szCs w:val="20"/>
                <w:lang w:val="sq-AL"/>
              </w:rPr>
              <w:t>5.2</w:t>
            </w:r>
          </w:p>
        </w:tc>
        <w:tc>
          <w:tcPr>
            <w:tcW w:w="579" w:type="pct"/>
            <w:tcBorders>
              <w:top w:val="nil"/>
              <w:left w:val="nil"/>
              <w:bottom w:val="dotted" w:sz="4" w:space="0" w:color="auto"/>
              <w:right w:val="dotted" w:sz="4" w:space="0" w:color="auto"/>
            </w:tcBorders>
            <w:shd w:val="clear" w:color="000000" w:fill="FFFFFF"/>
            <w:hideMark/>
          </w:tcPr>
          <w:p w14:paraId="5C24D1F8" w14:textId="77777777" w:rsidR="002B41BB" w:rsidRPr="004E5A6E" w:rsidRDefault="002B41BB" w:rsidP="002B41BB">
            <w:pPr>
              <w:jc w:val="center"/>
              <w:rPr>
                <w:color w:val="auto"/>
                <w:sz w:val="20"/>
                <w:szCs w:val="20"/>
                <w:lang w:val="sq-AL"/>
              </w:rPr>
            </w:pPr>
            <w:r w:rsidRPr="004E5A6E">
              <w:rPr>
                <w:color w:val="auto"/>
                <w:sz w:val="20"/>
                <w:szCs w:val="20"/>
                <w:lang w:val="sq-AL"/>
              </w:rPr>
              <w:t>4.1</w:t>
            </w:r>
          </w:p>
        </w:tc>
        <w:tc>
          <w:tcPr>
            <w:tcW w:w="568" w:type="pct"/>
            <w:tcBorders>
              <w:top w:val="nil"/>
              <w:left w:val="nil"/>
              <w:bottom w:val="dotted" w:sz="4" w:space="0" w:color="auto"/>
              <w:right w:val="double" w:sz="6" w:space="0" w:color="auto"/>
            </w:tcBorders>
            <w:shd w:val="clear" w:color="000000" w:fill="FFFFFF"/>
            <w:hideMark/>
          </w:tcPr>
          <w:p w14:paraId="0B97F954" w14:textId="77777777" w:rsidR="002B41BB" w:rsidRPr="004E5A6E" w:rsidRDefault="002B41BB" w:rsidP="002B41BB">
            <w:pPr>
              <w:jc w:val="center"/>
              <w:rPr>
                <w:color w:val="auto"/>
                <w:sz w:val="20"/>
                <w:szCs w:val="20"/>
                <w:lang w:val="sq-AL"/>
              </w:rPr>
            </w:pPr>
            <w:r w:rsidRPr="004E5A6E">
              <w:rPr>
                <w:color w:val="auto"/>
                <w:sz w:val="20"/>
                <w:szCs w:val="20"/>
                <w:lang w:val="sq-AL"/>
              </w:rPr>
              <w:t>4.2</w:t>
            </w:r>
          </w:p>
        </w:tc>
      </w:tr>
      <w:tr w:rsidR="002B41BB" w:rsidRPr="004E5A6E" w14:paraId="4BEACC4B" w14:textId="77777777" w:rsidTr="002B41BB">
        <w:trPr>
          <w:trHeight w:val="318"/>
        </w:trPr>
        <w:tc>
          <w:tcPr>
            <w:tcW w:w="2118" w:type="pct"/>
            <w:tcBorders>
              <w:top w:val="nil"/>
              <w:left w:val="double" w:sz="6" w:space="0" w:color="auto"/>
              <w:bottom w:val="single" w:sz="8" w:space="0" w:color="auto"/>
              <w:right w:val="single" w:sz="8" w:space="0" w:color="auto"/>
            </w:tcBorders>
            <w:shd w:val="clear" w:color="000000" w:fill="FFFFFF"/>
            <w:hideMark/>
          </w:tcPr>
          <w:p w14:paraId="49207F48" w14:textId="77777777" w:rsidR="002B41BB" w:rsidRPr="004E5A6E" w:rsidRDefault="002B41BB" w:rsidP="002B41BB">
            <w:pPr>
              <w:rPr>
                <w:color w:val="auto"/>
                <w:sz w:val="20"/>
                <w:szCs w:val="20"/>
                <w:lang w:val="sq-AL"/>
              </w:rPr>
            </w:pPr>
            <w:r w:rsidRPr="004E5A6E">
              <w:rPr>
                <w:color w:val="auto"/>
                <w:sz w:val="20"/>
                <w:szCs w:val="20"/>
                <w:lang w:val="sq-AL"/>
              </w:rPr>
              <w:t>Diferenca (pikë të perqindjes)</w:t>
            </w:r>
          </w:p>
        </w:tc>
        <w:tc>
          <w:tcPr>
            <w:tcW w:w="579" w:type="pct"/>
            <w:tcBorders>
              <w:top w:val="nil"/>
              <w:left w:val="nil"/>
              <w:bottom w:val="single" w:sz="8" w:space="0" w:color="auto"/>
              <w:right w:val="dotted" w:sz="4" w:space="0" w:color="auto"/>
            </w:tcBorders>
            <w:shd w:val="clear" w:color="000000" w:fill="FFFFFF"/>
            <w:hideMark/>
          </w:tcPr>
          <w:p w14:paraId="7EBFBEF9" w14:textId="77777777" w:rsidR="002B41BB" w:rsidRPr="004E5A6E" w:rsidRDefault="002B41BB" w:rsidP="002B41BB">
            <w:pPr>
              <w:jc w:val="center"/>
              <w:rPr>
                <w:color w:val="auto"/>
                <w:sz w:val="20"/>
                <w:szCs w:val="20"/>
                <w:lang w:val="sq-AL"/>
              </w:rPr>
            </w:pPr>
            <w:r w:rsidRPr="004E5A6E">
              <w:rPr>
                <w:color w:val="auto"/>
                <w:sz w:val="20"/>
                <w:szCs w:val="20"/>
                <w:lang w:val="sq-AL"/>
              </w:rPr>
              <w:t>0.9</w:t>
            </w:r>
          </w:p>
        </w:tc>
        <w:tc>
          <w:tcPr>
            <w:tcW w:w="579" w:type="pct"/>
            <w:tcBorders>
              <w:top w:val="nil"/>
              <w:left w:val="nil"/>
              <w:bottom w:val="single" w:sz="8" w:space="0" w:color="auto"/>
              <w:right w:val="dotted" w:sz="4" w:space="0" w:color="auto"/>
            </w:tcBorders>
            <w:shd w:val="clear" w:color="000000" w:fill="FFFFFF"/>
            <w:hideMark/>
          </w:tcPr>
          <w:p w14:paraId="1D0E6426" w14:textId="77777777" w:rsidR="002B41BB" w:rsidRPr="004E5A6E" w:rsidRDefault="002B41BB" w:rsidP="002B41BB">
            <w:pPr>
              <w:jc w:val="center"/>
              <w:rPr>
                <w:color w:val="auto"/>
                <w:sz w:val="20"/>
                <w:szCs w:val="20"/>
                <w:lang w:val="sq-AL"/>
              </w:rPr>
            </w:pPr>
            <w:r w:rsidRPr="004E5A6E">
              <w:rPr>
                <w:color w:val="auto"/>
                <w:sz w:val="20"/>
                <w:szCs w:val="20"/>
                <w:lang w:val="sq-AL"/>
              </w:rPr>
              <w:t>-11.1</w:t>
            </w:r>
          </w:p>
        </w:tc>
        <w:tc>
          <w:tcPr>
            <w:tcW w:w="579" w:type="pct"/>
            <w:tcBorders>
              <w:top w:val="nil"/>
              <w:left w:val="nil"/>
              <w:bottom w:val="single" w:sz="8" w:space="0" w:color="auto"/>
              <w:right w:val="dotted" w:sz="4" w:space="0" w:color="auto"/>
            </w:tcBorders>
            <w:shd w:val="clear" w:color="000000" w:fill="FFFFFF"/>
            <w:hideMark/>
          </w:tcPr>
          <w:p w14:paraId="4C24CBDD" w14:textId="77777777" w:rsidR="002B41BB" w:rsidRPr="004E5A6E" w:rsidRDefault="002B41BB" w:rsidP="002B41BB">
            <w:pPr>
              <w:jc w:val="center"/>
              <w:rPr>
                <w:color w:val="auto"/>
                <w:sz w:val="20"/>
                <w:szCs w:val="20"/>
                <w:lang w:val="sq-AL"/>
              </w:rPr>
            </w:pPr>
            <w:r w:rsidRPr="004E5A6E">
              <w:rPr>
                <w:color w:val="auto"/>
                <w:sz w:val="20"/>
                <w:szCs w:val="20"/>
                <w:lang w:val="sq-AL"/>
              </w:rPr>
              <w:t>0.7</w:t>
            </w:r>
          </w:p>
        </w:tc>
        <w:tc>
          <w:tcPr>
            <w:tcW w:w="579" w:type="pct"/>
            <w:tcBorders>
              <w:top w:val="nil"/>
              <w:left w:val="nil"/>
              <w:bottom w:val="single" w:sz="8" w:space="0" w:color="auto"/>
              <w:right w:val="dotted" w:sz="4" w:space="0" w:color="auto"/>
            </w:tcBorders>
            <w:shd w:val="clear" w:color="000000" w:fill="FFFFFF"/>
            <w:hideMark/>
          </w:tcPr>
          <w:p w14:paraId="3AADB0C2" w14:textId="77777777" w:rsidR="002B41BB" w:rsidRPr="004E5A6E" w:rsidRDefault="002B41BB" w:rsidP="002B41BB">
            <w:pPr>
              <w:jc w:val="center"/>
              <w:rPr>
                <w:color w:val="auto"/>
                <w:sz w:val="20"/>
                <w:szCs w:val="20"/>
                <w:lang w:val="sq-AL"/>
              </w:rPr>
            </w:pPr>
            <w:r w:rsidRPr="004E5A6E">
              <w:rPr>
                <w:color w:val="auto"/>
                <w:sz w:val="20"/>
                <w:szCs w:val="20"/>
                <w:lang w:val="sq-AL"/>
              </w:rPr>
              <w:t>-0.4</w:t>
            </w:r>
          </w:p>
        </w:tc>
        <w:tc>
          <w:tcPr>
            <w:tcW w:w="568" w:type="pct"/>
            <w:tcBorders>
              <w:top w:val="nil"/>
              <w:left w:val="nil"/>
              <w:bottom w:val="single" w:sz="8" w:space="0" w:color="auto"/>
              <w:right w:val="double" w:sz="6" w:space="0" w:color="auto"/>
            </w:tcBorders>
            <w:shd w:val="clear" w:color="000000" w:fill="FFFFFF"/>
            <w:hideMark/>
          </w:tcPr>
          <w:p w14:paraId="3462C34A"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r w:rsidR="002B41BB" w:rsidRPr="004E5A6E" w14:paraId="2D6D2D76" w14:textId="77777777" w:rsidTr="002B41BB">
        <w:trPr>
          <w:trHeight w:val="318"/>
        </w:trPr>
        <w:tc>
          <w:tcPr>
            <w:tcW w:w="5000" w:type="pct"/>
            <w:gridSpan w:val="6"/>
            <w:tcBorders>
              <w:top w:val="single" w:sz="8" w:space="0" w:color="auto"/>
              <w:left w:val="double" w:sz="6" w:space="0" w:color="auto"/>
              <w:bottom w:val="single" w:sz="8" w:space="0" w:color="auto"/>
              <w:right w:val="double" w:sz="6" w:space="0" w:color="000000"/>
            </w:tcBorders>
            <w:shd w:val="clear" w:color="000000" w:fill="FFFFFF"/>
            <w:hideMark/>
          </w:tcPr>
          <w:p w14:paraId="09AC2DFE" w14:textId="77777777" w:rsidR="002B41BB" w:rsidRPr="004E5A6E" w:rsidRDefault="002B41BB" w:rsidP="002B41BB">
            <w:pPr>
              <w:jc w:val="center"/>
              <w:rPr>
                <w:b/>
                <w:bCs/>
                <w:color w:val="auto"/>
                <w:sz w:val="20"/>
                <w:szCs w:val="20"/>
                <w:lang w:val="sq-AL"/>
              </w:rPr>
            </w:pPr>
            <w:r w:rsidRPr="004E5A6E">
              <w:rPr>
                <w:b/>
                <w:bCs/>
                <w:color w:val="auto"/>
                <w:sz w:val="20"/>
                <w:szCs w:val="20"/>
                <w:lang w:val="sq-AL"/>
              </w:rPr>
              <w:t>2. Huadhënja neto Qeveria e Përgjithshme (% e BPV-së)</w:t>
            </w:r>
          </w:p>
        </w:tc>
      </w:tr>
      <w:tr w:rsidR="002B41BB" w:rsidRPr="004E5A6E" w14:paraId="426A6B02" w14:textId="77777777" w:rsidTr="002B41BB">
        <w:trPr>
          <w:trHeight w:val="318"/>
        </w:trPr>
        <w:tc>
          <w:tcPr>
            <w:tcW w:w="2118" w:type="pct"/>
            <w:tcBorders>
              <w:top w:val="nil"/>
              <w:left w:val="double" w:sz="6" w:space="0" w:color="auto"/>
              <w:bottom w:val="dotted" w:sz="4" w:space="0" w:color="auto"/>
              <w:right w:val="single" w:sz="8" w:space="0" w:color="auto"/>
            </w:tcBorders>
            <w:shd w:val="clear" w:color="000000" w:fill="FFFFFF"/>
            <w:hideMark/>
          </w:tcPr>
          <w:p w14:paraId="5075C695" w14:textId="77777777" w:rsidR="002B41BB" w:rsidRPr="004E5A6E" w:rsidRDefault="002B41BB" w:rsidP="002B41BB">
            <w:pPr>
              <w:rPr>
                <w:color w:val="auto"/>
                <w:sz w:val="20"/>
                <w:szCs w:val="20"/>
                <w:lang w:val="sq-AL"/>
              </w:rPr>
            </w:pPr>
            <w:r w:rsidRPr="004E5A6E">
              <w:rPr>
                <w:color w:val="auto"/>
                <w:sz w:val="20"/>
                <w:szCs w:val="20"/>
                <w:lang w:val="sq-AL"/>
              </w:rPr>
              <w:t>Programi paraprak</w:t>
            </w:r>
          </w:p>
        </w:tc>
        <w:tc>
          <w:tcPr>
            <w:tcW w:w="579" w:type="pct"/>
            <w:tcBorders>
              <w:top w:val="nil"/>
              <w:left w:val="nil"/>
              <w:bottom w:val="dotted" w:sz="4" w:space="0" w:color="auto"/>
              <w:right w:val="dotted" w:sz="4" w:space="0" w:color="auto"/>
            </w:tcBorders>
            <w:shd w:val="clear" w:color="auto" w:fill="auto"/>
            <w:hideMark/>
          </w:tcPr>
          <w:p w14:paraId="51501D3E" w14:textId="77777777" w:rsidR="002B41BB" w:rsidRPr="004E5A6E" w:rsidRDefault="002B41BB" w:rsidP="002B41BB">
            <w:pPr>
              <w:jc w:val="center"/>
              <w:rPr>
                <w:color w:val="auto"/>
                <w:sz w:val="20"/>
                <w:szCs w:val="20"/>
                <w:lang w:val="sq-AL"/>
              </w:rPr>
            </w:pPr>
            <w:r w:rsidRPr="004E5A6E">
              <w:rPr>
                <w:color w:val="auto"/>
                <w:sz w:val="20"/>
                <w:szCs w:val="20"/>
                <w:lang w:val="sq-AL"/>
              </w:rPr>
              <w:t>-2.9</w:t>
            </w:r>
          </w:p>
        </w:tc>
        <w:tc>
          <w:tcPr>
            <w:tcW w:w="579" w:type="pct"/>
            <w:tcBorders>
              <w:top w:val="nil"/>
              <w:left w:val="nil"/>
              <w:bottom w:val="dotted" w:sz="4" w:space="0" w:color="auto"/>
              <w:right w:val="dotted" w:sz="4" w:space="0" w:color="auto"/>
            </w:tcBorders>
            <w:shd w:val="clear" w:color="auto" w:fill="auto"/>
            <w:hideMark/>
          </w:tcPr>
          <w:p w14:paraId="097EA892" w14:textId="77777777" w:rsidR="002B41BB" w:rsidRPr="004E5A6E" w:rsidRDefault="002B41BB" w:rsidP="002B41BB">
            <w:pPr>
              <w:jc w:val="center"/>
              <w:rPr>
                <w:color w:val="auto"/>
                <w:sz w:val="20"/>
                <w:szCs w:val="20"/>
                <w:lang w:val="sq-AL"/>
              </w:rPr>
            </w:pPr>
            <w:r w:rsidRPr="004E5A6E">
              <w:rPr>
                <w:color w:val="auto"/>
                <w:sz w:val="20"/>
                <w:szCs w:val="20"/>
                <w:lang w:val="sq-AL"/>
              </w:rPr>
              <w:t>-5.6</w:t>
            </w:r>
          </w:p>
        </w:tc>
        <w:tc>
          <w:tcPr>
            <w:tcW w:w="579" w:type="pct"/>
            <w:tcBorders>
              <w:top w:val="nil"/>
              <w:left w:val="nil"/>
              <w:bottom w:val="dotted" w:sz="4" w:space="0" w:color="auto"/>
              <w:right w:val="dotted" w:sz="4" w:space="0" w:color="auto"/>
            </w:tcBorders>
            <w:shd w:val="clear" w:color="auto" w:fill="auto"/>
            <w:hideMark/>
          </w:tcPr>
          <w:p w14:paraId="5B15A2BC" w14:textId="77777777" w:rsidR="002B41BB" w:rsidRPr="004E5A6E" w:rsidRDefault="002B41BB" w:rsidP="002B41BB">
            <w:pPr>
              <w:jc w:val="center"/>
              <w:rPr>
                <w:color w:val="auto"/>
                <w:sz w:val="20"/>
                <w:szCs w:val="20"/>
                <w:lang w:val="sq-AL"/>
              </w:rPr>
            </w:pPr>
            <w:r w:rsidRPr="004E5A6E">
              <w:rPr>
                <w:color w:val="auto"/>
                <w:sz w:val="20"/>
                <w:szCs w:val="20"/>
                <w:lang w:val="sq-AL"/>
              </w:rPr>
              <w:t>-5.3</w:t>
            </w:r>
          </w:p>
        </w:tc>
        <w:tc>
          <w:tcPr>
            <w:tcW w:w="579" w:type="pct"/>
            <w:tcBorders>
              <w:top w:val="nil"/>
              <w:left w:val="nil"/>
              <w:bottom w:val="dotted" w:sz="4" w:space="0" w:color="auto"/>
              <w:right w:val="dotted" w:sz="4" w:space="0" w:color="auto"/>
            </w:tcBorders>
            <w:shd w:val="clear" w:color="auto" w:fill="auto"/>
            <w:hideMark/>
          </w:tcPr>
          <w:p w14:paraId="6810DAE4" w14:textId="77777777" w:rsidR="002B41BB" w:rsidRPr="004E5A6E" w:rsidRDefault="002B41BB" w:rsidP="002B41BB">
            <w:pPr>
              <w:jc w:val="center"/>
              <w:rPr>
                <w:color w:val="auto"/>
                <w:sz w:val="20"/>
                <w:szCs w:val="20"/>
                <w:lang w:val="sq-AL"/>
              </w:rPr>
            </w:pPr>
            <w:r w:rsidRPr="004E5A6E">
              <w:rPr>
                <w:color w:val="auto"/>
                <w:sz w:val="20"/>
                <w:szCs w:val="20"/>
                <w:lang w:val="sq-AL"/>
              </w:rPr>
              <w:t>-3.0</w:t>
            </w:r>
          </w:p>
        </w:tc>
        <w:tc>
          <w:tcPr>
            <w:tcW w:w="568" w:type="pct"/>
            <w:tcBorders>
              <w:top w:val="nil"/>
              <w:left w:val="nil"/>
              <w:bottom w:val="dotted" w:sz="4" w:space="0" w:color="auto"/>
              <w:right w:val="double" w:sz="6" w:space="0" w:color="auto"/>
            </w:tcBorders>
            <w:shd w:val="clear" w:color="auto" w:fill="auto"/>
            <w:hideMark/>
          </w:tcPr>
          <w:p w14:paraId="69AA3970"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r w:rsidR="002B41BB" w:rsidRPr="004E5A6E" w14:paraId="3C17A47D" w14:textId="77777777" w:rsidTr="002B41BB">
        <w:trPr>
          <w:trHeight w:val="318"/>
        </w:trPr>
        <w:tc>
          <w:tcPr>
            <w:tcW w:w="2118" w:type="pct"/>
            <w:tcBorders>
              <w:top w:val="nil"/>
              <w:left w:val="double" w:sz="6" w:space="0" w:color="auto"/>
              <w:bottom w:val="dotted" w:sz="4" w:space="0" w:color="auto"/>
              <w:right w:val="single" w:sz="8" w:space="0" w:color="auto"/>
            </w:tcBorders>
            <w:shd w:val="clear" w:color="000000" w:fill="FFFFFF"/>
            <w:hideMark/>
          </w:tcPr>
          <w:p w14:paraId="07980618" w14:textId="77777777" w:rsidR="002B41BB" w:rsidRPr="004E5A6E" w:rsidRDefault="002B41BB" w:rsidP="002B41BB">
            <w:pPr>
              <w:rPr>
                <w:color w:val="auto"/>
                <w:sz w:val="20"/>
                <w:szCs w:val="20"/>
                <w:lang w:val="sq-AL"/>
              </w:rPr>
            </w:pPr>
            <w:r w:rsidRPr="004E5A6E">
              <w:rPr>
                <w:color w:val="auto"/>
                <w:sz w:val="20"/>
                <w:szCs w:val="20"/>
                <w:lang w:val="sq-AL"/>
              </w:rPr>
              <w:t>Azhurnimi i fundit</w:t>
            </w:r>
          </w:p>
        </w:tc>
        <w:tc>
          <w:tcPr>
            <w:tcW w:w="579" w:type="pct"/>
            <w:tcBorders>
              <w:top w:val="nil"/>
              <w:left w:val="nil"/>
              <w:bottom w:val="dotted" w:sz="4" w:space="0" w:color="auto"/>
              <w:right w:val="dotted" w:sz="4" w:space="0" w:color="auto"/>
            </w:tcBorders>
            <w:shd w:val="clear" w:color="000000" w:fill="FFFFFF"/>
            <w:hideMark/>
          </w:tcPr>
          <w:p w14:paraId="6E2E7C71" w14:textId="77777777" w:rsidR="002B41BB" w:rsidRPr="004E5A6E" w:rsidRDefault="002B41BB" w:rsidP="002B41BB">
            <w:pPr>
              <w:jc w:val="center"/>
              <w:rPr>
                <w:color w:val="auto"/>
                <w:sz w:val="20"/>
                <w:szCs w:val="20"/>
                <w:lang w:val="sq-AL"/>
              </w:rPr>
            </w:pPr>
            <w:r w:rsidRPr="004E5A6E">
              <w:rPr>
                <w:color w:val="auto"/>
                <w:sz w:val="20"/>
                <w:szCs w:val="20"/>
                <w:lang w:val="sq-AL"/>
              </w:rPr>
              <w:t>-2.9</w:t>
            </w:r>
          </w:p>
        </w:tc>
        <w:tc>
          <w:tcPr>
            <w:tcW w:w="579" w:type="pct"/>
            <w:tcBorders>
              <w:top w:val="nil"/>
              <w:left w:val="nil"/>
              <w:bottom w:val="dotted" w:sz="4" w:space="0" w:color="auto"/>
              <w:right w:val="dotted" w:sz="4" w:space="0" w:color="auto"/>
            </w:tcBorders>
            <w:shd w:val="clear" w:color="000000" w:fill="FFFFFF"/>
            <w:hideMark/>
          </w:tcPr>
          <w:p w14:paraId="0868DDF6" w14:textId="77777777" w:rsidR="002B41BB" w:rsidRPr="004E5A6E" w:rsidRDefault="002B41BB" w:rsidP="002B41BB">
            <w:pPr>
              <w:jc w:val="center"/>
              <w:rPr>
                <w:color w:val="auto"/>
                <w:sz w:val="20"/>
                <w:szCs w:val="20"/>
                <w:lang w:val="sq-AL"/>
              </w:rPr>
            </w:pPr>
            <w:r w:rsidRPr="004E5A6E">
              <w:rPr>
                <w:color w:val="auto"/>
                <w:sz w:val="20"/>
                <w:szCs w:val="20"/>
                <w:lang w:val="sq-AL"/>
              </w:rPr>
              <w:t>-3.8</w:t>
            </w:r>
          </w:p>
        </w:tc>
        <w:tc>
          <w:tcPr>
            <w:tcW w:w="579" w:type="pct"/>
            <w:tcBorders>
              <w:top w:val="nil"/>
              <w:left w:val="nil"/>
              <w:bottom w:val="dotted" w:sz="4" w:space="0" w:color="auto"/>
              <w:right w:val="dotted" w:sz="4" w:space="0" w:color="auto"/>
            </w:tcBorders>
            <w:shd w:val="clear" w:color="000000" w:fill="FFFFFF"/>
            <w:hideMark/>
          </w:tcPr>
          <w:p w14:paraId="3A17D0DA" w14:textId="77777777" w:rsidR="002B41BB" w:rsidRPr="004E5A6E" w:rsidRDefault="002B41BB" w:rsidP="002B41BB">
            <w:pPr>
              <w:jc w:val="center"/>
              <w:rPr>
                <w:color w:val="auto"/>
                <w:sz w:val="20"/>
                <w:szCs w:val="20"/>
                <w:lang w:val="sq-AL"/>
              </w:rPr>
            </w:pPr>
            <w:r w:rsidRPr="004E5A6E">
              <w:rPr>
                <w:color w:val="auto"/>
                <w:sz w:val="20"/>
                <w:szCs w:val="20"/>
                <w:lang w:val="sq-AL"/>
              </w:rPr>
              <w:t>-7.4</w:t>
            </w:r>
          </w:p>
        </w:tc>
        <w:tc>
          <w:tcPr>
            <w:tcW w:w="579" w:type="pct"/>
            <w:tcBorders>
              <w:top w:val="nil"/>
              <w:left w:val="nil"/>
              <w:bottom w:val="dotted" w:sz="4" w:space="0" w:color="auto"/>
              <w:right w:val="dotted" w:sz="4" w:space="0" w:color="auto"/>
            </w:tcBorders>
            <w:shd w:val="clear" w:color="000000" w:fill="FFFFFF"/>
            <w:hideMark/>
          </w:tcPr>
          <w:p w14:paraId="3EB414A9" w14:textId="77777777" w:rsidR="002B41BB" w:rsidRPr="004E5A6E" w:rsidRDefault="002B41BB" w:rsidP="002B41BB">
            <w:pPr>
              <w:jc w:val="center"/>
              <w:rPr>
                <w:color w:val="auto"/>
                <w:sz w:val="20"/>
                <w:szCs w:val="20"/>
                <w:lang w:val="sq-AL"/>
              </w:rPr>
            </w:pPr>
            <w:r w:rsidRPr="004E5A6E">
              <w:rPr>
                <w:color w:val="auto"/>
                <w:sz w:val="20"/>
                <w:szCs w:val="20"/>
                <w:lang w:val="sq-AL"/>
              </w:rPr>
              <w:t>-5.0</w:t>
            </w:r>
          </w:p>
        </w:tc>
        <w:tc>
          <w:tcPr>
            <w:tcW w:w="568" w:type="pct"/>
            <w:tcBorders>
              <w:top w:val="nil"/>
              <w:left w:val="nil"/>
              <w:bottom w:val="dotted" w:sz="4" w:space="0" w:color="auto"/>
              <w:right w:val="double" w:sz="6" w:space="0" w:color="auto"/>
            </w:tcBorders>
            <w:shd w:val="clear" w:color="000000" w:fill="FFFFFF"/>
            <w:hideMark/>
          </w:tcPr>
          <w:p w14:paraId="1D896C97" w14:textId="77777777" w:rsidR="002B41BB" w:rsidRPr="004E5A6E" w:rsidRDefault="002B41BB" w:rsidP="002B41BB">
            <w:pPr>
              <w:jc w:val="center"/>
              <w:rPr>
                <w:color w:val="auto"/>
                <w:sz w:val="20"/>
                <w:szCs w:val="20"/>
                <w:lang w:val="sq-AL"/>
              </w:rPr>
            </w:pPr>
            <w:r w:rsidRPr="004E5A6E">
              <w:rPr>
                <w:color w:val="auto"/>
                <w:sz w:val="20"/>
                <w:szCs w:val="20"/>
                <w:lang w:val="sq-AL"/>
              </w:rPr>
              <w:t>-3.0</w:t>
            </w:r>
          </w:p>
        </w:tc>
      </w:tr>
      <w:tr w:rsidR="002B41BB" w:rsidRPr="004E5A6E" w14:paraId="41A3A26E" w14:textId="77777777" w:rsidTr="002B41BB">
        <w:trPr>
          <w:trHeight w:val="318"/>
        </w:trPr>
        <w:tc>
          <w:tcPr>
            <w:tcW w:w="2118" w:type="pct"/>
            <w:tcBorders>
              <w:top w:val="nil"/>
              <w:left w:val="double" w:sz="6" w:space="0" w:color="auto"/>
              <w:bottom w:val="single" w:sz="8" w:space="0" w:color="auto"/>
              <w:right w:val="single" w:sz="8" w:space="0" w:color="auto"/>
            </w:tcBorders>
            <w:shd w:val="clear" w:color="000000" w:fill="FFFFFF"/>
            <w:hideMark/>
          </w:tcPr>
          <w:p w14:paraId="720E1BC2" w14:textId="77777777" w:rsidR="002B41BB" w:rsidRPr="004E5A6E" w:rsidRDefault="002B41BB" w:rsidP="002B41BB">
            <w:pPr>
              <w:rPr>
                <w:color w:val="auto"/>
                <w:sz w:val="20"/>
                <w:szCs w:val="20"/>
                <w:lang w:val="sq-AL"/>
              </w:rPr>
            </w:pPr>
            <w:r w:rsidRPr="004E5A6E">
              <w:rPr>
                <w:color w:val="auto"/>
                <w:sz w:val="20"/>
                <w:szCs w:val="20"/>
                <w:lang w:val="sq-AL"/>
              </w:rPr>
              <w:t xml:space="preserve">Diferenca </w:t>
            </w:r>
          </w:p>
        </w:tc>
        <w:tc>
          <w:tcPr>
            <w:tcW w:w="579" w:type="pct"/>
            <w:tcBorders>
              <w:top w:val="nil"/>
              <w:left w:val="nil"/>
              <w:bottom w:val="single" w:sz="8" w:space="0" w:color="auto"/>
              <w:right w:val="dotted" w:sz="4" w:space="0" w:color="auto"/>
            </w:tcBorders>
            <w:shd w:val="clear" w:color="000000" w:fill="FFFFFF"/>
            <w:hideMark/>
          </w:tcPr>
          <w:p w14:paraId="224BE534" w14:textId="77777777" w:rsidR="002B41BB" w:rsidRPr="004E5A6E" w:rsidRDefault="002B41BB" w:rsidP="002B41BB">
            <w:pPr>
              <w:jc w:val="center"/>
              <w:rPr>
                <w:color w:val="auto"/>
                <w:sz w:val="20"/>
                <w:szCs w:val="20"/>
                <w:lang w:val="sq-AL"/>
              </w:rPr>
            </w:pPr>
            <w:r w:rsidRPr="004E5A6E">
              <w:rPr>
                <w:color w:val="auto"/>
                <w:sz w:val="20"/>
                <w:szCs w:val="20"/>
                <w:lang w:val="sq-AL"/>
              </w:rPr>
              <w:t>0.0</w:t>
            </w:r>
          </w:p>
        </w:tc>
        <w:tc>
          <w:tcPr>
            <w:tcW w:w="579" w:type="pct"/>
            <w:tcBorders>
              <w:top w:val="nil"/>
              <w:left w:val="nil"/>
              <w:bottom w:val="single" w:sz="8" w:space="0" w:color="auto"/>
              <w:right w:val="dotted" w:sz="4" w:space="0" w:color="auto"/>
            </w:tcBorders>
            <w:shd w:val="clear" w:color="000000" w:fill="FFFFFF"/>
            <w:hideMark/>
          </w:tcPr>
          <w:p w14:paraId="54A4BBF4" w14:textId="77777777" w:rsidR="002B41BB" w:rsidRPr="004E5A6E" w:rsidRDefault="002B41BB" w:rsidP="002B41BB">
            <w:pPr>
              <w:jc w:val="center"/>
              <w:rPr>
                <w:color w:val="auto"/>
                <w:sz w:val="20"/>
                <w:szCs w:val="20"/>
                <w:lang w:val="sq-AL"/>
              </w:rPr>
            </w:pPr>
            <w:r w:rsidRPr="004E5A6E">
              <w:rPr>
                <w:color w:val="auto"/>
                <w:sz w:val="20"/>
                <w:szCs w:val="20"/>
                <w:lang w:val="sq-AL"/>
              </w:rPr>
              <w:t>1.8</w:t>
            </w:r>
          </w:p>
        </w:tc>
        <w:tc>
          <w:tcPr>
            <w:tcW w:w="579" w:type="pct"/>
            <w:tcBorders>
              <w:top w:val="nil"/>
              <w:left w:val="nil"/>
              <w:bottom w:val="single" w:sz="8" w:space="0" w:color="auto"/>
              <w:right w:val="dotted" w:sz="4" w:space="0" w:color="auto"/>
            </w:tcBorders>
            <w:shd w:val="clear" w:color="000000" w:fill="FFFFFF"/>
            <w:hideMark/>
          </w:tcPr>
          <w:p w14:paraId="4ECB6518" w14:textId="77777777" w:rsidR="002B41BB" w:rsidRPr="004E5A6E" w:rsidRDefault="002B41BB" w:rsidP="002B41BB">
            <w:pPr>
              <w:jc w:val="center"/>
              <w:rPr>
                <w:color w:val="auto"/>
                <w:sz w:val="20"/>
                <w:szCs w:val="20"/>
                <w:lang w:val="sq-AL"/>
              </w:rPr>
            </w:pPr>
            <w:r w:rsidRPr="004E5A6E">
              <w:rPr>
                <w:color w:val="auto"/>
                <w:sz w:val="20"/>
                <w:szCs w:val="20"/>
                <w:lang w:val="sq-AL"/>
              </w:rPr>
              <w:t>-2.1</w:t>
            </w:r>
          </w:p>
        </w:tc>
        <w:tc>
          <w:tcPr>
            <w:tcW w:w="579" w:type="pct"/>
            <w:tcBorders>
              <w:top w:val="nil"/>
              <w:left w:val="nil"/>
              <w:bottom w:val="single" w:sz="8" w:space="0" w:color="auto"/>
              <w:right w:val="dotted" w:sz="4" w:space="0" w:color="auto"/>
            </w:tcBorders>
            <w:shd w:val="clear" w:color="000000" w:fill="FFFFFF"/>
            <w:hideMark/>
          </w:tcPr>
          <w:p w14:paraId="6BF2214F" w14:textId="77777777" w:rsidR="002B41BB" w:rsidRPr="004E5A6E" w:rsidRDefault="002B41BB" w:rsidP="002B41BB">
            <w:pPr>
              <w:jc w:val="center"/>
              <w:rPr>
                <w:color w:val="auto"/>
                <w:sz w:val="20"/>
                <w:szCs w:val="20"/>
                <w:lang w:val="sq-AL"/>
              </w:rPr>
            </w:pPr>
            <w:r w:rsidRPr="004E5A6E">
              <w:rPr>
                <w:color w:val="auto"/>
                <w:sz w:val="20"/>
                <w:szCs w:val="20"/>
                <w:lang w:val="sq-AL"/>
              </w:rPr>
              <w:t>-2.0</w:t>
            </w:r>
          </w:p>
        </w:tc>
        <w:tc>
          <w:tcPr>
            <w:tcW w:w="568" w:type="pct"/>
            <w:tcBorders>
              <w:top w:val="nil"/>
              <w:left w:val="nil"/>
              <w:bottom w:val="single" w:sz="8" w:space="0" w:color="auto"/>
              <w:right w:val="double" w:sz="6" w:space="0" w:color="auto"/>
            </w:tcBorders>
            <w:shd w:val="clear" w:color="000000" w:fill="FFFFFF"/>
            <w:hideMark/>
          </w:tcPr>
          <w:p w14:paraId="42F4BA80"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r w:rsidR="002B41BB" w:rsidRPr="004E5A6E" w14:paraId="07D8A261" w14:textId="77777777" w:rsidTr="002B41BB">
        <w:trPr>
          <w:trHeight w:val="318"/>
        </w:trPr>
        <w:tc>
          <w:tcPr>
            <w:tcW w:w="5000" w:type="pct"/>
            <w:gridSpan w:val="6"/>
            <w:tcBorders>
              <w:top w:val="single" w:sz="8" w:space="0" w:color="auto"/>
              <w:left w:val="double" w:sz="6" w:space="0" w:color="auto"/>
              <w:bottom w:val="single" w:sz="8" w:space="0" w:color="auto"/>
              <w:right w:val="double" w:sz="6" w:space="0" w:color="000000"/>
            </w:tcBorders>
            <w:shd w:val="clear" w:color="000000" w:fill="FFFFFF"/>
            <w:hideMark/>
          </w:tcPr>
          <w:p w14:paraId="3D9B3F50" w14:textId="77777777" w:rsidR="002B41BB" w:rsidRPr="004E5A6E" w:rsidRDefault="002B41BB" w:rsidP="002B41BB">
            <w:pPr>
              <w:jc w:val="center"/>
              <w:rPr>
                <w:b/>
                <w:bCs/>
                <w:color w:val="auto"/>
                <w:sz w:val="20"/>
                <w:szCs w:val="20"/>
                <w:lang w:val="sq-AL"/>
              </w:rPr>
            </w:pPr>
            <w:r w:rsidRPr="004E5A6E">
              <w:rPr>
                <w:b/>
                <w:bCs/>
                <w:color w:val="auto"/>
                <w:sz w:val="20"/>
                <w:szCs w:val="20"/>
                <w:lang w:val="sq-AL"/>
              </w:rPr>
              <w:t>3. Borxhi Bruto i Qeverisë së Përgjithshme (% e BPV-së)</w:t>
            </w:r>
          </w:p>
        </w:tc>
      </w:tr>
      <w:tr w:rsidR="002B41BB" w:rsidRPr="004E5A6E" w14:paraId="47F9FCB9" w14:textId="77777777" w:rsidTr="002B41BB">
        <w:trPr>
          <w:trHeight w:val="318"/>
        </w:trPr>
        <w:tc>
          <w:tcPr>
            <w:tcW w:w="2118" w:type="pct"/>
            <w:tcBorders>
              <w:top w:val="nil"/>
              <w:left w:val="double" w:sz="6" w:space="0" w:color="auto"/>
              <w:bottom w:val="dotted" w:sz="4" w:space="0" w:color="auto"/>
              <w:right w:val="single" w:sz="8" w:space="0" w:color="auto"/>
            </w:tcBorders>
            <w:shd w:val="clear" w:color="000000" w:fill="FFFFFF"/>
            <w:hideMark/>
          </w:tcPr>
          <w:p w14:paraId="1CDA0D33" w14:textId="77777777" w:rsidR="002B41BB" w:rsidRPr="004E5A6E" w:rsidRDefault="002B41BB" w:rsidP="002B41BB">
            <w:pPr>
              <w:rPr>
                <w:color w:val="auto"/>
                <w:sz w:val="20"/>
                <w:szCs w:val="20"/>
                <w:lang w:val="sq-AL"/>
              </w:rPr>
            </w:pPr>
            <w:r w:rsidRPr="004E5A6E">
              <w:rPr>
                <w:color w:val="auto"/>
                <w:sz w:val="20"/>
                <w:szCs w:val="20"/>
                <w:lang w:val="sq-AL"/>
              </w:rPr>
              <w:t>Programi paraprak</w:t>
            </w:r>
          </w:p>
        </w:tc>
        <w:tc>
          <w:tcPr>
            <w:tcW w:w="579" w:type="pct"/>
            <w:tcBorders>
              <w:top w:val="nil"/>
              <w:left w:val="nil"/>
              <w:bottom w:val="dotted" w:sz="4" w:space="0" w:color="auto"/>
              <w:right w:val="dotted" w:sz="4" w:space="0" w:color="auto"/>
            </w:tcBorders>
            <w:shd w:val="clear" w:color="auto" w:fill="auto"/>
            <w:hideMark/>
          </w:tcPr>
          <w:p w14:paraId="74392C93" w14:textId="77777777" w:rsidR="002B41BB" w:rsidRPr="004E5A6E" w:rsidRDefault="002B41BB" w:rsidP="002B41BB">
            <w:pPr>
              <w:jc w:val="center"/>
              <w:rPr>
                <w:color w:val="auto"/>
                <w:sz w:val="20"/>
                <w:szCs w:val="20"/>
                <w:lang w:val="sq-AL"/>
              </w:rPr>
            </w:pPr>
            <w:r w:rsidRPr="004E5A6E">
              <w:rPr>
                <w:color w:val="auto"/>
                <w:sz w:val="20"/>
                <w:szCs w:val="20"/>
                <w:lang w:val="sq-AL"/>
              </w:rPr>
              <w:t>16.9</w:t>
            </w:r>
          </w:p>
        </w:tc>
        <w:tc>
          <w:tcPr>
            <w:tcW w:w="579" w:type="pct"/>
            <w:tcBorders>
              <w:top w:val="nil"/>
              <w:left w:val="nil"/>
              <w:bottom w:val="dotted" w:sz="4" w:space="0" w:color="auto"/>
              <w:right w:val="dotted" w:sz="4" w:space="0" w:color="auto"/>
            </w:tcBorders>
            <w:shd w:val="clear" w:color="auto" w:fill="auto"/>
            <w:hideMark/>
          </w:tcPr>
          <w:p w14:paraId="506FF571" w14:textId="77777777" w:rsidR="002B41BB" w:rsidRPr="004E5A6E" w:rsidRDefault="002B41BB" w:rsidP="002B41BB">
            <w:pPr>
              <w:jc w:val="center"/>
              <w:rPr>
                <w:color w:val="auto"/>
                <w:sz w:val="20"/>
                <w:szCs w:val="20"/>
                <w:lang w:val="sq-AL"/>
              </w:rPr>
            </w:pPr>
            <w:r w:rsidRPr="004E5A6E">
              <w:rPr>
                <w:color w:val="auto"/>
                <w:sz w:val="20"/>
                <w:szCs w:val="20"/>
                <w:lang w:val="sq-AL"/>
              </w:rPr>
              <w:t>18.2</w:t>
            </w:r>
          </w:p>
        </w:tc>
        <w:tc>
          <w:tcPr>
            <w:tcW w:w="579" w:type="pct"/>
            <w:tcBorders>
              <w:top w:val="nil"/>
              <w:left w:val="nil"/>
              <w:bottom w:val="dotted" w:sz="4" w:space="0" w:color="auto"/>
              <w:right w:val="dotted" w:sz="4" w:space="0" w:color="auto"/>
            </w:tcBorders>
            <w:shd w:val="clear" w:color="auto" w:fill="auto"/>
            <w:hideMark/>
          </w:tcPr>
          <w:p w14:paraId="7227DB92" w14:textId="77777777" w:rsidR="002B41BB" w:rsidRPr="004E5A6E" w:rsidRDefault="002B41BB" w:rsidP="002B41BB">
            <w:pPr>
              <w:jc w:val="center"/>
              <w:rPr>
                <w:color w:val="auto"/>
                <w:sz w:val="20"/>
                <w:szCs w:val="20"/>
                <w:lang w:val="sq-AL"/>
              </w:rPr>
            </w:pPr>
            <w:r w:rsidRPr="004E5A6E">
              <w:rPr>
                <w:color w:val="auto"/>
                <w:sz w:val="20"/>
                <w:szCs w:val="20"/>
                <w:lang w:val="sq-AL"/>
              </w:rPr>
              <w:t>19.3</w:t>
            </w:r>
          </w:p>
        </w:tc>
        <w:tc>
          <w:tcPr>
            <w:tcW w:w="579" w:type="pct"/>
            <w:tcBorders>
              <w:top w:val="nil"/>
              <w:left w:val="nil"/>
              <w:bottom w:val="dotted" w:sz="4" w:space="0" w:color="auto"/>
              <w:right w:val="dotted" w:sz="4" w:space="0" w:color="auto"/>
            </w:tcBorders>
            <w:shd w:val="clear" w:color="auto" w:fill="auto"/>
            <w:hideMark/>
          </w:tcPr>
          <w:p w14:paraId="7E1F62FA" w14:textId="77777777" w:rsidR="002B41BB" w:rsidRPr="004E5A6E" w:rsidRDefault="002B41BB" w:rsidP="002B41BB">
            <w:pPr>
              <w:jc w:val="center"/>
              <w:rPr>
                <w:color w:val="auto"/>
                <w:sz w:val="20"/>
                <w:szCs w:val="20"/>
                <w:lang w:val="sq-AL"/>
              </w:rPr>
            </w:pPr>
            <w:r w:rsidRPr="004E5A6E">
              <w:rPr>
                <w:color w:val="auto"/>
                <w:sz w:val="20"/>
                <w:szCs w:val="20"/>
                <w:lang w:val="sq-AL"/>
              </w:rPr>
              <w:t>20.0</w:t>
            </w:r>
          </w:p>
        </w:tc>
        <w:tc>
          <w:tcPr>
            <w:tcW w:w="568" w:type="pct"/>
            <w:tcBorders>
              <w:top w:val="nil"/>
              <w:left w:val="nil"/>
              <w:bottom w:val="dotted" w:sz="4" w:space="0" w:color="auto"/>
              <w:right w:val="double" w:sz="6" w:space="0" w:color="auto"/>
            </w:tcBorders>
            <w:shd w:val="clear" w:color="auto" w:fill="auto"/>
            <w:hideMark/>
          </w:tcPr>
          <w:p w14:paraId="1525033D"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r w:rsidR="002B41BB" w:rsidRPr="004E5A6E" w14:paraId="6E180B51" w14:textId="77777777" w:rsidTr="002B41BB">
        <w:trPr>
          <w:trHeight w:val="318"/>
        </w:trPr>
        <w:tc>
          <w:tcPr>
            <w:tcW w:w="2118" w:type="pct"/>
            <w:tcBorders>
              <w:top w:val="nil"/>
              <w:left w:val="double" w:sz="6" w:space="0" w:color="auto"/>
              <w:bottom w:val="dotted" w:sz="4" w:space="0" w:color="auto"/>
              <w:right w:val="single" w:sz="8" w:space="0" w:color="auto"/>
            </w:tcBorders>
            <w:shd w:val="clear" w:color="000000" w:fill="FFFFFF"/>
            <w:hideMark/>
          </w:tcPr>
          <w:p w14:paraId="5C611C92" w14:textId="77777777" w:rsidR="002B41BB" w:rsidRPr="004E5A6E" w:rsidRDefault="002B41BB" w:rsidP="002B41BB">
            <w:pPr>
              <w:rPr>
                <w:color w:val="auto"/>
                <w:sz w:val="20"/>
                <w:szCs w:val="20"/>
                <w:lang w:val="sq-AL"/>
              </w:rPr>
            </w:pPr>
            <w:r w:rsidRPr="004E5A6E">
              <w:rPr>
                <w:color w:val="auto"/>
                <w:sz w:val="20"/>
                <w:szCs w:val="20"/>
                <w:lang w:val="sq-AL"/>
              </w:rPr>
              <w:t>Azhurnimi i fundit</w:t>
            </w:r>
          </w:p>
        </w:tc>
        <w:tc>
          <w:tcPr>
            <w:tcW w:w="579" w:type="pct"/>
            <w:tcBorders>
              <w:top w:val="nil"/>
              <w:left w:val="nil"/>
              <w:bottom w:val="dotted" w:sz="4" w:space="0" w:color="auto"/>
              <w:right w:val="dotted" w:sz="4" w:space="0" w:color="auto"/>
            </w:tcBorders>
            <w:shd w:val="clear" w:color="000000" w:fill="FFFFFF"/>
            <w:hideMark/>
          </w:tcPr>
          <w:p w14:paraId="1492054D" w14:textId="77777777" w:rsidR="002B41BB" w:rsidRPr="004E5A6E" w:rsidRDefault="002B41BB" w:rsidP="002B41BB">
            <w:pPr>
              <w:jc w:val="center"/>
              <w:rPr>
                <w:color w:val="auto"/>
                <w:sz w:val="20"/>
                <w:szCs w:val="20"/>
                <w:lang w:val="sq-AL"/>
              </w:rPr>
            </w:pPr>
            <w:r w:rsidRPr="004E5A6E">
              <w:rPr>
                <w:color w:val="auto"/>
                <w:sz w:val="20"/>
                <w:szCs w:val="20"/>
                <w:lang w:val="sq-AL"/>
              </w:rPr>
              <w:t>16.9</w:t>
            </w:r>
          </w:p>
        </w:tc>
        <w:tc>
          <w:tcPr>
            <w:tcW w:w="579" w:type="pct"/>
            <w:tcBorders>
              <w:top w:val="nil"/>
              <w:left w:val="nil"/>
              <w:bottom w:val="dotted" w:sz="4" w:space="0" w:color="auto"/>
              <w:right w:val="dotted" w:sz="4" w:space="0" w:color="auto"/>
            </w:tcBorders>
            <w:shd w:val="clear" w:color="000000" w:fill="FFFFFF"/>
            <w:hideMark/>
          </w:tcPr>
          <w:p w14:paraId="40E222E7" w14:textId="77777777" w:rsidR="002B41BB" w:rsidRPr="004E5A6E" w:rsidRDefault="002B41BB" w:rsidP="002B41BB">
            <w:pPr>
              <w:jc w:val="center"/>
              <w:rPr>
                <w:color w:val="auto"/>
                <w:sz w:val="20"/>
                <w:szCs w:val="20"/>
                <w:lang w:val="sq-AL"/>
              </w:rPr>
            </w:pPr>
            <w:r w:rsidRPr="004E5A6E">
              <w:rPr>
                <w:color w:val="auto"/>
                <w:sz w:val="20"/>
                <w:szCs w:val="20"/>
                <w:lang w:val="sq-AL"/>
              </w:rPr>
              <w:t>25.2</w:t>
            </w:r>
          </w:p>
        </w:tc>
        <w:tc>
          <w:tcPr>
            <w:tcW w:w="579" w:type="pct"/>
            <w:tcBorders>
              <w:top w:val="nil"/>
              <w:left w:val="nil"/>
              <w:bottom w:val="dotted" w:sz="4" w:space="0" w:color="auto"/>
              <w:right w:val="dotted" w:sz="4" w:space="0" w:color="auto"/>
            </w:tcBorders>
            <w:shd w:val="clear" w:color="000000" w:fill="FFFFFF"/>
            <w:hideMark/>
          </w:tcPr>
          <w:p w14:paraId="3E61E025" w14:textId="77777777" w:rsidR="002B41BB" w:rsidRPr="004E5A6E" w:rsidRDefault="002B41BB" w:rsidP="002B41BB">
            <w:pPr>
              <w:jc w:val="center"/>
              <w:rPr>
                <w:color w:val="auto"/>
                <w:sz w:val="20"/>
                <w:szCs w:val="20"/>
                <w:lang w:val="sq-AL"/>
              </w:rPr>
            </w:pPr>
            <w:r w:rsidRPr="004E5A6E">
              <w:rPr>
                <w:color w:val="auto"/>
                <w:sz w:val="20"/>
                <w:szCs w:val="20"/>
                <w:lang w:val="sq-AL"/>
              </w:rPr>
              <w:t>31.4</w:t>
            </w:r>
          </w:p>
        </w:tc>
        <w:tc>
          <w:tcPr>
            <w:tcW w:w="579" w:type="pct"/>
            <w:tcBorders>
              <w:top w:val="nil"/>
              <w:left w:val="nil"/>
              <w:bottom w:val="dotted" w:sz="4" w:space="0" w:color="auto"/>
              <w:right w:val="dotted" w:sz="4" w:space="0" w:color="auto"/>
            </w:tcBorders>
            <w:shd w:val="clear" w:color="000000" w:fill="FFFFFF"/>
            <w:hideMark/>
          </w:tcPr>
          <w:p w14:paraId="4BE0B851" w14:textId="77777777" w:rsidR="002B41BB" w:rsidRPr="004E5A6E" w:rsidRDefault="002B41BB" w:rsidP="002B41BB">
            <w:pPr>
              <w:jc w:val="center"/>
              <w:rPr>
                <w:color w:val="auto"/>
                <w:sz w:val="20"/>
                <w:szCs w:val="20"/>
                <w:lang w:val="sq-AL"/>
              </w:rPr>
            </w:pPr>
            <w:r w:rsidRPr="004E5A6E">
              <w:rPr>
                <w:color w:val="auto"/>
                <w:sz w:val="20"/>
                <w:szCs w:val="20"/>
                <w:lang w:val="sq-AL"/>
              </w:rPr>
              <w:t>35.5</w:t>
            </w:r>
          </w:p>
        </w:tc>
        <w:tc>
          <w:tcPr>
            <w:tcW w:w="568" w:type="pct"/>
            <w:tcBorders>
              <w:top w:val="nil"/>
              <w:left w:val="nil"/>
              <w:bottom w:val="dotted" w:sz="4" w:space="0" w:color="auto"/>
              <w:right w:val="double" w:sz="6" w:space="0" w:color="auto"/>
            </w:tcBorders>
            <w:shd w:val="clear" w:color="000000" w:fill="FFFFFF"/>
            <w:hideMark/>
          </w:tcPr>
          <w:p w14:paraId="070BE335" w14:textId="77777777" w:rsidR="002B41BB" w:rsidRPr="004E5A6E" w:rsidRDefault="002B41BB" w:rsidP="002B41BB">
            <w:pPr>
              <w:jc w:val="center"/>
              <w:rPr>
                <w:color w:val="auto"/>
                <w:sz w:val="20"/>
                <w:szCs w:val="20"/>
                <w:lang w:val="sq-AL"/>
              </w:rPr>
            </w:pPr>
            <w:r w:rsidRPr="004E5A6E">
              <w:rPr>
                <w:color w:val="auto"/>
                <w:sz w:val="20"/>
                <w:szCs w:val="20"/>
                <w:lang w:val="sq-AL"/>
              </w:rPr>
              <w:t>20.0</w:t>
            </w:r>
          </w:p>
        </w:tc>
      </w:tr>
      <w:tr w:rsidR="002B41BB" w:rsidRPr="004E5A6E" w14:paraId="34F67D7E" w14:textId="77777777" w:rsidTr="002B41BB">
        <w:trPr>
          <w:trHeight w:val="318"/>
        </w:trPr>
        <w:tc>
          <w:tcPr>
            <w:tcW w:w="2118" w:type="pct"/>
            <w:tcBorders>
              <w:top w:val="nil"/>
              <w:left w:val="double" w:sz="6" w:space="0" w:color="auto"/>
              <w:bottom w:val="double" w:sz="6" w:space="0" w:color="auto"/>
              <w:right w:val="single" w:sz="8" w:space="0" w:color="auto"/>
            </w:tcBorders>
            <w:shd w:val="clear" w:color="000000" w:fill="FFFFFF"/>
            <w:hideMark/>
          </w:tcPr>
          <w:p w14:paraId="2B7722EE" w14:textId="77777777" w:rsidR="002B41BB" w:rsidRPr="004E5A6E" w:rsidRDefault="002B41BB" w:rsidP="002B41BB">
            <w:pPr>
              <w:rPr>
                <w:color w:val="auto"/>
                <w:sz w:val="20"/>
                <w:szCs w:val="20"/>
                <w:lang w:val="sq-AL"/>
              </w:rPr>
            </w:pPr>
            <w:r w:rsidRPr="004E5A6E">
              <w:rPr>
                <w:color w:val="auto"/>
                <w:sz w:val="20"/>
                <w:szCs w:val="20"/>
                <w:lang w:val="sq-AL"/>
              </w:rPr>
              <w:t xml:space="preserve">Diferenca </w:t>
            </w:r>
          </w:p>
        </w:tc>
        <w:tc>
          <w:tcPr>
            <w:tcW w:w="579" w:type="pct"/>
            <w:tcBorders>
              <w:top w:val="nil"/>
              <w:left w:val="nil"/>
              <w:bottom w:val="double" w:sz="6" w:space="0" w:color="auto"/>
              <w:right w:val="dotted" w:sz="4" w:space="0" w:color="auto"/>
            </w:tcBorders>
            <w:shd w:val="clear" w:color="000000" w:fill="FFFFFF"/>
            <w:hideMark/>
          </w:tcPr>
          <w:p w14:paraId="1483CBB9" w14:textId="77777777" w:rsidR="002B41BB" w:rsidRPr="004E5A6E" w:rsidRDefault="002B41BB" w:rsidP="002B41BB">
            <w:pPr>
              <w:jc w:val="center"/>
              <w:rPr>
                <w:color w:val="auto"/>
                <w:sz w:val="20"/>
                <w:szCs w:val="20"/>
                <w:lang w:val="sq-AL"/>
              </w:rPr>
            </w:pPr>
            <w:r w:rsidRPr="004E5A6E">
              <w:rPr>
                <w:color w:val="auto"/>
                <w:sz w:val="20"/>
                <w:szCs w:val="20"/>
                <w:lang w:val="sq-AL"/>
              </w:rPr>
              <w:t>0.0</w:t>
            </w:r>
          </w:p>
        </w:tc>
        <w:tc>
          <w:tcPr>
            <w:tcW w:w="579" w:type="pct"/>
            <w:tcBorders>
              <w:top w:val="nil"/>
              <w:left w:val="nil"/>
              <w:bottom w:val="double" w:sz="6" w:space="0" w:color="auto"/>
              <w:right w:val="dotted" w:sz="4" w:space="0" w:color="auto"/>
            </w:tcBorders>
            <w:shd w:val="clear" w:color="000000" w:fill="FFFFFF"/>
            <w:hideMark/>
          </w:tcPr>
          <w:p w14:paraId="1F2B21B8" w14:textId="77777777" w:rsidR="002B41BB" w:rsidRPr="004E5A6E" w:rsidRDefault="002B41BB" w:rsidP="002B41BB">
            <w:pPr>
              <w:jc w:val="center"/>
              <w:rPr>
                <w:color w:val="auto"/>
                <w:sz w:val="20"/>
                <w:szCs w:val="20"/>
                <w:lang w:val="sq-AL"/>
              </w:rPr>
            </w:pPr>
            <w:r w:rsidRPr="004E5A6E">
              <w:rPr>
                <w:color w:val="auto"/>
                <w:sz w:val="20"/>
                <w:szCs w:val="20"/>
                <w:lang w:val="sq-AL"/>
              </w:rPr>
              <w:t>7.0</w:t>
            </w:r>
          </w:p>
        </w:tc>
        <w:tc>
          <w:tcPr>
            <w:tcW w:w="579" w:type="pct"/>
            <w:tcBorders>
              <w:top w:val="nil"/>
              <w:left w:val="nil"/>
              <w:bottom w:val="double" w:sz="6" w:space="0" w:color="auto"/>
              <w:right w:val="dotted" w:sz="4" w:space="0" w:color="auto"/>
            </w:tcBorders>
            <w:shd w:val="clear" w:color="000000" w:fill="FFFFFF"/>
            <w:hideMark/>
          </w:tcPr>
          <w:p w14:paraId="54B95B72" w14:textId="77777777" w:rsidR="002B41BB" w:rsidRPr="004E5A6E" w:rsidRDefault="002B41BB" w:rsidP="002B41BB">
            <w:pPr>
              <w:jc w:val="center"/>
              <w:rPr>
                <w:color w:val="auto"/>
                <w:sz w:val="20"/>
                <w:szCs w:val="20"/>
                <w:lang w:val="sq-AL"/>
              </w:rPr>
            </w:pPr>
            <w:r w:rsidRPr="004E5A6E">
              <w:rPr>
                <w:color w:val="auto"/>
                <w:sz w:val="20"/>
                <w:szCs w:val="20"/>
                <w:lang w:val="sq-AL"/>
              </w:rPr>
              <w:t>12.1</w:t>
            </w:r>
          </w:p>
        </w:tc>
        <w:tc>
          <w:tcPr>
            <w:tcW w:w="579" w:type="pct"/>
            <w:tcBorders>
              <w:top w:val="nil"/>
              <w:left w:val="nil"/>
              <w:bottom w:val="double" w:sz="6" w:space="0" w:color="auto"/>
              <w:right w:val="dotted" w:sz="4" w:space="0" w:color="auto"/>
            </w:tcBorders>
            <w:shd w:val="clear" w:color="000000" w:fill="FFFFFF"/>
            <w:hideMark/>
          </w:tcPr>
          <w:p w14:paraId="65F608D1" w14:textId="77777777" w:rsidR="002B41BB" w:rsidRPr="004E5A6E" w:rsidRDefault="002B41BB" w:rsidP="002B41BB">
            <w:pPr>
              <w:jc w:val="center"/>
              <w:rPr>
                <w:color w:val="auto"/>
                <w:sz w:val="20"/>
                <w:szCs w:val="20"/>
                <w:lang w:val="sq-AL"/>
              </w:rPr>
            </w:pPr>
            <w:r w:rsidRPr="004E5A6E">
              <w:rPr>
                <w:color w:val="auto"/>
                <w:sz w:val="20"/>
                <w:szCs w:val="20"/>
                <w:lang w:val="sq-AL"/>
              </w:rPr>
              <w:t>15.5</w:t>
            </w:r>
          </w:p>
        </w:tc>
        <w:tc>
          <w:tcPr>
            <w:tcW w:w="568" w:type="pct"/>
            <w:tcBorders>
              <w:top w:val="nil"/>
              <w:left w:val="nil"/>
              <w:bottom w:val="double" w:sz="6" w:space="0" w:color="auto"/>
              <w:right w:val="double" w:sz="6" w:space="0" w:color="auto"/>
            </w:tcBorders>
            <w:shd w:val="clear" w:color="000000" w:fill="FFFFFF"/>
            <w:hideMark/>
          </w:tcPr>
          <w:p w14:paraId="2ABD230D"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bl>
    <w:p w14:paraId="4F506758" w14:textId="0478D4B6" w:rsidR="002B41BB" w:rsidRPr="004E5A6E" w:rsidRDefault="002B41BB" w:rsidP="00693151">
      <w:pPr>
        <w:rPr>
          <w:highlight w:val="yellow"/>
          <w:lang w:val="sq-AL"/>
        </w:rPr>
      </w:pPr>
    </w:p>
    <w:p w14:paraId="2A850324" w14:textId="5CCA2FC7" w:rsidR="002B41BB" w:rsidRPr="004E5A6E" w:rsidRDefault="002B41BB" w:rsidP="00693151">
      <w:pPr>
        <w:rPr>
          <w:highlight w:val="yellow"/>
          <w:lang w:val="sq-AL"/>
        </w:rPr>
      </w:pPr>
    </w:p>
    <w:tbl>
      <w:tblPr>
        <w:tblW w:w="5000" w:type="pct"/>
        <w:tblLook w:val="04A0" w:firstRow="1" w:lastRow="0" w:firstColumn="1" w:lastColumn="0" w:noHBand="0" w:noVBand="1"/>
      </w:tblPr>
      <w:tblGrid>
        <w:gridCol w:w="6024"/>
        <w:gridCol w:w="1300"/>
        <w:gridCol w:w="1300"/>
      </w:tblGrid>
      <w:tr w:rsidR="002B41BB" w:rsidRPr="004E5A6E" w14:paraId="11261E13" w14:textId="77777777" w:rsidTr="002B41BB">
        <w:trPr>
          <w:trHeight w:val="276"/>
        </w:trPr>
        <w:tc>
          <w:tcPr>
            <w:tcW w:w="3492" w:type="pct"/>
            <w:tcBorders>
              <w:top w:val="nil"/>
              <w:left w:val="nil"/>
              <w:bottom w:val="nil"/>
              <w:right w:val="nil"/>
            </w:tcBorders>
            <w:shd w:val="clear" w:color="000000" w:fill="FFFFFF"/>
            <w:noWrap/>
            <w:vAlign w:val="center"/>
            <w:hideMark/>
          </w:tcPr>
          <w:p w14:paraId="5E39AB4B" w14:textId="77777777" w:rsidR="002B41BB" w:rsidRPr="004E5A6E" w:rsidRDefault="002B41BB" w:rsidP="002B41BB">
            <w:pPr>
              <w:rPr>
                <w:b/>
                <w:bCs/>
                <w:color w:val="auto"/>
                <w:sz w:val="20"/>
                <w:szCs w:val="20"/>
                <w:lang w:val="sq-AL"/>
              </w:rPr>
            </w:pPr>
            <w:r w:rsidRPr="004E5A6E">
              <w:rPr>
                <w:b/>
                <w:bCs/>
                <w:color w:val="auto"/>
                <w:sz w:val="20"/>
                <w:szCs w:val="20"/>
                <w:lang w:val="sq-AL"/>
              </w:rPr>
              <w:t>Tabela 7a: Garancionet e përgjithshme qeveritare</w:t>
            </w:r>
          </w:p>
        </w:tc>
        <w:tc>
          <w:tcPr>
            <w:tcW w:w="754" w:type="pct"/>
            <w:tcBorders>
              <w:top w:val="nil"/>
              <w:left w:val="nil"/>
              <w:bottom w:val="nil"/>
              <w:right w:val="nil"/>
            </w:tcBorders>
            <w:shd w:val="clear" w:color="000000" w:fill="FFFFFF"/>
            <w:noWrap/>
            <w:vAlign w:val="center"/>
            <w:hideMark/>
          </w:tcPr>
          <w:p w14:paraId="656D3782" w14:textId="77777777" w:rsidR="002B41BB" w:rsidRPr="004E5A6E" w:rsidRDefault="002B41BB" w:rsidP="002B41BB">
            <w:pPr>
              <w:rPr>
                <w:rFonts w:ascii="Arial" w:hAnsi="Arial" w:cs="Arial"/>
                <w:color w:val="auto"/>
                <w:sz w:val="20"/>
                <w:szCs w:val="20"/>
                <w:lang w:val="sq-AL"/>
              </w:rPr>
            </w:pPr>
            <w:r w:rsidRPr="004E5A6E">
              <w:rPr>
                <w:rFonts w:ascii="Arial" w:hAnsi="Arial" w:cs="Arial"/>
                <w:color w:val="auto"/>
                <w:sz w:val="20"/>
                <w:szCs w:val="20"/>
                <w:lang w:val="sq-AL"/>
              </w:rPr>
              <w:t> </w:t>
            </w:r>
          </w:p>
        </w:tc>
        <w:tc>
          <w:tcPr>
            <w:tcW w:w="754" w:type="pct"/>
            <w:tcBorders>
              <w:top w:val="nil"/>
              <w:left w:val="nil"/>
              <w:bottom w:val="nil"/>
              <w:right w:val="nil"/>
            </w:tcBorders>
            <w:shd w:val="clear" w:color="000000" w:fill="FFFFFF"/>
            <w:noWrap/>
            <w:vAlign w:val="center"/>
            <w:hideMark/>
          </w:tcPr>
          <w:p w14:paraId="29F75935" w14:textId="77777777" w:rsidR="002B41BB" w:rsidRPr="004E5A6E" w:rsidRDefault="002B41BB" w:rsidP="002B41BB">
            <w:pPr>
              <w:rPr>
                <w:rFonts w:ascii="Arial" w:hAnsi="Arial" w:cs="Arial"/>
                <w:color w:val="auto"/>
                <w:sz w:val="20"/>
                <w:szCs w:val="20"/>
                <w:lang w:val="sq-AL"/>
              </w:rPr>
            </w:pPr>
            <w:r w:rsidRPr="004E5A6E">
              <w:rPr>
                <w:rFonts w:ascii="Arial" w:hAnsi="Arial" w:cs="Arial"/>
                <w:color w:val="auto"/>
                <w:sz w:val="20"/>
                <w:szCs w:val="20"/>
                <w:lang w:val="sq-AL"/>
              </w:rPr>
              <w:t> </w:t>
            </w:r>
          </w:p>
        </w:tc>
      </w:tr>
      <w:tr w:rsidR="002B41BB" w:rsidRPr="004E5A6E" w14:paraId="136D3313" w14:textId="77777777" w:rsidTr="002B41BB">
        <w:trPr>
          <w:trHeight w:val="324"/>
        </w:trPr>
        <w:tc>
          <w:tcPr>
            <w:tcW w:w="3492" w:type="pct"/>
            <w:tcBorders>
              <w:top w:val="double" w:sz="6" w:space="0" w:color="000000"/>
              <w:left w:val="double" w:sz="6" w:space="0" w:color="000000"/>
              <w:bottom w:val="double" w:sz="6" w:space="0" w:color="000000"/>
              <w:right w:val="nil"/>
            </w:tcBorders>
            <w:shd w:val="clear" w:color="000000" w:fill="FFFFFF"/>
            <w:vAlign w:val="center"/>
            <w:hideMark/>
          </w:tcPr>
          <w:p w14:paraId="7E5C6DE1" w14:textId="77777777" w:rsidR="002B41BB" w:rsidRPr="004E5A6E" w:rsidRDefault="002B41BB" w:rsidP="002B41BB">
            <w:pPr>
              <w:rPr>
                <w:color w:val="auto"/>
                <w:sz w:val="20"/>
                <w:szCs w:val="20"/>
                <w:lang w:val="sq-AL"/>
              </w:rPr>
            </w:pPr>
            <w:r w:rsidRPr="004E5A6E">
              <w:rPr>
                <w:color w:val="auto"/>
                <w:sz w:val="20"/>
                <w:szCs w:val="20"/>
                <w:lang w:val="sq-AL"/>
              </w:rPr>
              <w:t>% e BPV-së</w:t>
            </w:r>
          </w:p>
        </w:tc>
        <w:tc>
          <w:tcPr>
            <w:tcW w:w="754" w:type="pct"/>
            <w:tcBorders>
              <w:top w:val="double" w:sz="6" w:space="0" w:color="000000"/>
              <w:left w:val="single" w:sz="4" w:space="0" w:color="auto"/>
              <w:bottom w:val="double" w:sz="6" w:space="0" w:color="000000"/>
              <w:right w:val="dotted" w:sz="4" w:space="0" w:color="auto"/>
            </w:tcBorders>
            <w:shd w:val="clear" w:color="000000" w:fill="FFFFFF"/>
            <w:vAlign w:val="center"/>
            <w:hideMark/>
          </w:tcPr>
          <w:p w14:paraId="3AF04CAC" w14:textId="77777777" w:rsidR="002B41BB" w:rsidRPr="004E5A6E" w:rsidRDefault="002B41BB" w:rsidP="002B41BB">
            <w:pPr>
              <w:jc w:val="center"/>
              <w:rPr>
                <w:color w:val="auto"/>
                <w:sz w:val="20"/>
                <w:szCs w:val="20"/>
                <w:lang w:val="sq-AL"/>
              </w:rPr>
            </w:pPr>
            <w:r w:rsidRPr="004E5A6E">
              <w:rPr>
                <w:color w:val="auto"/>
                <w:sz w:val="20"/>
                <w:szCs w:val="20"/>
                <w:lang w:val="sq-AL"/>
              </w:rPr>
              <w:t>2020</w:t>
            </w:r>
          </w:p>
        </w:tc>
        <w:tc>
          <w:tcPr>
            <w:tcW w:w="754" w:type="pct"/>
            <w:tcBorders>
              <w:top w:val="double" w:sz="6" w:space="0" w:color="000000"/>
              <w:left w:val="nil"/>
              <w:bottom w:val="double" w:sz="6" w:space="0" w:color="000000"/>
              <w:right w:val="double" w:sz="6" w:space="0" w:color="000000"/>
            </w:tcBorders>
            <w:shd w:val="clear" w:color="000000" w:fill="FFFFFF"/>
            <w:vAlign w:val="center"/>
            <w:hideMark/>
          </w:tcPr>
          <w:p w14:paraId="2FBA26BF" w14:textId="77777777" w:rsidR="002B41BB" w:rsidRPr="004E5A6E" w:rsidRDefault="002B41BB" w:rsidP="002B41BB">
            <w:pPr>
              <w:jc w:val="center"/>
              <w:rPr>
                <w:color w:val="auto"/>
                <w:sz w:val="20"/>
                <w:szCs w:val="20"/>
                <w:lang w:val="sq-AL"/>
              </w:rPr>
            </w:pPr>
            <w:r w:rsidRPr="004E5A6E">
              <w:rPr>
                <w:color w:val="auto"/>
                <w:sz w:val="20"/>
                <w:szCs w:val="20"/>
                <w:lang w:val="sq-AL"/>
              </w:rPr>
              <w:t>2021</w:t>
            </w:r>
          </w:p>
        </w:tc>
      </w:tr>
      <w:tr w:rsidR="002B41BB" w:rsidRPr="004E5A6E" w14:paraId="71717CC9" w14:textId="77777777" w:rsidTr="002B41BB">
        <w:trPr>
          <w:trHeight w:val="312"/>
        </w:trPr>
        <w:tc>
          <w:tcPr>
            <w:tcW w:w="3492" w:type="pct"/>
            <w:tcBorders>
              <w:top w:val="nil"/>
              <w:left w:val="double" w:sz="6" w:space="0" w:color="000000"/>
              <w:bottom w:val="dotted" w:sz="4" w:space="0" w:color="auto"/>
              <w:right w:val="nil"/>
            </w:tcBorders>
            <w:shd w:val="clear" w:color="000000" w:fill="FFFFFF"/>
            <w:vAlign w:val="center"/>
            <w:hideMark/>
          </w:tcPr>
          <w:p w14:paraId="5F4D1087" w14:textId="77777777" w:rsidR="002B41BB" w:rsidRPr="004E5A6E" w:rsidRDefault="002B41BB" w:rsidP="002B41BB">
            <w:pPr>
              <w:rPr>
                <w:color w:val="auto"/>
                <w:sz w:val="20"/>
                <w:szCs w:val="20"/>
                <w:lang w:val="sq-AL"/>
              </w:rPr>
            </w:pPr>
            <w:r w:rsidRPr="004E5A6E">
              <w:rPr>
                <w:color w:val="auto"/>
                <w:sz w:val="20"/>
                <w:szCs w:val="20"/>
                <w:lang w:val="sq-AL"/>
              </w:rPr>
              <w:t>Garancionet publike</w:t>
            </w:r>
          </w:p>
        </w:tc>
        <w:tc>
          <w:tcPr>
            <w:tcW w:w="754" w:type="pct"/>
            <w:tcBorders>
              <w:top w:val="nil"/>
              <w:left w:val="dotted" w:sz="4" w:space="0" w:color="auto"/>
              <w:bottom w:val="dotted" w:sz="4" w:space="0" w:color="auto"/>
              <w:right w:val="double" w:sz="6" w:space="0" w:color="000000"/>
            </w:tcBorders>
            <w:shd w:val="clear" w:color="000000" w:fill="FFFFFF"/>
            <w:vAlign w:val="center"/>
            <w:hideMark/>
          </w:tcPr>
          <w:p w14:paraId="2A8006D3" w14:textId="77777777" w:rsidR="002B41BB" w:rsidRPr="004E5A6E" w:rsidRDefault="002B41BB" w:rsidP="002B41BB">
            <w:pPr>
              <w:jc w:val="center"/>
              <w:rPr>
                <w:color w:val="auto"/>
                <w:sz w:val="20"/>
                <w:szCs w:val="20"/>
                <w:lang w:val="sq-AL"/>
              </w:rPr>
            </w:pPr>
            <w:r w:rsidRPr="004E5A6E">
              <w:rPr>
                <w:color w:val="auto"/>
                <w:sz w:val="20"/>
                <w:szCs w:val="20"/>
                <w:lang w:val="sq-AL"/>
              </w:rPr>
              <w:t>0.5</w:t>
            </w:r>
          </w:p>
        </w:tc>
        <w:tc>
          <w:tcPr>
            <w:tcW w:w="754" w:type="pct"/>
            <w:tcBorders>
              <w:top w:val="nil"/>
              <w:left w:val="dotted" w:sz="4" w:space="0" w:color="auto"/>
              <w:bottom w:val="dotted" w:sz="4" w:space="0" w:color="auto"/>
              <w:right w:val="double" w:sz="6" w:space="0" w:color="000000"/>
            </w:tcBorders>
            <w:shd w:val="clear" w:color="000000" w:fill="FFFFFF"/>
            <w:vAlign w:val="center"/>
            <w:hideMark/>
          </w:tcPr>
          <w:p w14:paraId="0C92A931" w14:textId="77777777" w:rsidR="002B41BB" w:rsidRPr="004E5A6E" w:rsidRDefault="002B41BB" w:rsidP="002B41BB">
            <w:pPr>
              <w:jc w:val="center"/>
              <w:rPr>
                <w:color w:val="auto"/>
                <w:sz w:val="20"/>
                <w:szCs w:val="20"/>
                <w:lang w:val="sq-AL"/>
              </w:rPr>
            </w:pPr>
            <w:r w:rsidRPr="004E5A6E">
              <w:rPr>
                <w:color w:val="auto"/>
                <w:sz w:val="20"/>
                <w:szCs w:val="20"/>
                <w:lang w:val="sq-AL"/>
              </w:rPr>
              <w:t>0.4</w:t>
            </w:r>
          </w:p>
        </w:tc>
      </w:tr>
      <w:tr w:rsidR="002B41BB" w:rsidRPr="004E5A6E" w14:paraId="77B0722C" w14:textId="77777777" w:rsidTr="002B41BB">
        <w:trPr>
          <w:trHeight w:val="312"/>
        </w:trPr>
        <w:tc>
          <w:tcPr>
            <w:tcW w:w="3492" w:type="pct"/>
            <w:tcBorders>
              <w:top w:val="nil"/>
              <w:left w:val="double" w:sz="6" w:space="0" w:color="000000"/>
              <w:bottom w:val="double" w:sz="6" w:space="0" w:color="000000"/>
              <w:right w:val="nil"/>
            </w:tcBorders>
            <w:shd w:val="clear" w:color="000000" w:fill="FFFFFF"/>
            <w:vAlign w:val="center"/>
            <w:hideMark/>
          </w:tcPr>
          <w:p w14:paraId="29CD2FDE" w14:textId="77777777" w:rsidR="002B41BB" w:rsidRPr="004E5A6E" w:rsidRDefault="002B41BB" w:rsidP="002B41BB">
            <w:pPr>
              <w:rPr>
                <w:color w:val="auto"/>
                <w:sz w:val="20"/>
                <w:szCs w:val="20"/>
                <w:lang w:val="sq-AL"/>
              </w:rPr>
            </w:pPr>
            <w:r w:rsidRPr="004E5A6E">
              <w:rPr>
                <w:color w:val="auto"/>
                <w:sz w:val="20"/>
                <w:szCs w:val="20"/>
                <w:lang w:val="sq-AL"/>
              </w:rPr>
              <w:t>Nga të cilat: të lidhura me sektorin financiar</w:t>
            </w:r>
          </w:p>
        </w:tc>
        <w:tc>
          <w:tcPr>
            <w:tcW w:w="754" w:type="pct"/>
            <w:tcBorders>
              <w:top w:val="nil"/>
              <w:left w:val="dotted" w:sz="4" w:space="0" w:color="auto"/>
              <w:bottom w:val="double" w:sz="6" w:space="0" w:color="000000"/>
              <w:right w:val="double" w:sz="6" w:space="0" w:color="000000"/>
            </w:tcBorders>
            <w:shd w:val="clear" w:color="000000" w:fill="FFFFFF"/>
            <w:vAlign w:val="center"/>
            <w:hideMark/>
          </w:tcPr>
          <w:p w14:paraId="3FB23370" w14:textId="77777777" w:rsidR="002B41BB" w:rsidRPr="004E5A6E" w:rsidRDefault="002B41BB" w:rsidP="002B41BB">
            <w:pPr>
              <w:jc w:val="center"/>
              <w:rPr>
                <w:color w:val="auto"/>
                <w:sz w:val="20"/>
                <w:szCs w:val="20"/>
                <w:lang w:val="sq-AL"/>
              </w:rPr>
            </w:pPr>
            <w:r w:rsidRPr="004E5A6E">
              <w:rPr>
                <w:color w:val="auto"/>
                <w:sz w:val="20"/>
                <w:szCs w:val="20"/>
                <w:lang w:val="sq-AL"/>
              </w:rPr>
              <w:t>0.4</w:t>
            </w:r>
          </w:p>
        </w:tc>
        <w:tc>
          <w:tcPr>
            <w:tcW w:w="754" w:type="pct"/>
            <w:tcBorders>
              <w:top w:val="nil"/>
              <w:left w:val="dotted" w:sz="4" w:space="0" w:color="auto"/>
              <w:bottom w:val="double" w:sz="6" w:space="0" w:color="000000"/>
              <w:right w:val="double" w:sz="6" w:space="0" w:color="000000"/>
            </w:tcBorders>
            <w:shd w:val="clear" w:color="000000" w:fill="FFFFFF"/>
            <w:vAlign w:val="center"/>
            <w:hideMark/>
          </w:tcPr>
          <w:p w14:paraId="326C16B8" w14:textId="77777777" w:rsidR="002B41BB" w:rsidRPr="004E5A6E" w:rsidRDefault="002B41BB" w:rsidP="002B41BB">
            <w:pPr>
              <w:jc w:val="center"/>
              <w:rPr>
                <w:color w:val="auto"/>
                <w:sz w:val="20"/>
                <w:szCs w:val="20"/>
                <w:lang w:val="sq-AL"/>
              </w:rPr>
            </w:pPr>
            <w:r w:rsidRPr="004E5A6E">
              <w:rPr>
                <w:color w:val="auto"/>
                <w:sz w:val="20"/>
                <w:szCs w:val="20"/>
                <w:lang w:val="sq-AL"/>
              </w:rPr>
              <w:t>0.3</w:t>
            </w:r>
          </w:p>
        </w:tc>
      </w:tr>
    </w:tbl>
    <w:p w14:paraId="5397DD1A" w14:textId="256A56CD" w:rsidR="002B41BB" w:rsidRPr="004E5A6E" w:rsidRDefault="002B41BB" w:rsidP="00693151">
      <w:pPr>
        <w:rPr>
          <w:highlight w:val="yellow"/>
          <w:lang w:val="sq-AL"/>
        </w:rPr>
      </w:pPr>
    </w:p>
    <w:p w14:paraId="7B90CD16" w14:textId="46E13464" w:rsidR="002B41BB" w:rsidRPr="004E5A6E" w:rsidRDefault="002B41BB" w:rsidP="00693151">
      <w:pPr>
        <w:rPr>
          <w:highlight w:val="yellow"/>
          <w:lang w:val="sq-AL"/>
        </w:rPr>
      </w:pPr>
    </w:p>
    <w:tbl>
      <w:tblPr>
        <w:tblW w:w="5000" w:type="pct"/>
        <w:tblLook w:val="04A0" w:firstRow="1" w:lastRow="0" w:firstColumn="1" w:lastColumn="0" w:noHBand="0" w:noVBand="1"/>
      </w:tblPr>
      <w:tblGrid>
        <w:gridCol w:w="4303"/>
        <w:gridCol w:w="1326"/>
        <w:gridCol w:w="599"/>
        <w:gridCol w:w="599"/>
        <w:gridCol w:w="599"/>
        <w:gridCol w:w="599"/>
        <w:gridCol w:w="599"/>
      </w:tblGrid>
      <w:tr w:rsidR="002B41BB" w:rsidRPr="004E5A6E" w14:paraId="2EDB64C4" w14:textId="77777777" w:rsidTr="002B41BB">
        <w:trPr>
          <w:trHeight w:val="318"/>
        </w:trPr>
        <w:tc>
          <w:tcPr>
            <w:tcW w:w="2917" w:type="pct"/>
            <w:gridSpan w:val="2"/>
            <w:tcBorders>
              <w:top w:val="nil"/>
              <w:left w:val="nil"/>
              <w:bottom w:val="nil"/>
              <w:right w:val="nil"/>
            </w:tcBorders>
            <w:shd w:val="clear" w:color="000000" w:fill="FFFFFF"/>
            <w:noWrap/>
            <w:vAlign w:val="center"/>
            <w:hideMark/>
          </w:tcPr>
          <w:p w14:paraId="57197C7C" w14:textId="77777777" w:rsidR="002B41BB" w:rsidRPr="004E5A6E" w:rsidRDefault="002B41BB" w:rsidP="002B41BB">
            <w:pPr>
              <w:rPr>
                <w:b/>
                <w:bCs/>
                <w:color w:val="auto"/>
                <w:sz w:val="20"/>
                <w:szCs w:val="20"/>
                <w:lang w:val="sq-AL"/>
              </w:rPr>
            </w:pPr>
            <w:r w:rsidRPr="004E5A6E">
              <w:rPr>
                <w:b/>
                <w:bCs/>
                <w:color w:val="auto"/>
                <w:sz w:val="20"/>
                <w:szCs w:val="20"/>
                <w:lang w:val="sq-AL"/>
              </w:rPr>
              <w:t xml:space="preserve">Tabela 8:  Supozimet themelore mbi mjedisin e jashtëm ekonomik </w:t>
            </w:r>
          </w:p>
        </w:tc>
        <w:tc>
          <w:tcPr>
            <w:tcW w:w="413" w:type="pct"/>
            <w:tcBorders>
              <w:top w:val="nil"/>
              <w:left w:val="nil"/>
              <w:bottom w:val="nil"/>
              <w:right w:val="nil"/>
            </w:tcBorders>
            <w:shd w:val="clear" w:color="000000" w:fill="FFFFFF"/>
            <w:noWrap/>
            <w:vAlign w:val="center"/>
            <w:hideMark/>
          </w:tcPr>
          <w:p w14:paraId="07C975B8" w14:textId="77777777" w:rsidR="002B41BB" w:rsidRPr="004E5A6E" w:rsidRDefault="002B41BB" w:rsidP="002B41BB">
            <w:pPr>
              <w:rPr>
                <w:b/>
                <w:bCs/>
                <w:color w:val="auto"/>
                <w:sz w:val="20"/>
                <w:szCs w:val="20"/>
                <w:lang w:val="sq-AL"/>
              </w:rPr>
            </w:pPr>
            <w:r w:rsidRPr="004E5A6E">
              <w:rPr>
                <w:b/>
                <w:bCs/>
                <w:color w:val="auto"/>
                <w:sz w:val="20"/>
                <w:szCs w:val="20"/>
                <w:lang w:val="sq-AL"/>
              </w:rPr>
              <w:t> </w:t>
            </w:r>
          </w:p>
        </w:tc>
        <w:tc>
          <w:tcPr>
            <w:tcW w:w="413" w:type="pct"/>
            <w:tcBorders>
              <w:top w:val="nil"/>
              <w:left w:val="nil"/>
              <w:bottom w:val="nil"/>
              <w:right w:val="nil"/>
            </w:tcBorders>
            <w:shd w:val="clear" w:color="000000" w:fill="FFFFFF"/>
            <w:noWrap/>
            <w:vAlign w:val="center"/>
            <w:hideMark/>
          </w:tcPr>
          <w:p w14:paraId="56B5D10F" w14:textId="77777777" w:rsidR="002B41BB" w:rsidRPr="004E5A6E" w:rsidRDefault="002B41BB" w:rsidP="002B41BB">
            <w:pPr>
              <w:rPr>
                <w:b/>
                <w:bCs/>
                <w:color w:val="auto"/>
                <w:sz w:val="20"/>
                <w:szCs w:val="20"/>
                <w:lang w:val="sq-AL"/>
              </w:rPr>
            </w:pPr>
            <w:r w:rsidRPr="004E5A6E">
              <w:rPr>
                <w:b/>
                <w:bCs/>
                <w:color w:val="auto"/>
                <w:sz w:val="20"/>
                <w:szCs w:val="20"/>
                <w:lang w:val="sq-AL"/>
              </w:rPr>
              <w:t> </w:t>
            </w:r>
          </w:p>
        </w:tc>
        <w:tc>
          <w:tcPr>
            <w:tcW w:w="413" w:type="pct"/>
            <w:tcBorders>
              <w:top w:val="nil"/>
              <w:left w:val="nil"/>
              <w:bottom w:val="nil"/>
              <w:right w:val="nil"/>
            </w:tcBorders>
            <w:shd w:val="clear" w:color="000000" w:fill="FFFFFF"/>
            <w:noWrap/>
            <w:vAlign w:val="center"/>
            <w:hideMark/>
          </w:tcPr>
          <w:p w14:paraId="182215A7" w14:textId="77777777" w:rsidR="002B41BB" w:rsidRPr="004E5A6E" w:rsidRDefault="002B41BB" w:rsidP="002B41BB">
            <w:pPr>
              <w:rPr>
                <w:b/>
                <w:bCs/>
                <w:color w:val="auto"/>
                <w:sz w:val="20"/>
                <w:szCs w:val="20"/>
                <w:lang w:val="sq-AL"/>
              </w:rPr>
            </w:pPr>
            <w:r w:rsidRPr="004E5A6E">
              <w:rPr>
                <w:b/>
                <w:bCs/>
                <w:color w:val="auto"/>
                <w:sz w:val="20"/>
                <w:szCs w:val="20"/>
                <w:lang w:val="sq-AL"/>
              </w:rPr>
              <w:t> </w:t>
            </w:r>
          </w:p>
        </w:tc>
        <w:tc>
          <w:tcPr>
            <w:tcW w:w="413" w:type="pct"/>
            <w:tcBorders>
              <w:top w:val="nil"/>
              <w:left w:val="nil"/>
              <w:bottom w:val="nil"/>
              <w:right w:val="nil"/>
            </w:tcBorders>
            <w:shd w:val="clear" w:color="000000" w:fill="FFFFFF"/>
            <w:noWrap/>
            <w:vAlign w:val="center"/>
            <w:hideMark/>
          </w:tcPr>
          <w:p w14:paraId="6EA55C0A" w14:textId="77777777" w:rsidR="002B41BB" w:rsidRPr="004E5A6E" w:rsidRDefault="002B41BB" w:rsidP="002B41BB">
            <w:pPr>
              <w:rPr>
                <w:b/>
                <w:bCs/>
                <w:color w:val="auto"/>
                <w:sz w:val="20"/>
                <w:szCs w:val="20"/>
                <w:lang w:val="sq-AL"/>
              </w:rPr>
            </w:pPr>
            <w:r w:rsidRPr="004E5A6E">
              <w:rPr>
                <w:b/>
                <w:bCs/>
                <w:color w:val="auto"/>
                <w:sz w:val="20"/>
                <w:szCs w:val="20"/>
                <w:lang w:val="sq-AL"/>
              </w:rPr>
              <w:t> </w:t>
            </w:r>
          </w:p>
        </w:tc>
        <w:tc>
          <w:tcPr>
            <w:tcW w:w="432" w:type="pct"/>
            <w:tcBorders>
              <w:top w:val="nil"/>
              <w:left w:val="nil"/>
              <w:bottom w:val="nil"/>
              <w:right w:val="nil"/>
            </w:tcBorders>
            <w:shd w:val="clear" w:color="000000" w:fill="FFFFFF"/>
            <w:noWrap/>
            <w:vAlign w:val="center"/>
            <w:hideMark/>
          </w:tcPr>
          <w:p w14:paraId="58C8EA8F" w14:textId="77777777" w:rsidR="002B41BB" w:rsidRPr="004E5A6E" w:rsidRDefault="002B41BB" w:rsidP="002B41BB">
            <w:pPr>
              <w:rPr>
                <w:b/>
                <w:bCs/>
                <w:color w:val="auto"/>
                <w:sz w:val="20"/>
                <w:szCs w:val="20"/>
                <w:lang w:val="sq-AL"/>
              </w:rPr>
            </w:pPr>
            <w:r w:rsidRPr="004E5A6E">
              <w:rPr>
                <w:b/>
                <w:bCs/>
                <w:color w:val="auto"/>
                <w:sz w:val="20"/>
                <w:szCs w:val="20"/>
                <w:lang w:val="sq-AL"/>
              </w:rPr>
              <w:t> </w:t>
            </w:r>
          </w:p>
        </w:tc>
      </w:tr>
      <w:tr w:rsidR="002B41BB" w:rsidRPr="004E5A6E" w14:paraId="3DA67DC7" w14:textId="77777777" w:rsidTr="002B41BB">
        <w:trPr>
          <w:trHeight w:val="318"/>
        </w:trPr>
        <w:tc>
          <w:tcPr>
            <w:tcW w:w="2233" w:type="pct"/>
            <w:tcBorders>
              <w:top w:val="double" w:sz="6" w:space="0" w:color="auto"/>
              <w:left w:val="double" w:sz="6" w:space="0" w:color="auto"/>
              <w:bottom w:val="double" w:sz="6" w:space="0" w:color="auto"/>
              <w:right w:val="nil"/>
            </w:tcBorders>
            <w:shd w:val="clear" w:color="000000" w:fill="FFFFFF"/>
            <w:vAlign w:val="bottom"/>
            <w:hideMark/>
          </w:tcPr>
          <w:p w14:paraId="31B56D80" w14:textId="77777777" w:rsidR="002B41BB" w:rsidRPr="004E5A6E" w:rsidRDefault="002B41BB" w:rsidP="002B41BB">
            <w:pPr>
              <w:rPr>
                <w:color w:val="auto"/>
                <w:sz w:val="20"/>
                <w:szCs w:val="20"/>
                <w:lang w:val="sq-AL"/>
              </w:rPr>
            </w:pPr>
            <w:r w:rsidRPr="004E5A6E">
              <w:rPr>
                <w:color w:val="auto"/>
                <w:sz w:val="20"/>
                <w:szCs w:val="20"/>
                <w:lang w:val="sq-AL"/>
              </w:rPr>
              <w:t> </w:t>
            </w:r>
          </w:p>
        </w:tc>
        <w:tc>
          <w:tcPr>
            <w:tcW w:w="685" w:type="pct"/>
            <w:tcBorders>
              <w:top w:val="double" w:sz="6" w:space="0" w:color="auto"/>
              <w:left w:val="single" w:sz="8" w:space="0" w:color="auto"/>
              <w:bottom w:val="double" w:sz="6" w:space="0" w:color="auto"/>
              <w:right w:val="single" w:sz="8" w:space="0" w:color="000000"/>
            </w:tcBorders>
            <w:shd w:val="clear" w:color="000000" w:fill="FFFFFF"/>
            <w:vAlign w:val="bottom"/>
            <w:hideMark/>
          </w:tcPr>
          <w:p w14:paraId="1836871E" w14:textId="77777777" w:rsidR="002B41BB" w:rsidRPr="004E5A6E" w:rsidRDefault="002B41BB" w:rsidP="002B41BB">
            <w:pPr>
              <w:rPr>
                <w:color w:val="auto"/>
                <w:sz w:val="20"/>
                <w:szCs w:val="20"/>
                <w:lang w:val="sq-AL"/>
              </w:rPr>
            </w:pPr>
            <w:r w:rsidRPr="004E5A6E">
              <w:rPr>
                <w:color w:val="auto"/>
                <w:sz w:val="20"/>
                <w:szCs w:val="20"/>
                <w:lang w:val="sq-AL"/>
              </w:rPr>
              <w:t>Dimensioni</w:t>
            </w:r>
          </w:p>
        </w:tc>
        <w:tc>
          <w:tcPr>
            <w:tcW w:w="413" w:type="pct"/>
            <w:tcBorders>
              <w:top w:val="double" w:sz="6" w:space="0" w:color="auto"/>
              <w:left w:val="nil"/>
              <w:bottom w:val="double" w:sz="6" w:space="0" w:color="auto"/>
              <w:right w:val="dotted" w:sz="4" w:space="0" w:color="auto"/>
            </w:tcBorders>
            <w:shd w:val="clear" w:color="000000" w:fill="FFFFFF"/>
            <w:hideMark/>
          </w:tcPr>
          <w:p w14:paraId="7EEA458A" w14:textId="77777777" w:rsidR="002B41BB" w:rsidRPr="004E5A6E" w:rsidRDefault="002B41BB" w:rsidP="002B41BB">
            <w:pPr>
              <w:jc w:val="center"/>
              <w:rPr>
                <w:color w:val="auto"/>
                <w:sz w:val="20"/>
                <w:szCs w:val="20"/>
                <w:lang w:val="sq-AL"/>
              </w:rPr>
            </w:pPr>
            <w:r w:rsidRPr="004E5A6E">
              <w:rPr>
                <w:color w:val="auto"/>
                <w:sz w:val="20"/>
                <w:szCs w:val="20"/>
                <w:lang w:val="sq-AL"/>
              </w:rPr>
              <w:t>2019</w:t>
            </w:r>
          </w:p>
        </w:tc>
        <w:tc>
          <w:tcPr>
            <w:tcW w:w="413" w:type="pct"/>
            <w:tcBorders>
              <w:top w:val="double" w:sz="6" w:space="0" w:color="auto"/>
              <w:left w:val="nil"/>
              <w:bottom w:val="double" w:sz="6" w:space="0" w:color="auto"/>
              <w:right w:val="dotted" w:sz="4" w:space="0" w:color="auto"/>
            </w:tcBorders>
            <w:shd w:val="clear" w:color="000000" w:fill="FFFFFF"/>
            <w:hideMark/>
          </w:tcPr>
          <w:p w14:paraId="7C7AAF72" w14:textId="77777777" w:rsidR="002B41BB" w:rsidRPr="004E5A6E" w:rsidRDefault="002B41BB" w:rsidP="002B41BB">
            <w:pPr>
              <w:jc w:val="center"/>
              <w:rPr>
                <w:color w:val="auto"/>
                <w:sz w:val="20"/>
                <w:szCs w:val="20"/>
                <w:lang w:val="sq-AL"/>
              </w:rPr>
            </w:pPr>
            <w:r w:rsidRPr="004E5A6E">
              <w:rPr>
                <w:color w:val="auto"/>
                <w:sz w:val="20"/>
                <w:szCs w:val="20"/>
                <w:lang w:val="sq-AL"/>
              </w:rPr>
              <w:t>2020</w:t>
            </w:r>
          </w:p>
        </w:tc>
        <w:tc>
          <w:tcPr>
            <w:tcW w:w="413" w:type="pct"/>
            <w:tcBorders>
              <w:top w:val="double" w:sz="6" w:space="0" w:color="auto"/>
              <w:left w:val="nil"/>
              <w:bottom w:val="double" w:sz="6" w:space="0" w:color="auto"/>
              <w:right w:val="dotted" w:sz="4" w:space="0" w:color="auto"/>
            </w:tcBorders>
            <w:shd w:val="clear" w:color="000000" w:fill="FFFFFF"/>
            <w:hideMark/>
          </w:tcPr>
          <w:p w14:paraId="09A9B369" w14:textId="77777777" w:rsidR="002B41BB" w:rsidRPr="004E5A6E" w:rsidRDefault="002B41BB" w:rsidP="002B41BB">
            <w:pPr>
              <w:jc w:val="center"/>
              <w:rPr>
                <w:color w:val="auto"/>
                <w:sz w:val="20"/>
                <w:szCs w:val="20"/>
                <w:lang w:val="sq-AL"/>
              </w:rPr>
            </w:pPr>
            <w:r w:rsidRPr="004E5A6E">
              <w:rPr>
                <w:color w:val="auto"/>
                <w:sz w:val="20"/>
                <w:szCs w:val="20"/>
                <w:lang w:val="sq-AL"/>
              </w:rPr>
              <w:t>2021</w:t>
            </w:r>
          </w:p>
        </w:tc>
        <w:tc>
          <w:tcPr>
            <w:tcW w:w="413" w:type="pct"/>
            <w:tcBorders>
              <w:top w:val="double" w:sz="6" w:space="0" w:color="auto"/>
              <w:left w:val="nil"/>
              <w:bottom w:val="double" w:sz="6" w:space="0" w:color="auto"/>
              <w:right w:val="dotted" w:sz="4" w:space="0" w:color="auto"/>
            </w:tcBorders>
            <w:shd w:val="clear" w:color="000000" w:fill="FFFFFF"/>
            <w:hideMark/>
          </w:tcPr>
          <w:p w14:paraId="4E547486" w14:textId="77777777" w:rsidR="002B41BB" w:rsidRPr="004E5A6E" w:rsidRDefault="002B41BB" w:rsidP="002B41BB">
            <w:pPr>
              <w:jc w:val="center"/>
              <w:rPr>
                <w:color w:val="auto"/>
                <w:sz w:val="20"/>
                <w:szCs w:val="20"/>
                <w:lang w:val="sq-AL"/>
              </w:rPr>
            </w:pPr>
            <w:r w:rsidRPr="004E5A6E">
              <w:rPr>
                <w:color w:val="auto"/>
                <w:sz w:val="20"/>
                <w:szCs w:val="20"/>
                <w:lang w:val="sq-AL"/>
              </w:rPr>
              <w:t>2022</w:t>
            </w:r>
          </w:p>
        </w:tc>
        <w:tc>
          <w:tcPr>
            <w:tcW w:w="432" w:type="pct"/>
            <w:tcBorders>
              <w:top w:val="double" w:sz="6" w:space="0" w:color="auto"/>
              <w:left w:val="nil"/>
              <w:bottom w:val="double" w:sz="6" w:space="0" w:color="auto"/>
              <w:right w:val="double" w:sz="6" w:space="0" w:color="auto"/>
            </w:tcBorders>
            <w:shd w:val="clear" w:color="000000" w:fill="FFFFFF"/>
            <w:hideMark/>
          </w:tcPr>
          <w:p w14:paraId="1907070F" w14:textId="77777777" w:rsidR="002B41BB" w:rsidRPr="004E5A6E" w:rsidRDefault="002B41BB" w:rsidP="002B41BB">
            <w:pPr>
              <w:jc w:val="center"/>
              <w:rPr>
                <w:color w:val="auto"/>
                <w:sz w:val="20"/>
                <w:szCs w:val="20"/>
                <w:lang w:val="sq-AL"/>
              </w:rPr>
            </w:pPr>
            <w:r w:rsidRPr="004E5A6E">
              <w:rPr>
                <w:color w:val="auto"/>
                <w:sz w:val="20"/>
                <w:szCs w:val="20"/>
                <w:lang w:val="sq-AL"/>
              </w:rPr>
              <w:t>2023</w:t>
            </w:r>
          </w:p>
        </w:tc>
      </w:tr>
      <w:tr w:rsidR="002B41BB" w:rsidRPr="004E5A6E" w14:paraId="7AF77314" w14:textId="77777777" w:rsidTr="002B41BB">
        <w:trPr>
          <w:trHeight w:val="540"/>
        </w:trPr>
        <w:tc>
          <w:tcPr>
            <w:tcW w:w="2233" w:type="pct"/>
            <w:tcBorders>
              <w:top w:val="nil"/>
              <w:left w:val="double" w:sz="6" w:space="0" w:color="auto"/>
              <w:bottom w:val="dotted" w:sz="4" w:space="0" w:color="auto"/>
              <w:right w:val="nil"/>
            </w:tcBorders>
            <w:shd w:val="clear" w:color="000000" w:fill="FFFFFF"/>
            <w:vAlign w:val="bottom"/>
            <w:hideMark/>
          </w:tcPr>
          <w:p w14:paraId="3733FF07" w14:textId="77777777" w:rsidR="002B41BB" w:rsidRPr="004E5A6E" w:rsidRDefault="002B41BB" w:rsidP="002B41BB">
            <w:pPr>
              <w:rPr>
                <w:color w:val="auto"/>
                <w:sz w:val="20"/>
                <w:szCs w:val="20"/>
                <w:lang w:val="sq-AL"/>
              </w:rPr>
            </w:pPr>
            <w:r w:rsidRPr="004E5A6E">
              <w:rPr>
                <w:color w:val="auto"/>
                <w:sz w:val="20"/>
                <w:szCs w:val="20"/>
                <w:lang w:val="sq-AL"/>
              </w:rPr>
              <w:t xml:space="preserve">Norma e interesit afat-shkurtër </w:t>
            </w:r>
          </w:p>
        </w:tc>
        <w:tc>
          <w:tcPr>
            <w:tcW w:w="685" w:type="pct"/>
            <w:tcBorders>
              <w:top w:val="nil"/>
              <w:left w:val="single" w:sz="8" w:space="0" w:color="auto"/>
              <w:bottom w:val="dotted" w:sz="4" w:space="0" w:color="auto"/>
              <w:right w:val="single" w:sz="8" w:space="0" w:color="000000"/>
            </w:tcBorders>
            <w:shd w:val="clear" w:color="000000" w:fill="FFFFFF"/>
            <w:vAlign w:val="bottom"/>
            <w:hideMark/>
          </w:tcPr>
          <w:p w14:paraId="60CB912C" w14:textId="77777777" w:rsidR="002B41BB" w:rsidRPr="004E5A6E" w:rsidRDefault="002B41BB" w:rsidP="002B41BB">
            <w:pPr>
              <w:jc w:val="center"/>
              <w:rPr>
                <w:color w:val="auto"/>
                <w:sz w:val="20"/>
                <w:szCs w:val="20"/>
                <w:lang w:val="sq-AL"/>
              </w:rPr>
            </w:pPr>
            <w:r w:rsidRPr="004E5A6E">
              <w:rPr>
                <w:color w:val="auto"/>
                <w:sz w:val="20"/>
                <w:szCs w:val="20"/>
                <w:lang w:val="sq-AL"/>
              </w:rPr>
              <w:t>Mesatarja vjetore</w:t>
            </w:r>
          </w:p>
        </w:tc>
        <w:tc>
          <w:tcPr>
            <w:tcW w:w="413" w:type="pct"/>
            <w:tcBorders>
              <w:top w:val="nil"/>
              <w:left w:val="nil"/>
              <w:bottom w:val="dotted" w:sz="4" w:space="0" w:color="auto"/>
              <w:right w:val="dotted" w:sz="4" w:space="0" w:color="auto"/>
            </w:tcBorders>
            <w:shd w:val="clear" w:color="auto" w:fill="auto"/>
            <w:vAlign w:val="bottom"/>
            <w:hideMark/>
          </w:tcPr>
          <w:p w14:paraId="7C8D38D2" w14:textId="77777777" w:rsidR="002B41BB" w:rsidRPr="004E5A6E" w:rsidRDefault="002B41BB" w:rsidP="002B41BB">
            <w:pPr>
              <w:jc w:val="center"/>
              <w:rPr>
                <w:color w:val="auto"/>
                <w:sz w:val="20"/>
                <w:szCs w:val="20"/>
                <w:lang w:val="sq-AL"/>
              </w:rPr>
            </w:pPr>
            <w:r w:rsidRPr="004E5A6E">
              <w:rPr>
                <w:color w:val="auto"/>
                <w:sz w:val="20"/>
                <w:szCs w:val="20"/>
                <w:lang w:val="sq-AL"/>
              </w:rPr>
              <w:t>-0.4</w:t>
            </w:r>
          </w:p>
        </w:tc>
        <w:tc>
          <w:tcPr>
            <w:tcW w:w="413" w:type="pct"/>
            <w:tcBorders>
              <w:top w:val="nil"/>
              <w:left w:val="nil"/>
              <w:bottom w:val="dotted" w:sz="4" w:space="0" w:color="auto"/>
              <w:right w:val="dotted" w:sz="4" w:space="0" w:color="auto"/>
            </w:tcBorders>
            <w:shd w:val="clear" w:color="auto" w:fill="auto"/>
            <w:vAlign w:val="bottom"/>
            <w:hideMark/>
          </w:tcPr>
          <w:p w14:paraId="50C9C973" w14:textId="77777777" w:rsidR="002B41BB" w:rsidRPr="004E5A6E" w:rsidRDefault="002B41BB" w:rsidP="002B41BB">
            <w:pPr>
              <w:jc w:val="center"/>
              <w:rPr>
                <w:color w:val="auto"/>
                <w:sz w:val="20"/>
                <w:szCs w:val="20"/>
                <w:lang w:val="sq-AL"/>
              </w:rPr>
            </w:pPr>
            <w:r w:rsidRPr="004E5A6E">
              <w:rPr>
                <w:color w:val="auto"/>
                <w:sz w:val="20"/>
                <w:szCs w:val="20"/>
                <w:lang w:val="sq-AL"/>
              </w:rPr>
              <w:t>-0.4</w:t>
            </w:r>
          </w:p>
        </w:tc>
        <w:tc>
          <w:tcPr>
            <w:tcW w:w="413" w:type="pct"/>
            <w:tcBorders>
              <w:top w:val="nil"/>
              <w:left w:val="nil"/>
              <w:bottom w:val="dotted" w:sz="4" w:space="0" w:color="auto"/>
              <w:right w:val="dotted" w:sz="4" w:space="0" w:color="auto"/>
            </w:tcBorders>
            <w:shd w:val="clear" w:color="auto" w:fill="auto"/>
            <w:vAlign w:val="bottom"/>
            <w:hideMark/>
          </w:tcPr>
          <w:p w14:paraId="68420FAD" w14:textId="77777777" w:rsidR="002B41BB" w:rsidRPr="004E5A6E" w:rsidRDefault="002B41BB" w:rsidP="002B41BB">
            <w:pPr>
              <w:jc w:val="center"/>
              <w:rPr>
                <w:color w:val="auto"/>
                <w:sz w:val="20"/>
                <w:szCs w:val="20"/>
                <w:lang w:val="sq-AL"/>
              </w:rPr>
            </w:pPr>
            <w:r w:rsidRPr="004E5A6E">
              <w:rPr>
                <w:color w:val="auto"/>
                <w:sz w:val="20"/>
                <w:szCs w:val="20"/>
                <w:lang w:val="sq-AL"/>
              </w:rPr>
              <w:t>-0.5</w:t>
            </w:r>
          </w:p>
        </w:tc>
        <w:tc>
          <w:tcPr>
            <w:tcW w:w="413" w:type="pct"/>
            <w:tcBorders>
              <w:top w:val="nil"/>
              <w:left w:val="nil"/>
              <w:bottom w:val="dotted" w:sz="4" w:space="0" w:color="auto"/>
              <w:right w:val="dotted" w:sz="4" w:space="0" w:color="auto"/>
            </w:tcBorders>
            <w:shd w:val="clear" w:color="auto" w:fill="auto"/>
            <w:vAlign w:val="bottom"/>
            <w:hideMark/>
          </w:tcPr>
          <w:p w14:paraId="496043F4" w14:textId="77777777" w:rsidR="002B41BB" w:rsidRPr="004E5A6E" w:rsidRDefault="002B41BB" w:rsidP="002B41BB">
            <w:pPr>
              <w:jc w:val="center"/>
              <w:rPr>
                <w:color w:val="auto"/>
                <w:sz w:val="20"/>
                <w:szCs w:val="20"/>
                <w:lang w:val="sq-AL"/>
              </w:rPr>
            </w:pPr>
            <w:r w:rsidRPr="004E5A6E">
              <w:rPr>
                <w:color w:val="auto"/>
                <w:sz w:val="20"/>
                <w:szCs w:val="20"/>
                <w:lang w:val="sq-AL"/>
              </w:rPr>
              <w:t>-0.6</w:t>
            </w:r>
          </w:p>
        </w:tc>
        <w:tc>
          <w:tcPr>
            <w:tcW w:w="432" w:type="pct"/>
            <w:tcBorders>
              <w:top w:val="nil"/>
              <w:left w:val="nil"/>
              <w:bottom w:val="dotted" w:sz="4" w:space="0" w:color="auto"/>
              <w:right w:val="double" w:sz="6" w:space="0" w:color="auto"/>
            </w:tcBorders>
            <w:shd w:val="clear" w:color="auto" w:fill="auto"/>
            <w:vAlign w:val="bottom"/>
            <w:hideMark/>
          </w:tcPr>
          <w:p w14:paraId="0D1BB4E5"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r w:rsidR="002B41BB" w:rsidRPr="004E5A6E" w14:paraId="44CEAC60" w14:textId="77777777" w:rsidTr="002B41BB">
        <w:trPr>
          <w:trHeight w:val="528"/>
        </w:trPr>
        <w:tc>
          <w:tcPr>
            <w:tcW w:w="2233" w:type="pct"/>
            <w:tcBorders>
              <w:top w:val="nil"/>
              <w:left w:val="double" w:sz="6" w:space="0" w:color="auto"/>
              <w:bottom w:val="dotted" w:sz="4" w:space="0" w:color="auto"/>
              <w:right w:val="nil"/>
            </w:tcBorders>
            <w:shd w:val="clear" w:color="000000" w:fill="FFFFFF"/>
            <w:vAlign w:val="bottom"/>
            <w:hideMark/>
          </w:tcPr>
          <w:p w14:paraId="0206C7D2" w14:textId="77777777" w:rsidR="002B41BB" w:rsidRPr="004E5A6E" w:rsidRDefault="002B41BB" w:rsidP="002B41BB">
            <w:pPr>
              <w:rPr>
                <w:color w:val="auto"/>
                <w:sz w:val="20"/>
                <w:szCs w:val="20"/>
                <w:lang w:val="sq-AL"/>
              </w:rPr>
            </w:pPr>
            <w:r w:rsidRPr="004E5A6E">
              <w:rPr>
                <w:color w:val="auto"/>
                <w:sz w:val="20"/>
                <w:szCs w:val="20"/>
                <w:lang w:val="sq-AL"/>
              </w:rPr>
              <w:t xml:space="preserve">Norma e interesit afat-gjatë </w:t>
            </w:r>
          </w:p>
        </w:tc>
        <w:tc>
          <w:tcPr>
            <w:tcW w:w="685" w:type="pct"/>
            <w:tcBorders>
              <w:top w:val="nil"/>
              <w:left w:val="single" w:sz="8" w:space="0" w:color="auto"/>
              <w:bottom w:val="dotted" w:sz="4" w:space="0" w:color="auto"/>
              <w:right w:val="single" w:sz="8" w:space="0" w:color="000000"/>
            </w:tcBorders>
            <w:shd w:val="clear" w:color="000000" w:fill="FFFFFF"/>
            <w:vAlign w:val="bottom"/>
            <w:hideMark/>
          </w:tcPr>
          <w:p w14:paraId="592C7903" w14:textId="77777777" w:rsidR="002B41BB" w:rsidRPr="004E5A6E" w:rsidRDefault="002B41BB" w:rsidP="002B41BB">
            <w:pPr>
              <w:jc w:val="center"/>
              <w:rPr>
                <w:color w:val="auto"/>
                <w:sz w:val="20"/>
                <w:szCs w:val="20"/>
                <w:lang w:val="sq-AL"/>
              </w:rPr>
            </w:pPr>
            <w:r w:rsidRPr="004E5A6E">
              <w:rPr>
                <w:color w:val="auto"/>
                <w:sz w:val="20"/>
                <w:szCs w:val="20"/>
                <w:lang w:val="sq-AL"/>
              </w:rPr>
              <w:t>Mesatarja vjetore</w:t>
            </w:r>
          </w:p>
        </w:tc>
        <w:tc>
          <w:tcPr>
            <w:tcW w:w="413" w:type="pct"/>
            <w:tcBorders>
              <w:top w:val="nil"/>
              <w:left w:val="nil"/>
              <w:bottom w:val="dotted" w:sz="4" w:space="0" w:color="auto"/>
              <w:right w:val="dotted" w:sz="4" w:space="0" w:color="auto"/>
            </w:tcBorders>
            <w:shd w:val="clear" w:color="auto" w:fill="auto"/>
            <w:vAlign w:val="bottom"/>
            <w:hideMark/>
          </w:tcPr>
          <w:p w14:paraId="1A2B4B00" w14:textId="77777777" w:rsidR="002B41BB" w:rsidRPr="004E5A6E" w:rsidRDefault="002B41BB" w:rsidP="002B41BB">
            <w:pPr>
              <w:jc w:val="center"/>
              <w:rPr>
                <w:color w:val="auto"/>
                <w:sz w:val="20"/>
                <w:szCs w:val="20"/>
                <w:lang w:val="sq-AL"/>
              </w:rPr>
            </w:pPr>
            <w:r w:rsidRPr="004E5A6E">
              <w:rPr>
                <w:color w:val="auto"/>
                <w:sz w:val="20"/>
                <w:szCs w:val="20"/>
                <w:lang w:val="sq-AL"/>
              </w:rPr>
              <w:t>0.7</w:t>
            </w:r>
          </w:p>
        </w:tc>
        <w:tc>
          <w:tcPr>
            <w:tcW w:w="413" w:type="pct"/>
            <w:tcBorders>
              <w:top w:val="nil"/>
              <w:left w:val="nil"/>
              <w:bottom w:val="dotted" w:sz="4" w:space="0" w:color="auto"/>
              <w:right w:val="dotted" w:sz="4" w:space="0" w:color="auto"/>
            </w:tcBorders>
            <w:shd w:val="clear" w:color="auto" w:fill="auto"/>
            <w:vAlign w:val="bottom"/>
            <w:hideMark/>
          </w:tcPr>
          <w:p w14:paraId="09E9007E" w14:textId="77777777" w:rsidR="002B41BB" w:rsidRPr="004E5A6E" w:rsidRDefault="002B41BB" w:rsidP="002B41BB">
            <w:pPr>
              <w:jc w:val="center"/>
              <w:rPr>
                <w:color w:val="auto"/>
                <w:sz w:val="20"/>
                <w:szCs w:val="20"/>
                <w:lang w:val="sq-AL"/>
              </w:rPr>
            </w:pPr>
            <w:r w:rsidRPr="004E5A6E">
              <w:rPr>
                <w:color w:val="auto"/>
                <w:sz w:val="20"/>
                <w:szCs w:val="20"/>
                <w:lang w:val="sq-AL"/>
              </w:rPr>
              <w:t>-0.5</w:t>
            </w:r>
          </w:p>
        </w:tc>
        <w:tc>
          <w:tcPr>
            <w:tcW w:w="413" w:type="pct"/>
            <w:tcBorders>
              <w:top w:val="nil"/>
              <w:left w:val="nil"/>
              <w:bottom w:val="dotted" w:sz="4" w:space="0" w:color="auto"/>
              <w:right w:val="dotted" w:sz="4" w:space="0" w:color="auto"/>
            </w:tcBorders>
            <w:shd w:val="clear" w:color="auto" w:fill="auto"/>
            <w:vAlign w:val="bottom"/>
            <w:hideMark/>
          </w:tcPr>
          <w:p w14:paraId="4AC48BCF" w14:textId="77777777" w:rsidR="002B41BB" w:rsidRPr="004E5A6E" w:rsidRDefault="002B41BB" w:rsidP="002B41BB">
            <w:pPr>
              <w:jc w:val="center"/>
              <w:rPr>
                <w:color w:val="auto"/>
                <w:sz w:val="20"/>
                <w:szCs w:val="20"/>
                <w:lang w:val="sq-AL"/>
              </w:rPr>
            </w:pPr>
            <w:r w:rsidRPr="004E5A6E">
              <w:rPr>
                <w:color w:val="auto"/>
                <w:sz w:val="20"/>
                <w:szCs w:val="20"/>
                <w:lang w:val="sq-AL"/>
              </w:rPr>
              <w:t>-0.5</w:t>
            </w:r>
          </w:p>
        </w:tc>
        <w:tc>
          <w:tcPr>
            <w:tcW w:w="413" w:type="pct"/>
            <w:tcBorders>
              <w:top w:val="nil"/>
              <w:left w:val="nil"/>
              <w:bottom w:val="dotted" w:sz="4" w:space="0" w:color="auto"/>
              <w:right w:val="dotted" w:sz="4" w:space="0" w:color="auto"/>
            </w:tcBorders>
            <w:shd w:val="clear" w:color="auto" w:fill="auto"/>
            <w:vAlign w:val="bottom"/>
            <w:hideMark/>
          </w:tcPr>
          <w:p w14:paraId="71345A37" w14:textId="77777777" w:rsidR="002B41BB" w:rsidRPr="004E5A6E" w:rsidRDefault="002B41BB" w:rsidP="002B41BB">
            <w:pPr>
              <w:jc w:val="center"/>
              <w:rPr>
                <w:color w:val="auto"/>
                <w:sz w:val="20"/>
                <w:szCs w:val="20"/>
                <w:lang w:val="sq-AL"/>
              </w:rPr>
            </w:pPr>
            <w:r w:rsidRPr="004E5A6E">
              <w:rPr>
                <w:color w:val="auto"/>
                <w:sz w:val="20"/>
                <w:szCs w:val="20"/>
                <w:lang w:val="sq-AL"/>
              </w:rPr>
              <w:t>-0.5</w:t>
            </w:r>
          </w:p>
        </w:tc>
        <w:tc>
          <w:tcPr>
            <w:tcW w:w="432" w:type="pct"/>
            <w:tcBorders>
              <w:top w:val="nil"/>
              <w:left w:val="nil"/>
              <w:bottom w:val="dotted" w:sz="4" w:space="0" w:color="auto"/>
              <w:right w:val="double" w:sz="6" w:space="0" w:color="auto"/>
            </w:tcBorders>
            <w:shd w:val="clear" w:color="auto" w:fill="auto"/>
            <w:vAlign w:val="bottom"/>
            <w:hideMark/>
          </w:tcPr>
          <w:p w14:paraId="0075DDE8"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r w:rsidR="002B41BB" w:rsidRPr="004E5A6E" w14:paraId="5EEDACB8" w14:textId="77777777" w:rsidTr="002B41BB">
        <w:trPr>
          <w:trHeight w:val="528"/>
        </w:trPr>
        <w:tc>
          <w:tcPr>
            <w:tcW w:w="2233" w:type="pct"/>
            <w:tcBorders>
              <w:top w:val="nil"/>
              <w:left w:val="double" w:sz="6" w:space="0" w:color="auto"/>
              <w:bottom w:val="dotted" w:sz="4" w:space="0" w:color="auto"/>
              <w:right w:val="nil"/>
            </w:tcBorders>
            <w:shd w:val="clear" w:color="000000" w:fill="FFFFFF"/>
            <w:vAlign w:val="bottom"/>
            <w:hideMark/>
          </w:tcPr>
          <w:p w14:paraId="47B7C753" w14:textId="77777777" w:rsidR="002B41BB" w:rsidRPr="004E5A6E" w:rsidRDefault="002B41BB" w:rsidP="002B41BB">
            <w:pPr>
              <w:rPr>
                <w:color w:val="auto"/>
                <w:sz w:val="20"/>
                <w:szCs w:val="20"/>
                <w:lang w:val="sq-AL"/>
              </w:rPr>
            </w:pPr>
            <w:r w:rsidRPr="004E5A6E">
              <w:rPr>
                <w:color w:val="auto"/>
                <w:sz w:val="20"/>
                <w:szCs w:val="20"/>
                <w:lang w:val="sq-AL"/>
              </w:rPr>
              <w:t>USD/EUR norma e këmbimit</w:t>
            </w:r>
          </w:p>
        </w:tc>
        <w:tc>
          <w:tcPr>
            <w:tcW w:w="685" w:type="pct"/>
            <w:tcBorders>
              <w:top w:val="nil"/>
              <w:left w:val="single" w:sz="8" w:space="0" w:color="auto"/>
              <w:bottom w:val="dotted" w:sz="4" w:space="0" w:color="auto"/>
              <w:right w:val="single" w:sz="8" w:space="0" w:color="000000"/>
            </w:tcBorders>
            <w:shd w:val="clear" w:color="000000" w:fill="FFFFFF"/>
            <w:vAlign w:val="bottom"/>
            <w:hideMark/>
          </w:tcPr>
          <w:p w14:paraId="7066A865" w14:textId="77777777" w:rsidR="002B41BB" w:rsidRPr="004E5A6E" w:rsidRDefault="002B41BB" w:rsidP="002B41BB">
            <w:pPr>
              <w:jc w:val="center"/>
              <w:rPr>
                <w:color w:val="auto"/>
                <w:sz w:val="20"/>
                <w:szCs w:val="20"/>
                <w:lang w:val="sq-AL"/>
              </w:rPr>
            </w:pPr>
            <w:r w:rsidRPr="004E5A6E">
              <w:rPr>
                <w:color w:val="auto"/>
                <w:sz w:val="20"/>
                <w:szCs w:val="20"/>
                <w:lang w:val="sq-AL"/>
              </w:rPr>
              <w:t>Mesatarja vjetore</w:t>
            </w:r>
          </w:p>
        </w:tc>
        <w:tc>
          <w:tcPr>
            <w:tcW w:w="413" w:type="pct"/>
            <w:tcBorders>
              <w:top w:val="nil"/>
              <w:left w:val="nil"/>
              <w:bottom w:val="dotted" w:sz="4" w:space="0" w:color="auto"/>
              <w:right w:val="dotted" w:sz="4" w:space="0" w:color="auto"/>
            </w:tcBorders>
            <w:shd w:val="clear" w:color="auto" w:fill="auto"/>
            <w:vAlign w:val="bottom"/>
            <w:hideMark/>
          </w:tcPr>
          <w:p w14:paraId="2D572474" w14:textId="77777777" w:rsidR="002B41BB" w:rsidRPr="004E5A6E" w:rsidRDefault="002B41BB" w:rsidP="002B41BB">
            <w:pPr>
              <w:jc w:val="center"/>
              <w:rPr>
                <w:color w:val="auto"/>
                <w:sz w:val="20"/>
                <w:szCs w:val="20"/>
                <w:lang w:val="sq-AL"/>
              </w:rPr>
            </w:pPr>
            <w:r w:rsidRPr="004E5A6E">
              <w:rPr>
                <w:color w:val="auto"/>
                <w:sz w:val="20"/>
                <w:szCs w:val="20"/>
                <w:lang w:val="sq-AL"/>
              </w:rPr>
              <w:t>1.1</w:t>
            </w:r>
          </w:p>
        </w:tc>
        <w:tc>
          <w:tcPr>
            <w:tcW w:w="413" w:type="pct"/>
            <w:tcBorders>
              <w:top w:val="nil"/>
              <w:left w:val="nil"/>
              <w:bottom w:val="dotted" w:sz="4" w:space="0" w:color="auto"/>
              <w:right w:val="dotted" w:sz="4" w:space="0" w:color="auto"/>
            </w:tcBorders>
            <w:shd w:val="clear" w:color="auto" w:fill="auto"/>
            <w:vAlign w:val="bottom"/>
            <w:hideMark/>
          </w:tcPr>
          <w:p w14:paraId="031E3010" w14:textId="77777777" w:rsidR="002B41BB" w:rsidRPr="004E5A6E" w:rsidRDefault="002B41BB" w:rsidP="002B41BB">
            <w:pPr>
              <w:jc w:val="center"/>
              <w:rPr>
                <w:color w:val="auto"/>
                <w:sz w:val="20"/>
                <w:szCs w:val="20"/>
                <w:lang w:val="sq-AL"/>
              </w:rPr>
            </w:pPr>
            <w:r w:rsidRPr="004E5A6E">
              <w:rPr>
                <w:color w:val="auto"/>
                <w:sz w:val="20"/>
                <w:szCs w:val="20"/>
                <w:lang w:val="sq-AL"/>
              </w:rPr>
              <w:t>1.1</w:t>
            </w:r>
          </w:p>
        </w:tc>
        <w:tc>
          <w:tcPr>
            <w:tcW w:w="413" w:type="pct"/>
            <w:tcBorders>
              <w:top w:val="nil"/>
              <w:left w:val="nil"/>
              <w:bottom w:val="dotted" w:sz="4" w:space="0" w:color="auto"/>
              <w:right w:val="dotted" w:sz="4" w:space="0" w:color="auto"/>
            </w:tcBorders>
            <w:shd w:val="clear" w:color="auto" w:fill="auto"/>
            <w:vAlign w:val="bottom"/>
            <w:hideMark/>
          </w:tcPr>
          <w:p w14:paraId="382698F3" w14:textId="77777777" w:rsidR="002B41BB" w:rsidRPr="004E5A6E" w:rsidRDefault="002B41BB" w:rsidP="002B41BB">
            <w:pPr>
              <w:jc w:val="center"/>
              <w:rPr>
                <w:color w:val="auto"/>
                <w:sz w:val="20"/>
                <w:szCs w:val="20"/>
                <w:lang w:val="sq-AL"/>
              </w:rPr>
            </w:pPr>
            <w:r w:rsidRPr="004E5A6E">
              <w:rPr>
                <w:color w:val="auto"/>
                <w:sz w:val="20"/>
                <w:szCs w:val="20"/>
                <w:lang w:val="sq-AL"/>
              </w:rPr>
              <w:t>1.2</w:t>
            </w:r>
          </w:p>
        </w:tc>
        <w:tc>
          <w:tcPr>
            <w:tcW w:w="413" w:type="pct"/>
            <w:tcBorders>
              <w:top w:val="nil"/>
              <w:left w:val="nil"/>
              <w:bottom w:val="dotted" w:sz="4" w:space="0" w:color="auto"/>
              <w:right w:val="dotted" w:sz="4" w:space="0" w:color="auto"/>
            </w:tcBorders>
            <w:shd w:val="clear" w:color="auto" w:fill="auto"/>
            <w:vAlign w:val="bottom"/>
            <w:hideMark/>
          </w:tcPr>
          <w:p w14:paraId="3BC67287" w14:textId="77777777" w:rsidR="002B41BB" w:rsidRPr="004E5A6E" w:rsidRDefault="002B41BB" w:rsidP="002B41BB">
            <w:pPr>
              <w:jc w:val="center"/>
              <w:rPr>
                <w:color w:val="auto"/>
                <w:sz w:val="20"/>
                <w:szCs w:val="20"/>
                <w:lang w:val="sq-AL"/>
              </w:rPr>
            </w:pPr>
            <w:r w:rsidRPr="004E5A6E">
              <w:rPr>
                <w:color w:val="auto"/>
                <w:sz w:val="20"/>
                <w:szCs w:val="20"/>
                <w:lang w:val="sq-AL"/>
              </w:rPr>
              <w:t>1.2</w:t>
            </w:r>
          </w:p>
        </w:tc>
        <w:tc>
          <w:tcPr>
            <w:tcW w:w="432" w:type="pct"/>
            <w:tcBorders>
              <w:top w:val="nil"/>
              <w:left w:val="nil"/>
              <w:bottom w:val="dotted" w:sz="4" w:space="0" w:color="auto"/>
              <w:right w:val="double" w:sz="6" w:space="0" w:color="auto"/>
            </w:tcBorders>
            <w:shd w:val="clear" w:color="auto" w:fill="auto"/>
            <w:vAlign w:val="bottom"/>
            <w:hideMark/>
          </w:tcPr>
          <w:p w14:paraId="47248420"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r w:rsidR="002B41BB" w:rsidRPr="004E5A6E" w14:paraId="41DFAC11" w14:textId="77777777" w:rsidTr="002B41BB">
        <w:trPr>
          <w:trHeight w:val="528"/>
        </w:trPr>
        <w:tc>
          <w:tcPr>
            <w:tcW w:w="2233" w:type="pct"/>
            <w:tcBorders>
              <w:top w:val="nil"/>
              <w:left w:val="double" w:sz="6" w:space="0" w:color="auto"/>
              <w:bottom w:val="dotted" w:sz="4" w:space="0" w:color="auto"/>
              <w:right w:val="nil"/>
            </w:tcBorders>
            <w:shd w:val="clear" w:color="000000" w:fill="FFFFFF"/>
            <w:vAlign w:val="bottom"/>
            <w:hideMark/>
          </w:tcPr>
          <w:p w14:paraId="5F07FAAA" w14:textId="77777777" w:rsidR="002B41BB" w:rsidRPr="004E5A6E" w:rsidRDefault="002B41BB" w:rsidP="002B41BB">
            <w:pPr>
              <w:rPr>
                <w:color w:val="auto"/>
                <w:sz w:val="20"/>
                <w:szCs w:val="20"/>
                <w:lang w:val="sq-AL"/>
              </w:rPr>
            </w:pPr>
            <w:r w:rsidRPr="004E5A6E">
              <w:rPr>
                <w:color w:val="auto"/>
                <w:sz w:val="20"/>
                <w:szCs w:val="20"/>
                <w:lang w:val="sq-AL"/>
              </w:rPr>
              <w:t xml:space="preserve">Norma nominale efektive e këmbimit </w:t>
            </w:r>
          </w:p>
        </w:tc>
        <w:tc>
          <w:tcPr>
            <w:tcW w:w="685" w:type="pct"/>
            <w:tcBorders>
              <w:top w:val="nil"/>
              <w:left w:val="single" w:sz="8" w:space="0" w:color="auto"/>
              <w:bottom w:val="dotted" w:sz="4" w:space="0" w:color="auto"/>
              <w:right w:val="single" w:sz="8" w:space="0" w:color="000000"/>
            </w:tcBorders>
            <w:shd w:val="clear" w:color="000000" w:fill="FFFFFF"/>
            <w:vAlign w:val="bottom"/>
            <w:hideMark/>
          </w:tcPr>
          <w:p w14:paraId="50283435" w14:textId="77777777" w:rsidR="002B41BB" w:rsidRPr="004E5A6E" w:rsidRDefault="002B41BB" w:rsidP="002B41BB">
            <w:pPr>
              <w:jc w:val="center"/>
              <w:rPr>
                <w:color w:val="auto"/>
                <w:sz w:val="20"/>
                <w:szCs w:val="20"/>
                <w:lang w:val="sq-AL"/>
              </w:rPr>
            </w:pPr>
            <w:r w:rsidRPr="004E5A6E">
              <w:rPr>
                <w:color w:val="auto"/>
                <w:sz w:val="20"/>
                <w:szCs w:val="20"/>
                <w:lang w:val="sq-AL"/>
              </w:rPr>
              <w:t>Mesatarja vjetore</w:t>
            </w:r>
          </w:p>
        </w:tc>
        <w:tc>
          <w:tcPr>
            <w:tcW w:w="413" w:type="pct"/>
            <w:tcBorders>
              <w:top w:val="nil"/>
              <w:left w:val="nil"/>
              <w:bottom w:val="dotted" w:sz="4" w:space="0" w:color="auto"/>
              <w:right w:val="dotted" w:sz="4" w:space="0" w:color="auto"/>
            </w:tcBorders>
            <w:shd w:val="clear" w:color="auto" w:fill="auto"/>
            <w:vAlign w:val="bottom"/>
            <w:hideMark/>
          </w:tcPr>
          <w:p w14:paraId="3167B709" w14:textId="77777777" w:rsidR="002B41BB" w:rsidRPr="004E5A6E" w:rsidRDefault="002B41BB" w:rsidP="002B41BB">
            <w:pPr>
              <w:jc w:val="center"/>
              <w:rPr>
                <w:color w:val="auto"/>
                <w:sz w:val="20"/>
                <w:szCs w:val="20"/>
                <w:lang w:val="sq-AL"/>
              </w:rPr>
            </w:pPr>
            <w:r w:rsidRPr="004E5A6E">
              <w:rPr>
                <w:color w:val="auto"/>
                <w:sz w:val="20"/>
                <w:szCs w:val="20"/>
                <w:lang w:val="sq-AL"/>
              </w:rPr>
              <w:t>-1.2</w:t>
            </w:r>
          </w:p>
        </w:tc>
        <w:tc>
          <w:tcPr>
            <w:tcW w:w="413" w:type="pct"/>
            <w:tcBorders>
              <w:top w:val="nil"/>
              <w:left w:val="nil"/>
              <w:bottom w:val="dotted" w:sz="4" w:space="0" w:color="auto"/>
              <w:right w:val="dotted" w:sz="4" w:space="0" w:color="auto"/>
            </w:tcBorders>
            <w:shd w:val="clear" w:color="auto" w:fill="auto"/>
            <w:vAlign w:val="bottom"/>
            <w:hideMark/>
          </w:tcPr>
          <w:p w14:paraId="72E5AFAE" w14:textId="77777777" w:rsidR="002B41BB" w:rsidRPr="004E5A6E" w:rsidRDefault="002B41BB" w:rsidP="002B41BB">
            <w:pPr>
              <w:jc w:val="center"/>
              <w:rPr>
                <w:color w:val="auto"/>
                <w:sz w:val="20"/>
                <w:szCs w:val="20"/>
                <w:lang w:val="sq-AL"/>
              </w:rPr>
            </w:pPr>
            <w:r w:rsidRPr="004E5A6E">
              <w:rPr>
                <w:color w:val="auto"/>
                <w:sz w:val="20"/>
                <w:szCs w:val="20"/>
                <w:lang w:val="sq-AL"/>
              </w:rPr>
              <w:t>3.9</w:t>
            </w:r>
          </w:p>
        </w:tc>
        <w:tc>
          <w:tcPr>
            <w:tcW w:w="413" w:type="pct"/>
            <w:tcBorders>
              <w:top w:val="nil"/>
              <w:left w:val="nil"/>
              <w:bottom w:val="dotted" w:sz="4" w:space="0" w:color="auto"/>
              <w:right w:val="dotted" w:sz="4" w:space="0" w:color="auto"/>
            </w:tcBorders>
            <w:shd w:val="clear" w:color="auto" w:fill="auto"/>
            <w:vAlign w:val="bottom"/>
            <w:hideMark/>
          </w:tcPr>
          <w:p w14:paraId="70919720" w14:textId="77777777" w:rsidR="002B41BB" w:rsidRPr="004E5A6E" w:rsidRDefault="002B41BB" w:rsidP="002B41BB">
            <w:pPr>
              <w:jc w:val="center"/>
              <w:rPr>
                <w:color w:val="auto"/>
                <w:sz w:val="20"/>
                <w:szCs w:val="20"/>
                <w:lang w:val="sq-AL"/>
              </w:rPr>
            </w:pPr>
            <w:r w:rsidRPr="004E5A6E">
              <w:rPr>
                <w:color w:val="auto"/>
                <w:sz w:val="20"/>
                <w:szCs w:val="20"/>
                <w:lang w:val="sq-AL"/>
              </w:rPr>
              <w:t>2.7</w:t>
            </w:r>
          </w:p>
        </w:tc>
        <w:tc>
          <w:tcPr>
            <w:tcW w:w="413" w:type="pct"/>
            <w:tcBorders>
              <w:top w:val="nil"/>
              <w:left w:val="nil"/>
              <w:bottom w:val="dotted" w:sz="4" w:space="0" w:color="auto"/>
              <w:right w:val="dotted" w:sz="4" w:space="0" w:color="auto"/>
            </w:tcBorders>
            <w:shd w:val="clear" w:color="auto" w:fill="auto"/>
            <w:vAlign w:val="bottom"/>
            <w:hideMark/>
          </w:tcPr>
          <w:p w14:paraId="1C5F9CA4" w14:textId="77777777" w:rsidR="002B41BB" w:rsidRPr="004E5A6E" w:rsidRDefault="002B41BB" w:rsidP="002B41BB">
            <w:pPr>
              <w:jc w:val="center"/>
              <w:rPr>
                <w:color w:val="auto"/>
                <w:sz w:val="20"/>
                <w:szCs w:val="20"/>
                <w:lang w:val="sq-AL"/>
              </w:rPr>
            </w:pPr>
            <w:r w:rsidRPr="004E5A6E">
              <w:rPr>
                <w:color w:val="auto"/>
                <w:sz w:val="20"/>
                <w:szCs w:val="20"/>
                <w:lang w:val="sq-AL"/>
              </w:rPr>
              <w:t>0.0</w:t>
            </w:r>
          </w:p>
        </w:tc>
        <w:tc>
          <w:tcPr>
            <w:tcW w:w="432" w:type="pct"/>
            <w:tcBorders>
              <w:top w:val="nil"/>
              <w:left w:val="nil"/>
              <w:bottom w:val="dotted" w:sz="4" w:space="0" w:color="auto"/>
              <w:right w:val="double" w:sz="6" w:space="0" w:color="auto"/>
            </w:tcBorders>
            <w:shd w:val="clear" w:color="auto" w:fill="auto"/>
            <w:vAlign w:val="bottom"/>
            <w:hideMark/>
          </w:tcPr>
          <w:p w14:paraId="1B08F65A"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r w:rsidR="002B41BB" w:rsidRPr="004E5A6E" w14:paraId="35AE776F" w14:textId="77777777" w:rsidTr="002B41BB">
        <w:trPr>
          <w:trHeight w:val="528"/>
        </w:trPr>
        <w:tc>
          <w:tcPr>
            <w:tcW w:w="2233" w:type="pct"/>
            <w:tcBorders>
              <w:top w:val="nil"/>
              <w:left w:val="double" w:sz="6" w:space="0" w:color="auto"/>
              <w:bottom w:val="dotted" w:sz="4" w:space="0" w:color="auto"/>
              <w:right w:val="nil"/>
            </w:tcBorders>
            <w:shd w:val="clear" w:color="000000" w:fill="FFFFFF"/>
            <w:vAlign w:val="bottom"/>
            <w:hideMark/>
          </w:tcPr>
          <w:p w14:paraId="3CD8EC0E" w14:textId="77777777" w:rsidR="002B41BB" w:rsidRPr="004E5A6E" w:rsidRDefault="002B41BB" w:rsidP="002B41BB">
            <w:pPr>
              <w:rPr>
                <w:color w:val="auto"/>
                <w:sz w:val="20"/>
                <w:szCs w:val="20"/>
                <w:lang w:val="sq-AL"/>
              </w:rPr>
            </w:pPr>
            <w:r w:rsidRPr="004E5A6E">
              <w:rPr>
                <w:color w:val="auto"/>
                <w:sz w:val="20"/>
                <w:szCs w:val="20"/>
                <w:lang w:val="sq-AL"/>
              </w:rPr>
              <w:lastRenderedPageBreak/>
              <w:t>Kursi i këmbimit vis-à-vis me EUR</w:t>
            </w:r>
          </w:p>
        </w:tc>
        <w:tc>
          <w:tcPr>
            <w:tcW w:w="685" w:type="pct"/>
            <w:tcBorders>
              <w:top w:val="nil"/>
              <w:left w:val="single" w:sz="8" w:space="0" w:color="auto"/>
              <w:bottom w:val="dotted" w:sz="4" w:space="0" w:color="auto"/>
              <w:right w:val="single" w:sz="8" w:space="0" w:color="000000"/>
            </w:tcBorders>
            <w:shd w:val="clear" w:color="000000" w:fill="FFFFFF"/>
            <w:vAlign w:val="bottom"/>
            <w:hideMark/>
          </w:tcPr>
          <w:p w14:paraId="68E4B3CB" w14:textId="77777777" w:rsidR="002B41BB" w:rsidRPr="004E5A6E" w:rsidRDefault="002B41BB" w:rsidP="002B41BB">
            <w:pPr>
              <w:jc w:val="center"/>
              <w:rPr>
                <w:color w:val="auto"/>
                <w:sz w:val="20"/>
                <w:szCs w:val="20"/>
                <w:lang w:val="sq-AL"/>
              </w:rPr>
            </w:pPr>
            <w:r w:rsidRPr="004E5A6E">
              <w:rPr>
                <w:color w:val="auto"/>
                <w:sz w:val="20"/>
                <w:szCs w:val="20"/>
                <w:lang w:val="sq-AL"/>
              </w:rPr>
              <w:t>Mesatarja vjetore</w:t>
            </w:r>
          </w:p>
        </w:tc>
        <w:tc>
          <w:tcPr>
            <w:tcW w:w="413" w:type="pct"/>
            <w:tcBorders>
              <w:top w:val="nil"/>
              <w:left w:val="nil"/>
              <w:bottom w:val="dotted" w:sz="4" w:space="0" w:color="auto"/>
              <w:right w:val="dotted" w:sz="4" w:space="0" w:color="auto"/>
            </w:tcBorders>
            <w:shd w:val="clear" w:color="auto" w:fill="auto"/>
            <w:vAlign w:val="bottom"/>
            <w:hideMark/>
          </w:tcPr>
          <w:p w14:paraId="28D2635D" w14:textId="77777777" w:rsidR="002B41BB" w:rsidRPr="004E5A6E" w:rsidRDefault="002B41BB" w:rsidP="002B41BB">
            <w:pPr>
              <w:jc w:val="center"/>
              <w:rPr>
                <w:color w:val="auto"/>
                <w:sz w:val="20"/>
                <w:szCs w:val="20"/>
                <w:lang w:val="sq-AL"/>
              </w:rPr>
            </w:pPr>
            <w:r w:rsidRPr="004E5A6E">
              <w:rPr>
                <w:color w:val="auto"/>
                <w:sz w:val="20"/>
                <w:szCs w:val="20"/>
                <w:lang w:val="sq-AL"/>
              </w:rPr>
              <w:t>1.0</w:t>
            </w:r>
          </w:p>
        </w:tc>
        <w:tc>
          <w:tcPr>
            <w:tcW w:w="413" w:type="pct"/>
            <w:tcBorders>
              <w:top w:val="nil"/>
              <w:left w:val="nil"/>
              <w:bottom w:val="dotted" w:sz="4" w:space="0" w:color="auto"/>
              <w:right w:val="dotted" w:sz="4" w:space="0" w:color="auto"/>
            </w:tcBorders>
            <w:shd w:val="clear" w:color="auto" w:fill="auto"/>
            <w:vAlign w:val="bottom"/>
            <w:hideMark/>
          </w:tcPr>
          <w:p w14:paraId="2A3AC0DA" w14:textId="77777777" w:rsidR="002B41BB" w:rsidRPr="004E5A6E" w:rsidRDefault="002B41BB" w:rsidP="002B41BB">
            <w:pPr>
              <w:jc w:val="center"/>
              <w:rPr>
                <w:color w:val="auto"/>
                <w:sz w:val="20"/>
                <w:szCs w:val="20"/>
                <w:lang w:val="sq-AL"/>
              </w:rPr>
            </w:pPr>
            <w:r w:rsidRPr="004E5A6E">
              <w:rPr>
                <w:color w:val="auto"/>
                <w:sz w:val="20"/>
                <w:szCs w:val="20"/>
                <w:lang w:val="sq-AL"/>
              </w:rPr>
              <w:t>1.0</w:t>
            </w:r>
          </w:p>
        </w:tc>
        <w:tc>
          <w:tcPr>
            <w:tcW w:w="413" w:type="pct"/>
            <w:tcBorders>
              <w:top w:val="nil"/>
              <w:left w:val="nil"/>
              <w:bottom w:val="dotted" w:sz="4" w:space="0" w:color="auto"/>
              <w:right w:val="dotted" w:sz="4" w:space="0" w:color="auto"/>
            </w:tcBorders>
            <w:shd w:val="clear" w:color="auto" w:fill="auto"/>
            <w:vAlign w:val="bottom"/>
            <w:hideMark/>
          </w:tcPr>
          <w:p w14:paraId="2B052B69" w14:textId="77777777" w:rsidR="002B41BB" w:rsidRPr="004E5A6E" w:rsidRDefault="002B41BB" w:rsidP="002B41BB">
            <w:pPr>
              <w:jc w:val="center"/>
              <w:rPr>
                <w:color w:val="auto"/>
                <w:sz w:val="20"/>
                <w:szCs w:val="20"/>
                <w:lang w:val="sq-AL"/>
              </w:rPr>
            </w:pPr>
            <w:r w:rsidRPr="004E5A6E">
              <w:rPr>
                <w:color w:val="auto"/>
                <w:sz w:val="20"/>
                <w:szCs w:val="20"/>
                <w:lang w:val="sq-AL"/>
              </w:rPr>
              <w:t>1.0</w:t>
            </w:r>
          </w:p>
        </w:tc>
        <w:tc>
          <w:tcPr>
            <w:tcW w:w="413" w:type="pct"/>
            <w:tcBorders>
              <w:top w:val="nil"/>
              <w:left w:val="nil"/>
              <w:bottom w:val="dotted" w:sz="4" w:space="0" w:color="auto"/>
              <w:right w:val="dotted" w:sz="4" w:space="0" w:color="auto"/>
            </w:tcBorders>
            <w:shd w:val="clear" w:color="auto" w:fill="auto"/>
            <w:vAlign w:val="bottom"/>
            <w:hideMark/>
          </w:tcPr>
          <w:p w14:paraId="005F282D" w14:textId="77777777" w:rsidR="002B41BB" w:rsidRPr="004E5A6E" w:rsidRDefault="002B41BB" w:rsidP="002B41BB">
            <w:pPr>
              <w:jc w:val="center"/>
              <w:rPr>
                <w:color w:val="auto"/>
                <w:sz w:val="20"/>
                <w:szCs w:val="20"/>
                <w:lang w:val="sq-AL"/>
              </w:rPr>
            </w:pPr>
            <w:r w:rsidRPr="004E5A6E">
              <w:rPr>
                <w:color w:val="auto"/>
                <w:sz w:val="20"/>
                <w:szCs w:val="20"/>
                <w:lang w:val="sq-AL"/>
              </w:rPr>
              <w:t>1.0</w:t>
            </w:r>
          </w:p>
        </w:tc>
        <w:tc>
          <w:tcPr>
            <w:tcW w:w="432" w:type="pct"/>
            <w:tcBorders>
              <w:top w:val="nil"/>
              <w:left w:val="nil"/>
              <w:bottom w:val="dotted" w:sz="4" w:space="0" w:color="auto"/>
              <w:right w:val="double" w:sz="6" w:space="0" w:color="auto"/>
            </w:tcBorders>
            <w:shd w:val="clear" w:color="auto" w:fill="auto"/>
            <w:vAlign w:val="bottom"/>
            <w:hideMark/>
          </w:tcPr>
          <w:p w14:paraId="5D94EF55"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r w:rsidR="002B41BB" w:rsidRPr="004E5A6E" w14:paraId="5427C29F" w14:textId="77777777" w:rsidTr="002B41BB">
        <w:trPr>
          <w:trHeight w:val="528"/>
        </w:trPr>
        <w:tc>
          <w:tcPr>
            <w:tcW w:w="2233" w:type="pct"/>
            <w:tcBorders>
              <w:top w:val="nil"/>
              <w:left w:val="double" w:sz="6" w:space="0" w:color="auto"/>
              <w:bottom w:val="dotted" w:sz="4" w:space="0" w:color="auto"/>
              <w:right w:val="nil"/>
            </w:tcBorders>
            <w:shd w:val="clear" w:color="000000" w:fill="FFFFFF"/>
            <w:vAlign w:val="bottom"/>
            <w:hideMark/>
          </w:tcPr>
          <w:p w14:paraId="0128A03D" w14:textId="77777777" w:rsidR="002B41BB" w:rsidRPr="004E5A6E" w:rsidRDefault="002B41BB" w:rsidP="002B41BB">
            <w:pPr>
              <w:rPr>
                <w:color w:val="auto"/>
                <w:sz w:val="20"/>
                <w:szCs w:val="20"/>
                <w:lang w:val="sq-AL"/>
              </w:rPr>
            </w:pPr>
            <w:r w:rsidRPr="004E5A6E">
              <w:rPr>
                <w:color w:val="auto"/>
                <w:sz w:val="20"/>
                <w:szCs w:val="20"/>
                <w:lang w:val="sq-AL"/>
              </w:rPr>
              <w:t xml:space="preserve">Rritja e BPV-së botërore, përjashtuar BE </w:t>
            </w:r>
          </w:p>
        </w:tc>
        <w:tc>
          <w:tcPr>
            <w:tcW w:w="685" w:type="pct"/>
            <w:tcBorders>
              <w:top w:val="nil"/>
              <w:left w:val="single" w:sz="8" w:space="0" w:color="auto"/>
              <w:bottom w:val="dotted" w:sz="4" w:space="0" w:color="auto"/>
              <w:right w:val="single" w:sz="8" w:space="0" w:color="000000"/>
            </w:tcBorders>
            <w:shd w:val="clear" w:color="000000" w:fill="FFFFFF"/>
            <w:vAlign w:val="bottom"/>
            <w:hideMark/>
          </w:tcPr>
          <w:p w14:paraId="0E97FF82" w14:textId="77777777" w:rsidR="002B41BB" w:rsidRPr="004E5A6E" w:rsidRDefault="002B41BB" w:rsidP="002B41BB">
            <w:pPr>
              <w:jc w:val="center"/>
              <w:rPr>
                <w:color w:val="auto"/>
                <w:sz w:val="20"/>
                <w:szCs w:val="20"/>
                <w:lang w:val="sq-AL"/>
              </w:rPr>
            </w:pPr>
            <w:r w:rsidRPr="004E5A6E">
              <w:rPr>
                <w:color w:val="auto"/>
                <w:sz w:val="20"/>
                <w:szCs w:val="20"/>
                <w:lang w:val="sq-AL"/>
              </w:rPr>
              <w:t>Mesatarja vjetore</w:t>
            </w:r>
          </w:p>
        </w:tc>
        <w:tc>
          <w:tcPr>
            <w:tcW w:w="413" w:type="pct"/>
            <w:tcBorders>
              <w:top w:val="nil"/>
              <w:left w:val="nil"/>
              <w:bottom w:val="dotted" w:sz="4" w:space="0" w:color="auto"/>
              <w:right w:val="dotted" w:sz="4" w:space="0" w:color="auto"/>
            </w:tcBorders>
            <w:shd w:val="clear" w:color="auto" w:fill="auto"/>
            <w:vAlign w:val="bottom"/>
            <w:hideMark/>
          </w:tcPr>
          <w:p w14:paraId="7831CC4E" w14:textId="77777777" w:rsidR="002B41BB" w:rsidRPr="004E5A6E" w:rsidRDefault="002B41BB" w:rsidP="002B41BB">
            <w:pPr>
              <w:jc w:val="center"/>
              <w:rPr>
                <w:color w:val="auto"/>
                <w:sz w:val="20"/>
                <w:szCs w:val="20"/>
                <w:lang w:val="sq-AL"/>
              </w:rPr>
            </w:pPr>
            <w:r w:rsidRPr="004E5A6E">
              <w:rPr>
                <w:color w:val="auto"/>
                <w:sz w:val="20"/>
                <w:szCs w:val="20"/>
                <w:lang w:val="sq-AL"/>
              </w:rPr>
              <w:t>2.9</w:t>
            </w:r>
          </w:p>
        </w:tc>
        <w:tc>
          <w:tcPr>
            <w:tcW w:w="413" w:type="pct"/>
            <w:tcBorders>
              <w:top w:val="nil"/>
              <w:left w:val="nil"/>
              <w:bottom w:val="dotted" w:sz="4" w:space="0" w:color="auto"/>
              <w:right w:val="dotted" w:sz="4" w:space="0" w:color="auto"/>
            </w:tcBorders>
            <w:shd w:val="clear" w:color="auto" w:fill="auto"/>
            <w:vAlign w:val="bottom"/>
            <w:hideMark/>
          </w:tcPr>
          <w:p w14:paraId="2977CCE1" w14:textId="77777777" w:rsidR="002B41BB" w:rsidRPr="004E5A6E" w:rsidRDefault="002B41BB" w:rsidP="002B41BB">
            <w:pPr>
              <w:jc w:val="center"/>
              <w:rPr>
                <w:color w:val="auto"/>
                <w:sz w:val="20"/>
                <w:szCs w:val="20"/>
                <w:lang w:val="sq-AL"/>
              </w:rPr>
            </w:pPr>
            <w:r w:rsidRPr="004E5A6E">
              <w:rPr>
                <w:color w:val="auto"/>
                <w:sz w:val="20"/>
                <w:szCs w:val="20"/>
                <w:lang w:val="sq-AL"/>
              </w:rPr>
              <w:t>-3.8</w:t>
            </w:r>
          </w:p>
        </w:tc>
        <w:tc>
          <w:tcPr>
            <w:tcW w:w="413" w:type="pct"/>
            <w:tcBorders>
              <w:top w:val="nil"/>
              <w:left w:val="nil"/>
              <w:bottom w:val="dotted" w:sz="4" w:space="0" w:color="auto"/>
              <w:right w:val="dotted" w:sz="4" w:space="0" w:color="auto"/>
            </w:tcBorders>
            <w:shd w:val="clear" w:color="auto" w:fill="auto"/>
            <w:vAlign w:val="bottom"/>
            <w:hideMark/>
          </w:tcPr>
          <w:p w14:paraId="73FB8B42" w14:textId="77777777" w:rsidR="002B41BB" w:rsidRPr="004E5A6E" w:rsidRDefault="002B41BB" w:rsidP="002B41BB">
            <w:pPr>
              <w:jc w:val="center"/>
              <w:rPr>
                <w:color w:val="auto"/>
                <w:sz w:val="20"/>
                <w:szCs w:val="20"/>
                <w:lang w:val="sq-AL"/>
              </w:rPr>
            </w:pPr>
            <w:r w:rsidRPr="004E5A6E">
              <w:rPr>
                <w:color w:val="auto"/>
                <w:sz w:val="20"/>
                <w:szCs w:val="20"/>
                <w:lang w:val="sq-AL"/>
              </w:rPr>
              <w:t>4.7</w:t>
            </w:r>
          </w:p>
        </w:tc>
        <w:tc>
          <w:tcPr>
            <w:tcW w:w="413" w:type="pct"/>
            <w:tcBorders>
              <w:top w:val="nil"/>
              <w:left w:val="nil"/>
              <w:bottom w:val="dotted" w:sz="4" w:space="0" w:color="auto"/>
              <w:right w:val="dotted" w:sz="4" w:space="0" w:color="auto"/>
            </w:tcBorders>
            <w:shd w:val="clear" w:color="auto" w:fill="auto"/>
            <w:vAlign w:val="bottom"/>
            <w:hideMark/>
          </w:tcPr>
          <w:p w14:paraId="141A53AC" w14:textId="77777777" w:rsidR="002B41BB" w:rsidRPr="004E5A6E" w:rsidRDefault="002B41BB" w:rsidP="002B41BB">
            <w:pPr>
              <w:jc w:val="center"/>
              <w:rPr>
                <w:color w:val="auto"/>
                <w:sz w:val="20"/>
                <w:szCs w:val="20"/>
                <w:lang w:val="sq-AL"/>
              </w:rPr>
            </w:pPr>
            <w:r w:rsidRPr="004E5A6E">
              <w:rPr>
                <w:color w:val="auto"/>
                <w:sz w:val="20"/>
                <w:szCs w:val="20"/>
                <w:lang w:val="sq-AL"/>
              </w:rPr>
              <w:t>3.7</w:t>
            </w:r>
          </w:p>
        </w:tc>
        <w:tc>
          <w:tcPr>
            <w:tcW w:w="432" w:type="pct"/>
            <w:tcBorders>
              <w:top w:val="nil"/>
              <w:left w:val="nil"/>
              <w:bottom w:val="dotted" w:sz="4" w:space="0" w:color="auto"/>
              <w:right w:val="double" w:sz="6" w:space="0" w:color="auto"/>
            </w:tcBorders>
            <w:shd w:val="clear" w:color="auto" w:fill="auto"/>
            <w:vAlign w:val="bottom"/>
            <w:hideMark/>
          </w:tcPr>
          <w:p w14:paraId="5108A827"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r w:rsidR="002B41BB" w:rsidRPr="004E5A6E" w14:paraId="3A65AA6F" w14:textId="77777777" w:rsidTr="002B41BB">
        <w:trPr>
          <w:trHeight w:val="528"/>
        </w:trPr>
        <w:tc>
          <w:tcPr>
            <w:tcW w:w="2233" w:type="pct"/>
            <w:tcBorders>
              <w:top w:val="nil"/>
              <w:left w:val="double" w:sz="6" w:space="0" w:color="auto"/>
              <w:bottom w:val="dotted" w:sz="4" w:space="0" w:color="auto"/>
              <w:right w:val="nil"/>
            </w:tcBorders>
            <w:shd w:val="clear" w:color="000000" w:fill="FFFFFF"/>
            <w:vAlign w:val="bottom"/>
            <w:hideMark/>
          </w:tcPr>
          <w:p w14:paraId="14624187" w14:textId="77777777" w:rsidR="002B41BB" w:rsidRPr="004E5A6E" w:rsidRDefault="002B41BB" w:rsidP="002B41BB">
            <w:pPr>
              <w:rPr>
                <w:color w:val="auto"/>
                <w:sz w:val="20"/>
                <w:szCs w:val="20"/>
                <w:lang w:val="sq-AL"/>
              </w:rPr>
            </w:pPr>
            <w:r w:rsidRPr="004E5A6E">
              <w:rPr>
                <w:color w:val="auto"/>
                <w:sz w:val="20"/>
                <w:szCs w:val="20"/>
                <w:lang w:val="sq-AL"/>
              </w:rPr>
              <w:t xml:space="preserve">Rritja e BPV-së së EU-s </w:t>
            </w:r>
          </w:p>
        </w:tc>
        <w:tc>
          <w:tcPr>
            <w:tcW w:w="685" w:type="pct"/>
            <w:tcBorders>
              <w:top w:val="nil"/>
              <w:left w:val="single" w:sz="8" w:space="0" w:color="auto"/>
              <w:bottom w:val="dotted" w:sz="4" w:space="0" w:color="auto"/>
              <w:right w:val="single" w:sz="8" w:space="0" w:color="000000"/>
            </w:tcBorders>
            <w:shd w:val="clear" w:color="000000" w:fill="FFFFFF"/>
            <w:vAlign w:val="bottom"/>
            <w:hideMark/>
          </w:tcPr>
          <w:p w14:paraId="1878A3E0" w14:textId="77777777" w:rsidR="002B41BB" w:rsidRPr="004E5A6E" w:rsidRDefault="002B41BB" w:rsidP="002B41BB">
            <w:pPr>
              <w:jc w:val="center"/>
              <w:rPr>
                <w:color w:val="auto"/>
                <w:sz w:val="20"/>
                <w:szCs w:val="20"/>
                <w:lang w:val="sq-AL"/>
              </w:rPr>
            </w:pPr>
            <w:r w:rsidRPr="004E5A6E">
              <w:rPr>
                <w:color w:val="auto"/>
                <w:sz w:val="20"/>
                <w:szCs w:val="20"/>
                <w:lang w:val="sq-AL"/>
              </w:rPr>
              <w:t>Mesatarja vjetore</w:t>
            </w:r>
          </w:p>
        </w:tc>
        <w:tc>
          <w:tcPr>
            <w:tcW w:w="413" w:type="pct"/>
            <w:tcBorders>
              <w:top w:val="nil"/>
              <w:left w:val="nil"/>
              <w:bottom w:val="dotted" w:sz="4" w:space="0" w:color="auto"/>
              <w:right w:val="dotted" w:sz="4" w:space="0" w:color="auto"/>
            </w:tcBorders>
            <w:shd w:val="clear" w:color="auto" w:fill="auto"/>
            <w:vAlign w:val="bottom"/>
            <w:hideMark/>
          </w:tcPr>
          <w:p w14:paraId="673374F5" w14:textId="77777777" w:rsidR="002B41BB" w:rsidRPr="004E5A6E" w:rsidRDefault="002B41BB" w:rsidP="002B41BB">
            <w:pPr>
              <w:jc w:val="center"/>
              <w:rPr>
                <w:color w:val="auto"/>
                <w:sz w:val="20"/>
                <w:szCs w:val="20"/>
                <w:lang w:val="sq-AL"/>
              </w:rPr>
            </w:pPr>
            <w:r w:rsidRPr="004E5A6E">
              <w:rPr>
                <w:color w:val="auto"/>
                <w:sz w:val="20"/>
                <w:szCs w:val="20"/>
                <w:lang w:val="sq-AL"/>
              </w:rPr>
              <w:t>1.5</w:t>
            </w:r>
          </w:p>
        </w:tc>
        <w:tc>
          <w:tcPr>
            <w:tcW w:w="413" w:type="pct"/>
            <w:tcBorders>
              <w:top w:val="nil"/>
              <w:left w:val="nil"/>
              <w:bottom w:val="dotted" w:sz="4" w:space="0" w:color="auto"/>
              <w:right w:val="dotted" w:sz="4" w:space="0" w:color="auto"/>
            </w:tcBorders>
            <w:shd w:val="clear" w:color="auto" w:fill="auto"/>
            <w:vAlign w:val="bottom"/>
            <w:hideMark/>
          </w:tcPr>
          <w:p w14:paraId="3C1AB7C4" w14:textId="77777777" w:rsidR="002B41BB" w:rsidRPr="004E5A6E" w:rsidRDefault="002B41BB" w:rsidP="002B41BB">
            <w:pPr>
              <w:jc w:val="center"/>
              <w:rPr>
                <w:color w:val="auto"/>
                <w:sz w:val="20"/>
                <w:szCs w:val="20"/>
                <w:lang w:val="sq-AL"/>
              </w:rPr>
            </w:pPr>
            <w:r w:rsidRPr="004E5A6E">
              <w:rPr>
                <w:color w:val="auto"/>
                <w:sz w:val="20"/>
                <w:szCs w:val="20"/>
                <w:lang w:val="sq-AL"/>
              </w:rPr>
              <w:t>-7.4</w:t>
            </w:r>
          </w:p>
        </w:tc>
        <w:tc>
          <w:tcPr>
            <w:tcW w:w="413" w:type="pct"/>
            <w:tcBorders>
              <w:top w:val="nil"/>
              <w:left w:val="nil"/>
              <w:bottom w:val="dotted" w:sz="4" w:space="0" w:color="auto"/>
              <w:right w:val="dotted" w:sz="4" w:space="0" w:color="auto"/>
            </w:tcBorders>
            <w:shd w:val="clear" w:color="auto" w:fill="auto"/>
            <w:vAlign w:val="bottom"/>
            <w:hideMark/>
          </w:tcPr>
          <w:p w14:paraId="6808AF18" w14:textId="77777777" w:rsidR="002B41BB" w:rsidRPr="004E5A6E" w:rsidRDefault="002B41BB" w:rsidP="002B41BB">
            <w:pPr>
              <w:jc w:val="center"/>
              <w:rPr>
                <w:color w:val="auto"/>
                <w:sz w:val="20"/>
                <w:szCs w:val="20"/>
                <w:lang w:val="sq-AL"/>
              </w:rPr>
            </w:pPr>
            <w:r w:rsidRPr="004E5A6E">
              <w:rPr>
                <w:color w:val="auto"/>
                <w:sz w:val="20"/>
                <w:szCs w:val="20"/>
                <w:lang w:val="sq-AL"/>
              </w:rPr>
              <w:t>4.1</w:t>
            </w:r>
          </w:p>
        </w:tc>
        <w:tc>
          <w:tcPr>
            <w:tcW w:w="413" w:type="pct"/>
            <w:tcBorders>
              <w:top w:val="nil"/>
              <w:left w:val="nil"/>
              <w:bottom w:val="dotted" w:sz="4" w:space="0" w:color="auto"/>
              <w:right w:val="dotted" w:sz="4" w:space="0" w:color="auto"/>
            </w:tcBorders>
            <w:shd w:val="clear" w:color="auto" w:fill="auto"/>
            <w:vAlign w:val="bottom"/>
            <w:hideMark/>
          </w:tcPr>
          <w:p w14:paraId="30322434" w14:textId="77777777" w:rsidR="002B41BB" w:rsidRPr="004E5A6E" w:rsidRDefault="002B41BB" w:rsidP="002B41BB">
            <w:pPr>
              <w:jc w:val="center"/>
              <w:rPr>
                <w:color w:val="auto"/>
                <w:sz w:val="20"/>
                <w:szCs w:val="20"/>
                <w:lang w:val="sq-AL"/>
              </w:rPr>
            </w:pPr>
            <w:r w:rsidRPr="004E5A6E">
              <w:rPr>
                <w:color w:val="auto"/>
                <w:sz w:val="20"/>
                <w:szCs w:val="20"/>
                <w:lang w:val="sq-AL"/>
              </w:rPr>
              <w:t>3.0</w:t>
            </w:r>
          </w:p>
        </w:tc>
        <w:tc>
          <w:tcPr>
            <w:tcW w:w="432" w:type="pct"/>
            <w:tcBorders>
              <w:top w:val="nil"/>
              <w:left w:val="nil"/>
              <w:bottom w:val="dotted" w:sz="4" w:space="0" w:color="auto"/>
              <w:right w:val="double" w:sz="6" w:space="0" w:color="auto"/>
            </w:tcBorders>
            <w:shd w:val="clear" w:color="auto" w:fill="auto"/>
            <w:vAlign w:val="bottom"/>
            <w:hideMark/>
          </w:tcPr>
          <w:p w14:paraId="0EA3BBBB"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r w:rsidR="002B41BB" w:rsidRPr="004E5A6E" w14:paraId="4BAFEF9E" w14:textId="77777777" w:rsidTr="002B41BB">
        <w:trPr>
          <w:trHeight w:val="528"/>
        </w:trPr>
        <w:tc>
          <w:tcPr>
            <w:tcW w:w="2233" w:type="pct"/>
            <w:tcBorders>
              <w:top w:val="nil"/>
              <w:left w:val="double" w:sz="6" w:space="0" w:color="auto"/>
              <w:bottom w:val="dotted" w:sz="4" w:space="0" w:color="auto"/>
              <w:right w:val="nil"/>
            </w:tcBorders>
            <w:shd w:val="clear" w:color="000000" w:fill="FFFFFF"/>
            <w:vAlign w:val="bottom"/>
            <w:hideMark/>
          </w:tcPr>
          <w:p w14:paraId="69483253" w14:textId="77777777" w:rsidR="002B41BB" w:rsidRPr="004E5A6E" w:rsidRDefault="002B41BB" w:rsidP="002B41BB">
            <w:pPr>
              <w:rPr>
                <w:color w:val="auto"/>
                <w:sz w:val="20"/>
                <w:szCs w:val="20"/>
                <w:lang w:val="sq-AL"/>
              </w:rPr>
            </w:pPr>
            <w:r w:rsidRPr="004E5A6E">
              <w:rPr>
                <w:color w:val="auto"/>
                <w:sz w:val="20"/>
                <w:szCs w:val="20"/>
                <w:lang w:val="sq-AL"/>
              </w:rPr>
              <w:t>Rritja e tregjeve të huaja relevante -</w:t>
            </w:r>
          </w:p>
        </w:tc>
        <w:tc>
          <w:tcPr>
            <w:tcW w:w="685" w:type="pct"/>
            <w:tcBorders>
              <w:top w:val="nil"/>
              <w:left w:val="single" w:sz="8" w:space="0" w:color="auto"/>
              <w:bottom w:val="dotted" w:sz="4" w:space="0" w:color="auto"/>
              <w:right w:val="single" w:sz="8" w:space="0" w:color="000000"/>
            </w:tcBorders>
            <w:shd w:val="clear" w:color="000000" w:fill="FFFFFF"/>
            <w:vAlign w:val="bottom"/>
            <w:hideMark/>
          </w:tcPr>
          <w:p w14:paraId="11BF775E" w14:textId="77777777" w:rsidR="002B41BB" w:rsidRPr="004E5A6E" w:rsidRDefault="002B41BB" w:rsidP="002B41BB">
            <w:pPr>
              <w:jc w:val="center"/>
              <w:rPr>
                <w:color w:val="auto"/>
                <w:sz w:val="20"/>
                <w:szCs w:val="20"/>
                <w:lang w:val="sq-AL"/>
              </w:rPr>
            </w:pPr>
            <w:r w:rsidRPr="004E5A6E">
              <w:rPr>
                <w:color w:val="auto"/>
                <w:sz w:val="20"/>
                <w:szCs w:val="20"/>
                <w:lang w:val="sq-AL"/>
              </w:rPr>
              <w:t>Mesatarja vjetore</w:t>
            </w:r>
          </w:p>
        </w:tc>
        <w:tc>
          <w:tcPr>
            <w:tcW w:w="413" w:type="pct"/>
            <w:tcBorders>
              <w:top w:val="nil"/>
              <w:left w:val="nil"/>
              <w:bottom w:val="dotted" w:sz="4" w:space="0" w:color="auto"/>
              <w:right w:val="dotted" w:sz="4" w:space="0" w:color="auto"/>
            </w:tcBorders>
            <w:shd w:val="clear" w:color="auto" w:fill="auto"/>
            <w:vAlign w:val="bottom"/>
            <w:hideMark/>
          </w:tcPr>
          <w:p w14:paraId="7953031F"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13" w:type="pct"/>
            <w:tcBorders>
              <w:top w:val="nil"/>
              <w:left w:val="nil"/>
              <w:bottom w:val="dotted" w:sz="4" w:space="0" w:color="auto"/>
              <w:right w:val="dotted" w:sz="4" w:space="0" w:color="auto"/>
            </w:tcBorders>
            <w:shd w:val="clear" w:color="auto" w:fill="auto"/>
            <w:vAlign w:val="bottom"/>
            <w:hideMark/>
          </w:tcPr>
          <w:p w14:paraId="00ABC263"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13" w:type="pct"/>
            <w:tcBorders>
              <w:top w:val="nil"/>
              <w:left w:val="nil"/>
              <w:bottom w:val="dotted" w:sz="4" w:space="0" w:color="auto"/>
              <w:right w:val="dotted" w:sz="4" w:space="0" w:color="auto"/>
            </w:tcBorders>
            <w:shd w:val="clear" w:color="auto" w:fill="auto"/>
            <w:vAlign w:val="bottom"/>
            <w:hideMark/>
          </w:tcPr>
          <w:p w14:paraId="584D08D6"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13" w:type="pct"/>
            <w:tcBorders>
              <w:top w:val="nil"/>
              <w:left w:val="nil"/>
              <w:bottom w:val="dotted" w:sz="4" w:space="0" w:color="auto"/>
              <w:right w:val="dotted" w:sz="4" w:space="0" w:color="auto"/>
            </w:tcBorders>
            <w:shd w:val="clear" w:color="auto" w:fill="auto"/>
            <w:vAlign w:val="bottom"/>
            <w:hideMark/>
          </w:tcPr>
          <w:p w14:paraId="1E58CE6A"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c>
          <w:tcPr>
            <w:tcW w:w="432" w:type="pct"/>
            <w:tcBorders>
              <w:top w:val="nil"/>
              <w:left w:val="nil"/>
              <w:bottom w:val="dotted" w:sz="4" w:space="0" w:color="auto"/>
              <w:right w:val="double" w:sz="6" w:space="0" w:color="auto"/>
            </w:tcBorders>
            <w:shd w:val="clear" w:color="auto" w:fill="auto"/>
            <w:vAlign w:val="bottom"/>
            <w:hideMark/>
          </w:tcPr>
          <w:p w14:paraId="4FF38130"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r w:rsidR="002B41BB" w:rsidRPr="004E5A6E" w14:paraId="20E6B944" w14:textId="77777777" w:rsidTr="002B41BB">
        <w:trPr>
          <w:trHeight w:val="528"/>
        </w:trPr>
        <w:tc>
          <w:tcPr>
            <w:tcW w:w="2233" w:type="pct"/>
            <w:tcBorders>
              <w:top w:val="nil"/>
              <w:left w:val="double" w:sz="6" w:space="0" w:color="auto"/>
              <w:bottom w:val="dotted" w:sz="4" w:space="0" w:color="auto"/>
              <w:right w:val="nil"/>
            </w:tcBorders>
            <w:shd w:val="clear" w:color="000000" w:fill="FFFFFF"/>
            <w:vAlign w:val="bottom"/>
            <w:hideMark/>
          </w:tcPr>
          <w:p w14:paraId="378870CB" w14:textId="77777777" w:rsidR="002B41BB" w:rsidRPr="004E5A6E" w:rsidRDefault="002B41BB" w:rsidP="002B41BB">
            <w:pPr>
              <w:rPr>
                <w:color w:val="auto"/>
                <w:sz w:val="20"/>
                <w:szCs w:val="20"/>
                <w:lang w:val="sq-AL"/>
              </w:rPr>
            </w:pPr>
            <w:r w:rsidRPr="004E5A6E">
              <w:rPr>
                <w:color w:val="auto"/>
                <w:sz w:val="20"/>
                <w:szCs w:val="20"/>
                <w:lang w:val="sq-AL"/>
              </w:rPr>
              <w:t xml:space="preserve">Volumi i importit botëror, përjashtuar EU </w:t>
            </w:r>
          </w:p>
        </w:tc>
        <w:tc>
          <w:tcPr>
            <w:tcW w:w="685" w:type="pct"/>
            <w:tcBorders>
              <w:top w:val="nil"/>
              <w:left w:val="single" w:sz="8" w:space="0" w:color="auto"/>
              <w:bottom w:val="dotted" w:sz="4" w:space="0" w:color="auto"/>
              <w:right w:val="single" w:sz="8" w:space="0" w:color="000000"/>
            </w:tcBorders>
            <w:shd w:val="clear" w:color="000000" w:fill="FFFFFF"/>
            <w:vAlign w:val="bottom"/>
            <w:hideMark/>
          </w:tcPr>
          <w:p w14:paraId="085BE0E9" w14:textId="77777777" w:rsidR="002B41BB" w:rsidRPr="004E5A6E" w:rsidRDefault="002B41BB" w:rsidP="002B41BB">
            <w:pPr>
              <w:jc w:val="center"/>
              <w:rPr>
                <w:color w:val="auto"/>
                <w:sz w:val="20"/>
                <w:szCs w:val="20"/>
                <w:lang w:val="sq-AL"/>
              </w:rPr>
            </w:pPr>
            <w:r w:rsidRPr="004E5A6E">
              <w:rPr>
                <w:color w:val="auto"/>
                <w:sz w:val="20"/>
                <w:szCs w:val="20"/>
                <w:lang w:val="sq-AL"/>
              </w:rPr>
              <w:t>Mesatarja vjetore</w:t>
            </w:r>
          </w:p>
        </w:tc>
        <w:tc>
          <w:tcPr>
            <w:tcW w:w="413" w:type="pct"/>
            <w:tcBorders>
              <w:top w:val="nil"/>
              <w:left w:val="nil"/>
              <w:bottom w:val="dotted" w:sz="4" w:space="0" w:color="auto"/>
              <w:right w:val="dotted" w:sz="4" w:space="0" w:color="auto"/>
            </w:tcBorders>
            <w:shd w:val="clear" w:color="auto" w:fill="auto"/>
            <w:vAlign w:val="bottom"/>
            <w:hideMark/>
          </w:tcPr>
          <w:p w14:paraId="47CFF0DC" w14:textId="77777777" w:rsidR="002B41BB" w:rsidRPr="004E5A6E" w:rsidRDefault="002B41BB" w:rsidP="002B41BB">
            <w:pPr>
              <w:jc w:val="center"/>
              <w:rPr>
                <w:color w:val="auto"/>
                <w:sz w:val="20"/>
                <w:szCs w:val="20"/>
                <w:lang w:val="sq-AL"/>
              </w:rPr>
            </w:pPr>
            <w:r w:rsidRPr="004E5A6E">
              <w:rPr>
                <w:color w:val="auto"/>
                <w:sz w:val="20"/>
                <w:szCs w:val="20"/>
                <w:lang w:val="sq-AL"/>
              </w:rPr>
              <w:t>-0.5</w:t>
            </w:r>
          </w:p>
        </w:tc>
        <w:tc>
          <w:tcPr>
            <w:tcW w:w="413" w:type="pct"/>
            <w:tcBorders>
              <w:top w:val="nil"/>
              <w:left w:val="nil"/>
              <w:bottom w:val="dotted" w:sz="4" w:space="0" w:color="auto"/>
              <w:right w:val="dotted" w:sz="4" w:space="0" w:color="auto"/>
            </w:tcBorders>
            <w:shd w:val="clear" w:color="auto" w:fill="auto"/>
            <w:vAlign w:val="bottom"/>
            <w:hideMark/>
          </w:tcPr>
          <w:p w14:paraId="0F57F3D4" w14:textId="77777777" w:rsidR="002B41BB" w:rsidRPr="004E5A6E" w:rsidRDefault="002B41BB" w:rsidP="002B41BB">
            <w:pPr>
              <w:jc w:val="center"/>
              <w:rPr>
                <w:color w:val="auto"/>
                <w:sz w:val="20"/>
                <w:szCs w:val="20"/>
                <w:lang w:val="sq-AL"/>
              </w:rPr>
            </w:pPr>
            <w:r w:rsidRPr="004E5A6E">
              <w:rPr>
                <w:color w:val="auto"/>
                <w:sz w:val="20"/>
                <w:szCs w:val="20"/>
                <w:lang w:val="sq-AL"/>
              </w:rPr>
              <w:t>-10.3</w:t>
            </w:r>
          </w:p>
        </w:tc>
        <w:tc>
          <w:tcPr>
            <w:tcW w:w="413" w:type="pct"/>
            <w:tcBorders>
              <w:top w:val="nil"/>
              <w:left w:val="nil"/>
              <w:bottom w:val="dotted" w:sz="4" w:space="0" w:color="auto"/>
              <w:right w:val="dotted" w:sz="4" w:space="0" w:color="auto"/>
            </w:tcBorders>
            <w:shd w:val="clear" w:color="auto" w:fill="auto"/>
            <w:vAlign w:val="bottom"/>
            <w:hideMark/>
          </w:tcPr>
          <w:p w14:paraId="3C31BF91" w14:textId="77777777" w:rsidR="002B41BB" w:rsidRPr="004E5A6E" w:rsidRDefault="002B41BB" w:rsidP="002B41BB">
            <w:pPr>
              <w:jc w:val="center"/>
              <w:rPr>
                <w:color w:val="auto"/>
                <w:sz w:val="20"/>
                <w:szCs w:val="20"/>
                <w:lang w:val="sq-AL"/>
              </w:rPr>
            </w:pPr>
            <w:r w:rsidRPr="004E5A6E">
              <w:rPr>
                <w:color w:val="auto"/>
                <w:sz w:val="20"/>
                <w:szCs w:val="20"/>
                <w:lang w:val="sq-AL"/>
              </w:rPr>
              <w:t>6.3</w:t>
            </w:r>
          </w:p>
        </w:tc>
        <w:tc>
          <w:tcPr>
            <w:tcW w:w="413" w:type="pct"/>
            <w:tcBorders>
              <w:top w:val="nil"/>
              <w:left w:val="nil"/>
              <w:bottom w:val="dotted" w:sz="4" w:space="0" w:color="auto"/>
              <w:right w:val="dotted" w:sz="4" w:space="0" w:color="auto"/>
            </w:tcBorders>
            <w:shd w:val="clear" w:color="auto" w:fill="auto"/>
            <w:vAlign w:val="bottom"/>
            <w:hideMark/>
          </w:tcPr>
          <w:p w14:paraId="5B8EF651" w14:textId="77777777" w:rsidR="002B41BB" w:rsidRPr="004E5A6E" w:rsidRDefault="002B41BB" w:rsidP="002B41BB">
            <w:pPr>
              <w:jc w:val="center"/>
              <w:rPr>
                <w:color w:val="auto"/>
                <w:sz w:val="20"/>
                <w:szCs w:val="20"/>
                <w:lang w:val="sq-AL"/>
              </w:rPr>
            </w:pPr>
            <w:r w:rsidRPr="004E5A6E">
              <w:rPr>
                <w:color w:val="auto"/>
                <w:sz w:val="20"/>
                <w:szCs w:val="20"/>
                <w:lang w:val="sq-AL"/>
              </w:rPr>
              <w:t>4.1</w:t>
            </w:r>
          </w:p>
        </w:tc>
        <w:tc>
          <w:tcPr>
            <w:tcW w:w="432" w:type="pct"/>
            <w:tcBorders>
              <w:top w:val="nil"/>
              <w:left w:val="nil"/>
              <w:bottom w:val="dotted" w:sz="4" w:space="0" w:color="auto"/>
              <w:right w:val="double" w:sz="6" w:space="0" w:color="auto"/>
            </w:tcBorders>
            <w:shd w:val="clear" w:color="auto" w:fill="auto"/>
            <w:vAlign w:val="bottom"/>
            <w:hideMark/>
          </w:tcPr>
          <w:p w14:paraId="168C56B2"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r w:rsidR="002B41BB" w:rsidRPr="004E5A6E" w14:paraId="7E638BE0" w14:textId="77777777" w:rsidTr="002B41BB">
        <w:trPr>
          <w:trHeight w:val="540"/>
        </w:trPr>
        <w:tc>
          <w:tcPr>
            <w:tcW w:w="2233" w:type="pct"/>
            <w:tcBorders>
              <w:top w:val="nil"/>
              <w:left w:val="double" w:sz="6" w:space="0" w:color="auto"/>
              <w:bottom w:val="double" w:sz="6" w:space="0" w:color="auto"/>
              <w:right w:val="nil"/>
            </w:tcBorders>
            <w:shd w:val="clear" w:color="000000" w:fill="FFFFFF"/>
            <w:vAlign w:val="bottom"/>
            <w:hideMark/>
          </w:tcPr>
          <w:p w14:paraId="4E5E2DEF" w14:textId="77777777" w:rsidR="002B41BB" w:rsidRPr="004E5A6E" w:rsidRDefault="002B41BB" w:rsidP="002B41BB">
            <w:pPr>
              <w:rPr>
                <w:color w:val="auto"/>
                <w:sz w:val="20"/>
                <w:szCs w:val="20"/>
                <w:lang w:val="sq-AL"/>
              </w:rPr>
            </w:pPr>
            <w:r w:rsidRPr="004E5A6E">
              <w:rPr>
                <w:color w:val="auto"/>
                <w:sz w:val="20"/>
                <w:szCs w:val="20"/>
                <w:lang w:val="sq-AL"/>
              </w:rPr>
              <w:t xml:space="preserve">Cmimi i naftës </w:t>
            </w:r>
          </w:p>
        </w:tc>
        <w:tc>
          <w:tcPr>
            <w:tcW w:w="685" w:type="pct"/>
            <w:tcBorders>
              <w:top w:val="nil"/>
              <w:left w:val="single" w:sz="8" w:space="0" w:color="auto"/>
              <w:bottom w:val="double" w:sz="6" w:space="0" w:color="auto"/>
              <w:right w:val="single" w:sz="8" w:space="0" w:color="000000"/>
            </w:tcBorders>
            <w:shd w:val="clear" w:color="000000" w:fill="FFFFFF"/>
            <w:vAlign w:val="bottom"/>
            <w:hideMark/>
          </w:tcPr>
          <w:p w14:paraId="0E150790" w14:textId="77777777" w:rsidR="002B41BB" w:rsidRPr="004E5A6E" w:rsidRDefault="002B41BB" w:rsidP="002B41BB">
            <w:pPr>
              <w:jc w:val="center"/>
              <w:rPr>
                <w:color w:val="auto"/>
                <w:sz w:val="20"/>
                <w:szCs w:val="20"/>
                <w:lang w:val="sq-AL"/>
              </w:rPr>
            </w:pPr>
            <w:r w:rsidRPr="004E5A6E">
              <w:rPr>
                <w:color w:val="auto"/>
                <w:sz w:val="20"/>
                <w:szCs w:val="20"/>
                <w:lang w:val="sq-AL"/>
              </w:rPr>
              <w:t>Mesatarja vjetore</w:t>
            </w:r>
          </w:p>
        </w:tc>
        <w:tc>
          <w:tcPr>
            <w:tcW w:w="413" w:type="pct"/>
            <w:tcBorders>
              <w:top w:val="nil"/>
              <w:left w:val="nil"/>
              <w:bottom w:val="double" w:sz="6" w:space="0" w:color="auto"/>
              <w:right w:val="dotted" w:sz="4" w:space="0" w:color="auto"/>
            </w:tcBorders>
            <w:shd w:val="clear" w:color="auto" w:fill="auto"/>
            <w:vAlign w:val="bottom"/>
            <w:hideMark/>
          </w:tcPr>
          <w:p w14:paraId="57CFDBB4" w14:textId="77777777" w:rsidR="002B41BB" w:rsidRPr="004E5A6E" w:rsidRDefault="002B41BB" w:rsidP="002B41BB">
            <w:pPr>
              <w:jc w:val="center"/>
              <w:rPr>
                <w:color w:val="auto"/>
                <w:sz w:val="20"/>
                <w:szCs w:val="20"/>
                <w:lang w:val="sq-AL"/>
              </w:rPr>
            </w:pPr>
            <w:r w:rsidRPr="004E5A6E">
              <w:rPr>
                <w:color w:val="auto"/>
                <w:sz w:val="20"/>
                <w:szCs w:val="20"/>
                <w:lang w:val="sq-AL"/>
              </w:rPr>
              <w:t>64.1</w:t>
            </w:r>
          </w:p>
        </w:tc>
        <w:tc>
          <w:tcPr>
            <w:tcW w:w="413" w:type="pct"/>
            <w:tcBorders>
              <w:top w:val="nil"/>
              <w:left w:val="nil"/>
              <w:bottom w:val="double" w:sz="6" w:space="0" w:color="auto"/>
              <w:right w:val="dotted" w:sz="4" w:space="0" w:color="auto"/>
            </w:tcBorders>
            <w:shd w:val="clear" w:color="auto" w:fill="auto"/>
            <w:vAlign w:val="bottom"/>
            <w:hideMark/>
          </w:tcPr>
          <w:p w14:paraId="5C2C71AA" w14:textId="77777777" w:rsidR="002B41BB" w:rsidRPr="004E5A6E" w:rsidRDefault="002B41BB" w:rsidP="002B41BB">
            <w:pPr>
              <w:jc w:val="center"/>
              <w:rPr>
                <w:color w:val="auto"/>
                <w:sz w:val="20"/>
                <w:szCs w:val="20"/>
                <w:lang w:val="sq-AL"/>
              </w:rPr>
            </w:pPr>
            <w:r w:rsidRPr="004E5A6E">
              <w:rPr>
                <w:color w:val="auto"/>
                <w:sz w:val="20"/>
                <w:szCs w:val="20"/>
                <w:lang w:val="sq-AL"/>
              </w:rPr>
              <w:t>42.6</w:t>
            </w:r>
          </w:p>
        </w:tc>
        <w:tc>
          <w:tcPr>
            <w:tcW w:w="413" w:type="pct"/>
            <w:tcBorders>
              <w:top w:val="nil"/>
              <w:left w:val="nil"/>
              <w:bottom w:val="double" w:sz="6" w:space="0" w:color="auto"/>
              <w:right w:val="dotted" w:sz="4" w:space="0" w:color="auto"/>
            </w:tcBorders>
            <w:shd w:val="clear" w:color="auto" w:fill="auto"/>
            <w:vAlign w:val="bottom"/>
            <w:hideMark/>
          </w:tcPr>
          <w:p w14:paraId="30116877" w14:textId="77777777" w:rsidR="002B41BB" w:rsidRPr="004E5A6E" w:rsidRDefault="002B41BB" w:rsidP="002B41BB">
            <w:pPr>
              <w:jc w:val="center"/>
              <w:rPr>
                <w:color w:val="auto"/>
                <w:sz w:val="20"/>
                <w:szCs w:val="20"/>
                <w:lang w:val="sq-AL"/>
              </w:rPr>
            </w:pPr>
            <w:r w:rsidRPr="004E5A6E">
              <w:rPr>
                <w:color w:val="auto"/>
                <w:sz w:val="20"/>
                <w:szCs w:val="20"/>
                <w:lang w:val="sq-AL"/>
              </w:rPr>
              <w:t>44.6</w:t>
            </w:r>
          </w:p>
        </w:tc>
        <w:tc>
          <w:tcPr>
            <w:tcW w:w="413" w:type="pct"/>
            <w:tcBorders>
              <w:top w:val="nil"/>
              <w:left w:val="nil"/>
              <w:bottom w:val="double" w:sz="6" w:space="0" w:color="auto"/>
              <w:right w:val="dotted" w:sz="4" w:space="0" w:color="auto"/>
            </w:tcBorders>
            <w:shd w:val="clear" w:color="auto" w:fill="auto"/>
            <w:vAlign w:val="bottom"/>
            <w:hideMark/>
          </w:tcPr>
          <w:p w14:paraId="26E171AD" w14:textId="77777777" w:rsidR="002B41BB" w:rsidRPr="004E5A6E" w:rsidRDefault="002B41BB" w:rsidP="002B41BB">
            <w:pPr>
              <w:jc w:val="center"/>
              <w:rPr>
                <w:color w:val="auto"/>
                <w:sz w:val="20"/>
                <w:szCs w:val="20"/>
                <w:lang w:val="sq-AL"/>
              </w:rPr>
            </w:pPr>
            <w:r w:rsidRPr="004E5A6E">
              <w:rPr>
                <w:color w:val="auto"/>
                <w:sz w:val="20"/>
                <w:szCs w:val="20"/>
                <w:lang w:val="sq-AL"/>
              </w:rPr>
              <w:t>46.4</w:t>
            </w:r>
          </w:p>
        </w:tc>
        <w:tc>
          <w:tcPr>
            <w:tcW w:w="432" w:type="pct"/>
            <w:tcBorders>
              <w:top w:val="nil"/>
              <w:left w:val="nil"/>
              <w:bottom w:val="double" w:sz="6" w:space="0" w:color="auto"/>
              <w:right w:val="double" w:sz="6" w:space="0" w:color="auto"/>
            </w:tcBorders>
            <w:shd w:val="clear" w:color="auto" w:fill="auto"/>
            <w:vAlign w:val="bottom"/>
            <w:hideMark/>
          </w:tcPr>
          <w:p w14:paraId="31D2C886" w14:textId="77777777" w:rsidR="002B41BB" w:rsidRPr="004E5A6E" w:rsidRDefault="002B41BB" w:rsidP="002B41BB">
            <w:pPr>
              <w:jc w:val="center"/>
              <w:rPr>
                <w:color w:val="auto"/>
                <w:sz w:val="20"/>
                <w:szCs w:val="20"/>
                <w:lang w:val="sq-AL"/>
              </w:rPr>
            </w:pPr>
            <w:r w:rsidRPr="004E5A6E">
              <w:rPr>
                <w:color w:val="auto"/>
                <w:sz w:val="20"/>
                <w:szCs w:val="20"/>
                <w:lang w:val="sq-AL"/>
              </w:rPr>
              <w:t>:</w:t>
            </w:r>
          </w:p>
        </w:tc>
      </w:tr>
    </w:tbl>
    <w:p w14:paraId="48A3ACE8" w14:textId="77777777" w:rsidR="002B41BB" w:rsidRPr="004E5A6E" w:rsidRDefault="002B41BB" w:rsidP="00693151">
      <w:pPr>
        <w:rPr>
          <w:highlight w:val="yellow"/>
          <w:lang w:val="sq-AL"/>
        </w:rPr>
      </w:pPr>
    </w:p>
    <w:p w14:paraId="3E179F28" w14:textId="77777777" w:rsidR="003B3804" w:rsidRPr="004E5A6E" w:rsidRDefault="003B3804" w:rsidP="00693151">
      <w:pPr>
        <w:rPr>
          <w:highlight w:val="yellow"/>
          <w:lang w:val="sq-AL"/>
        </w:rPr>
      </w:pPr>
    </w:p>
    <w:p w14:paraId="0BC7C1A8" w14:textId="2521A58D" w:rsidR="003B3804" w:rsidRPr="004E5A6E" w:rsidRDefault="003B3804" w:rsidP="003B3804">
      <w:pPr>
        <w:rPr>
          <w:sz w:val="20"/>
          <w:lang w:val="sq-AL"/>
        </w:rPr>
      </w:pPr>
      <w:r w:rsidRPr="004E5A6E">
        <w:rPr>
          <w:sz w:val="20"/>
          <w:lang w:val="sq-AL"/>
        </w:rPr>
        <w:t>Tabela 9 - Krahasimi me programin e mëparshëm</w:t>
      </w:r>
    </w:p>
    <w:tbl>
      <w:tblPr>
        <w:tblW w:w="8804" w:type="dxa"/>
        <w:tblInd w:w="-10" w:type="dxa"/>
        <w:tblLook w:val="04A0" w:firstRow="1" w:lastRow="0" w:firstColumn="1" w:lastColumn="0" w:noHBand="0" w:noVBand="1"/>
      </w:tblPr>
      <w:tblGrid>
        <w:gridCol w:w="981"/>
        <w:gridCol w:w="2767"/>
        <w:gridCol w:w="741"/>
        <w:gridCol w:w="863"/>
        <w:gridCol w:w="863"/>
        <w:gridCol w:w="863"/>
        <w:gridCol w:w="863"/>
        <w:gridCol w:w="863"/>
      </w:tblGrid>
      <w:tr w:rsidR="003B3804" w:rsidRPr="004E5A6E" w14:paraId="4AB11FC5" w14:textId="77777777" w:rsidTr="00713DEA">
        <w:trPr>
          <w:trHeight w:val="292"/>
        </w:trPr>
        <w:tc>
          <w:tcPr>
            <w:tcW w:w="981" w:type="dxa"/>
            <w:vMerge w:val="restart"/>
            <w:tcBorders>
              <w:top w:val="single" w:sz="8" w:space="0" w:color="auto"/>
              <w:left w:val="single" w:sz="8" w:space="0" w:color="auto"/>
              <w:bottom w:val="single" w:sz="8" w:space="0" w:color="000000"/>
              <w:right w:val="dotted" w:sz="4" w:space="0" w:color="auto"/>
            </w:tcBorders>
            <w:shd w:val="clear" w:color="000000" w:fill="DEEAF6"/>
            <w:noWrap/>
            <w:vAlign w:val="center"/>
            <w:hideMark/>
          </w:tcPr>
          <w:p w14:paraId="095D084D" w14:textId="77777777" w:rsidR="003B3804" w:rsidRPr="004E5A6E" w:rsidRDefault="003B3804" w:rsidP="00713DEA">
            <w:pPr>
              <w:rPr>
                <w:b/>
                <w:bCs/>
                <w:sz w:val="16"/>
                <w:szCs w:val="18"/>
                <w:lang w:val="sq-AL"/>
              </w:rPr>
            </w:pPr>
            <w:r w:rsidRPr="004E5A6E">
              <w:rPr>
                <w:b/>
                <w:bCs/>
                <w:sz w:val="16"/>
                <w:szCs w:val="18"/>
                <w:lang w:val="sq-AL"/>
              </w:rPr>
              <w:t xml:space="preserve">Dokumenti </w:t>
            </w:r>
          </w:p>
        </w:tc>
        <w:tc>
          <w:tcPr>
            <w:tcW w:w="2767" w:type="dxa"/>
            <w:vMerge w:val="restart"/>
            <w:tcBorders>
              <w:top w:val="single" w:sz="8" w:space="0" w:color="auto"/>
              <w:left w:val="dotted" w:sz="4" w:space="0" w:color="auto"/>
              <w:bottom w:val="single" w:sz="8" w:space="0" w:color="000000"/>
              <w:right w:val="dotted" w:sz="4" w:space="0" w:color="auto"/>
            </w:tcBorders>
            <w:shd w:val="clear" w:color="000000" w:fill="DEEAF6"/>
            <w:noWrap/>
            <w:vAlign w:val="center"/>
            <w:hideMark/>
          </w:tcPr>
          <w:p w14:paraId="51142346" w14:textId="77777777" w:rsidR="003B3804" w:rsidRPr="004E5A6E" w:rsidRDefault="003B3804" w:rsidP="00713DEA">
            <w:pPr>
              <w:rPr>
                <w:b/>
                <w:bCs/>
                <w:sz w:val="16"/>
                <w:szCs w:val="18"/>
                <w:lang w:val="sq-AL"/>
              </w:rPr>
            </w:pPr>
            <w:r w:rsidRPr="004E5A6E">
              <w:rPr>
                <w:b/>
                <w:bCs/>
                <w:sz w:val="16"/>
                <w:szCs w:val="18"/>
                <w:lang w:val="sq-AL"/>
              </w:rPr>
              <w:t>Përshkrimi</w:t>
            </w:r>
          </w:p>
        </w:tc>
        <w:tc>
          <w:tcPr>
            <w:tcW w:w="741" w:type="dxa"/>
            <w:vMerge w:val="restart"/>
            <w:tcBorders>
              <w:top w:val="single" w:sz="8" w:space="0" w:color="auto"/>
              <w:left w:val="dotted" w:sz="4" w:space="0" w:color="auto"/>
              <w:bottom w:val="single" w:sz="8" w:space="0" w:color="000000"/>
              <w:right w:val="dotted" w:sz="4" w:space="0" w:color="auto"/>
            </w:tcBorders>
            <w:shd w:val="clear" w:color="000000" w:fill="DEEAF6"/>
            <w:vAlign w:val="center"/>
            <w:hideMark/>
          </w:tcPr>
          <w:p w14:paraId="0C9A2234" w14:textId="77777777" w:rsidR="003B3804" w:rsidRPr="004E5A6E" w:rsidRDefault="003B3804" w:rsidP="00713DEA">
            <w:pPr>
              <w:jc w:val="center"/>
              <w:rPr>
                <w:b/>
                <w:bCs/>
                <w:sz w:val="16"/>
                <w:szCs w:val="18"/>
                <w:lang w:val="sq-AL"/>
              </w:rPr>
            </w:pPr>
            <w:r w:rsidRPr="004E5A6E">
              <w:rPr>
                <w:b/>
                <w:bCs/>
                <w:sz w:val="16"/>
                <w:szCs w:val="18"/>
                <w:lang w:val="sq-AL"/>
              </w:rPr>
              <w:t>2018 aktual</w:t>
            </w:r>
          </w:p>
        </w:tc>
        <w:tc>
          <w:tcPr>
            <w:tcW w:w="863" w:type="dxa"/>
            <w:vMerge w:val="restart"/>
            <w:tcBorders>
              <w:top w:val="single" w:sz="8" w:space="0" w:color="auto"/>
              <w:left w:val="dotted" w:sz="4" w:space="0" w:color="auto"/>
              <w:bottom w:val="single" w:sz="8" w:space="0" w:color="000000"/>
              <w:right w:val="dotted" w:sz="4" w:space="0" w:color="auto"/>
            </w:tcBorders>
            <w:shd w:val="clear" w:color="000000" w:fill="DEEAF6"/>
            <w:vAlign w:val="center"/>
            <w:hideMark/>
          </w:tcPr>
          <w:p w14:paraId="101EDC57" w14:textId="77777777" w:rsidR="003B3804" w:rsidRPr="004E5A6E" w:rsidRDefault="003B3804" w:rsidP="00713DEA">
            <w:pPr>
              <w:jc w:val="center"/>
              <w:rPr>
                <w:b/>
                <w:bCs/>
                <w:sz w:val="16"/>
                <w:szCs w:val="18"/>
                <w:lang w:val="sq-AL"/>
              </w:rPr>
            </w:pPr>
            <w:r w:rsidRPr="004E5A6E">
              <w:rPr>
                <w:b/>
                <w:bCs/>
                <w:sz w:val="16"/>
                <w:szCs w:val="18"/>
                <w:lang w:val="sq-AL"/>
              </w:rPr>
              <w:t xml:space="preserve">Projekti 2019 </w:t>
            </w:r>
          </w:p>
        </w:tc>
        <w:tc>
          <w:tcPr>
            <w:tcW w:w="863" w:type="dxa"/>
            <w:vMerge w:val="restart"/>
            <w:tcBorders>
              <w:top w:val="single" w:sz="8" w:space="0" w:color="auto"/>
              <w:left w:val="dotted" w:sz="4" w:space="0" w:color="auto"/>
              <w:bottom w:val="single" w:sz="8" w:space="0" w:color="000000"/>
              <w:right w:val="dotted" w:sz="4" w:space="0" w:color="auto"/>
            </w:tcBorders>
            <w:shd w:val="clear" w:color="000000" w:fill="DEEAF6"/>
            <w:vAlign w:val="center"/>
            <w:hideMark/>
          </w:tcPr>
          <w:p w14:paraId="0AF7B8F8" w14:textId="77777777" w:rsidR="003B3804" w:rsidRPr="004E5A6E" w:rsidRDefault="003B3804" w:rsidP="00713DEA">
            <w:pPr>
              <w:jc w:val="center"/>
              <w:rPr>
                <w:b/>
                <w:bCs/>
                <w:sz w:val="16"/>
                <w:szCs w:val="18"/>
                <w:lang w:val="sq-AL"/>
              </w:rPr>
            </w:pPr>
            <w:r w:rsidRPr="004E5A6E">
              <w:rPr>
                <w:b/>
                <w:bCs/>
                <w:sz w:val="16"/>
                <w:szCs w:val="18"/>
                <w:lang w:val="sq-AL"/>
              </w:rPr>
              <w:t>Projekti</w:t>
            </w:r>
          </w:p>
          <w:p w14:paraId="5C7FC0E2" w14:textId="77777777" w:rsidR="003B3804" w:rsidRPr="004E5A6E" w:rsidRDefault="003B3804" w:rsidP="00713DEA">
            <w:pPr>
              <w:jc w:val="center"/>
              <w:rPr>
                <w:b/>
                <w:bCs/>
                <w:sz w:val="16"/>
                <w:szCs w:val="18"/>
                <w:lang w:val="sq-AL"/>
              </w:rPr>
            </w:pPr>
            <w:r w:rsidRPr="004E5A6E">
              <w:rPr>
                <w:b/>
                <w:bCs/>
                <w:sz w:val="16"/>
                <w:szCs w:val="18"/>
                <w:lang w:val="sq-AL"/>
              </w:rPr>
              <w:t>2020</w:t>
            </w:r>
          </w:p>
        </w:tc>
        <w:tc>
          <w:tcPr>
            <w:tcW w:w="863" w:type="dxa"/>
            <w:vMerge w:val="restart"/>
            <w:tcBorders>
              <w:top w:val="single" w:sz="8" w:space="0" w:color="auto"/>
              <w:left w:val="dotted" w:sz="4" w:space="0" w:color="auto"/>
              <w:bottom w:val="single" w:sz="8" w:space="0" w:color="000000"/>
              <w:right w:val="dotted" w:sz="4" w:space="0" w:color="auto"/>
            </w:tcBorders>
            <w:shd w:val="clear" w:color="000000" w:fill="DEEAF6"/>
            <w:vAlign w:val="center"/>
            <w:hideMark/>
          </w:tcPr>
          <w:p w14:paraId="2C17802F" w14:textId="77777777" w:rsidR="003B3804" w:rsidRPr="004E5A6E" w:rsidRDefault="003B3804" w:rsidP="00713DEA">
            <w:pPr>
              <w:jc w:val="center"/>
              <w:rPr>
                <w:b/>
                <w:bCs/>
                <w:sz w:val="16"/>
                <w:szCs w:val="18"/>
                <w:lang w:val="sq-AL"/>
              </w:rPr>
            </w:pPr>
            <w:r w:rsidRPr="004E5A6E">
              <w:rPr>
                <w:b/>
                <w:bCs/>
                <w:sz w:val="16"/>
                <w:szCs w:val="18"/>
                <w:lang w:val="sq-AL"/>
              </w:rPr>
              <w:t>Projekti</w:t>
            </w:r>
          </w:p>
          <w:p w14:paraId="1C9D5C00" w14:textId="77777777" w:rsidR="003B3804" w:rsidRPr="004E5A6E" w:rsidRDefault="003B3804" w:rsidP="00713DEA">
            <w:pPr>
              <w:jc w:val="center"/>
              <w:rPr>
                <w:b/>
                <w:bCs/>
                <w:sz w:val="16"/>
                <w:szCs w:val="18"/>
                <w:lang w:val="sq-AL"/>
              </w:rPr>
            </w:pPr>
            <w:r w:rsidRPr="004E5A6E">
              <w:rPr>
                <w:b/>
                <w:bCs/>
                <w:sz w:val="16"/>
                <w:szCs w:val="18"/>
                <w:lang w:val="sq-AL"/>
              </w:rPr>
              <w:t xml:space="preserve">2021 </w:t>
            </w:r>
          </w:p>
        </w:tc>
        <w:tc>
          <w:tcPr>
            <w:tcW w:w="863" w:type="dxa"/>
            <w:vMerge w:val="restart"/>
            <w:tcBorders>
              <w:top w:val="single" w:sz="8" w:space="0" w:color="auto"/>
              <w:left w:val="dotted" w:sz="4" w:space="0" w:color="auto"/>
              <w:bottom w:val="single" w:sz="8" w:space="0" w:color="000000"/>
              <w:right w:val="dotted" w:sz="4" w:space="0" w:color="auto"/>
            </w:tcBorders>
            <w:shd w:val="clear" w:color="000000" w:fill="DEEAF6"/>
            <w:vAlign w:val="center"/>
            <w:hideMark/>
          </w:tcPr>
          <w:p w14:paraId="5BDF2611" w14:textId="77777777" w:rsidR="003B3804" w:rsidRPr="004E5A6E" w:rsidRDefault="003B3804" w:rsidP="00713DEA">
            <w:pPr>
              <w:jc w:val="center"/>
              <w:rPr>
                <w:b/>
                <w:bCs/>
                <w:sz w:val="16"/>
                <w:szCs w:val="18"/>
                <w:lang w:val="sq-AL"/>
              </w:rPr>
            </w:pPr>
            <w:r w:rsidRPr="004E5A6E">
              <w:rPr>
                <w:b/>
                <w:bCs/>
                <w:sz w:val="16"/>
                <w:szCs w:val="18"/>
                <w:lang w:val="sq-AL"/>
              </w:rPr>
              <w:t>Projekti</w:t>
            </w:r>
          </w:p>
          <w:p w14:paraId="1AC4519D" w14:textId="77777777" w:rsidR="003B3804" w:rsidRPr="004E5A6E" w:rsidRDefault="003B3804" w:rsidP="00713DEA">
            <w:pPr>
              <w:jc w:val="center"/>
              <w:rPr>
                <w:b/>
                <w:bCs/>
                <w:sz w:val="16"/>
                <w:szCs w:val="18"/>
                <w:lang w:val="sq-AL"/>
              </w:rPr>
            </w:pPr>
            <w:r w:rsidRPr="004E5A6E">
              <w:rPr>
                <w:b/>
                <w:bCs/>
                <w:sz w:val="16"/>
                <w:szCs w:val="18"/>
                <w:lang w:val="sq-AL"/>
              </w:rPr>
              <w:t xml:space="preserve">2022 </w:t>
            </w:r>
          </w:p>
        </w:tc>
        <w:tc>
          <w:tcPr>
            <w:tcW w:w="863" w:type="dxa"/>
            <w:vMerge w:val="restart"/>
            <w:tcBorders>
              <w:top w:val="single" w:sz="8" w:space="0" w:color="auto"/>
              <w:left w:val="dotted" w:sz="4" w:space="0" w:color="auto"/>
              <w:bottom w:val="single" w:sz="8" w:space="0" w:color="000000"/>
              <w:right w:val="single" w:sz="8" w:space="0" w:color="auto"/>
            </w:tcBorders>
            <w:shd w:val="clear" w:color="000000" w:fill="DEEAF6"/>
            <w:vAlign w:val="center"/>
            <w:hideMark/>
          </w:tcPr>
          <w:p w14:paraId="787BBC0A" w14:textId="77777777" w:rsidR="003B3804" w:rsidRPr="004E5A6E" w:rsidRDefault="003B3804" w:rsidP="00713DEA">
            <w:pPr>
              <w:jc w:val="center"/>
              <w:rPr>
                <w:b/>
                <w:bCs/>
                <w:sz w:val="16"/>
                <w:szCs w:val="18"/>
                <w:lang w:val="sq-AL"/>
              </w:rPr>
            </w:pPr>
            <w:r w:rsidRPr="004E5A6E">
              <w:rPr>
                <w:b/>
                <w:bCs/>
                <w:sz w:val="16"/>
                <w:szCs w:val="18"/>
                <w:lang w:val="sq-AL"/>
              </w:rPr>
              <w:t>Projekti</w:t>
            </w:r>
          </w:p>
          <w:p w14:paraId="3DE9BAD4" w14:textId="77777777" w:rsidR="003B3804" w:rsidRPr="004E5A6E" w:rsidRDefault="003B3804" w:rsidP="00713DEA">
            <w:pPr>
              <w:jc w:val="center"/>
              <w:rPr>
                <w:b/>
                <w:bCs/>
                <w:sz w:val="16"/>
                <w:szCs w:val="18"/>
                <w:lang w:val="sq-AL"/>
              </w:rPr>
            </w:pPr>
            <w:r w:rsidRPr="004E5A6E">
              <w:rPr>
                <w:b/>
                <w:bCs/>
                <w:sz w:val="16"/>
                <w:szCs w:val="18"/>
                <w:lang w:val="sq-AL"/>
              </w:rPr>
              <w:t>2023</w:t>
            </w:r>
          </w:p>
        </w:tc>
      </w:tr>
      <w:tr w:rsidR="003B3804" w:rsidRPr="004E5A6E" w14:paraId="5AD2851B" w14:textId="77777777" w:rsidTr="00713DEA">
        <w:trPr>
          <w:trHeight w:val="202"/>
        </w:trPr>
        <w:tc>
          <w:tcPr>
            <w:tcW w:w="981" w:type="dxa"/>
            <w:vMerge/>
            <w:tcBorders>
              <w:top w:val="single" w:sz="8" w:space="0" w:color="auto"/>
              <w:left w:val="single" w:sz="8" w:space="0" w:color="auto"/>
              <w:bottom w:val="single" w:sz="8" w:space="0" w:color="000000"/>
              <w:right w:val="dotted" w:sz="4" w:space="0" w:color="auto"/>
            </w:tcBorders>
            <w:vAlign w:val="center"/>
            <w:hideMark/>
          </w:tcPr>
          <w:p w14:paraId="081CB0B8" w14:textId="77777777" w:rsidR="003B3804" w:rsidRPr="004E5A6E" w:rsidRDefault="003B3804" w:rsidP="00713DEA">
            <w:pPr>
              <w:rPr>
                <w:b/>
                <w:bCs/>
                <w:sz w:val="16"/>
                <w:szCs w:val="18"/>
                <w:lang w:val="sq-AL"/>
              </w:rPr>
            </w:pPr>
          </w:p>
        </w:tc>
        <w:tc>
          <w:tcPr>
            <w:tcW w:w="2767" w:type="dxa"/>
            <w:vMerge/>
            <w:tcBorders>
              <w:top w:val="single" w:sz="8" w:space="0" w:color="auto"/>
              <w:left w:val="dotted" w:sz="4" w:space="0" w:color="auto"/>
              <w:bottom w:val="single" w:sz="8" w:space="0" w:color="000000"/>
              <w:right w:val="dotted" w:sz="4" w:space="0" w:color="auto"/>
            </w:tcBorders>
            <w:vAlign w:val="center"/>
            <w:hideMark/>
          </w:tcPr>
          <w:p w14:paraId="4FB448C0" w14:textId="77777777" w:rsidR="003B3804" w:rsidRPr="004E5A6E" w:rsidRDefault="003B3804" w:rsidP="00713DEA">
            <w:pPr>
              <w:rPr>
                <w:b/>
                <w:bCs/>
                <w:sz w:val="16"/>
                <w:szCs w:val="18"/>
                <w:lang w:val="sq-AL"/>
              </w:rPr>
            </w:pPr>
          </w:p>
        </w:tc>
        <w:tc>
          <w:tcPr>
            <w:tcW w:w="741" w:type="dxa"/>
            <w:vMerge/>
            <w:tcBorders>
              <w:top w:val="single" w:sz="8" w:space="0" w:color="auto"/>
              <w:left w:val="dotted" w:sz="4" w:space="0" w:color="auto"/>
              <w:bottom w:val="single" w:sz="8" w:space="0" w:color="000000"/>
              <w:right w:val="dotted" w:sz="4" w:space="0" w:color="auto"/>
            </w:tcBorders>
            <w:vAlign w:val="center"/>
            <w:hideMark/>
          </w:tcPr>
          <w:p w14:paraId="5257D9A5" w14:textId="77777777" w:rsidR="003B3804" w:rsidRPr="004E5A6E" w:rsidRDefault="003B3804" w:rsidP="00713DEA">
            <w:pPr>
              <w:rPr>
                <w:b/>
                <w:bCs/>
                <w:sz w:val="16"/>
                <w:szCs w:val="18"/>
                <w:lang w:val="sq-AL"/>
              </w:rPr>
            </w:pPr>
          </w:p>
        </w:tc>
        <w:tc>
          <w:tcPr>
            <w:tcW w:w="863" w:type="dxa"/>
            <w:vMerge/>
            <w:tcBorders>
              <w:top w:val="single" w:sz="8" w:space="0" w:color="auto"/>
              <w:left w:val="dotted" w:sz="4" w:space="0" w:color="auto"/>
              <w:bottom w:val="single" w:sz="8" w:space="0" w:color="000000"/>
              <w:right w:val="dotted" w:sz="4" w:space="0" w:color="auto"/>
            </w:tcBorders>
            <w:vAlign w:val="center"/>
            <w:hideMark/>
          </w:tcPr>
          <w:p w14:paraId="0F457E5D" w14:textId="77777777" w:rsidR="003B3804" w:rsidRPr="004E5A6E" w:rsidRDefault="003B3804" w:rsidP="00713DEA">
            <w:pPr>
              <w:rPr>
                <w:b/>
                <w:bCs/>
                <w:sz w:val="16"/>
                <w:szCs w:val="18"/>
                <w:lang w:val="sq-AL"/>
              </w:rPr>
            </w:pPr>
          </w:p>
        </w:tc>
        <w:tc>
          <w:tcPr>
            <w:tcW w:w="863" w:type="dxa"/>
            <w:vMerge/>
            <w:tcBorders>
              <w:top w:val="single" w:sz="8" w:space="0" w:color="auto"/>
              <w:left w:val="dotted" w:sz="4" w:space="0" w:color="auto"/>
              <w:bottom w:val="single" w:sz="8" w:space="0" w:color="000000"/>
              <w:right w:val="dotted" w:sz="4" w:space="0" w:color="auto"/>
            </w:tcBorders>
            <w:vAlign w:val="center"/>
            <w:hideMark/>
          </w:tcPr>
          <w:p w14:paraId="780D6D14" w14:textId="77777777" w:rsidR="003B3804" w:rsidRPr="004E5A6E" w:rsidRDefault="003B3804" w:rsidP="00713DEA">
            <w:pPr>
              <w:rPr>
                <w:b/>
                <w:bCs/>
                <w:sz w:val="16"/>
                <w:szCs w:val="18"/>
                <w:lang w:val="sq-AL"/>
              </w:rPr>
            </w:pPr>
          </w:p>
        </w:tc>
        <w:tc>
          <w:tcPr>
            <w:tcW w:w="863" w:type="dxa"/>
            <w:vMerge/>
            <w:tcBorders>
              <w:top w:val="single" w:sz="8" w:space="0" w:color="auto"/>
              <w:left w:val="dotted" w:sz="4" w:space="0" w:color="auto"/>
              <w:bottom w:val="single" w:sz="8" w:space="0" w:color="000000"/>
              <w:right w:val="dotted" w:sz="4" w:space="0" w:color="auto"/>
            </w:tcBorders>
            <w:vAlign w:val="center"/>
            <w:hideMark/>
          </w:tcPr>
          <w:p w14:paraId="361E9A6B" w14:textId="77777777" w:rsidR="003B3804" w:rsidRPr="004E5A6E" w:rsidRDefault="003B3804" w:rsidP="00713DEA">
            <w:pPr>
              <w:rPr>
                <w:b/>
                <w:bCs/>
                <w:sz w:val="16"/>
                <w:szCs w:val="18"/>
                <w:lang w:val="sq-AL"/>
              </w:rPr>
            </w:pPr>
          </w:p>
        </w:tc>
        <w:tc>
          <w:tcPr>
            <w:tcW w:w="863" w:type="dxa"/>
            <w:vMerge/>
            <w:tcBorders>
              <w:top w:val="single" w:sz="8" w:space="0" w:color="auto"/>
              <w:left w:val="dotted" w:sz="4" w:space="0" w:color="auto"/>
              <w:bottom w:val="single" w:sz="8" w:space="0" w:color="000000"/>
              <w:right w:val="dotted" w:sz="4" w:space="0" w:color="auto"/>
            </w:tcBorders>
            <w:vAlign w:val="center"/>
            <w:hideMark/>
          </w:tcPr>
          <w:p w14:paraId="4F16C1FA" w14:textId="77777777" w:rsidR="003B3804" w:rsidRPr="004E5A6E" w:rsidRDefault="003B3804" w:rsidP="00713DEA">
            <w:pPr>
              <w:rPr>
                <w:b/>
                <w:bCs/>
                <w:sz w:val="16"/>
                <w:szCs w:val="18"/>
                <w:lang w:val="sq-AL"/>
              </w:rPr>
            </w:pPr>
          </w:p>
        </w:tc>
        <w:tc>
          <w:tcPr>
            <w:tcW w:w="863" w:type="dxa"/>
            <w:vMerge/>
            <w:tcBorders>
              <w:top w:val="single" w:sz="8" w:space="0" w:color="auto"/>
              <w:left w:val="dotted" w:sz="4" w:space="0" w:color="auto"/>
              <w:bottom w:val="single" w:sz="8" w:space="0" w:color="000000"/>
              <w:right w:val="single" w:sz="8" w:space="0" w:color="auto"/>
            </w:tcBorders>
            <w:vAlign w:val="center"/>
            <w:hideMark/>
          </w:tcPr>
          <w:p w14:paraId="371C7C1F" w14:textId="77777777" w:rsidR="003B3804" w:rsidRPr="004E5A6E" w:rsidRDefault="003B3804" w:rsidP="00713DEA">
            <w:pPr>
              <w:rPr>
                <w:b/>
                <w:bCs/>
                <w:sz w:val="16"/>
                <w:szCs w:val="18"/>
                <w:lang w:val="sq-AL"/>
              </w:rPr>
            </w:pPr>
          </w:p>
        </w:tc>
      </w:tr>
      <w:tr w:rsidR="003B3804" w:rsidRPr="004E5A6E" w14:paraId="7312A1B4" w14:textId="77777777" w:rsidTr="00713DEA">
        <w:trPr>
          <w:trHeight w:val="292"/>
        </w:trPr>
        <w:tc>
          <w:tcPr>
            <w:tcW w:w="981" w:type="dxa"/>
            <w:vMerge w:val="restart"/>
            <w:tcBorders>
              <w:top w:val="nil"/>
              <w:left w:val="single" w:sz="8" w:space="0" w:color="auto"/>
              <w:bottom w:val="single" w:sz="8" w:space="0" w:color="000000"/>
              <w:right w:val="dotted" w:sz="4" w:space="0" w:color="auto"/>
            </w:tcBorders>
            <w:shd w:val="clear" w:color="000000" w:fill="DEEAF6"/>
            <w:noWrap/>
            <w:vAlign w:val="center"/>
            <w:hideMark/>
          </w:tcPr>
          <w:p w14:paraId="59494076" w14:textId="77777777" w:rsidR="003B3804" w:rsidRPr="004E5A6E" w:rsidRDefault="003B3804" w:rsidP="00713DEA">
            <w:pPr>
              <w:rPr>
                <w:b/>
                <w:bCs/>
                <w:sz w:val="16"/>
                <w:szCs w:val="18"/>
                <w:lang w:val="sq-AL"/>
              </w:rPr>
            </w:pPr>
            <w:r w:rsidRPr="004E5A6E">
              <w:rPr>
                <w:b/>
                <w:bCs/>
                <w:sz w:val="16"/>
                <w:szCs w:val="18"/>
                <w:lang w:val="sq-AL"/>
              </w:rPr>
              <w:t>PRE 2020</w:t>
            </w:r>
          </w:p>
        </w:tc>
        <w:tc>
          <w:tcPr>
            <w:tcW w:w="2767" w:type="dxa"/>
            <w:tcBorders>
              <w:top w:val="nil"/>
              <w:left w:val="nil"/>
              <w:bottom w:val="dotted" w:sz="4" w:space="0" w:color="auto"/>
              <w:right w:val="dotted" w:sz="4" w:space="0" w:color="auto"/>
            </w:tcBorders>
            <w:shd w:val="clear" w:color="000000" w:fill="DEEAF6"/>
            <w:noWrap/>
            <w:vAlign w:val="center"/>
            <w:hideMark/>
          </w:tcPr>
          <w:p w14:paraId="6A3ADF08" w14:textId="77777777" w:rsidR="003B3804" w:rsidRPr="004E5A6E" w:rsidRDefault="003B3804" w:rsidP="00713DEA">
            <w:pPr>
              <w:rPr>
                <w:sz w:val="16"/>
                <w:szCs w:val="18"/>
                <w:lang w:val="sq-AL"/>
              </w:rPr>
            </w:pPr>
            <w:r w:rsidRPr="004E5A6E">
              <w:rPr>
                <w:sz w:val="16"/>
                <w:szCs w:val="18"/>
                <w:lang w:val="sq-AL"/>
              </w:rPr>
              <w:t>Të ardhurat totale</w:t>
            </w:r>
          </w:p>
        </w:tc>
        <w:tc>
          <w:tcPr>
            <w:tcW w:w="741" w:type="dxa"/>
            <w:tcBorders>
              <w:top w:val="nil"/>
              <w:left w:val="nil"/>
              <w:bottom w:val="dotted" w:sz="4" w:space="0" w:color="auto"/>
              <w:right w:val="dotted" w:sz="4" w:space="0" w:color="auto"/>
            </w:tcBorders>
            <w:shd w:val="clear" w:color="000000" w:fill="DEEAF6"/>
            <w:noWrap/>
            <w:vAlign w:val="center"/>
            <w:hideMark/>
          </w:tcPr>
          <w:p w14:paraId="6F8B32E2" w14:textId="77777777" w:rsidR="003B3804" w:rsidRPr="004E5A6E" w:rsidRDefault="003B3804" w:rsidP="00713DEA">
            <w:pPr>
              <w:jc w:val="right"/>
              <w:rPr>
                <w:sz w:val="16"/>
                <w:szCs w:val="18"/>
                <w:lang w:val="sq-AL"/>
              </w:rPr>
            </w:pPr>
            <w:r w:rsidRPr="004E5A6E">
              <w:rPr>
                <w:sz w:val="16"/>
                <w:szCs w:val="18"/>
                <w:lang w:val="sq-AL"/>
              </w:rPr>
              <w:t>1,757.0</w:t>
            </w:r>
          </w:p>
        </w:tc>
        <w:tc>
          <w:tcPr>
            <w:tcW w:w="863" w:type="dxa"/>
            <w:tcBorders>
              <w:top w:val="nil"/>
              <w:left w:val="nil"/>
              <w:bottom w:val="dotted" w:sz="4" w:space="0" w:color="auto"/>
              <w:right w:val="dotted" w:sz="4" w:space="0" w:color="auto"/>
            </w:tcBorders>
            <w:shd w:val="clear" w:color="000000" w:fill="DEEAF6"/>
            <w:noWrap/>
            <w:vAlign w:val="center"/>
            <w:hideMark/>
          </w:tcPr>
          <w:p w14:paraId="4A2C0768" w14:textId="77777777" w:rsidR="003B3804" w:rsidRPr="004E5A6E" w:rsidRDefault="003B3804" w:rsidP="00713DEA">
            <w:pPr>
              <w:jc w:val="right"/>
              <w:rPr>
                <w:sz w:val="16"/>
                <w:szCs w:val="18"/>
                <w:lang w:val="sq-AL"/>
              </w:rPr>
            </w:pPr>
            <w:r w:rsidRPr="004E5A6E">
              <w:rPr>
                <w:sz w:val="16"/>
                <w:szCs w:val="18"/>
                <w:lang w:val="sq-AL"/>
              </w:rPr>
              <w:t>1,949.0</w:t>
            </w:r>
          </w:p>
        </w:tc>
        <w:tc>
          <w:tcPr>
            <w:tcW w:w="863" w:type="dxa"/>
            <w:tcBorders>
              <w:top w:val="nil"/>
              <w:left w:val="nil"/>
              <w:bottom w:val="dotted" w:sz="4" w:space="0" w:color="auto"/>
              <w:right w:val="dotted" w:sz="4" w:space="0" w:color="auto"/>
            </w:tcBorders>
            <w:shd w:val="clear" w:color="000000" w:fill="DEEAF6"/>
            <w:vAlign w:val="center"/>
            <w:hideMark/>
          </w:tcPr>
          <w:p w14:paraId="1624EBA3" w14:textId="77777777" w:rsidR="003B3804" w:rsidRPr="004E5A6E" w:rsidRDefault="003B3804" w:rsidP="00713DEA">
            <w:pPr>
              <w:jc w:val="right"/>
              <w:rPr>
                <w:sz w:val="16"/>
                <w:szCs w:val="18"/>
                <w:lang w:val="sq-AL"/>
              </w:rPr>
            </w:pPr>
            <w:r w:rsidRPr="004E5A6E">
              <w:rPr>
                <w:sz w:val="16"/>
                <w:szCs w:val="18"/>
                <w:lang w:val="sq-AL"/>
              </w:rPr>
              <w:t>2,047.0</w:t>
            </w:r>
          </w:p>
        </w:tc>
        <w:tc>
          <w:tcPr>
            <w:tcW w:w="863" w:type="dxa"/>
            <w:tcBorders>
              <w:top w:val="nil"/>
              <w:left w:val="nil"/>
              <w:bottom w:val="dotted" w:sz="4" w:space="0" w:color="auto"/>
              <w:right w:val="dotted" w:sz="4" w:space="0" w:color="auto"/>
            </w:tcBorders>
            <w:shd w:val="clear" w:color="000000" w:fill="DEEAF6"/>
            <w:vAlign w:val="center"/>
            <w:hideMark/>
          </w:tcPr>
          <w:p w14:paraId="2170914D" w14:textId="77777777" w:rsidR="003B3804" w:rsidRPr="004E5A6E" w:rsidRDefault="003B3804" w:rsidP="00713DEA">
            <w:pPr>
              <w:jc w:val="right"/>
              <w:rPr>
                <w:sz w:val="16"/>
                <w:szCs w:val="18"/>
                <w:lang w:val="sq-AL"/>
              </w:rPr>
            </w:pPr>
            <w:r w:rsidRPr="004E5A6E">
              <w:rPr>
                <w:sz w:val="16"/>
                <w:szCs w:val="18"/>
                <w:lang w:val="sq-AL"/>
              </w:rPr>
              <w:t>2,124.0</w:t>
            </w:r>
          </w:p>
        </w:tc>
        <w:tc>
          <w:tcPr>
            <w:tcW w:w="863" w:type="dxa"/>
            <w:tcBorders>
              <w:top w:val="nil"/>
              <w:left w:val="nil"/>
              <w:bottom w:val="dotted" w:sz="4" w:space="0" w:color="auto"/>
              <w:right w:val="dotted" w:sz="4" w:space="0" w:color="auto"/>
            </w:tcBorders>
            <w:shd w:val="clear" w:color="000000" w:fill="DEEAF6"/>
            <w:vAlign w:val="center"/>
            <w:hideMark/>
          </w:tcPr>
          <w:p w14:paraId="7682FC94" w14:textId="77777777" w:rsidR="003B3804" w:rsidRPr="004E5A6E" w:rsidRDefault="003B3804" w:rsidP="00713DEA">
            <w:pPr>
              <w:jc w:val="right"/>
              <w:rPr>
                <w:sz w:val="16"/>
                <w:szCs w:val="18"/>
                <w:lang w:val="sq-AL"/>
              </w:rPr>
            </w:pPr>
            <w:r w:rsidRPr="004E5A6E">
              <w:rPr>
                <w:sz w:val="16"/>
                <w:szCs w:val="18"/>
                <w:lang w:val="sq-AL"/>
              </w:rPr>
              <w:t>2,239.0</w:t>
            </w:r>
          </w:p>
        </w:tc>
        <w:tc>
          <w:tcPr>
            <w:tcW w:w="863" w:type="dxa"/>
            <w:tcBorders>
              <w:top w:val="nil"/>
              <w:left w:val="nil"/>
              <w:bottom w:val="dotted" w:sz="4" w:space="0" w:color="auto"/>
              <w:right w:val="single" w:sz="8" w:space="0" w:color="auto"/>
            </w:tcBorders>
            <w:shd w:val="clear" w:color="000000" w:fill="DEEAF6"/>
            <w:noWrap/>
            <w:vAlign w:val="center"/>
            <w:hideMark/>
          </w:tcPr>
          <w:p w14:paraId="1A20B028" w14:textId="77777777" w:rsidR="003B3804" w:rsidRPr="004E5A6E" w:rsidRDefault="003B3804" w:rsidP="00713DEA">
            <w:pPr>
              <w:jc w:val="right"/>
              <w:rPr>
                <w:i/>
                <w:iCs/>
                <w:sz w:val="16"/>
                <w:szCs w:val="18"/>
                <w:lang w:val="sq-AL"/>
              </w:rPr>
            </w:pPr>
            <w:r w:rsidRPr="004E5A6E">
              <w:rPr>
                <w:i/>
                <w:iCs/>
                <w:sz w:val="16"/>
                <w:szCs w:val="18"/>
                <w:lang w:val="sq-AL"/>
              </w:rPr>
              <w:t>n/a</w:t>
            </w:r>
          </w:p>
        </w:tc>
      </w:tr>
      <w:tr w:rsidR="003B3804" w:rsidRPr="004E5A6E" w14:paraId="5EB48756" w14:textId="77777777" w:rsidTr="00713DEA">
        <w:trPr>
          <w:trHeight w:val="292"/>
        </w:trPr>
        <w:tc>
          <w:tcPr>
            <w:tcW w:w="981" w:type="dxa"/>
            <w:vMerge/>
            <w:tcBorders>
              <w:top w:val="nil"/>
              <w:left w:val="single" w:sz="8" w:space="0" w:color="auto"/>
              <w:bottom w:val="single" w:sz="8" w:space="0" w:color="000000"/>
              <w:right w:val="dotted" w:sz="4" w:space="0" w:color="auto"/>
            </w:tcBorders>
            <w:vAlign w:val="center"/>
            <w:hideMark/>
          </w:tcPr>
          <w:p w14:paraId="2CD278EB" w14:textId="77777777" w:rsidR="003B3804" w:rsidRPr="004E5A6E" w:rsidRDefault="003B3804" w:rsidP="00713DEA">
            <w:pPr>
              <w:rPr>
                <w:b/>
                <w:bCs/>
                <w:sz w:val="16"/>
                <w:szCs w:val="18"/>
                <w:lang w:val="sq-AL"/>
              </w:rPr>
            </w:pPr>
          </w:p>
        </w:tc>
        <w:tc>
          <w:tcPr>
            <w:tcW w:w="2767" w:type="dxa"/>
            <w:tcBorders>
              <w:top w:val="nil"/>
              <w:left w:val="nil"/>
              <w:bottom w:val="dotted" w:sz="4" w:space="0" w:color="auto"/>
              <w:right w:val="dotted" w:sz="4" w:space="0" w:color="auto"/>
            </w:tcBorders>
            <w:shd w:val="clear" w:color="000000" w:fill="DEEAF6"/>
            <w:noWrap/>
            <w:vAlign w:val="center"/>
            <w:hideMark/>
          </w:tcPr>
          <w:p w14:paraId="21759309" w14:textId="77777777" w:rsidR="003B3804" w:rsidRPr="004E5A6E" w:rsidRDefault="003B3804" w:rsidP="00713DEA">
            <w:pPr>
              <w:ind w:firstLineChars="100" w:firstLine="160"/>
              <w:rPr>
                <w:i/>
                <w:iCs/>
                <w:sz w:val="16"/>
                <w:szCs w:val="18"/>
                <w:lang w:val="sq-AL"/>
              </w:rPr>
            </w:pPr>
            <w:r w:rsidRPr="004E5A6E">
              <w:rPr>
                <w:i/>
                <w:iCs/>
                <w:sz w:val="16"/>
                <w:szCs w:val="18"/>
                <w:lang w:val="sq-AL"/>
              </w:rPr>
              <w:t>Të ardhurat tatimore</w:t>
            </w:r>
          </w:p>
        </w:tc>
        <w:tc>
          <w:tcPr>
            <w:tcW w:w="741" w:type="dxa"/>
            <w:tcBorders>
              <w:top w:val="nil"/>
              <w:left w:val="nil"/>
              <w:bottom w:val="dotted" w:sz="4" w:space="0" w:color="auto"/>
              <w:right w:val="dotted" w:sz="4" w:space="0" w:color="auto"/>
            </w:tcBorders>
            <w:shd w:val="clear" w:color="000000" w:fill="DEEAF6"/>
            <w:noWrap/>
            <w:vAlign w:val="center"/>
            <w:hideMark/>
          </w:tcPr>
          <w:p w14:paraId="36967492" w14:textId="77777777" w:rsidR="003B3804" w:rsidRPr="004E5A6E" w:rsidRDefault="003B3804" w:rsidP="00713DEA">
            <w:pPr>
              <w:jc w:val="right"/>
              <w:rPr>
                <w:i/>
                <w:iCs/>
                <w:sz w:val="16"/>
                <w:szCs w:val="18"/>
                <w:lang w:val="sq-AL"/>
              </w:rPr>
            </w:pPr>
            <w:r w:rsidRPr="004E5A6E">
              <w:rPr>
                <w:i/>
                <w:iCs/>
                <w:sz w:val="16"/>
                <w:szCs w:val="18"/>
                <w:lang w:val="sq-AL"/>
              </w:rPr>
              <w:t>1,564.0</w:t>
            </w:r>
          </w:p>
        </w:tc>
        <w:tc>
          <w:tcPr>
            <w:tcW w:w="863" w:type="dxa"/>
            <w:tcBorders>
              <w:top w:val="nil"/>
              <w:left w:val="nil"/>
              <w:bottom w:val="dotted" w:sz="4" w:space="0" w:color="auto"/>
              <w:right w:val="dotted" w:sz="4" w:space="0" w:color="auto"/>
            </w:tcBorders>
            <w:shd w:val="clear" w:color="000000" w:fill="DEEAF6"/>
            <w:noWrap/>
            <w:vAlign w:val="center"/>
            <w:hideMark/>
          </w:tcPr>
          <w:p w14:paraId="4502D6A3" w14:textId="77777777" w:rsidR="003B3804" w:rsidRPr="004E5A6E" w:rsidRDefault="003B3804" w:rsidP="00713DEA">
            <w:pPr>
              <w:jc w:val="right"/>
              <w:rPr>
                <w:i/>
                <w:iCs/>
                <w:sz w:val="16"/>
                <w:szCs w:val="18"/>
                <w:lang w:val="sq-AL"/>
              </w:rPr>
            </w:pPr>
            <w:r w:rsidRPr="004E5A6E">
              <w:rPr>
                <w:i/>
                <w:iCs/>
                <w:sz w:val="16"/>
                <w:szCs w:val="18"/>
                <w:lang w:val="sq-AL"/>
              </w:rPr>
              <w:t>1,731.0</w:t>
            </w:r>
          </w:p>
        </w:tc>
        <w:tc>
          <w:tcPr>
            <w:tcW w:w="863" w:type="dxa"/>
            <w:tcBorders>
              <w:top w:val="nil"/>
              <w:left w:val="nil"/>
              <w:bottom w:val="dotted" w:sz="4" w:space="0" w:color="auto"/>
              <w:right w:val="dotted" w:sz="4" w:space="0" w:color="auto"/>
            </w:tcBorders>
            <w:shd w:val="clear" w:color="000000" w:fill="DEEAF6"/>
            <w:vAlign w:val="center"/>
            <w:hideMark/>
          </w:tcPr>
          <w:p w14:paraId="18F0FDA4" w14:textId="77777777" w:rsidR="003B3804" w:rsidRPr="004E5A6E" w:rsidRDefault="003B3804" w:rsidP="00713DEA">
            <w:pPr>
              <w:jc w:val="right"/>
              <w:rPr>
                <w:i/>
                <w:iCs/>
                <w:sz w:val="16"/>
                <w:szCs w:val="18"/>
                <w:lang w:val="sq-AL"/>
              </w:rPr>
            </w:pPr>
            <w:r w:rsidRPr="004E5A6E">
              <w:rPr>
                <w:i/>
                <w:iCs/>
                <w:sz w:val="16"/>
                <w:szCs w:val="18"/>
                <w:lang w:val="sq-AL"/>
              </w:rPr>
              <w:t>1,810.0</w:t>
            </w:r>
          </w:p>
        </w:tc>
        <w:tc>
          <w:tcPr>
            <w:tcW w:w="863" w:type="dxa"/>
            <w:tcBorders>
              <w:top w:val="nil"/>
              <w:left w:val="nil"/>
              <w:bottom w:val="dotted" w:sz="4" w:space="0" w:color="auto"/>
              <w:right w:val="dotted" w:sz="4" w:space="0" w:color="auto"/>
            </w:tcBorders>
            <w:shd w:val="clear" w:color="000000" w:fill="DEEAF6"/>
            <w:vAlign w:val="center"/>
            <w:hideMark/>
          </w:tcPr>
          <w:p w14:paraId="703F288F" w14:textId="77777777" w:rsidR="003B3804" w:rsidRPr="004E5A6E" w:rsidRDefault="003B3804" w:rsidP="00713DEA">
            <w:pPr>
              <w:jc w:val="right"/>
              <w:rPr>
                <w:i/>
                <w:iCs/>
                <w:sz w:val="16"/>
                <w:szCs w:val="18"/>
                <w:lang w:val="sq-AL"/>
              </w:rPr>
            </w:pPr>
            <w:r w:rsidRPr="004E5A6E">
              <w:rPr>
                <w:i/>
                <w:iCs/>
                <w:sz w:val="16"/>
                <w:szCs w:val="18"/>
                <w:lang w:val="sq-AL"/>
              </w:rPr>
              <w:t>1,888.0</w:t>
            </w:r>
          </w:p>
        </w:tc>
        <w:tc>
          <w:tcPr>
            <w:tcW w:w="863" w:type="dxa"/>
            <w:tcBorders>
              <w:top w:val="nil"/>
              <w:left w:val="nil"/>
              <w:bottom w:val="dotted" w:sz="4" w:space="0" w:color="auto"/>
              <w:right w:val="dotted" w:sz="4" w:space="0" w:color="auto"/>
            </w:tcBorders>
            <w:shd w:val="clear" w:color="000000" w:fill="DEEAF6"/>
            <w:vAlign w:val="center"/>
            <w:hideMark/>
          </w:tcPr>
          <w:p w14:paraId="4203E7B1" w14:textId="77777777" w:rsidR="003B3804" w:rsidRPr="004E5A6E" w:rsidRDefault="003B3804" w:rsidP="00713DEA">
            <w:pPr>
              <w:jc w:val="right"/>
              <w:rPr>
                <w:i/>
                <w:iCs/>
                <w:sz w:val="16"/>
                <w:szCs w:val="18"/>
                <w:lang w:val="sq-AL"/>
              </w:rPr>
            </w:pPr>
            <w:r w:rsidRPr="004E5A6E">
              <w:rPr>
                <w:i/>
                <w:iCs/>
                <w:sz w:val="16"/>
                <w:szCs w:val="18"/>
                <w:lang w:val="sq-AL"/>
              </w:rPr>
              <w:t>1,995.0</w:t>
            </w:r>
          </w:p>
        </w:tc>
        <w:tc>
          <w:tcPr>
            <w:tcW w:w="863" w:type="dxa"/>
            <w:tcBorders>
              <w:top w:val="nil"/>
              <w:left w:val="nil"/>
              <w:bottom w:val="dotted" w:sz="4" w:space="0" w:color="auto"/>
              <w:right w:val="single" w:sz="8" w:space="0" w:color="auto"/>
            </w:tcBorders>
            <w:shd w:val="clear" w:color="000000" w:fill="DEEAF6"/>
            <w:noWrap/>
            <w:vAlign w:val="center"/>
            <w:hideMark/>
          </w:tcPr>
          <w:p w14:paraId="2ADC40F4" w14:textId="77777777" w:rsidR="003B3804" w:rsidRPr="004E5A6E" w:rsidRDefault="003B3804" w:rsidP="00713DEA">
            <w:pPr>
              <w:jc w:val="right"/>
              <w:rPr>
                <w:i/>
                <w:iCs/>
                <w:sz w:val="16"/>
                <w:szCs w:val="18"/>
                <w:lang w:val="sq-AL"/>
              </w:rPr>
            </w:pPr>
            <w:r w:rsidRPr="004E5A6E">
              <w:rPr>
                <w:i/>
                <w:iCs/>
                <w:sz w:val="16"/>
                <w:szCs w:val="18"/>
                <w:lang w:val="sq-AL"/>
              </w:rPr>
              <w:t>n/a</w:t>
            </w:r>
          </w:p>
        </w:tc>
      </w:tr>
      <w:tr w:rsidR="003B3804" w:rsidRPr="004E5A6E" w14:paraId="1269FFC5" w14:textId="77777777" w:rsidTr="00713DEA">
        <w:trPr>
          <w:trHeight w:val="292"/>
        </w:trPr>
        <w:tc>
          <w:tcPr>
            <w:tcW w:w="981" w:type="dxa"/>
            <w:vMerge/>
            <w:tcBorders>
              <w:top w:val="nil"/>
              <w:left w:val="single" w:sz="8" w:space="0" w:color="auto"/>
              <w:bottom w:val="single" w:sz="8" w:space="0" w:color="000000"/>
              <w:right w:val="dotted" w:sz="4" w:space="0" w:color="auto"/>
            </w:tcBorders>
            <w:vAlign w:val="center"/>
            <w:hideMark/>
          </w:tcPr>
          <w:p w14:paraId="4EB8DF02" w14:textId="77777777" w:rsidR="003B3804" w:rsidRPr="004E5A6E" w:rsidRDefault="003B3804" w:rsidP="00713DEA">
            <w:pPr>
              <w:rPr>
                <w:b/>
                <w:bCs/>
                <w:sz w:val="16"/>
                <w:szCs w:val="18"/>
                <w:lang w:val="sq-AL"/>
              </w:rPr>
            </w:pPr>
          </w:p>
        </w:tc>
        <w:tc>
          <w:tcPr>
            <w:tcW w:w="2767" w:type="dxa"/>
            <w:tcBorders>
              <w:top w:val="nil"/>
              <w:left w:val="nil"/>
              <w:bottom w:val="dotted" w:sz="4" w:space="0" w:color="auto"/>
              <w:right w:val="dotted" w:sz="4" w:space="0" w:color="auto"/>
            </w:tcBorders>
            <w:shd w:val="clear" w:color="000000" w:fill="DEEAF6"/>
            <w:noWrap/>
            <w:vAlign w:val="center"/>
            <w:hideMark/>
          </w:tcPr>
          <w:p w14:paraId="255037BB" w14:textId="77777777" w:rsidR="003B3804" w:rsidRPr="004E5A6E" w:rsidRDefault="003B3804" w:rsidP="00713DEA">
            <w:pPr>
              <w:ind w:firstLineChars="100" w:firstLine="160"/>
              <w:rPr>
                <w:i/>
                <w:iCs/>
                <w:sz w:val="16"/>
                <w:szCs w:val="18"/>
                <w:lang w:val="sq-AL"/>
              </w:rPr>
            </w:pPr>
            <w:r w:rsidRPr="004E5A6E">
              <w:rPr>
                <w:i/>
                <w:iCs/>
                <w:sz w:val="16"/>
                <w:szCs w:val="18"/>
                <w:lang w:val="sq-AL"/>
              </w:rPr>
              <w:t>Të ardhurat jotatimore</w:t>
            </w:r>
          </w:p>
        </w:tc>
        <w:tc>
          <w:tcPr>
            <w:tcW w:w="741" w:type="dxa"/>
            <w:tcBorders>
              <w:top w:val="nil"/>
              <w:left w:val="nil"/>
              <w:bottom w:val="dotted" w:sz="4" w:space="0" w:color="auto"/>
              <w:right w:val="dotted" w:sz="4" w:space="0" w:color="auto"/>
            </w:tcBorders>
            <w:shd w:val="clear" w:color="000000" w:fill="DEEAF6"/>
            <w:noWrap/>
            <w:vAlign w:val="center"/>
            <w:hideMark/>
          </w:tcPr>
          <w:p w14:paraId="1176B8E8" w14:textId="77777777" w:rsidR="003B3804" w:rsidRPr="004E5A6E" w:rsidRDefault="003B3804" w:rsidP="00713DEA">
            <w:pPr>
              <w:jc w:val="right"/>
              <w:rPr>
                <w:i/>
                <w:iCs/>
                <w:sz w:val="16"/>
                <w:szCs w:val="18"/>
                <w:lang w:val="sq-AL"/>
              </w:rPr>
            </w:pPr>
            <w:r w:rsidRPr="004E5A6E">
              <w:rPr>
                <w:i/>
                <w:iCs/>
                <w:sz w:val="16"/>
                <w:szCs w:val="18"/>
                <w:lang w:val="sq-AL"/>
              </w:rPr>
              <w:t>193.0</w:t>
            </w:r>
          </w:p>
        </w:tc>
        <w:tc>
          <w:tcPr>
            <w:tcW w:w="863" w:type="dxa"/>
            <w:tcBorders>
              <w:top w:val="nil"/>
              <w:left w:val="nil"/>
              <w:bottom w:val="dotted" w:sz="4" w:space="0" w:color="auto"/>
              <w:right w:val="dotted" w:sz="4" w:space="0" w:color="auto"/>
            </w:tcBorders>
            <w:shd w:val="clear" w:color="000000" w:fill="DEEAF6"/>
            <w:noWrap/>
            <w:vAlign w:val="center"/>
            <w:hideMark/>
          </w:tcPr>
          <w:p w14:paraId="12A06A0F" w14:textId="77777777" w:rsidR="003B3804" w:rsidRPr="004E5A6E" w:rsidRDefault="003B3804" w:rsidP="00713DEA">
            <w:pPr>
              <w:jc w:val="right"/>
              <w:rPr>
                <w:i/>
                <w:iCs/>
                <w:sz w:val="16"/>
                <w:szCs w:val="18"/>
                <w:lang w:val="sq-AL"/>
              </w:rPr>
            </w:pPr>
            <w:r w:rsidRPr="004E5A6E">
              <w:rPr>
                <w:i/>
                <w:iCs/>
                <w:sz w:val="16"/>
                <w:szCs w:val="18"/>
                <w:lang w:val="sq-AL"/>
              </w:rPr>
              <w:t>208.0</w:t>
            </w:r>
          </w:p>
        </w:tc>
        <w:tc>
          <w:tcPr>
            <w:tcW w:w="863" w:type="dxa"/>
            <w:tcBorders>
              <w:top w:val="nil"/>
              <w:left w:val="nil"/>
              <w:bottom w:val="dotted" w:sz="4" w:space="0" w:color="auto"/>
              <w:right w:val="dotted" w:sz="4" w:space="0" w:color="auto"/>
            </w:tcBorders>
            <w:shd w:val="clear" w:color="000000" w:fill="DEEAF6"/>
            <w:noWrap/>
            <w:vAlign w:val="center"/>
            <w:hideMark/>
          </w:tcPr>
          <w:p w14:paraId="2F1189C2" w14:textId="77777777" w:rsidR="003B3804" w:rsidRPr="004E5A6E" w:rsidRDefault="003B3804" w:rsidP="00713DEA">
            <w:pPr>
              <w:jc w:val="right"/>
              <w:rPr>
                <w:i/>
                <w:iCs/>
                <w:sz w:val="16"/>
                <w:szCs w:val="18"/>
                <w:lang w:val="sq-AL"/>
              </w:rPr>
            </w:pPr>
            <w:r w:rsidRPr="004E5A6E">
              <w:rPr>
                <w:i/>
                <w:iCs/>
                <w:sz w:val="16"/>
                <w:szCs w:val="18"/>
                <w:lang w:val="sq-AL"/>
              </w:rPr>
              <w:t>226.0</w:t>
            </w:r>
          </w:p>
        </w:tc>
        <w:tc>
          <w:tcPr>
            <w:tcW w:w="863" w:type="dxa"/>
            <w:tcBorders>
              <w:top w:val="nil"/>
              <w:left w:val="nil"/>
              <w:bottom w:val="dotted" w:sz="4" w:space="0" w:color="auto"/>
              <w:right w:val="dotted" w:sz="4" w:space="0" w:color="auto"/>
            </w:tcBorders>
            <w:shd w:val="clear" w:color="000000" w:fill="DEEAF6"/>
            <w:vAlign w:val="center"/>
            <w:hideMark/>
          </w:tcPr>
          <w:p w14:paraId="4EDE95D1" w14:textId="77777777" w:rsidR="003B3804" w:rsidRPr="004E5A6E" w:rsidRDefault="003B3804" w:rsidP="00713DEA">
            <w:pPr>
              <w:jc w:val="right"/>
              <w:rPr>
                <w:i/>
                <w:iCs/>
                <w:sz w:val="16"/>
                <w:szCs w:val="18"/>
                <w:lang w:val="sq-AL"/>
              </w:rPr>
            </w:pPr>
            <w:r w:rsidRPr="004E5A6E">
              <w:rPr>
                <w:i/>
                <w:iCs/>
                <w:sz w:val="16"/>
                <w:szCs w:val="18"/>
                <w:lang w:val="sq-AL"/>
              </w:rPr>
              <w:t>225.0</w:t>
            </w:r>
          </w:p>
        </w:tc>
        <w:tc>
          <w:tcPr>
            <w:tcW w:w="863" w:type="dxa"/>
            <w:tcBorders>
              <w:top w:val="nil"/>
              <w:left w:val="nil"/>
              <w:bottom w:val="dotted" w:sz="4" w:space="0" w:color="auto"/>
              <w:right w:val="dotted" w:sz="4" w:space="0" w:color="auto"/>
            </w:tcBorders>
            <w:shd w:val="clear" w:color="000000" w:fill="DEEAF6"/>
            <w:vAlign w:val="center"/>
            <w:hideMark/>
          </w:tcPr>
          <w:p w14:paraId="4C26518F" w14:textId="77777777" w:rsidR="003B3804" w:rsidRPr="004E5A6E" w:rsidRDefault="003B3804" w:rsidP="00713DEA">
            <w:pPr>
              <w:jc w:val="right"/>
              <w:rPr>
                <w:i/>
                <w:iCs/>
                <w:sz w:val="16"/>
                <w:szCs w:val="18"/>
                <w:lang w:val="sq-AL"/>
              </w:rPr>
            </w:pPr>
            <w:r w:rsidRPr="004E5A6E">
              <w:rPr>
                <w:i/>
                <w:iCs/>
                <w:sz w:val="16"/>
                <w:szCs w:val="18"/>
                <w:lang w:val="sq-AL"/>
              </w:rPr>
              <w:t>234.0</w:t>
            </w:r>
          </w:p>
        </w:tc>
        <w:tc>
          <w:tcPr>
            <w:tcW w:w="863" w:type="dxa"/>
            <w:tcBorders>
              <w:top w:val="nil"/>
              <w:left w:val="nil"/>
              <w:bottom w:val="dotted" w:sz="4" w:space="0" w:color="auto"/>
              <w:right w:val="single" w:sz="8" w:space="0" w:color="auto"/>
            </w:tcBorders>
            <w:shd w:val="clear" w:color="000000" w:fill="DEEAF6"/>
            <w:noWrap/>
            <w:vAlign w:val="center"/>
            <w:hideMark/>
          </w:tcPr>
          <w:p w14:paraId="7513C498" w14:textId="77777777" w:rsidR="003B3804" w:rsidRPr="004E5A6E" w:rsidRDefault="003B3804" w:rsidP="00713DEA">
            <w:pPr>
              <w:jc w:val="right"/>
              <w:rPr>
                <w:i/>
                <w:iCs/>
                <w:sz w:val="16"/>
                <w:szCs w:val="18"/>
                <w:lang w:val="sq-AL"/>
              </w:rPr>
            </w:pPr>
            <w:r w:rsidRPr="004E5A6E">
              <w:rPr>
                <w:i/>
                <w:iCs/>
                <w:sz w:val="16"/>
                <w:szCs w:val="18"/>
                <w:lang w:val="sq-AL"/>
              </w:rPr>
              <w:t>n/a</w:t>
            </w:r>
          </w:p>
        </w:tc>
      </w:tr>
      <w:tr w:rsidR="003B3804" w:rsidRPr="004E5A6E" w14:paraId="25C4D440" w14:textId="77777777" w:rsidTr="00713DEA">
        <w:trPr>
          <w:trHeight w:val="292"/>
        </w:trPr>
        <w:tc>
          <w:tcPr>
            <w:tcW w:w="981" w:type="dxa"/>
            <w:vMerge/>
            <w:tcBorders>
              <w:top w:val="nil"/>
              <w:left w:val="single" w:sz="8" w:space="0" w:color="auto"/>
              <w:bottom w:val="single" w:sz="8" w:space="0" w:color="000000"/>
              <w:right w:val="dotted" w:sz="4" w:space="0" w:color="auto"/>
            </w:tcBorders>
            <w:vAlign w:val="center"/>
            <w:hideMark/>
          </w:tcPr>
          <w:p w14:paraId="0785E87C" w14:textId="77777777" w:rsidR="003B3804" w:rsidRPr="004E5A6E" w:rsidRDefault="003B3804" w:rsidP="00713DEA">
            <w:pPr>
              <w:rPr>
                <w:b/>
                <w:bCs/>
                <w:sz w:val="16"/>
                <w:szCs w:val="18"/>
                <w:lang w:val="sq-AL"/>
              </w:rPr>
            </w:pPr>
          </w:p>
        </w:tc>
        <w:tc>
          <w:tcPr>
            <w:tcW w:w="2767" w:type="dxa"/>
            <w:tcBorders>
              <w:top w:val="nil"/>
              <w:left w:val="nil"/>
              <w:bottom w:val="dotted" w:sz="4" w:space="0" w:color="auto"/>
              <w:right w:val="dotted" w:sz="4" w:space="0" w:color="auto"/>
            </w:tcBorders>
            <w:shd w:val="clear" w:color="000000" w:fill="DEEAF6"/>
            <w:noWrap/>
            <w:vAlign w:val="center"/>
            <w:hideMark/>
          </w:tcPr>
          <w:p w14:paraId="37348E33" w14:textId="77777777" w:rsidR="003B3804" w:rsidRPr="004E5A6E" w:rsidRDefault="003B3804" w:rsidP="00713DEA">
            <w:pPr>
              <w:rPr>
                <w:sz w:val="16"/>
                <w:szCs w:val="18"/>
                <w:lang w:val="sq-AL"/>
              </w:rPr>
            </w:pPr>
            <w:r w:rsidRPr="004E5A6E">
              <w:rPr>
                <w:sz w:val="16"/>
                <w:szCs w:val="18"/>
                <w:lang w:val="sq-AL"/>
              </w:rPr>
              <w:t>Shpenzimet totale</w:t>
            </w:r>
          </w:p>
        </w:tc>
        <w:tc>
          <w:tcPr>
            <w:tcW w:w="741" w:type="dxa"/>
            <w:tcBorders>
              <w:top w:val="nil"/>
              <w:left w:val="nil"/>
              <w:bottom w:val="dotted" w:sz="4" w:space="0" w:color="auto"/>
              <w:right w:val="dotted" w:sz="4" w:space="0" w:color="auto"/>
            </w:tcBorders>
            <w:shd w:val="clear" w:color="000000" w:fill="DEEAF6"/>
            <w:noWrap/>
            <w:vAlign w:val="center"/>
            <w:hideMark/>
          </w:tcPr>
          <w:p w14:paraId="76401A5C" w14:textId="77777777" w:rsidR="003B3804" w:rsidRPr="004E5A6E" w:rsidRDefault="003B3804" w:rsidP="00713DEA">
            <w:pPr>
              <w:jc w:val="right"/>
              <w:rPr>
                <w:sz w:val="16"/>
                <w:szCs w:val="18"/>
                <w:lang w:val="sq-AL"/>
              </w:rPr>
            </w:pPr>
            <w:r w:rsidRPr="004E5A6E">
              <w:rPr>
                <w:sz w:val="16"/>
                <w:szCs w:val="18"/>
                <w:lang w:val="sq-AL"/>
              </w:rPr>
              <w:t>1,956.0</w:t>
            </w:r>
          </w:p>
        </w:tc>
        <w:tc>
          <w:tcPr>
            <w:tcW w:w="863" w:type="dxa"/>
            <w:tcBorders>
              <w:top w:val="nil"/>
              <w:left w:val="nil"/>
              <w:bottom w:val="dotted" w:sz="4" w:space="0" w:color="auto"/>
              <w:right w:val="dotted" w:sz="4" w:space="0" w:color="auto"/>
            </w:tcBorders>
            <w:shd w:val="clear" w:color="000000" w:fill="DEEAF6"/>
            <w:noWrap/>
            <w:vAlign w:val="center"/>
            <w:hideMark/>
          </w:tcPr>
          <w:p w14:paraId="1440217A" w14:textId="77777777" w:rsidR="003B3804" w:rsidRPr="004E5A6E" w:rsidRDefault="003B3804" w:rsidP="00713DEA">
            <w:pPr>
              <w:jc w:val="right"/>
              <w:rPr>
                <w:sz w:val="16"/>
                <w:szCs w:val="18"/>
                <w:lang w:val="sq-AL"/>
              </w:rPr>
            </w:pPr>
            <w:r w:rsidRPr="004E5A6E">
              <w:rPr>
                <w:sz w:val="16"/>
                <w:szCs w:val="18"/>
                <w:lang w:val="sq-AL"/>
              </w:rPr>
              <w:t>2,378.0</w:t>
            </w:r>
          </w:p>
        </w:tc>
        <w:tc>
          <w:tcPr>
            <w:tcW w:w="863" w:type="dxa"/>
            <w:tcBorders>
              <w:top w:val="nil"/>
              <w:left w:val="nil"/>
              <w:bottom w:val="dotted" w:sz="4" w:space="0" w:color="auto"/>
              <w:right w:val="dotted" w:sz="4" w:space="0" w:color="auto"/>
            </w:tcBorders>
            <w:shd w:val="clear" w:color="000000" w:fill="DEEAF6"/>
            <w:noWrap/>
            <w:vAlign w:val="center"/>
            <w:hideMark/>
          </w:tcPr>
          <w:p w14:paraId="7B510814" w14:textId="77777777" w:rsidR="003B3804" w:rsidRPr="004E5A6E" w:rsidRDefault="003B3804" w:rsidP="00713DEA">
            <w:pPr>
              <w:jc w:val="right"/>
              <w:rPr>
                <w:sz w:val="16"/>
                <w:szCs w:val="18"/>
                <w:lang w:val="sq-AL"/>
              </w:rPr>
            </w:pPr>
            <w:r w:rsidRPr="004E5A6E">
              <w:rPr>
                <w:sz w:val="16"/>
                <w:szCs w:val="18"/>
                <w:lang w:val="sq-AL"/>
              </w:rPr>
              <w:t>2,467.0</w:t>
            </w:r>
          </w:p>
        </w:tc>
        <w:tc>
          <w:tcPr>
            <w:tcW w:w="863" w:type="dxa"/>
            <w:tcBorders>
              <w:top w:val="nil"/>
              <w:left w:val="nil"/>
              <w:bottom w:val="dotted" w:sz="4" w:space="0" w:color="auto"/>
              <w:right w:val="dotted" w:sz="4" w:space="0" w:color="auto"/>
            </w:tcBorders>
            <w:shd w:val="clear" w:color="000000" w:fill="DEEAF6"/>
            <w:noWrap/>
            <w:vAlign w:val="center"/>
            <w:hideMark/>
          </w:tcPr>
          <w:p w14:paraId="6EAFE165" w14:textId="77777777" w:rsidR="003B3804" w:rsidRPr="004E5A6E" w:rsidRDefault="003B3804" w:rsidP="00713DEA">
            <w:pPr>
              <w:jc w:val="right"/>
              <w:rPr>
                <w:sz w:val="16"/>
                <w:szCs w:val="18"/>
                <w:lang w:val="sq-AL"/>
              </w:rPr>
            </w:pPr>
            <w:r w:rsidRPr="004E5A6E">
              <w:rPr>
                <w:sz w:val="16"/>
                <w:szCs w:val="18"/>
                <w:lang w:val="sq-AL"/>
              </w:rPr>
              <w:t>2,544.0</w:t>
            </w:r>
          </w:p>
        </w:tc>
        <w:tc>
          <w:tcPr>
            <w:tcW w:w="863" w:type="dxa"/>
            <w:tcBorders>
              <w:top w:val="nil"/>
              <w:left w:val="nil"/>
              <w:bottom w:val="dotted" w:sz="4" w:space="0" w:color="auto"/>
              <w:right w:val="dotted" w:sz="4" w:space="0" w:color="auto"/>
            </w:tcBorders>
            <w:shd w:val="clear" w:color="000000" w:fill="DEEAF6"/>
            <w:noWrap/>
            <w:vAlign w:val="center"/>
            <w:hideMark/>
          </w:tcPr>
          <w:p w14:paraId="6C66E2E3" w14:textId="77777777" w:rsidR="003B3804" w:rsidRPr="004E5A6E" w:rsidRDefault="003B3804" w:rsidP="00713DEA">
            <w:pPr>
              <w:jc w:val="right"/>
              <w:rPr>
                <w:sz w:val="16"/>
                <w:szCs w:val="18"/>
                <w:lang w:val="sq-AL"/>
              </w:rPr>
            </w:pPr>
            <w:r w:rsidRPr="004E5A6E">
              <w:rPr>
                <w:sz w:val="16"/>
                <w:szCs w:val="18"/>
                <w:lang w:val="sq-AL"/>
              </w:rPr>
              <w:t>2,616.0</w:t>
            </w:r>
          </w:p>
        </w:tc>
        <w:tc>
          <w:tcPr>
            <w:tcW w:w="863" w:type="dxa"/>
            <w:tcBorders>
              <w:top w:val="nil"/>
              <w:left w:val="nil"/>
              <w:bottom w:val="dotted" w:sz="4" w:space="0" w:color="auto"/>
              <w:right w:val="single" w:sz="8" w:space="0" w:color="auto"/>
            </w:tcBorders>
            <w:shd w:val="clear" w:color="000000" w:fill="DEEAF6"/>
            <w:noWrap/>
            <w:vAlign w:val="center"/>
            <w:hideMark/>
          </w:tcPr>
          <w:p w14:paraId="421B20C4" w14:textId="77777777" w:rsidR="003B3804" w:rsidRPr="004E5A6E" w:rsidRDefault="003B3804" w:rsidP="00713DEA">
            <w:pPr>
              <w:jc w:val="right"/>
              <w:rPr>
                <w:i/>
                <w:iCs/>
                <w:sz w:val="16"/>
                <w:szCs w:val="18"/>
                <w:lang w:val="sq-AL"/>
              </w:rPr>
            </w:pPr>
            <w:r w:rsidRPr="004E5A6E">
              <w:rPr>
                <w:i/>
                <w:iCs/>
                <w:sz w:val="16"/>
                <w:szCs w:val="18"/>
                <w:lang w:val="sq-AL"/>
              </w:rPr>
              <w:t>n/a</w:t>
            </w:r>
          </w:p>
        </w:tc>
      </w:tr>
      <w:tr w:rsidR="003B3804" w:rsidRPr="004E5A6E" w14:paraId="1E818FFE" w14:textId="77777777" w:rsidTr="00713DEA">
        <w:trPr>
          <w:trHeight w:val="292"/>
        </w:trPr>
        <w:tc>
          <w:tcPr>
            <w:tcW w:w="981" w:type="dxa"/>
            <w:vMerge/>
            <w:tcBorders>
              <w:top w:val="nil"/>
              <w:left w:val="single" w:sz="8" w:space="0" w:color="auto"/>
              <w:bottom w:val="single" w:sz="8" w:space="0" w:color="000000"/>
              <w:right w:val="dotted" w:sz="4" w:space="0" w:color="auto"/>
            </w:tcBorders>
            <w:vAlign w:val="center"/>
            <w:hideMark/>
          </w:tcPr>
          <w:p w14:paraId="0B0F54F3" w14:textId="77777777" w:rsidR="003B3804" w:rsidRPr="004E5A6E" w:rsidRDefault="003B3804" w:rsidP="00713DEA">
            <w:pPr>
              <w:rPr>
                <w:b/>
                <w:bCs/>
                <w:sz w:val="16"/>
                <w:szCs w:val="18"/>
                <w:lang w:val="sq-AL"/>
              </w:rPr>
            </w:pPr>
          </w:p>
        </w:tc>
        <w:tc>
          <w:tcPr>
            <w:tcW w:w="2767" w:type="dxa"/>
            <w:tcBorders>
              <w:top w:val="nil"/>
              <w:left w:val="nil"/>
              <w:bottom w:val="dotted" w:sz="4" w:space="0" w:color="auto"/>
              <w:right w:val="dotted" w:sz="4" w:space="0" w:color="auto"/>
            </w:tcBorders>
            <w:shd w:val="clear" w:color="000000" w:fill="DEEAF6"/>
            <w:noWrap/>
            <w:vAlign w:val="center"/>
            <w:hideMark/>
          </w:tcPr>
          <w:p w14:paraId="663A9C82" w14:textId="77777777" w:rsidR="003B3804" w:rsidRPr="004E5A6E" w:rsidRDefault="003B3804" w:rsidP="00713DEA">
            <w:pPr>
              <w:ind w:firstLineChars="100" w:firstLine="160"/>
              <w:rPr>
                <w:i/>
                <w:iCs/>
                <w:sz w:val="16"/>
                <w:szCs w:val="18"/>
                <w:lang w:val="sq-AL"/>
              </w:rPr>
            </w:pPr>
            <w:r w:rsidRPr="004E5A6E">
              <w:rPr>
                <w:i/>
                <w:iCs/>
                <w:sz w:val="16"/>
                <w:szCs w:val="18"/>
                <w:lang w:val="sq-AL"/>
              </w:rPr>
              <w:t>Shpenzimet e përsëritura</w:t>
            </w:r>
          </w:p>
        </w:tc>
        <w:tc>
          <w:tcPr>
            <w:tcW w:w="741" w:type="dxa"/>
            <w:tcBorders>
              <w:top w:val="nil"/>
              <w:left w:val="nil"/>
              <w:bottom w:val="dotted" w:sz="4" w:space="0" w:color="auto"/>
              <w:right w:val="dotted" w:sz="4" w:space="0" w:color="auto"/>
            </w:tcBorders>
            <w:shd w:val="clear" w:color="000000" w:fill="DEEAF6"/>
            <w:noWrap/>
            <w:vAlign w:val="center"/>
            <w:hideMark/>
          </w:tcPr>
          <w:p w14:paraId="719303D6" w14:textId="77777777" w:rsidR="003B3804" w:rsidRPr="004E5A6E" w:rsidRDefault="003B3804" w:rsidP="00713DEA">
            <w:pPr>
              <w:jc w:val="right"/>
              <w:rPr>
                <w:i/>
                <w:iCs/>
                <w:sz w:val="16"/>
                <w:szCs w:val="18"/>
                <w:lang w:val="sq-AL"/>
              </w:rPr>
            </w:pPr>
            <w:r w:rsidRPr="004E5A6E">
              <w:rPr>
                <w:i/>
                <w:iCs/>
                <w:sz w:val="16"/>
                <w:szCs w:val="18"/>
                <w:lang w:val="sq-AL"/>
              </w:rPr>
              <w:t>1,404.0</w:t>
            </w:r>
          </w:p>
        </w:tc>
        <w:tc>
          <w:tcPr>
            <w:tcW w:w="863" w:type="dxa"/>
            <w:tcBorders>
              <w:top w:val="nil"/>
              <w:left w:val="nil"/>
              <w:bottom w:val="dotted" w:sz="4" w:space="0" w:color="auto"/>
              <w:right w:val="dotted" w:sz="4" w:space="0" w:color="auto"/>
            </w:tcBorders>
            <w:shd w:val="clear" w:color="000000" w:fill="DEEAF6"/>
            <w:noWrap/>
            <w:vAlign w:val="center"/>
            <w:hideMark/>
          </w:tcPr>
          <w:p w14:paraId="30071610" w14:textId="77777777" w:rsidR="003B3804" w:rsidRPr="004E5A6E" w:rsidRDefault="003B3804" w:rsidP="00713DEA">
            <w:pPr>
              <w:jc w:val="right"/>
              <w:rPr>
                <w:i/>
                <w:iCs/>
                <w:sz w:val="16"/>
                <w:szCs w:val="18"/>
                <w:lang w:val="sq-AL"/>
              </w:rPr>
            </w:pPr>
            <w:r w:rsidRPr="004E5A6E">
              <w:rPr>
                <w:i/>
                <w:iCs/>
                <w:sz w:val="16"/>
                <w:szCs w:val="18"/>
                <w:lang w:val="sq-AL"/>
              </w:rPr>
              <w:t>1,561.0</w:t>
            </w:r>
          </w:p>
        </w:tc>
        <w:tc>
          <w:tcPr>
            <w:tcW w:w="863" w:type="dxa"/>
            <w:tcBorders>
              <w:top w:val="nil"/>
              <w:left w:val="nil"/>
              <w:bottom w:val="dotted" w:sz="4" w:space="0" w:color="auto"/>
              <w:right w:val="dotted" w:sz="4" w:space="0" w:color="auto"/>
            </w:tcBorders>
            <w:shd w:val="clear" w:color="000000" w:fill="DEEAF6"/>
            <w:noWrap/>
            <w:vAlign w:val="center"/>
            <w:hideMark/>
          </w:tcPr>
          <w:p w14:paraId="1AE63E41" w14:textId="77777777" w:rsidR="003B3804" w:rsidRPr="004E5A6E" w:rsidRDefault="003B3804" w:rsidP="00713DEA">
            <w:pPr>
              <w:jc w:val="right"/>
              <w:rPr>
                <w:i/>
                <w:iCs/>
                <w:sz w:val="16"/>
                <w:szCs w:val="18"/>
                <w:lang w:val="sq-AL"/>
              </w:rPr>
            </w:pPr>
            <w:r w:rsidRPr="004E5A6E">
              <w:rPr>
                <w:i/>
                <w:iCs/>
                <w:sz w:val="16"/>
                <w:szCs w:val="18"/>
                <w:lang w:val="sq-AL"/>
              </w:rPr>
              <w:t>1,643.0</w:t>
            </w:r>
          </w:p>
        </w:tc>
        <w:tc>
          <w:tcPr>
            <w:tcW w:w="863" w:type="dxa"/>
            <w:tcBorders>
              <w:top w:val="nil"/>
              <w:left w:val="nil"/>
              <w:bottom w:val="dotted" w:sz="4" w:space="0" w:color="auto"/>
              <w:right w:val="dotted" w:sz="4" w:space="0" w:color="auto"/>
            </w:tcBorders>
            <w:shd w:val="clear" w:color="000000" w:fill="DEEAF6"/>
            <w:noWrap/>
            <w:vAlign w:val="center"/>
            <w:hideMark/>
          </w:tcPr>
          <w:p w14:paraId="0DEF004F" w14:textId="77777777" w:rsidR="003B3804" w:rsidRPr="004E5A6E" w:rsidRDefault="003B3804" w:rsidP="00713DEA">
            <w:pPr>
              <w:jc w:val="right"/>
              <w:rPr>
                <w:i/>
                <w:iCs/>
                <w:sz w:val="16"/>
                <w:szCs w:val="18"/>
                <w:lang w:val="sq-AL"/>
              </w:rPr>
            </w:pPr>
            <w:r w:rsidRPr="004E5A6E">
              <w:rPr>
                <w:i/>
                <w:iCs/>
                <w:sz w:val="16"/>
                <w:szCs w:val="18"/>
                <w:lang w:val="sq-AL"/>
              </w:rPr>
              <w:t>1,682.0</w:t>
            </w:r>
          </w:p>
        </w:tc>
        <w:tc>
          <w:tcPr>
            <w:tcW w:w="863" w:type="dxa"/>
            <w:tcBorders>
              <w:top w:val="nil"/>
              <w:left w:val="nil"/>
              <w:bottom w:val="dotted" w:sz="4" w:space="0" w:color="auto"/>
              <w:right w:val="dotted" w:sz="4" w:space="0" w:color="auto"/>
            </w:tcBorders>
            <w:shd w:val="clear" w:color="000000" w:fill="DEEAF6"/>
            <w:noWrap/>
            <w:vAlign w:val="center"/>
            <w:hideMark/>
          </w:tcPr>
          <w:p w14:paraId="24EB8F1F" w14:textId="77777777" w:rsidR="003B3804" w:rsidRPr="004E5A6E" w:rsidRDefault="003B3804" w:rsidP="00713DEA">
            <w:pPr>
              <w:jc w:val="right"/>
              <w:rPr>
                <w:i/>
                <w:iCs/>
                <w:sz w:val="16"/>
                <w:szCs w:val="18"/>
                <w:lang w:val="sq-AL"/>
              </w:rPr>
            </w:pPr>
            <w:r w:rsidRPr="004E5A6E">
              <w:rPr>
                <w:i/>
                <w:iCs/>
                <w:sz w:val="16"/>
                <w:szCs w:val="18"/>
                <w:lang w:val="sq-AL"/>
              </w:rPr>
              <w:t>1,727.0</w:t>
            </w:r>
          </w:p>
        </w:tc>
        <w:tc>
          <w:tcPr>
            <w:tcW w:w="863" w:type="dxa"/>
            <w:tcBorders>
              <w:top w:val="nil"/>
              <w:left w:val="nil"/>
              <w:bottom w:val="dotted" w:sz="4" w:space="0" w:color="auto"/>
              <w:right w:val="single" w:sz="8" w:space="0" w:color="auto"/>
            </w:tcBorders>
            <w:shd w:val="clear" w:color="000000" w:fill="DEEAF6"/>
            <w:noWrap/>
            <w:vAlign w:val="center"/>
            <w:hideMark/>
          </w:tcPr>
          <w:p w14:paraId="7BDE697B" w14:textId="77777777" w:rsidR="003B3804" w:rsidRPr="004E5A6E" w:rsidRDefault="003B3804" w:rsidP="00713DEA">
            <w:pPr>
              <w:jc w:val="right"/>
              <w:rPr>
                <w:i/>
                <w:iCs/>
                <w:sz w:val="16"/>
                <w:szCs w:val="18"/>
                <w:lang w:val="sq-AL"/>
              </w:rPr>
            </w:pPr>
            <w:r w:rsidRPr="004E5A6E">
              <w:rPr>
                <w:i/>
                <w:iCs/>
                <w:sz w:val="16"/>
                <w:szCs w:val="18"/>
                <w:lang w:val="sq-AL"/>
              </w:rPr>
              <w:t>n/a</w:t>
            </w:r>
          </w:p>
        </w:tc>
      </w:tr>
      <w:tr w:rsidR="003B3804" w:rsidRPr="004E5A6E" w14:paraId="2658BE83" w14:textId="77777777" w:rsidTr="00713DEA">
        <w:trPr>
          <w:trHeight w:val="292"/>
        </w:trPr>
        <w:tc>
          <w:tcPr>
            <w:tcW w:w="981" w:type="dxa"/>
            <w:vMerge/>
            <w:tcBorders>
              <w:top w:val="nil"/>
              <w:left w:val="single" w:sz="8" w:space="0" w:color="auto"/>
              <w:bottom w:val="single" w:sz="8" w:space="0" w:color="000000"/>
              <w:right w:val="dotted" w:sz="4" w:space="0" w:color="auto"/>
            </w:tcBorders>
            <w:vAlign w:val="center"/>
            <w:hideMark/>
          </w:tcPr>
          <w:p w14:paraId="6B7DC3EF" w14:textId="77777777" w:rsidR="003B3804" w:rsidRPr="004E5A6E" w:rsidRDefault="003B3804" w:rsidP="00713DEA">
            <w:pPr>
              <w:rPr>
                <w:b/>
                <w:bCs/>
                <w:sz w:val="16"/>
                <w:szCs w:val="18"/>
                <w:lang w:val="sq-AL"/>
              </w:rPr>
            </w:pPr>
          </w:p>
        </w:tc>
        <w:tc>
          <w:tcPr>
            <w:tcW w:w="2767" w:type="dxa"/>
            <w:tcBorders>
              <w:top w:val="nil"/>
              <w:left w:val="nil"/>
              <w:bottom w:val="dotted" w:sz="4" w:space="0" w:color="auto"/>
              <w:right w:val="dotted" w:sz="4" w:space="0" w:color="auto"/>
            </w:tcBorders>
            <w:shd w:val="clear" w:color="000000" w:fill="DEEAF6"/>
            <w:noWrap/>
            <w:vAlign w:val="center"/>
            <w:hideMark/>
          </w:tcPr>
          <w:p w14:paraId="52D29EA9" w14:textId="77777777" w:rsidR="003B3804" w:rsidRPr="004E5A6E" w:rsidRDefault="003B3804" w:rsidP="00713DEA">
            <w:pPr>
              <w:ind w:firstLineChars="100" w:firstLine="160"/>
              <w:rPr>
                <w:i/>
                <w:iCs/>
                <w:sz w:val="16"/>
                <w:szCs w:val="18"/>
                <w:lang w:val="sq-AL"/>
              </w:rPr>
            </w:pPr>
            <w:r w:rsidRPr="004E5A6E">
              <w:rPr>
                <w:i/>
                <w:iCs/>
                <w:sz w:val="16"/>
                <w:szCs w:val="18"/>
                <w:lang w:val="sq-AL"/>
              </w:rPr>
              <w:t>Shpenzimet kapitale</w:t>
            </w:r>
          </w:p>
        </w:tc>
        <w:tc>
          <w:tcPr>
            <w:tcW w:w="741" w:type="dxa"/>
            <w:tcBorders>
              <w:top w:val="nil"/>
              <w:left w:val="nil"/>
              <w:bottom w:val="dotted" w:sz="4" w:space="0" w:color="auto"/>
              <w:right w:val="dotted" w:sz="4" w:space="0" w:color="auto"/>
            </w:tcBorders>
            <w:shd w:val="clear" w:color="000000" w:fill="DEEAF6"/>
            <w:noWrap/>
            <w:vAlign w:val="center"/>
            <w:hideMark/>
          </w:tcPr>
          <w:p w14:paraId="751D9687" w14:textId="77777777" w:rsidR="003B3804" w:rsidRPr="004E5A6E" w:rsidRDefault="003B3804" w:rsidP="00713DEA">
            <w:pPr>
              <w:jc w:val="right"/>
              <w:rPr>
                <w:i/>
                <w:iCs/>
                <w:sz w:val="16"/>
                <w:szCs w:val="18"/>
                <w:lang w:val="sq-AL"/>
              </w:rPr>
            </w:pPr>
            <w:r w:rsidRPr="004E5A6E">
              <w:rPr>
                <w:i/>
                <w:iCs/>
                <w:sz w:val="16"/>
                <w:szCs w:val="18"/>
                <w:lang w:val="sq-AL"/>
              </w:rPr>
              <w:t>533.0</w:t>
            </w:r>
          </w:p>
        </w:tc>
        <w:tc>
          <w:tcPr>
            <w:tcW w:w="863" w:type="dxa"/>
            <w:tcBorders>
              <w:top w:val="nil"/>
              <w:left w:val="nil"/>
              <w:bottom w:val="dotted" w:sz="4" w:space="0" w:color="auto"/>
              <w:right w:val="dotted" w:sz="4" w:space="0" w:color="auto"/>
            </w:tcBorders>
            <w:shd w:val="clear" w:color="000000" w:fill="DEEAF6"/>
            <w:noWrap/>
            <w:vAlign w:val="center"/>
            <w:hideMark/>
          </w:tcPr>
          <w:p w14:paraId="0B24B0C8" w14:textId="77777777" w:rsidR="003B3804" w:rsidRPr="004E5A6E" w:rsidRDefault="003B3804" w:rsidP="00713DEA">
            <w:pPr>
              <w:jc w:val="right"/>
              <w:rPr>
                <w:i/>
                <w:iCs/>
                <w:sz w:val="16"/>
                <w:szCs w:val="18"/>
                <w:lang w:val="sq-AL"/>
              </w:rPr>
            </w:pPr>
            <w:r w:rsidRPr="004E5A6E">
              <w:rPr>
                <w:i/>
                <w:iCs/>
                <w:sz w:val="16"/>
                <w:szCs w:val="18"/>
                <w:lang w:val="sq-AL"/>
              </w:rPr>
              <w:t>789.0</w:t>
            </w:r>
          </w:p>
        </w:tc>
        <w:tc>
          <w:tcPr>
            <w:tcW w:w="863" w:type="dxa"/>
            <w:tcBorders>
              <w:top w:val="nil"/>
              <w:left w:val="nil"/>
              <w:bottom w:val="dotted" w:sz="4" w:space="0" w:color="auto"/>
              <w:right w:val="dotted" w:sz="4" w:space="0" w:color="auto"/>
            </w:tcBorders>
            <w:shd w:val="clear" w:color="000000" w:fill="DEEAF6"/>
            <w:noWrap/>
            <w:vAlign w:val="center"/>
            <w:hideMark/>
          </w:tcPr>
          <w:p w14:paraId="199EA653" w14:textId="77777777" w:rsidR="003B3804" w:rsidRPr="004E5A6E" w:rsidRDefault="003B3804" w:rsidP="00713DEA">
            <w:pPr>
              <w:jc w:val="right"/>
              <w:rPr>
                <w:i/>
                <w:iCs/>
                <w:sz w:val="16"/>
                <w:szCs w:val="18"/>
                <w:lang w:val="sq-AL"/>
              </w:rPr>
            </w:pPr>
            <w:r w:rsidRPr="004E5A6E">
              <w:rPr>
                <w:i/>
                <w:iCs/>
                <w:sz w:val="16"/>
                <w:szCs w:val="18"/>
                <w:lang w:val="sq-AL"/>
              </w:rPr>
              <w:t>793.0</w:t>
            </w:r>
          </w:p>
        </w:tc>
        <w:tc>
          <w:tcPr>
            <w:tcW w:w="863" w:type="dxa"/>
            <w:tcBorders>
              <w:top w:val="nil"/>
              <w:left w:val="nil"/>
              <w:bottom w:val="dotted" w:sz="4" w:space="0" w:color="auto"/>
              <w:right w:val="dotted" w:sz="4" w:space="0" w:color="auto"/>
            </w:tcBorders>
            <w:shd w:val="clear" w:color="000000" w:fill="DEEAF6"/>
            <w:noWrap/>
            <w:vAlign w:val="center"/>
            <w:hideMark/>
          </w:tcPr>
          <w:p w14:paraId="765F846F" w14:textId="77777777" w:rsidR="003B3804" w:rsidRPr="004E5A6E" w:rsidRDefault="003B3804" w:rsidP="00713DEA">
            <w:pPr>
              <w:jc w:val="right"/>
              <w:rPr>
                <w:i/>
                <w:iCs/>
                <w:sz w:val="16"/>
                <w:szCs w:val="18"/>
                <w:lang w:val="sq-AL"/>
              </w:rPr>
            </w:pPr>
            <w:r w:rsidRPr="004E5A6E">
              <w:rPr>
                <w:i/>
                <w:iCs/>
                <w:sz w:val="16"/>
                <w:szCs w:val="18"/>
                <w:lang w:val="sq-AL"/>
              </w:rPr>
              <w:t>825.0</w:t>
            </w:r>
          </w:p>
        </w:tc>
        <w:tc>
          <w:tcPr>
            <w:tcW w:w="863" w:type="dxa"/>
            <w:tcBorders>
              <w:top w:val="nil"/>
              <w:left w:val="nil"/>
              <w:bottom w:val="dotted" w:sz="4" w:space="0" w:color="auto"/>
              <w:right w:val="dotted" w:sz="4" w:space="0" w:color="auto"/>
            </w:tcBorders>
            <w:shd w:val="clear" w:color="000000" w:fill="DEEAF6"/>
            <w:noWrap/>
            <w:vAlign w:val="center"/>
            <w:hideMark/>
          </w:tcPr>
          <w:p w14:paraId="49687EB3" w14:textId="77777777" w:rsidR="003B3804" w:rsidRPr="004E5A6E" w:rsidRDefault="003B3804" w:rsidP="00713DEA">
            <w:pPr>
              <w:jc w:val="right"/>
              <w:rPr>
                <w:i/>
                <w:iCs/>
                <w:sz w:val="16"/>
                <w:szCs w:val="18"/>
                <w:lang w:val="sq-AL"/>
              </w:rPr>
            </w:pPr>
            <w:r w:rsidRPr="004E5A6E">
              <w:rPr>
                <w:i/>
                <w:iCs/>
                <w:sz w:val="16"/>
                <w:szCs w:val="18"/>
                <w:lang w:val="sq-AL"/>
              </w:rPr>
              <w:t>846.0</w:t>
            </w:r>
          </w:p>
        </w:tc>
        <w:tc>
          <w:tcPr>
            <w:tcW w:w="863" w:type="dxa"/>
            <w:tcBorders>
              <w:top w:val="nil"/>
              <w:left w:val="nil"/>
              <w:bottom w:val="dotted" w:sz="4" w:space="0" w:color="auto"/>
              <w:right w:val="single" w:sz="8" w:space="0" w:color="auto"/>
            </w:tcBorders>
            <w:shd w:val="clear" w:color="000000" w:fill="DEEAF6"/>
            <w:noWrap/>
            <w:vAlign w:val="center"/>
            <w:hideMark/>
          </w:tcPr>
          <w:p w14:paraId="48D173EA" w14:textId="77777777" w:rsidR="003B3804" w:rsidRPr="004E5A6E" w:rsidRDefault="003B3804" w:rsidP="00713DEA">
            <w:pPr>
              <w:jc w:val="right"/>
              <w:rPr>
                <w:i/>
                <w:iCs/>
                <w:sz w:val="16"/>
                <w:szCs w:val="18"/>
                <w:lang w:val="sq-AL"/>
              </w:rPr>
            </w:pPr>
            <w:r w:rsidRPr="004E5A6E">
              <w:rPr>
                <w:i/>
                <w:iCs/>
                <w:sz w:val="16"/>
                <w:szCs w:val="18"/>
                <w:lang w:val="sq-AL"/>
              </w:rPr>
              <w:t>n/a</w:t>
            </w:r>
          </w:p>
        </w:tc>
      </w:tr>
      <w:tr w:rsidR="003B3804" w:rsidRPr="004E5A6E" w14:paraId="187F502F" w14:textId="77777777" w:rsidTr="00713DEA">
        <w:trPr>
          <w:trHeight w:val="292"/>
        </w:trPr>
        <w:tc>
          <w:tcPr>
            <w:tcW w:w="981" w:type="dxa"/>
            <w:vMerge/>
            <w:tcBorders>
              <w:top w:val="nil"/>
              <w:left w:val="single" w:sz="8" w:space="0" w:color="auto"/>
              <w:bottom w:val="single" w:sz="8" w:space="0" w:color="000000"/>
              <w:right w:val="dotted" w:sz="4" w:space="0" w:color="auto"/>
            </w:tcBorders>
            <w:vAlign w:val="center"/>
            <w:hideMark/>
          </w:tcPr>
          <w:p w14:paraId="35916DA6" w14:textId="77777777" w:rsidR="003B3804" w:rsidRPr="004E5A6E" w:rsidRDefault="003B3804" w:rsidP="00713DEA">
            <w:pPr>
              <w:rPr>
                <w:b/>
                <w:bCs/>
                <w:sz w:val="16"/>
                <w:szCs w:val="18"/>
                <w:lang w:val="sq-AL"/>
              </w:rPr>
            </w:pPr>
          </w:p>
        </w:tc>
        <w:tc>
          <w:tcPr>
            <w:tcW w:w="2767" w:type="dxa"/>
            <w:tcBorders>
              <w:top w:val="nil"/>
              <w:left w:val="nil"/>
              <w:bottom w:val="dotted" w:sz="4" w:space="0" w:color="auto"/>
              <w:right w:val="dotted" w:sz="4" w:space="0" w:color="auto"/>
            </w:tcBorders>
            <w:shd w:val="clear" w:color="000000" w:fill="DEEAF6"/>
            <w:noWrap/>
            <w:vAlign w:val="center"/>
            <w:hideMark/>
          </w:tcPr>
          <w:p w14:paraId="27284CC7" w14:textId="77777777" w:rsidR="003B3804" w:rsidRPr="004E5A6E" w:rsidRDefault="003B3804" w:rsidP="00713DEA">
            <w:pPr>
              <w:rPr>
                <w:sz w:val="16"/>
                <w:szCs w:val="18"/>
                <w:lang w:val="sq-AL"/>
              </w:rPr>
            </w:pPr>
            <w:r w:rsidRPr="004E5A6E">
              <w:rPr>
                <w:sz w:val="16"/>
                <w:szCs w:val="18"/>
                <w:lang w:val="sq-AL"/>
              </w:rPr>
              <w:t>Bilanci i përgjithshëm i buxhetit</w:t>
            </w:r>
          </w:p>
        </w:tc>
        <w:tc>
          <w:tcPr>
            <w:tcW w:w="741" w:type="dxa"/>
            <w:tcBorders>
              <w:top w:val="nil"/>
              <w:left w:val="nil"/>
              <w:bottom w:val="dotted" w:sz="4" w:space="0" w:color="auto"/>
              <w:right w:val="dotted" w:sz="4" w:space="0" w:color="auto"/>
            </w:tcBorders>
            <w:shd w:val="clear" w:color="000000" w:fill="DEEAF6"/>
            <w:noWrap/>
            <w:vAlign w:val="center"/>
            <w:hideMark/>
          </w:tcPr>
          <w:p w14:paraId="50162F1B" w14:textId="77777777" w:rsidR="003B3804" w:rsidRPr="004E5A6E" w:rsidRDefault="003B3804" w:rsidP="00713DEA">
            <w:pPr>
              <w:jc w:val="right"/>
              <w:rPr>
                <w:sz w:val="16"/>
                <w:szCs w:val="18"/>
                <w:lang w:val="sq-AL"/>
              </w:rPr>
            </w:pPr>
            <w:r w:rsidRPr="004E5A6E">
              <w:rPr>
                <w:sz w:val="16"/>
                <w:szCs w:val="18"/>
                <w:lang w:val="sq-AL"/>
              </w:rPr>
              <w:t>-199.2</w:t>
            </w:r>
          </w:p>
        </w:tc>
        <w:tc>
          <w:tcPr>
            <w:tcW w:w="863" w:type="dxa"/>
            <w:tcBorders>
              <w:top w:val="nil"/>
              <w:left w:val="nil"/>
              <w:bottom w:val="dotted" w:sz="4" w:space="0" w:color="auto"/>
              <w:right w:val="dotted" w:sz="4" w:space="0" w:color="auto"/>
            </w:tcBorders>
            <w:shd w:val="clear" w:color="000000" w:fill="DEEAF6"/>
            <w:noWrap/>
            <w:vAlign w:val="center"/>
            <w:hideMark/>
          </w:tcPr>
          <w:p w14:paraId="7E19FD37" w14:textId="77777777" w:rsidR="003B3804" w:rsidRPr="004E5A6E" w:rsidRDefault="003B3804" w:rsidP="00713DEA">
            <w:pPr>
              <w:jc w:val="right"/>
              <w:rPr>
                <w:sz w:val="16"/>
                <w:szCs w:val="18"/>
                <w:lang w:val="sq-AL"/>
              </w:rPr>
            </w:pPr>
            <w:r w:rsidRPr="004E5A6E">
              <w:rPr>
                <w:sz w:val="16"/>
                <w:szCs w:val="18"/>
                <w:lang w:val="sq-AL"/>
              </w:rPr>
              <w:t>-429.0</w:t>
            </w:r>
          </w:p>
        </w:tc>
        <w:tc>
          <w:tcPr>
            <w:tcW w:w="863" w:type="dxa"/>
            <w:tcBorders>
              <w:top w:val="nil"/>
              <w:left w:val="nil"/>
              <w:bottom w:val="dotted" w:sz="4" w:space="0" w:color="auto"/>
              <w:right w:val="dotted" w:sz="4" w:space="0" w:color="auto"/>
            </w:tcBorders>
            <w:shd w:val="clear" w:color="000000" w:fill="DEEAF6"/>
            <w:vAlign w:val="center"/>
            <w:hideMark/>
          </w:tcPr>
          <w:p w14:paraId="46142216" w14:textId="77777777" w:rsidR="003B3804" w:rsidRPr="004E5A6E" w:rsidRDefault="003B3804" w:rsidP="00713DEA">
            <w:pPr>
              <w:jc w:val="right"/>
              <w:rPr>
                <w:sz w:val="16"/>
                <w:szCs w:val="18"/>
                <w:lang w:val="sq-AL"/>
              </w:rPr>
            </w:pPr>
            <w:r w:rsidRPr="004E5A6E">
              <w:rPr>
                <w:sz w:val="16"/>
                <w:szCs w:val="18"/>
                <w:lang w:val="sq-AL"/>
              </w:rPr>
              <w:t>-419.0</w:t>
            </w:r>
          </w:p>
        </w:tc>
        <w:tc>
          <w:tcPr>
            <w:tcW w:w="863" w:type="dxa"/>
            <w:tcBorders>
              <w:top w:val="nil"/>
              <w:left w:val="nil"/>
              <w:bottom w:val="dotted" w:sz="4" w:space="0" w:color="auto"/>
              <w:right w:val="dotted" w:sz="4" w:space="0" w:color="auto"/>
            </w:tcBorders>
            <w:shd w:val="clear" w:color="000000" w:fill="DEEAF6"/>
            <w:noWrap/>
            <w:vAlign w:val="center"/>
            <w:hideMark/>
          </w:tcPr>
          <w:p w14:paraId="0D6C909E" w14:textId="77777777" w:rsidR="003B3804" w:rsidRPr="004E5A6E" w:rsidRDefault="003B3804" w:rsidP="00713DEA">
            <w:pPr>
              <w:jc w:val="right"/>
              <w:rPr>
                <w:sz w:val="16"/>
                <w:szCs w:val="18"/>
                <w:lang w:val="sq-AL"/>
              </w:rPr>
            </w:pPr>
            <w:r w:rsidRPr="004E5A6E">
              <w:rPr>
                <w:sz w:val="16"/>
                <w:szCs w:val="18"/>
                <w:lang w:val="sq-AL"/>
              </w:rPr>
              <w:t>-420.0</w:t>
            </w:r>
          </w:p>
        </w:tc>
        <w:tc>
          <w:tcPr>
            <w:tcW w:w="863" w:type="dxa"/>
            <w:tcBorders>
              <w:top w:val="nil"/>
              <w:left w:val="nil"/>
              <w:bottom w:val="dotted" w:sz="4" w:space="0" w:color="auto"/>
              <w:right w:val="dotted" w:sz="4" w:space="0" w:color="auto"/>
            </w:tcBorders>
            <w:shd w:val="clear" w:color="000000" w:fill="DEEAF6"/>
            <w:noWrap/>
            <w:vAlign w:val="center"/>
            <w:hideMark/>
          </w:tcPr>
          <w:p w14:paraId="18F4C316" w14:textId="77777777" w:rsidR="003B3804" w:rsidRPr="004E5A6E" w:rsidRDefault="003B3804" w:rsidP="00713DEA">
            <w:pPr>
              <w:jc w:val="right"/>
              <w:rPr>
                <w:sz w:val="16"/>
                <w:szCs w:val="18"/>
                <w:lang w:val="sq-AL"/>
              </w:rPr>
            </w:pPr>
            <w:r w:rsidRPr="004E5A6E">
              <w:rPr>
                <w:sz w:val="16"/>
                <w:szCs w:val="18"/>
                <w:lang w:val="sq-AL"/>
              </w:rPr>
              <w:t>-376.0</w:t>
            </w:r>
          </w:p>
        </w:tc>
        <w:tc>
          <w:tcPr>
            <w:tcW w:w="863" w:type="dxa"/>
            <w:tcBorders>
              <w:top w:val="nil"/>
              <w:left w:val="nil"/>
              <w:bottom w:val="dotted" w:sz="4" w:space="0" w:color="auto"/>
              <w:right w:val="single" w:sz="8" w:space="0" w:color="auto"/>
            </w:tcBorders>
            <w:shd w:val="clear" w:color="000000" w:fill="DEEAF6"/>
            <w:noWrap/>
            <w:vAlign w:val="center"/>
            <w:hideMark/>
          </w:tcPr>
          <w:p w14:paraId="00ECD3A0" w14:textId="77777777" w:rsidR="003B3804" w:rsidRPr="004E5A6E" w:rsidRDefault="003B3804" w:rsidP="00713DEA">
            <w:pPr>
              <w:jc w:val="right"/>
              <w:rPr>
                <w:i/>
                <w:iCs/>
                <w:sz w:val="16"/>
                <w:szCs w:val="18"/>
                <w:lang w:val="sq-AL"/>
              </w:rPr>
            </w:pPr>
            <w:r w:rsidRPr="004E5A6E">
              <w:rPr>
                <w:i/>
                <w:iCs/>
                <w:sz w:val="16"/>
                <w:szCs w:val="18"/>
                <w:lang w:val="sq-AL"/>
              </w:rPr>
              <w:t>n/a</w:t>
            </w:r>
          </w:p>
        </w:tc>
      </w:tr>
      <w:tr w:rsidR="003B3804" w:rsidRPr="004E5A6E" w14:paraId="42856E97" w14:textId="77777777" w:rsidTr="00713DEA">
        <w:trPr>
          <w:trHeight w:val="292"/>
        </w:trPr>
        <w:tc>
          <w:tcPr>
            <w:tcW w:w="981" w:type="dxa"/>
            <w:vMerge/>
            <w:tcBorders>
              <w:top w:val="nil"/>
              <w:left w:val="single" w:sz="8" w:space="0" w:color="auto"/>
              <w:bottom w:val="single" w:sz="8" w:space="0" w:color="000000"/>
              <w:right w:val="dotted" w:sz="4" w:space="0" w:color="auto"/>
            </w:tcBorders>
            <w:vAlign w:val="center"/>
            <w:hideMark/>
          </w:tcPr>
          <w:p w14:paraId="6733D13F" w14:textId="77777777" w:rsidR="003B3804" w:rsidRPr="004E5A6E" w:rsidRDefault="003B3804" w:rsidP="00713DEA">
            <w:pPr>
              <w:rPr>
                <w:b/>
                <w:bCs/>
                <w:sz w:val="16"/>
                <w:szCs w:val="18"/>
                <w:lang w:val="sq-AL"/>
              </w:rPr>
            </w:pPr>
          </w:p>
        </w:tc>
        <w:tc>
          <w:tcPr>
            <w:tcW w:w="2767" w:type="dxa"/>
            <w:tcBorders>
              <w:top w:val="nil"/>
              <w:left w:val="nil"/>
              <w:bottom w:val="dotted" w:sz="4" w:space="0" w:color="auto"/>
              <w:right w:val="dotted" w:sz="4" w:space="0" w:color="auto"/>
            </w:tcBorders>
            <w:shd w:val="clear" w:color="000000" w:fill="DEEAF6"/>
            <w:noWrap/>
            <w:vAlign w:val="center"/>
            <w:hideMark/>
          </w:tcPr>
          <w:p w14:paraId="49EF4FBD" w14:textId="77777777" w:rsidR="003B3804" w:rsidRPr="004E5A6E" w:rsidRDefault="003B3804" w:rsidP="00713DEA">
            <w:pPr>
              <w:rPr>
                <w:i/>
                <w:iCs/>
                <w:sz w:val="16"/>
                <w:szCs w:val="18"/>
                <w:lang w:val="sq-AL"/>
              </w:rPr>
            </w:pPr>
            <w:r w:rsidRPr="004E5A6E">
              <w:rPr>
                <w:i/>
                <w:iCs/>
                <w:sz w:val="16"/>
                <w:szCs w:val="18"/>
                <w:lang w:val="sq-AL"/>
              </w:rPr>
              <w:t>Bilanci i buxhetit (sipas rregullit fiskal)</w:t>
            </w:r>
          </w:p>
        </w:tc>
        <w:tc>
          <w:tcPr>
            <w:tcW w:w="741" w:type="dxa"/>
            <w:tcBorders>
              <w:top w:val="nil"/>
              <w:left w:val="nil"/>
              <w:bottom w:val="dotted" w:sz="4" w:space="0" w:color="auto"/>
              <w:right w:val="dotted" w:sz="4" w:space="0" w:color="auto"/>
            </w:tcBorders>
            <w:shd w:val="clear" w:color="000000" w:fill="DEEAF6"/>
            <w:noWrap/>
            <w:vAlign w:val="center"/>
            <w:hideMark/>
          </w:tcPr>
          <w:p w14:paraId="7CD2F2C1" w14:textId="77777777" w:rsidR="003B3804" w:rsidRPr="004E5A6E" w:rsidRDefault="003B3804" w:rsidP="00713DEA">
            <w:pPr>
              <w:jc w:val="right"/>
              <w:rPr>
                <w:i/>
                <w:iCs/>
                <w:sz w:val="16"/>
                <w:szCs w:val="18"/>
                <w:lang w:val="sq-AL"/>
              </w:rPr>
            </w:pPr>
            <w:r w:rsidRPr="004E5A6E">
              <w:rPr>
                <w:i/>
                <w:iCs/>
                <w:sz w:val="16"/>
                <w:szCs w:val="18"/>
                <w:lang w:val="sq-AL"/>
              </w:rPr>
              <w:t>-87.4</w:t>
            </w:r>
          </w:p>
        </w:tc>
        <w:tc>
          <w:tcPr>
            <w:tcW w:w="863" w:type="dxa"/>
            <w:tcBorders>
              <w:top w:val="nil"/>
              <w:left w:val="nil"/>
              <w:bottom w:val="dotted" w:sz="4" w:space="0" w:color="auto"/>
              <w:right w:val="dotted" w:sz="4" w:space="0" w:color="auto"/>
            </w:tcBorders>
            <w:shd w:val="clear" w:color="000000" w:fill="DEEAF6"/>
            <w:noWrap/>
            <w:vAlign w:val="center"/>
            <w:hideMark/>
          </w:tcPr>
          <w:p w14:paraId="43B7C1EF" w14:textId="77777777" w:rsidR="003B3804" w:rsidRPr="004E5A6E" w:rsidRDefault="003B3804" w:rsidP="00713DEA">
            <w:pPr>
              <w:jc w:val="right"/>
              <w:rPr>
                <w:i/>
                <w:iCs/>
                <w:sz w:val="16"/>
                <w:szCs w:val="18"/>
                <w:lang w:val="sq-AL"/>
              </w:rPr>
            </w:pPr>
            <w:r w:rsidRPr="004E5A6E">
              <w:rPr>
                <w:i/>
                <w:iCs/>
                <w:sz w:val="16"/>
                <w:szCs w:val="18"/>
                <w:lang w:val="sq-AL"/>
              </w:rPr>
              <w:t>-145.0</w:t>
            </w:r>
          </w:p>
        </w:tc>
        <w:tc>
          <w:tcPr>
            <w:tcW w:w="863" w:type="dxa"/>
            <w:tcBorders>
              <w:top w:val="nil"/>
              <w:left w:val="nil"/>
              <w:bottom w:val="dotted" w:sz="4" w:space="0" w:color="auto"/>
              <w:right w:val="dotted" w:sz="4" w:space="0" w:color="auto"/>
            </w:tcBorders>
            <w:shd w:val="clear" w:color="000000" w:fill="DEEAF6"/>
            <w:vAlign w:val="center"/>
            <w:hideMark/>
          </w:tcPr>
          <w:p w14:paraId="7B97D659" w14:textId="77777777" w:rsidR="003B3804" w:rsidRPr="004E5A6E" w:rsidRDefault="003B3804" w:rsidP="00713DEA">
            <w:pPr>
              <w:jc w:val="right"/>
              <w:rPr>
                <w:i/>
                <w:iCs/>
                <w:sz w:val="16"/>
                <w:szCs w:val="18"/>
                <w:lang w:val="sq-AL"/>
              </w:rPr>
            </w:pPr>
            <w:r w:rsidRPr="004E5A6E">
              <w:rPr>
                <w:i/>
                <w:iCs/>
                <w:sz w:val="16"/>
                <w:szCs w:val="18"/>
                <w:lang w:val="sq-AL"/>
              </w:rPr>
              <w:t>-154.0</w:t>
            </w:r>
          </w:p>
        </w:tc>
        <w:tc>
          <w:tcPr>
            <w:tcW w:w="863" w:type="dxa"/>
            <w:tcBorders>
              <w:top w:val="nil"/>
              <w:left w:val="nil"/>
              <w:bottom w:val="dotted" w:sz="4" w:space="0" w:color="auto"/>
              <w:right w:val="dotted" w:sz="4" w:space="0" w:color="auto"/>
            </w:tcBorders>
            <w:shd w:val="clear" w:color="000000" w:fill="DEEAF6"/>
            <w:noWrap/>
            <w:vAlign w:val="center"/>
            <w:hideMark/>
          </w:tcPr>
          <w:p w14:paraId="0B06FD16" w14:textId="77777777" w:rsidR="003B3804" w:rsidRPr="004E5A6E" w:rsidRDefault="003B3804" w:rsidP="00713DEA">
            <w:pPr>
              <w:jc w:val="right"/>
              <w:rPr>
                <w:sz w:val="16"/>
                <w:szCs w:val="18"/>
                <w:lang w:val="sq-AL"/>
              </w:rPr>
            </w:pPr>
            <w:r w:rsidRPr="004E5A6E">
              <w:rPr>
                <w:sz w:val="16"/>
                <w:szCs w:val="18"/>
                <w:lang w:val="sq-AL"/>
              </w:rPr>
              <w:t>-157.0</w:t>
            </w:r>
          </w:p>
        </w:tc>
        <w:tc>
          <w:tcPr>
            <w:tcW w:w="863" w:type="dxa"/>
            <w:tcBorders>
              <w:top w:val="nil"/>
              <w:left w:val="nil"/>
              <w:bottom w:val="dotted" w:sz="4" w:space="0" w:color="auto"/>
              <w:right w:val="dotted" w:sz="4" w:space="0" w:color="auto"/>
            </w:tcBorders>
            <w:shd w:val="clear" w:color="000000" w:fill="DEEAF6"/>
            <w:noWrap/>
            <w:vAlign w:val="center"/>
            <w:hideMark/>
          </w:tcPr>
          <w:p w14:paraId="2627E612" w14:textId="77777777" w:rsidR="003B3804" w:rsidRPr="004E5A6E" w:rsidRDefault="003B3804" w:rsidP="00713DEA">
            <w:pPr>
              <w:jc w:val="right"/>
              <w:rPr>
                <w:sz w:val="16"/>
                <w:szCs w:val="18"/>
                <w:lang w:val="sq-AL"/>
              </w:rPr>
            </w:pPr>
            <w:r w:rsidRPr="004E5A6E">
              <w:rPr>
                <w:sz w:val="16"/>
                <w:szCs w:val="18"/>
                <w:lang w:val="sq-AL"/>
              </w:rPr>
              <w:t>-163.0</w:t>
            </w:r>
          </w:p>
        </w:tc>
        <w:tc>
          <w:tcPr>
            <w:tcW w:w="863" w:type="dxa"/>
            <w:tcBorders>
              <w:top w:val="nil"/>
              <w:left w:val="nil"/>
              <w:bottom w:val="dotted" w:sz="4" w:space="0" w:color="auto"/>
              <w:right w:val="single" w:sz="8" w:space="0" w:color="auto"/>
            </w:tcBorders>
            <w:shd w:val="clear" w:color="000000" w:fill="DEEAF6"/>
            <w:noWrap/>
            <w:vAlign w:val="center"/>
            <w:hideMark/>
          </w:tcPr>
          <w:p w14:paraId="63B21967" w14:textId="77777777" w:rsidR="003B3804" w:rsidRPr="004E5A6E" w:rsidRDefault="003B3804" w:rsidP="00713DEA">
            <w:pPr>
              <w:jc w:val="right"/>
              <w:rPr>
                <w:i/>
                <w:iCs/>
                <w:sz w:val="16"/>
                <w:szCs w:val="18"/>
                <w:lang w:val="sq-AL"/>
              </w:rPr>
            </w:pPr>
            <w:r w:rsidRPr="004E5A6E">
              <w:rPr>
                <w:i/>
                <w:iCs/>
                <w:sz w:val="16"/>
                <w:szCs w:val="18"/>
                <w:lang w:val="sq-AL"/>
              </w:rPr>
              <w:t>n/a</w:t>
            </w:r>
          </w:p>
        </w:tc>
      </w:tr>
      <w:tr w:rsidR="003B3804" w:rsidRPr="004E5A6E" w14:paraId="595781E9" w14:textId="77777777" w:rsidTr="00713DEA">
        <w:trPr>
          <w:trHeight w:val="292"/>
        </w:trPr>
        <w:tc>
          <w:tcPr>
            <w:tcW w:w="981" w:type="dxa"/>
            <w:vMerge/>
            <w:tcBorders>
              <w:top w:val="nil"/>
              <w:left w:val="single" w:sz="8" w:space="0" w:color="auto"/>
              <w:bottom w:val="single" w:sz="8" w:space="0" w:color="000000"/>
              <w:right w:val="dotted" w:sz="4" w:space="0" w:color="auto"/>
            </w:tcBorders>
            <w:vAlign w:val="center"/>
            <w:hideMark/>
          </w:tcPr>
          <w:p w14:paraId="13F07F75" w14:textId="77777777" w:rsidR="003B3804" w:rsidRPr="004E5A6E" w:rsidRDefault="003B3804" w:rsidP="00713DEA">
            <w:pPr>
              <w:rPr>
                <w:b/>
                <w:bCs/>
                <w:sz w:val="16"/>
                <w:szCs w:val="18"/>
                <w:lang w:val="sq-AL"/>
              </w:rPr>
            </w:pPr>
          </w:p>
        </w:tc>
        <w:tc>
          <w:tcPr>
            <w:tcW w:w="2767" w:type="dxa"/>
            <w:tcBorders>
              <w:top w:val="nil"/>
              <w:left w:val="nil"/>
              <w:bottom w:val="dotted" w:sz="4" w:space="0" w:color="auto"/>
              <w:right w:val="dotted" w:sz="4" w:space="0" w:color="auto"/>
            </w:tcBorders>
            <w:shd w:val="clear" w:color="000000" w:fill="DEEAF6"/>
            <w:noWrap/>
            <w:vAlign w:val="center"/>
            <w:hideMark/>
          </w:tcPr>
          <w:p w14:paraId="0C5674DD" w14:textId="77777777" w:rsidR="003B3804" w:rsidRPr="004E5A6E" w:rsidRDefault="003B3804" w:rsidP="00713DEA">
            <w:pPr>
              <w:rPr>
                <w:sz w:val="16"/>
                <w:szCs w:val="18"/>
                <w:lang w:val="sq-AL"/>
              </w:rPr>
            </w:pPr>
            <w:r w:rsidRPr="004E5A6E">
              <w:rPr>
                <w:sz w:val="16"/>
                <w:szCs w:val="18"/>
                <w:lang w:val="sq-AL"/>
              </w:rPr>
              <w:t>BPV</w:t>
            </w:r>
          </w:p>
        </w:tc>
        <w:tc>
          <w:tcPr>
            <w:tcW w:w="741" w:type="dxa"/>
            <w:tcBorders>
              <w:top w:val="nil"/>
              <w:left w:val="nil"/>
              <w:bottom w:val="dotted" w:sz="4" w:space="0" w:color="auto"/>
              <w:right w:val="dotted" w:sz="4" w:space="0" w:color="auto"/>
            </w:tcBorders>
            <w:shd w:val="clear" w:color="000000" w:fill="DEEAF6"/>
            <w:noWrap/>
            <w:vAlign w:val="center"/>
            <w:hideMark/>
          </w:tcPr>
          <w:p w14:paraId="6BCDEF17" w14:textId="77777777" w:rsidR="003B3804" w:rsidRPr="004E5A6E" w:rsidRDefault="003B3804" w:rsidP="00713DEA">
            <w:pPr>
              <w:jc w:val="right"/>
              <w:rPr>
                <w:sz w:val="16"/>
                <w:szCs w:val="18"/>
                <w:lang w:val="sq-AL"/>
              </w:rPr>
            </w:pPr>
            <w:r w:rsidRPr="004E5A6E">
              <w:rPr>
                <w:sz w:val="16"/>
                <w:szCs w:val="18"/>
                <w:lang w:val="sq-AL"/>
              </w:rPr>
              <w:t>6,726.0</w:t>
            </w:r>
          </w:p>
        </w:tc>
        <w:tc>
          <w:tcPr>
            <w:tcW w:w="863" w:type="dxa"/>
            <w:tcBorders>
              <w:top w:val="nil"/>
              <w:left w:val="nil"/>
              <w:bottom w:val="dotted" w:sz="4" w:space="0" w:color="auto"/>
              <w:right w:val="dotted" w:sz="4" w:space="0" w:color="auto"/>
            </w:tcBorders>
            <w:shd w:val="clear" w:color="000000" w:fill="DEEAF6"/>
            <w:noWrap/>
            <w:vAlign w:val="center"/>
            <w:hideMark/>
          </w:tcPr>
          <w:p w14:paraId="565A3705" w14:textId="77777777" w:rsidR="003B3804" w:rsidRPr="004E5A6E" w:rsidRDefault="003B3804" w:rsidP="00713DEA">
            <w:pPr>
              <w:jc w:val="right"/>
              <w:rPr>
                <w:sz w:val="16"/>
                <w:szCs w:val="18"/>
                <w:lang w:val="sq-AL"/>
              </w:rPr>
            </w:pPr>
            <w:r w:rsidRPr="004E5A6E">
              <w:rPr>
                <w:sz w:val="16"/>
                <w:szCs w:val="18"/>
                <w:lang w:val="sq-AL"/>
              </w:rPr>
              <w:t>7,123.0</w:t>
            </w:r>
          </w:p>
        </w:tc>
        <w:tc>
          <w:tcPr>
            <w:tcW w:w="863" w:type="dxa"/>
            <w:tcBorders>
              <w:top w:val="nil"/>
              <w:left w:val="nil"/>
              <w:bottom w:val="dotted" w:sz="4" w:space="0" w:color="auto"/>
              <w:right w:val="dotted" w:sz="4" w:space="0" w:color="auto"/>
            </w:tcBorders>
            <w:shd w:val="clear" w:color="000000" w:fill="DEEAF6"/>
            <w:noWrap/>
            <w:vAlign w:val="center"/>
            <w:hideMark/>
          </w:tcPr>
          <w:p w14:paraId="5DFDA9C9" w14:textId="77777777" w:rsidR="003B3804" w:rsidRPr="004E5A6E" w:rsidRDefault="003B3804" w:rsidP="00713DEA">
            <w:pPr>
              <w:jc w:val="right"/>
              <w:rPr>
                <w:sz w:val="16"/>
                <w:szCs w:val="18"/>
                <w:lang w:val="sq-AL"/>
              </w:rPr>
            </w:pPr>
            <w:r w:rsidRPr="004E5A6E">
              <w:rPr>
                <w:sz w:val="16"/>
                <w:szCs w:val="18"/>
                <w:lang w:val="sq-AL"/>
              </w:rPr>
              <w:t>7,521.0</w:t>
            </w:r>
          </w:p>
        </w:tc>
        <w:tc>
          <w:tcPr>
            <w:tcW w:w="863" w:type="dxa"/>
            <w:tcBorders>
              <w:top w:val="nil"/>
              <w:left w:val="nil"/>
              <w:bottom w:val="dotted" w:sz="4" w:space="0" w:color="auto"/>
              <w:right w:val="dotted" w:sz="4" w:space="0" w:color="auto"/>
            </w:tcBorders>
            <w:shd w:val="clear" w:color="000000" w:fill="DEEAF6"/>
            <w:noWrap/>
            <w:vAlign w:val="center"/>
            <w:hideMark/>
          </w:tcPr>
          <w:p w14:paraId="67675E3B" w14:textId="77777777" w:rsidR="003B3804" w:rsidRPr="004E5A6E" w:rsidRDefault="003B3804" w:rsidP="00713DEA">
            <w:pPr>
              <w:jc w:val="right"/>
              <w:rPr>
                <w:sz w:val="16"/>
                <w:szCs w:val="18"/>
                <w:lang w:val="sq-AL"/>
              </w:rPr>
            </w:pPr>
            <w:r w:rsidRPr="004E5A6E">
              <w:rPr>
                <w:sz w:val="16"/>
                <w:szCs w:val="18"/>
                <w:lang w:val="sq-AL"/>
              </w:rPr>
              <w:t>7,939.0</w:t>
            </w:r>
          </w:p>
        </w:tc>
        <w:tc>
          <w:tcPr>
            <w:tcW w:w="863" w:type="dxa"/>
            <w:tcBorders>
              <w:top w:val="nil"/>
              <w:left w:val="nil"/>
              <w:bottom w:val="dotted" w:sz="4" w:space="0" w:color="auto"/>
              <w:right w:val="dotted" w:sz="4" w:space="0" w:color="auto"/>
            </w:tcBorders>
            <w:shd w:val="clear" w:color="000000" w:fill="DEEAF6"/>
            <w:noWrap/>
            <w:vAlign w:val="center"/>
            <w:hideMark/>
          </w:tcPr>
          <w:p w14:paraId="0396F1F3" w14:textId="77777777" w:rsidR="003B3804" w:rsidRPr="004E5A6E" w:rsidRDefault="003B3804" w:rsidP="00713DEA">
            <w:pPr>
              <w:jc w:val="right"/>
              <w:rPr>
                <w:sz w:val="16"/>
                <w:szCs w:val="18"/>
                <w:lang w:val="sq-AL"/>
              </w:rPr>
            </w:pPr>
            <w:r w:rsidRPr="004E5A6E">
              <w:rPr>
                <w:sz w:val="16"/>
                <w:szCs w:val="18"/>
                <w:lang w:val="sq-AL"/>
              </w:rPr>
              <w:t>8,363.0</w:t>
            </w:r>
          </w:p>
        </w:tc>
        <w:tc>
          <w:tcPr>
            <w:tcW w:w="863" w:type="dxa"/>
            <w:tcBorders>
              <w:top w:val="nil"/>
              <w:left w:val="nil"/>
              <w:bottom w:val="dotted" w:sz="4" w:space="0" w:color="auto"/>
              <w:right w:val="single" w:sz="8" w:space="0" w:color="auto"/>
            </w:tcBorders>
            <w:shd w:val="clear" w:color="000000" w:fill="DEEAF6"/>
            <w:noWrap/>
            <w:vAlign w:val="center"/>
            <w:hideMark/>
          </w:tcPr>
          <w:p w14:paraId="50CCBC10" w14:textId="77777777" w:rsidR="003B3804" w:rsidRPr="004E5A6E" w:rsidRDefault="003B3804" w:rsidP="00713DEA">
            <w:pPr>
              <w:jc w:val="right"/>
              <w:rPr>
                <w:i/>
                <w:iCs/>
                <w:sz w:val="16"/>
                <w:szCs w:val="18"/>
                <w:lang w:val="sq-AL"/>
              </w:rPr>
            </w:pPr>
            <w:r w:rsidRPr="004E5A6E">
              <w:rPr>
                <w:i/>
                <w:iCs/>
                <w:sz w:val="16"/>
                <w:szCs w:val="18"/>
                <w:lang w:val="sq-AL"/>
              </w:rPr>
              <w:t>n/a</w:t>
            </w:r>
          </w:p>
        </w:tc>
      </w:tr>
      <w:tr w:rsidR="003B3804" w:rsidRPr="004E5A6E" w14:paraId="6DDE414E" w14:textId="77777777" w:rsidTr="00713DEA">
        <w:trPr>
          <w:trHeight w:val="292"/>
        </w:trPr>
        <w:tc>
          <w:tcPr>
            <w:tcW w:w="981" w:type="dxa"/>
            <w:vMerge/>
            <w:tcBorders>
              <w:top w:val="nil"/>
              <w:left w:val="single" w:sz="8" w:space="0" w:color="auto"/>
              <w:bottom w:val="single" w:sz="8" w:space="0" w:color="000000"/>
              <w:right w:val="dotted" w:sz="4" w:space="0" w:color="auto"/>
            </w:tcBorders>
            <w:vAlign w:val="center"/>
            <w:hideMark/>
          </w:tcPr>
          <w:p w14:paraId="0D1FA828" w14:textId="77777777" w:rsidR="003B3804" w:rsidRPr="004E5A6E" w:rsidRDefault="003B3804" w:rsidP="00713DEA">
            <w:pPr>
              <w:rPr>
                <w:b/>
                <w:bCs/>
                <w:sz w:val="16"/>
                <w:szCs w:val="18"/>
                <w:lang w:val="sq-AL"/>
              </w:rPr>
            </w:pPr>
          </w:p>
        </w:tc>
        <w:tc>
          <w:tcPr>
            <w:tcW w:w="2767" w:type="dxa"/>
            <w:tcBorders>
              <w:top w:val="nil"/>
              <w:left w:val="nil"/>
              <w:bottom w:val="dotted" w:sz="4" w:space="0" w:color="auto"/>
              <w:right w:val="dotted" w:sz="4" w:space="0" w:color="auto"/>
            </w:tcBorders>
            <w:shd w:val="clear" w:color="000000" w:fill="DEEAF6"/>
            <w:noWrap/>
            <w:vAlign w:val="center"/>
            <w:hideMark/>
          </w:tcPr>
          <w:p w14:paraId="1282B836" w14:textId="77777777" w:rsidR="003B3804" w:rsidRPr="004E5A6E" w:rsidRDefault="003B3804" w:rsidP="00713DEA">
            <w:pPr>
              <w:rPr>
                <w:sz w:val="16"/>
                <w:szCs w:val="18"/>
                <w:lang w:val="sq-AL"/>
              </w:rPr>
            </w:pPr>
            <w:r w:rsidRPr="004E5A6E">
              <w:rPr>
                <w:sz w:val="16"/>
                <w:szCs w:val="18"/>
                <w:lang w:val="sq-AL"/>
              </w:rPr>
              <w:t>Deficiti i përgjithshëm, si % e BPV-së</w:t>
            </w:r>
          </w:p>
        </w:tc>
        <w:tc>
          <w:tcPr>
            <w:tcW w:w="741" w:type="dxa"/>
            <w:tcBorders>
              <w:top w:val="nil"/>
              <w:left w:val="nil"/>
              <w:bottom w:val="dotted" w:sz="4" w:space="0" w:color="auto"/>
              <w:right w:val="dotted" w:sz="4" w:space="0" w:color="auto"/>
            </w:tcBorders>
            <w:shd w:val="clear" w:color="000000" w:fill="DEEAF6"/>
            <w:noWrap/>
            <w:vAlign w:val="center"/>
            <w:hideMark/>
          </w:tcPr>
          <w:p w14:paraId="3BE1B381" w14:textId="77777777" w:rsidR="003B3804" w:rsidRPr="004E5A6E" w:rsidRDefault="003B3804" w:rsidP="00713DEA">
            <w:pPr>
              <w:jc w:val="right"/>
              <w:rPr>
                <w:sz w:val="16"/>
                <w:szCs w:val="18"/>
                <w:lang w:val="sq-AL"/>
              </w:rPr>
            </w:pPr>
            <w:r w:rsidRPr="004E5A6E">
              <w:rPr>
                <w:sz w:val="16"/>
                <w:szCs w:val="18"/>
                <w:lang w:val="sq-AL"/>
              </w:rPr>
              <w:t>-1.3%</w:t>
            </w:r>
          </w:p>
        </w:tc>
        <w:tc>
          <w:tcPr>
            <w:tcW w:w="863" w:type="dxa"/>
            <w:tcBorders>
              <w:top w:val="nil"/>
              <w:left w:val="nil"/>
              <w:bottom w:val="dotted" w:sz="4" w:space="0" w:color="auto"/>
              <w:right w:val="dotted" w:sz="4" w:space="0" w:color="auto"/>
            </w:tcBorders>
            <w:shd w:val="clear" w:color="000000" w:fill="DEEAF6"/>
            <w:noWrap/>
            <w:vAlign w:val="center"/>
            <w:hideMark/>
          </w:tcPr>
          <w:p w14:paraId="5CB02511" w14:textId="77777777" w:rsidR="003B3804" w:rsidRPr="004E5A6E" w:rsidRDefault="003B3804" w:rsidP="00713DEA">
            <w:pPr>
              <w:jc w:val="right"/>
              <w:rPr>
                <w:sz w:val="16"/>
                <w:szCs w:val="18"/>
                <w:lang w:val="sq-AL"/>
              </w:rPr>
            </w:pPr>
            <w:r w:rsidRPr="004E5A6E">
              <w:rPr>
                <w:sz w:val="16"/>
                <w:szCs w:val="18"/>
                <w:lang w:val="sq-AL"/>
              </w:rPr>
              <w:t>-2.0%</w:t>
            </w:r>
          </w:p>
        </w:tc>
        <w:tc>
          <w:tcPr>
            <w:tcW w:w="863" w:type="dxa"/>
            <w:tcBorders>
              <w:top w:val="nil"/>
              <w:left w:val="nil"/>
              <w:bottom w:val="dotted" w:sz="4" w:space="0" w:color="auto"/>
              <w:right w:val="dotted" w:sz="4" w:space="0" w:color="auto"/>
            </w:tcBorders>
            <w:shd w:val="clear" w:color="000000" w:fill="DEEAF6"/>
            <w:vAlign w:val="center"/>
            <w:hideMark/>
          </w:tcPr>
          <w:p w14:paraId="6C8AE8C5" w14:textId="77777777" w:rsidR="003B3804" w:rsidRPr="004E5A6E" w:rsidRDefault="003B3804" w:rsidP="00713DEA">
            <w:pPr>
              <w:jc w:val="right"/>
              <w:rPr>
                <w:sz w:val="16"/>
                <w:szCs w:val="18"/>
                <w:lang w:val="sq-AL"/>
              </w:rPr>
            </w:pPr>
            <w:r w:rsidRPr="004E5A6E">
              <w:rPr>
                <w:sz w:val="16"/>
                <w:szCs w:val="18"/>
                <w:lang w:val="sq-AL"/>
              </w:rPr>
              <w:t>-2.0%</w:t>
            </w:r>
          </w:p>
        </w:tc>
        <w:tc>
          <w:tcPr>
            <w:tcW w:w="863" w:type="dxa"/>
            <w:tcBorders>
              <w:top w:val="nil"/>
              <w:left w:val="nil"/>
              <w:bottom w:val="dotted" w:sz="4" w:space="0" w:color="auto"/>
              <w:right w:val="dotted" w:sz="4" w:space="0" w:color="auto"/>
            </w:tcBorders>
            <w:shd w:val="clear" w:color="000000" w:fill="DEEAF6"/>
            <w:noWrap/>
            <w:vAlign w:val="center"/>
            <w:hideMark/>
          </w:tcPr>
          <w:p w14:paraId="2810C77A" w14:textId="77777777" w:rsidR="003B3804" w:rsidRPr="004E5A6E" w:rsidRDefault="003B3804" w:rsidP="00713DEA">
            <w:pPr>
              <w:jc w:val="right"/>
              <w:rPr>
                <w:sz w:val="16"/>
                <w:szCs w:val="18"/>
                <w:lang w:val="sq-AL"/>
              </w:rPr>
            </w:pPr>
            <w:r w:rsidRPr="004E5A6E">
              <w:rPr>
                <w:sz w:val="16"/>
                <w:szCs w:val="18"/>
                <w:lang w:val="sq-AL"/>
              </w:rPr>
              <w:t>-2.0%</w:t>
            </w:r>
          </w:p>
        </w:tc>
        <w:tc>
          <w:tcPr>
            <w:tcW w:w="863" w:type="dxa"/>
            <w:tcBorders>
              <w:top w:val="nil"/>
              <w:left w:val="nil"/>
              <w:bottom w:val="dotted" w:sz="4" w:space="0" w:color="auto"/>
              <w:right w:val="dotted" w:sz="4" w:space="0" w:color="auto"/>
            </w:tcBorders>
            <w:shd w:val="clear" w:color="000000" w:fill="DEEAF6"/>
            <w:noWrap/>
            <w:vAlign w:val="center"/>
            <w:hideMark/>
          </w:tcPr>
          <w:p w14:paraId="26C15B2E" w14:textId="77777777" w:rsidR="003B3804" w:rsidRPr="004E5A6E" w:rsidRDefault="003B3804" w:rsidP="00713DEA">
            <w:pPr>
              <w:jc w:val="right"/>
              <w:rPr>
                <w:sz w:val="16"/>
                <w:szCs w:val="18"/>
                <w:lang w:val="sq-AL"/>
              </w:rPr>
            </w:pPr>
            <w:r w:rsidRPr="004E5A6E">
              <w:rPr>
                <w:sz w:val="16"/>
                <w:szCs w:val="18"/>
                <w:lang w:val="sq-AL"/>
              </w:rPr>
              <w:t>-2.0%</w:t>
            </w:r>
          </w:p>
        </w:tc>
        <w:tc>
          <w:tcPr>
            <w:tcW w:w="863" w:type="dxa"/>
            <w:tcBorders>
              <w:top w:val="nil"/>
              <w:left w:val="nil"/>
              <w:bottom w:val="dotted" w:sz="4" w:space="0" w:color="auto"/>
              <w:right w:val="single" w:sz="8" w:space="0" w:color="auto"/>
            </w:tcBorders>
            <w:shd w:val="clear" w:color="000000" w:fill="DEEAF6"/>
            <w:noWrap/>
            <w:vAlign w:val="center"/>
            <w:hideMark/>
          </w:tcPr>
          <w:p w14:paraId="62D3AE9A" w14:textId="77777777" w:rsidR="003B3804" w:rsidRPr="004E5A6E" w:rsidRDefault="003B3804" w:rsidP="00713DEA">
            <w:pPr>
              <w:jc w:val="right"/>
              <w:rPr>
                <w:i/>
                <w:iCs/>
                <w:sz w:val="16"/>
                <w:szCs w:val="18"/>
                <w:lang w:val="sq-AL"/>
              </w:rPr>
            </w:pPr>
            <w:r w:rsidRPr="004E5A6E">
              <w:rPr>
                <w:i/>
                <w:iCs/>
                <w:sz w:val="16"/>
                <w:szCs w:val="18"/>
                <w:lang w:val="sq-AL"/>
              </w:rPr>
              <w:t>n/a</w:t>
            </w:r>
          </w:p>
        </w:tc>
      </w:tr>
      <w:tr w:rsidR="003B3804" w:rsidRPr="004E5A6E" w14:paraId="28FBD09D" w14:textId="77777777" w:rsidTr="00713DEA">
        <w:trPr>
          <w:trHeight w:val="292"/>
        </w:trPr>
        <w:tc>
          <w:tcPr>
            <w:tcW w:w="981" w:type="dxa"/>
            <w:vMerge/>
            <w:tcBorders>
              <w:top w:val="nil"/>
              <w:left w:val="single" w:sz="8" w:space="0" w:color="auto"/>
              <w:bottom w:val="single" w:sz="8" w:space="0" w:color="000000"/>
              <w:right w:val="dotted" w:sz="4" w:space="0" w:color="auto"/>
            </w:tcBorders>
            <w:vAlign w:val="center"/>
            <w:hideMark/>
          </w:tcPr>
          <w:p w14:paraId="027C34BE" w14:textId="77777777" w:rsidR="003B3804" w:rsidRPr="004E5A6E" w:rsidRDefault="003B3804" w:rsidP="00713DEA">
            <w:pPr>
              <w:rPr>
                <w:b/>
                <w:bCs/>
                <w:sz w:val="16"/>
                <w:szCs w:val="18"/>
                <w:lang w:val="sq-AL"/>
              </w:rPr>
            </w:pPr>
          </w:p>
        </w:tc>
        <w:tc>
          <w:tcPr>
            <w:tcW w:w="2767" w:type="dxa"/>
            <w:tcBorders>
              <w:top w:val="nil"/>
              <w:left w:val="nil"/>
              <w:bottom w:val="dotted" w:sz="4" w:space="0" w:color="auto"/>
              <w:right w:val="dotted" w:sz="4" w:space="0" w:color="auto"/>
            </w:tcBorders>
            <w:shd w:val="clear" w:color="000000" w:fill="DEEAF6"/>
            <w:noWrap/>
            <w:vAlign w:val="center"/>
            <w:hideMark/>
          </w:tcPr>
          <w:p w14:paraId="7200039C" w14:textId="77777777" w:rsidR="003B3804" w:rsidRPr="004E5A6E" w:rsidRDefault="003B3804" w:rsidP="00713DEA">
            <w:pPr>
              <w:rPr>
                <w:sz w:val="16"/>
                <w:szCs w:val="18"/>
                <w:lang w:val="sq-AL"/>
              </w:rPr>
            </w:pPr>
            <w:r w:rsidRPr="004E5A6E">
              <w:rPr>
                <w:sz w:val="16"/>
                <w:szCs w:val="18"/>
                <w:lang w:val="sq-AL"/>
              </w:rPr>
              <w:t>Bilanci bankar, si % e BPV-së</w:t>
            </w:r>
          </w:p>
        </w:tc>
        <w:tc>
          <w:tcPr>
            <w:tcW w:w="741" w:type="dxa"/>
            <w:tcBorders>
              <w:top w:val="nil"/>
              <w:left w:val="nil"/>
              <w:bottom w:val="dotted" w:sz="4" w:space="0" w:color="auto"/>
              <w:right w:val="dotted" w:sz="4" w:space="0" w:color="auto"/>
            </w:tcBorders>
            <w:shd w:val="clear" w:color="000000" w:fill="DEEAF6"/>
            <w:noWrap/>
            <w:vAlign w:val="center"/>
            <w:hideMark/>
          </w:tcPr>
          <w:p w14:paraId="0597666C" w14:textId="77777777" w:rsidR="003B3804" w:rsidRPr="004E5A6E" w:rsidRDefault="003B3804" w:rsidP="00713DEA">
            <w:pPr>
              <w:jc w:val="right"/>
              <w:rPr>
                <w:sz w:val="16"/>
                <w:szCs w:val="18"/>
                <w:lang w:val="sq-AL"/>
              </w:rPr>
            </w:pPr>
            <w:r w:rsidRPr="004E5A6E">
              <w:rPr>
                <w:sz w:val="16"/>
                <w:szCs w:val="18"/>
                <w:lang w:val="sq-AL"/>
              </w:rPr>
              <w:t>4.5%</w:t>
            </w:r>
          </w:p>
        </w:tc>
        <w:tc>
          <w:tcPr>
            <w:tcW w:w="863" w:type="dxa"/>
            <w:tcBorders>
              <w:top w:val="nil"/>
              <w:left w:val="nil"/>
              <w:bottom w:val="dotted" w:sz="4" w:space="0" w:color="auto"/>
              <w:right w:val="dotted" w:sz="4" w:space="0" w:color="auto"/>
            </w:tcBorders>
            <w:shd w:val="clear" w:color="000000" w:fill="DEEAF6"/>
            <w:noWrap/>
            <w:vAlign w:val="center"/>
            <w:hideMark/>
          </w:tcPr>
          <w:p w14:paraId="1C40F343" w14:textId="77777777" w:rsidR="003B3804" w:rsidRPr="004E5A6E" w:rsidRDefault="003B3804" w:rsidP="00713DEA">
            <w:pPr>
              <w:jc w:val="right"/>
              <w:rPr>
                <w:sz w:val="16"/>
                <w:szCs w:val="18"/>
                <w:lang w:val="sq-AL"/>
              </w:rPr>
            </w:pPr>
            <w:r w:rsidRPr="004E5A6E">
              <w:rPr>
                <w:sz w:val="16"/>
                <w:szCs w:val="18"/>
                <w:lang w:val="sq-AL"/>
              </w:rPr>
              <w:t>4.8%</w:t>
            </w:r>
          </w:p>
        </w:tc>
        <w:tc>
          <w:tcPr>
            <w:tcW w:w="863" w:type="dxa"/>
            <w:tcBorders>
              <w:top w:val="nil"/>
              <w:left w:val="nil"/>
              <w:bottom w:val="dotted" w:sz="4" w:space="0" w:color="auto"/>
              <w:right w:val="dotted" w:sz="4" w:space="0" w:color="auto"/>
            </w:tcBorders>
            <w:shd w:val="clear" w:color="000000" w:fill="DEEAF6"/>
            <w:vAlign w:val="center"/>
            <w:hideMark/>
          </w:tcPr>
          <w:p w14:paraId="02C10365" w14:textId="77777777" w:rsidR="003B3804" w:rsidRPr="004E5A6E" w:rsidRDefault="003B3804" w:rsidP="00713DEA">
            <w:pPr>
              <w:jc w:val="right"/>
              <w:rPr>
                <w:sz w:val="16"/>
                <w:szCs w:val="18"/>
                <w:lang w:val="sq-AL"/>
              </w:rPr>
            </w:pPr>
            <w:r w:rsidRPr="004E5A6E">
              <w:rPr>
                <w:sz w:val="16"/>
                <w:szCs w:val="18"/>
                <w:lang w:val="sq-AL"/>
              </w:rPr>
              <w:t>4.5%</w:t>
            </w:r>
          </w:p>
        </w:tc>
        <w:tc>
          <w:tcPr>
            <w:tcW w:w="863" w:type="dxa"/>
            <w:tcBorders>
              <w:top w:val="nil"/>
              <w:left w:val="nil"/>
              <w:bottom w:val="dotted" w:sz="4" w:space="0" w:color="auto"/>
              <w:right w:val="dotted" w:sz="4" w:space="0" w:color="auto"/>
            </w:tcBorders>
            <w:shd w:val="clear" w:color="000000" w:fill="DEEAF6"/>
            <w:noWrap/>
            <w:vAlign w:val="center"/>
            <w:hideMark/>
          </w:tcPr>
          <w:p w14:paraId="41ABFA0E" w14:textId="77777777" w:rsidR="003B3804" w:rsidRPr="004E5A6E" w:rsidRDefault="003B3804" w:rsidP="00713DEA">
            <w:pPr>
              <w:jc w:val="right"/>
              <w:rPr>
                <w:sz w:val="16"/>
                <w:szCs w:val="18"/>
                <w:lang w:val="sq-AL"/>
              </w:rPr>
            </w:pPr>
            <w:r w:rsidRPr="004E5A6E">
              <w:rPr>
                <w:sz w:val="16"/>
                <w:szCs w:val="18"/>
                <w:lang w:val="sq-AL"/>
              </w:rPr>
              <w:t>3.1%</w:t>
            </w:r>
          </w:p>
        </w:tc>
        <w:tc>
          <w:tcPr>
            <w:tcW w:w="863" w:type="dxa"/>
            <w:tcBorders>
              <w:top w:val="nil"/>
              <w:left w:val="nil"/>
              <w:bottom w:val="dotted" w:sz="4" w:space="0" w:color="auto"/>
              <w:right w:val="dotted" w:sz="4" w:space="0" w:color="auto"/>
            </w:tcBorders>
            <w:shd w:val="clear" w:color="000000" w:fill="DEEAF6"/>
            <w:noWrap/>
            <w:vAlign w:val="center"/>
            <w:hideMark/>
          </w:tcPr>
          <w:p w14:paraId="7DA4C60C" w14:textId="77777777" w:rsidR="003B3804" w:rsidRPr="004E5A6E" w:rsidRDefault="003B3804" w:rsidP="00713DEA">
            <w:pPr>
              <w:jc w:val="right"/>
              <w:rPr>
                <w:sz w:val="16"/>
                <w:szCs w:val="18"/>
                <w:lang w:val="sq-AL"/>
              </w:rPr>
            </w:pPr>
            <w:r w:rsidRPr="004E5A6E">
              <w:rPr>
                <w:sz w:val="16"/>
                <w:szCs w:val="18"/>
                <w:lang w:val="sq-AL"/>
              </w:rPr>
              <w:t>2.2%</w:t>
            </w:r>
          </w:p>
        </w:tc>
        <w:tc>
          <w:tcPr>
            <w:tcW w:w="863" w:type="dxa"/>
            <w:tcBorders>
              <w:top w:val="nil"/>
              <w:left w:val="nil"/>
              <w:bottom w:val="dotted" w:sz="4" w:space="0" w:color="auto"/>
              <w:right w:val="single" w:sz="8" w:space="0" w:color="auto"/>
            </w:tcBorders>
            <w:shd w:val="clear" w:color="000000" w:fill="DEEAF6"/>
            <w:noWrap/>
            <w:vAlign w:val="center"/>
            <w:hideMark/>
          </w:tcPr>
          <w:p w14:paraId="354EBED5" w14:textId="77777777" w:rsidR="003B3804" w:rsidRPr="004E5A6E" w:rsidRDefault="003B3804" w:rsidP="00713DEA">
            <w:pPr>
              <w:jc w:val="right"/>
              <w:rPr>
                <w:i/>
                <w:iCs/>
                <w:sz w:val="16"/>
                <w:szCs w:val="18"/>
                <w:lang w:val="sq-AL"/>
              </w:rPr>
            </w:pPr>
            <w:r w:rsidRPr="004E5A6E">
              <w:rPr>
                <w:i/>
                <w:iCs/>
                <w:sz w:val="16"/>
                <w:szCs w:val="18"/>
                <w:lang w:val="sq-AL"/>
              </w:rPr>
              <w:t>n/a</w:t>
            </w:r>
          </w:p>
        </w:tc>
      </w:tr>
      <w:tr w:rsidR="003B3804" w:rsidRPr="004E5A6E" w14:paraId="5339BB24" w14:textId="77777777" w:rsidTr="00713DEA">
        <w:trPr>
          <w:trHeight w:val="292"/>
        </w:trPr>
        <w:tc>
          <w:tcPr>
            <w:tcW w:w="981" w:type="dxa"/>
            <w:vMerge/>
            <w:tcBorders>
              <w:top w:val="nil"/>
              <w:left w:val="single" w:sz="8" w:space="0" w:color="auto"/>
              <w:bottom w:val="single" w:sz="8" w:space="0" w:color="000000"/>
              <w:right w:val="dotted" w:sz="4" w:space="0" w:color="auto"/>
            </w:tcBorders>
            <w:vAlign w:val="center"/>
            <w:hideMark/>
          </w:tcPr>
          <w:p w14:paraId="5F7EEBB4" w14:textId="77777777" w:rsidR="003B3804" w:rsidRPr="004E5A6E" w:rsidRDefault="003B3804" w:rsidP="00713DEA">
            <w:pPr>
              <w:rPr>
                <w:b/>
                <w:bCs/>
                <w:sz w:val="16"/>
                <w:szCs w:val="18"/>
                <w:lang w:val="sq-AL"/>
              </w:rPr>
            </w:pPr>
          </w:p>
        </w:tc>
        <w:tc>
          <w:tcPr>
            <w:tcW w:w="2767" w:type="dxa"/>
            <w:tcBorders>
              <w:top w:val="dotted" w:sz="4" w:space="0" w:color="auto"/>
              <w:left w:val="nil"/>
              <w:bottom w:val="dotted" w:sz="4" w:space="0" w:color="auto"/>
              <w:right w:val="dotted" w:sz="4" w:space="0" w:color="auto"/>
            </w:tcBorders>
            <w:shd w:val="clear" w:color="000000" w:fill="DEEAF6"/>
            <w:noWrap/>
            <w:vAlign w:val="center"/>
            <w:hideMark/>
          </w:tcPr>
          <w:p w14:paraId="23253BF9" w14:textId="77777777" w:rsidR="003B3804" w:rsidRPr="004E5A6E" w:rsidRDefault="003B3804" w:rsidP="00713DEA">
            <w:pPr>
              <w:rPr>
                <w:sz w:val="16"/>
                <w:szCs w:val="18"/>
                <w:lang w:val="sq-AL"/>
              </w:rPr>
            </w:pPr>
            <w:r w:rsidRPr="004E5A6E">
              <w:rPr>
                <w:sz w:val="16"/>
                <w:szCs w:val="18"/>
                <w:lang w:val="sq-AL"/>
              </w:rPr>
              <w:t>Shpenzimet kapitale, si % e BPV-së</w:t>
            </w:r>
          </w:p>
        </w:tc>
        <w:tc>
          <w:tcPr>
            <w:tcW w:w="741" w:type="dxa"/>
            <w:tcBorders>
              <w:top w:val="nil"/>
              <w:left w:val="nil"/>
              <w:bottom w:val="dotted" w:sz="4" w:space="0" w:color="auto"/>
              <w:right w:val="dotted" w:sz="4" w:space="0" w:color="auto"/>
            </w:tcBorders>
            <w:shd w:val="clear" w:color="000000" w:fill="DEEAF6"/>
            <w:noWrap/>
            <w:vAlign w:val="center"/>
            <w:hideMark/>
          </w:tcPr>
          <w:p w14:paraId="667A824B" w14:textId="77777777" w:rsidR="003B3804" w:rsidRPr="004E5A6E" w:rsidRDefault="003B3804" w:rsidP="00713DEA">
            <w:pPr>
              <w:jc w:val="right"/>
              <w:rPr>
                <w:sz w:val="16"/>
                <w:szCs w:val="18"/>
                <w:lang w:val="sq-AL"/>
              </w:rPr>
            </w:pPr>
            <w:r w:rsidRPr="004E5A6E">
              <w:rPr>
                <w:sz w:val="16"/>
                <w:szCs w:val="18"/>
                <w:lang w:val="sq-AL"/>
              </w:rPr>
              <w:t>7.9%</w:t>
            </w:r>
          </w:p>
        </w:tc>
        <w:tc>
          <w:tcPr>
            <w:tcW w:w="863" w:type="dxa"/>
            <w:tcBorders>
              <w:top w:val="nil"/>
              <w:left w:val="nil"/>
              <w:bottom w:val="dotted" w:sz="4" w:space="0" w:color="auto"/>
              <w:right w:val="dotted" w:sz="4" w:space="0" w:color="auto"/>
            </w:tcBorders>
            <w:shd w:val="clear" w:color="000000" w:fill="DEEAF6"/>
            <w:noWrap/>
            <w:vAlign w:val="center"/>
            <w:hideMark/>
          </w:tcPr>
          <w:p w14:paraId="04E551FD" w14:textId="77777777" w:rsidR="003B3804" w:rsidRPr="004E5A6E" w:rsidRDefault="003B3804" w:rsidP="00713DEA">
            <w:pPr>
              <w:jc w:val="right"/>
              <w:rPr>
                <w:sz w:val="16"/>
                <w:szCs w:val="18"/>
                <w:lang w:val="sq-AL"/>
              </w:rPr>
            </w:pPr>
            <w:r w:rsidRPr="004E5A6E">
              <w:rPr>
                <w:sz w:val="16"/>
                <w:szCs w:val="18"/>
                <w:lang w:val="sq-AL"/>
              </w:rPr>
              <w:t>11.1%</w:t>
            </w:r>
          </w:p>
        </w:tc>
        <w:tc>
          <w:tcPr>
            <w:tcW w:w="863" w:type="dxa"/>
            <w:tcBorders>
              <w:top w:val="nil"/>
              <w:left w:val="nil"/>
              <w:bottom w:val="dotted" w:sz="4" w:space="0" w:color="auto"/>
              <w:right w:val="dotted" w:sz="4" w:space="0" w:color="auto"/>
            </w:tcBorders>
            <w:shd w:val="clear" w:color="000000" w:fill="DEEAF6"/>
            <w:noWrap/>
            <w:vAlign w:val="center"/>
            <w:hideMark/>
          </w:tcPr>
          <w:p w14:paraId="6C87091C" w14:textId="77777777" w:rsidR="003B3804" w:rsidRPr="004E5A6E" w:rsidRDefault="003B3804" w:rsidP="00713DEA">
            <w:pPr>
              <w:jc w:val="right"/>
              <w:rPr>
                <w:sz w:val="16"/>
                <w:szCs w:val="18"/>
                <w:lang w:val="sq-AL"/>
              </w:rPr>
            </w:pPr>
            <w:r w:rsidRPr="004E5A6E">
              <w:rPr>
                <w:sz w:val="16"/>
                <w:szCs w:val="18"/>
                <w:lang w:val="sq-AL"/>
              </w:rPr>
              <w:t>10.5%</w:t>
            </w:r>
          </w:p>
        </w:tc>
        <w:tc>
          <w:tcPr>
            <w:tcW w:w="863" w:type="dxa"/>
            <w:tcBorders>
              <w:top w:val="nil"/>
              <w:left w:val="nil"/>
              <w:bottom w:val="dotted" w:sz="4" w:space="0" w:color="auto"/>
              <w:right w:val="dotted" w:sz="4" w:space="0" w:color="auto"/>
            </w:tcBorders>
            <w:shd w:val="clear" w:color="000000" w:fill="DEEAF6"/>
            <w:noWrap/>
            <w:vAlign w:val="center"/>
            <w:hideMark/>
          </w:tcPr>
          <w:p w14:paraId="13756BD7" w14:textId="77777777" w:rsidR="003B3804" w:rsidRPr="004E5A6E" w:rsidRDefault="003B3804" w:rsidP="00713DEA">
            <w:pPr>
              <w:jc w:val="right"/>
              <w:rPr>
                <w:sz w:val="16"/>
                <w:szCs w:val="18"/>
                <w:lang w:val="sq-AL"/>
              </w:rPr>
            </w:pPr>
            <w:r w:rsidRPr="004E5A6E">
              <w:rPr>
                <w:sz w:val="16"/>
                <w:szCs w:val="18"/>
                <w:lang w:val="sq-AL"/>
              </w:rPr>
              <w:t>10.4%</w:t>
            </w:r>
          </w:p>
        </w:tc>
        <w:tc>
          <w:tcPr>
            <w:tcW w:w="863" w:type="dxa"/>
            <w:tcBorders>
              <w:top w:val="nil"/>
              <w:left w:val="nil"/>
              <w:bottom w:val="dotted" w:sz="4" w:space="0" w:color="auto"/>
              <w:right w:val="dotted" w:sz="4" w:space="0" w:color="auto"/>
            </w:tcBorders>
            <w:shd w:val="clear" w:color="000000" w:fill="DEEAF6"/>
            <w:noWrap/>
            <w:vAlign w:val="center"/>
            <w:hideMark/>
          </w:tcPr>
          <w:p w14:paraId="1AB6C38A" w14:textId="77777777" w:rsidR="003B3804" w:rsidRPr="004E5A6E" w:rsidRDefault="003B3804" w:rsidP="00713DEA">
            <w:pPr>
              <w:jc w:val="right"/>
              <w:rPr>
                <w:sz w:val="16"/>
                <w:szCs w:val="18"/>
                <w:lang w:val="sq-AL"/>
              </w:rPr>
            </w:pPr>
            <w:r w:rsidRPr="004E5A6E">
              <w:rPr>
                <w:sz w:val="16"/>
                <w:szCs w:val="18"/>
                <w:lang w:val="sq-AL"/>
              </w:rPr>
              <w:t>10.1%</w:t>
            </w:r>
          </w:p>
        </w:tc>
        <w:tc>
          <w:tcPr>
            <w:tcW w:w="863" w:type="dxa"/>
            <w:tcBorders>
              <w:top w:val="nil"/>
              <w:left w:val="nil"/>
              <w:bottom w:val="dotted" w:sz="4" w:space="0" w:color="auto"/>
              <w:right w:val="single" w:sz="8" w:space="0" w:color="auto"/>
            </w:tcBorders>
            <w:shd w:val="clear" w:color="000000" w:fill="DEEAF6"/>
            <w:noWrap/>
            <w:vAlign w:val="center"/>
            <w:hideMark/>
          </w:tcPr>
          <w:p w14:paraId="707853F4" w14:textId="77777777" w:rsidR="003B3804" w:rsidRPr="004E5A6E" w:rsidRDefault="003B3804" w:rsidP="00713DEA">
            <w:pPr>
              <w:jc w:val="right"/>
              <w:rPr>
                <w:i/>
                <w:iCs/>
                <w:sz w:val="16"/>
                <w:szCs w:val="18"/>
                <w:lang w:val="sq-AL"/>
              </w:rPr>
            </w:pPr>
            <w:r w:rsidRPr="004E5A6E">
              <w:rPr>
                <w:i/>
                <w:iCs/>
                <w:sz w:val="16"/>
                <w:szCs w:val="18"/>
                <w:lang w:val="sq-AL"/>
              </w:rPr>
              <w:t>n/a</w:t>
            </w:r>
          </w:p>
        </w:tc>
      </w:tr>
      <w:tr w:rsidR="003B3804" w:rsidRPr="004E5A6E" w14:paraId="38E163DC" w14:textId="77777777" w:rsidTr="00713DEA">
        <w:trPr>
          <w:trHeight w:val="306"/>
        </w:trPr>
        <w:tc>
          <w:tcPr>
            <w:tcW w:w="981" w:type="dxa"/>
            <w:vMerge/>
            <w:tcBorders>
              <w:top w:val="nil"/>
              <w:left w:val="single" w:sz="8" w:space="0" w:color="auto"/>
              <w:bottom w:val="single" w:sz="8" w:space="0" w:color="000000"/>
              <w:right w:val="dotted" w:sz="4" w:space="0" w:color="auto"/>
            </w:tcBorders>
            <w:vAlign w:val="center"/>
            <w:hideMark/>
          </w:tcPr>
          <w:p w14:paraId="68CD2586" w14:textId="77777777" w:rsidR="003B3804" w:rsidRPr="004E5A6E" w:rsidRDefault="003B3804" w:rsidP="00713DEA">
            <w:pPr>
              <w:rPr>
                <w:b/>
                <w:bCs/>
                <w:sz w:val="16"/>
                <w:szCs w:val="18"/>
                <w:lang w:val="sq-AL"/>
              </w:rPr>
            </w:pPr>
          </w:p>
        </w:tc>
        <w:tc>
          <w:tcPr>
            <w:tcW w:w="2767" w:type="dxa"/>
            <w:tcBorders>
              <w:top w:val="dotted" w:sz="4" w:space="0" w:color="auto"/>
              <w:left w:val="nil"/>
              <w:bottom w:val="single" w:sz="8" w:space="0" w:color="auto"/>
              <w:right w:val="dotted" w:sz="4" w:space="0" w:color="auto"/>
            </w:tcBorders>
            <w:shd w:val="clear" w:color="000000" w:fill="DEEAF6"/>
            <w:noWrap/>
            <w:vAlign w:val="center"/>
            <w:hideMark/>
          </w:tcPr>
          <w:p w14:paraId="21257088" w14:textId="77777777" w:rsidR="003B3804" w:rsidRPr="004E5A6E" w:rsidRDefault="003B3804" w:rsidP="00713DEA">
            <w:pPr>
              <w:rPr>
                <w:sz w:val="16"/>
                <w:szCs w:val="18"/>
                <w:lang w:val="sq-AL"/>
              </w:rPr>
            </w:pPr>
            <w:r w:rsidRPr="004E5A6E">
              <w:rPr>
                <w:sz w:val="16"/>
                <w:szCs w:val="18"/>
                <w:lang w:val="sq-AL"/>
              </w:rPr>
              <w:t>Shpenzimet e përsëritura, si % e BPV-së</w:t>
            </w:r>
          </w:p>
        </w:tc>
        <w:tc>
          <w:tcPr>
            <w:tcW w:w="741" w:type="dxa"/>
            <w:tcBorders>
              <w:top w:val="nil"/>
              <w:left w:val="nil"/>
              <w:bottom w:val="single" w:sz="8" w:space="0" w:color="auto"/>
              <w:right w:val="dotted" w:sz="4" w:space="0" w:color="auto"/>
            </w:tcBorders>
            <w:shd w:val="clear" w:color="000000" w:fill="DEEAF6"/>
            <w:noWrap/>
            <w:vAlign w:val="center"/>
            <w:hideMark/>
          </w:tcPr>
          <w:p w14:paraId="345AC5A2" w14:textId="77777777" w:rsidR="003B3804" w:rsidRPr="004E5A6E" w:rsidRDefault="003B3804" w:rsidP="00713DEA">
            <w:pPr>
              <w:jc w:val="right"/>
              <w:rPr>
                <w:sz w:val="16"/>
                <w:szCs w:val="18"/>
                <w:lang w:val="sq-AL"/>
              </w:rPr>
            </w:pPr>
            <w:r w:rsidRPr="004E5A6E">
              <w:rPr>
                <w:sz w:val="16"/>
                <w:szCs w:val="18"/>
                <w:lang w:val="sq-AL"/>
              </w:rPr>
              <w:t>20.9%</w:t>
            </w:r>
          </w:p>
        </w:tc>
        <w:tc>
          <w:tcPr>
            <w:tcW w:w="863" w:type="dxa"/>
            <w:tcBorders>
              <w:top w:val="nil"/>
              <w:left w:val="nil"/>
              <w:bottom w:val="single" w:sz="8" w:space="0" w:color="auto"/>
              <w:right w:val="dotted" w:sz="4" w:space="0" w:color="auto"/>
            </w:tcBorders>
            <w:shd w:val="clear" w:color="000000" w:fill="DEEAF6"/>
            <w:noWrap/>
            <w:vAlign w:val="center"/>
            <w:hideMark/>
          </w:tcPr>
          <w:p w14:paraId="195CA27C" w14:textId="77777777" w:rsidR="003B3804" w:rsidRPr="004E5A6E" w:rsidRDefault="003B3804" w:rsidP="00713DEA">
            <w:pPr>
              <w:jc w:val="right"/>
              <w:rPr>
                <w:sz w:val="16"/>
                <w:szCs w:val="18"/>
                <w:lang w:val="sq-AL"/>
              </w:rPr>
            </w:pPr>
            <w:r w:rsidRPr="004E5A6E">
              <w:rPr>
                <w:sz w:val="16"/>
                <w:szCs w:val="18"/>
                <w:lang w:val="sq-AL"/>
              </w:rPr>
              <w:t>21.9%</w:t>
            </w:r>
          </w:p>
        </w:tc>
        <w:tc>
          <w:tcPr>
            <w:tcW w:w="863" w:type="dxa"/>
            <w:tcBorders>
              <w:top w:val="nil"/>
              <w:left w:val="nil"/>
              <w:bottom w:val="single" w:sz="8" w:space="0" w:color="auto"/>
              <w:right w:val="dotted" w:sz="4" w:space="0" w:color="auto"/>
            </w:tcBorders>
            <w:shd w:val="clear" w:color="000000" w:fill="DEEAF6"/>
            <w:noWrap/>
            <w:vAlign w:val="center"/>
            <w:hideMark/>
          </w:tcPr>
          <w:p w14:paraId="11D21F3B" w14:textId="77777777" w:rsidR="003B3804" w:rsidRPr="004E5A6E" w:rsidRDefault="003B3804" w:rsidP="00713DEA">
            <w:pPr>
              <w:jc w:val="right"/>
              <w:rPr>
                <w:sz w:val="16"/>
                <w:szCs w:val="18"/>
                <w:lang w:val="sq-AL"/>
              </w:rPr>
            </w:pPr>
            <w:r w:rsidRPr="004E5A6E">
              <w:rPr>
                <w:sz w:val="16"/>
                <w:szCs w:val="18"/>
                <w:lang w:val="sq-AL"/>
              </w:rPr>
              <w:t>21.8%</w:t>
            </w:r>
          </w:p>
        </w:tc>
        <w:tc>
          <w:tcPr>
            <w:tcW w:w="863" w:type="dxa"/>
            <w:tcBorders>
              <w:top w:val="nil"/>
              <w:left w:val="nil"/>
              <w:bottom w:val="single" w:sz="8" w:space="0" w:color="auto"/>
              <w:right w:val="dotted" w:sz="4" w:space="0" w:color="auto"/>
            </w:tcBorders>
            <w:shd w:val="clear" w:color="000000" w:fill="DEEAF6"/>
            <w:noWrap/>
            <w:vAlign w:val="center"/>
            <w:hideMark/>
          </w:tcPr>
          <w:p w14:paraId="4504C60B" w14:textId="77777777" w:rsidR="003B3804" w:rsidRPr="004E5A6E" w:rsidRDefault="003B3804" w:rsidP="00713DEA">
            <w:pPr>
              <w:jc w:val="right"/>
              <w:rPr>
                <w:sz w:val="16"/>
                <w:szCs w:val="18"/>
                <w:lang w:val="sq-AL"/>
              </w:rPr>
            </w:pPr>
            <w:r w:rsidRPr="004E5A6E">
              <w:rPr>
                <w:sz w:val="16"/>
                <w:szCs w:val="18"/>
                <w:lang w:val="sq-AL"/>
              </w:rPr>
              <w:t>21.2%</w:t>
            </w:r>
          </w:p>
        </w:tc>
        <w:tc>
          <w:tcPr>
            <w:tcW w:w="863" w:type="dxa"/>
            <w:tcBorders>
              <w:top w:val="nil"/>
              <w:left w:val="nil"/>
              <w:bottom w:val="single" w:sz="8" w:space="0" w:color="auto"/>
              <w:right w:val="dotted" w:sz="4" w:space="0" w:color="auto"/>
            </w:tcBorders>
            <w:shd w:val="clear" w:color="000000" w:fill="DEEAF6"/>
            <w:noWrap/>
            <w:vAlign w:val="center"/>
            <w:hideMark/>
          </w:tcPr>
          <w:p w14:paraId="632E62E5" w14:textId="77777777" w:rsidR="003B3804" w:rsidRPr="004E5A6E" w:rsidRDefault="003B3804" w:rsidP="00713DEA">
            <w:pPr>
              <w:jc w:val="right"/>
              <w:rPr>
                <w:sz w:val="16"/>
                <w:szCs w:val="18"/>
                <w:lang w:val="sq-AL"/>
              </w:rPr>
            </w:pPr>
            <w:r w:rsidRPr="004E5A6E">
              <w:rPr>
                <w:sz w:val="16"/>
                <w:szCs w:val="18"/>
                <w:lang w:val="sq-AL"/>
              </w:rPr>
              <w:t>20.7%</w:t>
            </w:r>
          </w:p>
        </w:tc>
        <w:tc>
          <w:tcPr>
            <w:tcW w:w="863" w:type="dxa"/>
            <w:tcBorders>
              <w:top w:val="nil"/>
              <w:left w:val="nil"/>
              <w:bottom w:val="single" w:sz="8" w:space="0" w:color="auto"/>
              <w:right w:val="single" w:sz="8" w:space="0" w:color="auto"/>
            </w:tcBorders>
            <w:shd w:val="clear" w:color="000000" w:fill="DEEAF6"/>
            <w:noWrap/>
            <w:vAlign w:val="center"/>
            <w:hideMark/>
          </w:tcPr>
          <w:p w14:paraId="0594CF4D" w14:textId="77777777" w:rsidR="003B3804" w:rsidRPr="004E5A6E" w:rsidRDefault="003B3804" w:rsidP="00713DEA">
            <w:pPr>
              <w:jc w:val="right"/>
              <w:rPr>
                <w:i/>
                <w:iCs/>
                <w:sz w:val="16"/>
                <w:szCs w:val="18"/>
                <w:lang w:val="sq-AL"/>
              </w:rPr>
            </w:pPr>
            <w:r w:rsidRPr="004E5A6E">
              <w:rPr>
                <w:i/>
                <w:iCs/>
                <w:sz w:val="16"/>
                <w:szCs w:val="18"/>
                <w:lang w:val="sq-AL"/>
              </w:rPr>
              <w:t>n/a</w:t>
            </w:r>
          </w:p>
        </w:tc>
      </w:tr>
      <w:tr w:rsidR="003B3804" w:rsidRPr="004E5A6E" w14:paraId="3D744440" w14:textId="77777777" w:rsidTr="00713DEA">
        <w:trPr>
          <w:trHeight w:val="292"/>
        </w:trPr>
        <w:tc>
          <w:tcPr>
            <w:tcW w:w="981" w:type="dxa"/>
            <w:vMerge w:val="restart"/>
            <w:tcBorders>
              <w:top w:val="nil"/>
              <w:left w:val="single" w:sz="8" w:space="0" w:color="auto"/>
              <w:bottom w:val="single" w:sz="8" w:space="0" w:color="000000"/>
              <w:right w:val="dotted" w:sz="4" w:space="0" w:color="auto"/>
            </w:tcBorders>
            <w:shd w:val="clear" w:color="000000" w:fill="DEEAF6"/>
            <w:noWrap/>
            <w:vAlign w:val="center"/>
            <w:hideMark/>
          </w:tcPr>
          <w:p w14:paraId="39C0D32D" w14:textId="77777777" w:rsidR="003B3804" w:rsidRPr="004E5A6E" w:rsidRDefault="003B3804" w:rsidP="00713DEA">
            <w:pPr>
              <w:rPr>
                <w:b/>
                <w:bCs/>
                <w:sz w:val="16"/>
                <w:szCs w:val="18"/>
                <w:lang w:val="sq-AL"/>
              </w:rPr>
            </w:pPr>
            <w:r w:rsidRPr="004E5A6E">
              <w:rPr>
                <w:b/>
                <w:bCs/>
                <w:sz w:val="16"/>
                <w:szCs w:val="18"/>
                <w:lang w:val="sq-AL"/>
              </w:rPr>
              <w:t>Dokumenti</w:t>
            </w:r>
          </w:p>
        </w:tc>
        <w:tc>
          <w:tcPr>
            <w:tcW w:w="2767" w:type="dxa"/>
            <w:vMerge w:val="restart"/>
            <w:tcBorders>
              <w:top w:val="nil"/>
              <w:left w:val="dotted" w:sz="4" w:space="0" w:color="auto"/>
              <w:bottom w:val="single" w:sz="8" w:space="0" w:color="000000"/>
              <w:right w:val="dotted" w:sz="4" w:space="0" w:color="auto"/>
            </w:tcBorders>
            <w:shd w:val="clear" w:color="000000" w:fill="DEEAF6"/>
            <w:noWrap/>
            <w:vAlign w:val="center"/>
            <w:hideMark/>
          </w:tcPr>
          <w:p w14:paraId="35724089" w14:textId="77777777" w:rsidR="003B3804" w:rsidRPr="004E5A6E" w:rsidRDefault="003B3804" w:rsidP="00713DEA">
            <w:pPr>
              <w:rPr>
                <w:b/>
                <w:bCs/>
                <w:sz w:val="16"/>
                <w:szCs w:val="18"/>
                <w:lang w:val="sq-AL"/>
              </w:rPr>
            </w:pPr>
            <w:r w:rsidRPr="004E5A6E">
              <w:rPr>
                <w:b/>
                <w:bCs/>
                <w:sz w:val="16"/>
                <w:szCs w:val="18"/>
                <w:lang w:val="sq-AL"/>
              </w:rPr>
              <w:t>Përshkrimi</w:t>
            </w:r>
          </w:p>
        </w:tc>
        <w:tc>
          <w:tcPr>
            <w:tcW w:w="741" w:type="dxa"/>
            <w:vMerge w:val="restart"/>
            <w:tcBorders>
              <w:top w:val="nil"/>
              <w:left w:val="dotted" w:sz="4" w:space="0" w:color="auto"/>
              <w:bottom w:val="single" w:sz="8" w:space="0" w:color="000000"/>
              <w:right w:val="dotted" w:sz="4" w:space="0" w:color="auto"/>
            </w:tcBorders>
            <w:shd w:val="clear" w:color="000000" w:fill="DEEAF6"/>
            <w:vAlign w:val="center"/>
            <w:hideMark/>
          </w:tcPr>
          <w:p w14:paraId="7B22A3C7" w14:textId="77777777" w:rsidR="003B3804" w:rsidRPr="004E5A6E" w:rsidRDefault="003B3804" w:rsidP="00713DEA">
            <w:pPr>
              <w:jc w:val="center"/>
              <w:rPr>
                <w:b/>
                <w:bCs/>
                <w:sz w:val="16"/>
                <w:szCs w:val="18"/>
                <w:lang w:val="sq-AL"/>
              </w:rPr>
            </w:pPr>
            <w:r w:rsidRPr="004E5A6E">
              <w:rPr>
                <w:b/>
                <w:bCs/>
                <w:sz w:val="16"/>
                <w:szCs w:val="18"/>
                <w:lang w:val="sq-AL"/>
              </w:rPr>
              <w:t>2018 aktual</w:t>
            </w:r>
          </w:p>
        </w:tc>
        <w:tc>
          <w:tcPr>
            <w:tcW w:w="863" w:type="dxa"/>
            <w:vMerge w:val="restart"/>
            <w:tcBorders>
              <w:top w:val="nil"/>
              <w:left w:val="dotted" w:sz="4" w:space="0" w:color="auto"/>
              <w:bottom w:val="single" w:sz="8" w:space="0" w:color="000000"/>
              <w:right w:val="dotted" w:sz="4" w:space="0" w:color="auto"/>
            </w:tcBorders>
            <w:shd w:val="clear" w:color="000000" w:fill="DEEAF6"/>
            <w:vAlign w:val="center"/>
            <w:hideMark/>
          </w:tcPr>
          <w:p w14:paraId="7AF20B97" w14:textId="77777777" w:rsidR="003B3804" w:rsidRPr="004E5A6E" w:rsidRDefault="003B3804" w:rsidP="00713DEA">
            <w:pPr>
              <w:jc w:val="center"/>
              <w:rPr>
                <w:b/>
                <w:bCs/>
                <w:sz w:val="16"/>
                <w:szCs w:val="18"/>
                <w:lang w:val="sq-AL"/>
              </w:rPr>
            </w:pPr>
            <w:r w:rsidRPr="004E5A6E">
              <w:rPr>
                <w:b/>
                <w:bCs/>
                <w:sz w:val="16"/>
                <w:szCs w:val="18"/>
                <w:lang w:val="sq-AL"/>
              </w:rPr>
              <w:t>2019 aktual</w:t>
            </w:r>
          </w:p>
        </w:tc>
        <w:tc>
          <w:tcPr>
            <w:tcW w:w="863" w:type="dxa"/>
            <w:vMerge w:val="restart"/>
            <w:tcBorders>
              <w:top w:val="nil"/>
              <w:left w:val="dotted" w:sz="4" w:space="0" w:color="auto"/>
              <w:bottom w:val="single" w:sz="8" w:space="0" w:color="000000"/>
              <w:right w:val="dotted" w:sz="4" w:space="0" w:color="auto"/>
            </w:tcBorders>
            <w:shd w:val="clear" w:color="000000" w:fill="DEEAF6"/>
            <w:vAlign w:val="center"/>
            <w:hideMark/>
          </w:tcPr>
          <w:p w14:paraId="32B39B43" w14:textId="77777777" w:rsidR="003B3804" w:rsidRPr="004E5A6E" w:rsidRDefault="003B3804" w:rsidP="00713DEA">
            <w:pPr>
              <w:jc w:val="center"/>
              <w:rPr>
                <w:b/>
                <w:bCs/>
                <w:sz w:val="16"/>
                <w:szCs w:val="18"/>
                <w:lang w:val="sq-AL"/>
              </w:rPr>
            </w:pPr>
            <w:r w:rsidRPr="004E5A6E">
              <w:rPr>
                <w:b/>
                <w:bCs/>
                <w:sz w:val="16"/>
                <w:szCs w:val="18"/>
                <w:lang w:val="sq-AL"/>
              </w:rPr>
              <w:t>2020 Buxheti i rishikuar</w:t>
            </w:r>
          </w:p>
        </w:tc>
        <w:tc>
          <w:tcPr>
            <w:tcW w:w="863" w:type="dxa"/>
            <w:vMerge w:val="restart"/>
            <w:tcBorders>
              <w:top w:val="nil"/>
              <w:left w:val="dotted" w:sz="4" w:space="0" w:color="auto"/>
              <w:bottom w:val="single" w:sz="8" w:space="0" w:color="000000"/>
              <w:right w:val="dotted" w:sz="4" w:space="0" w:color="auto"/>
            </w:tcBorders>
            <w:shd w:val="clear" w:color="000000" w:fill="DEEAF6"/>
            <w:vAlign w:val="center"/>
            <w:hideMark/>
          </w:tcPr>
          <w:p w14:paraId="2F583979" w14:textId="77777777" w:rsidR="003B3804" w:rsidRPr="004E5A6E" w:rsidRDefault="003B3804" w:rsidP="00713DEA">
            <w:pPr>
              <w:jc w:val="center"/>
              <w:rPr>
                <w:b/>
                <w:bCs/>
                <w:sz w:val="16"/>
                <w:szCs w:val="18"/>
                <w:lang w:val="sq-AL"/>
              </w:rPr>
            </w:pPr>
            <w:r w:rsidRPr="004E5A6E">
              <w:rPr>
                <w:b/>
                <w:bCs/>
                <w:sz w:val="16"/>
                <w:szCs w:val="18"/>
                <w:lang w:val="sq-AL"/>
              </w:rPr>
              <w:t>Projekti</w:t>
            </w:r>
          </w:p>
          <w:p w14:paraId="66A1B284" w14:textId="77777777" w:rsidR="003B3804" w:rsidRPr="004E5A6E" w:rsidRDefault="003B3804" w:rsidP="00713DEA">
            <w:pPr>
              <w:jc w:val="center"/>
              <w:rPr>
                <w:b/>
                <w:bCs/>
                <w:sz w:val="16"/>
                <w:szCs w:val="18"/>
                <w:lang w:val="sq-AL"/>
              </w:rPr>
            </w:pPr>
            <w:r w:rsidRPr="004E5A6E">
              <w:rPr>
                <w:b/>
                <w:bCs/>
                <w:sz w:val="16"/>
                <w:szCs w:val="18"/>
                <w:lang w:val="sq-AL"/>
              </w:rPr>
              <w:t xml:space="preserve">2021 </w:t>
            </w:r>
          </w:p>
        </w:tc>
        <w:tc>
          <w:tcPr>
            <w:tcW w:w="863" w:type="dxa"/>
            <w:vMerge w:val="restart"/>
            <w:tcBorders>
              <w:top w:val="nil"/>
              <w:left w:val="dotted" w:sz="4" w:space="0" w:color="auto"/>
              <w:bottom w:val="single" w:sz="8" w:space="0" w:color="000000"/>
              <w:right w:val="dotted" w:sz="4" w:space="0" w:color="auto"/>
            </w:tcBorders>
            <w:shd w:val="clear" w:color="000000" w:fill="DEEAF6"/>
            <w:vAlign w:val="center"/>
            <w:hideMark/>
          </w:tcPr>
          <w:p w14:paraId="644A70CE" w14:textId="77777777" w:rsidR="003B3804" w:rsidRPr="004E5A6E" w:rsidRDefault="003B3804" w:rsidP="00713DEA">
            <w:pPr>
              <w:jc w:val="center"/>
              <w:rPr>
                <w:b/>
                <w:bCs/>
                <w:sz w:val="16"/>
                <w:szCs w:val="18"/>
                <w:lang w:val="sq-AL"/>
              </w:rPr>
            </w:pPr>
            <w:r w:rsidRPr="004E5A6E">
              <w:rPr>
                <w:b/>
                <w:bCs/>
                <w:sz w:val="16"/>
                <w:szCs w:val="18"/>
                <w:lang w:val="sq-AL"/>
              </w:rPr>
              <w:t xml:space="preserve">Projekti 2022 </w:t>
            </w:r>
          </w:p>
        </w:tc>
        <w:tc>
          <w:tcPr>
            <w:tcW w:w="863" w:type="dxa"/>
            <w:vMerge w:val="restart"/>
            <w:tcBorders>
              <w:top w:val="nil"/>
              <w:left w:val="dotted" w:sz="4" w:space="0" w:color="auto"/>
              <w:bottom w:val="single" w:sz="8" w:space="0" w:color="000000"/>
              <w:right w:val="single" w:sz="8" w:space="0" w:color="auto"/>
            </w:tcBorders>
            <w:shd w:val="clear" w:color="000000" w:fill="DEEAF6"/>
            <w:vAlign w:val="center"/>
            <w:hideMark/>
          </w:tcPr>
          <w:p w14:paraId="16D67C89" w14:textId="77777777" w:rsidR="003B3804" w:rsidRPr="004E5A6E" w:rsidRDefault="003B3804" w:rsidP="00713DEA">
            <w:pPr>
              <w:jc w:val="center"/>
              <w:rPr>
                <w:b/>
                <w:bCs/>
                <w:sz w:val="16"/>
                <w:szCs w:val="18"/>
                <w:lang w:val="sq-AL"/>
              </w:rPr>
            </w:pPr>
            <w:r w:rsidRPr="004E5A6E">
              <w:rPr>
                <w:b/>
                <w:bCs/>
                <w:sz w:val="16"/>
                <w:szCs w:val="18"/>
                <w:lang w:val="sq-AL"/>
              </w:rPr>
              <w:t xml:space="preserve">Projekti 2023 </w:t>
            </w:r>
          </w:p>
        </w:tc>
      </w:tr>
      <w:tr w:rsidR="003B3804" w:rsidRPr="004E5A6E" w14:paraId="2C6833D4" w14:textId="77777777" w:rsidTr="00713DEA">
        <w:trPr>
          <w:trHeight w:val="202"/>
        </w:trPr>
        <w:tc>
          <w:tcPr>
            <w:tcW w:w="981" w:type="dxa"/>
            <w:vMerge/>
            <w:tcBorders>
              <w:top w:val="nil"/>
              <w:left w:val="single" w:sz="8" w:space="0" w:color="auto"/>
              <w:bottom w:val="single" w:sz="8" w:space="0" w:color="000000"/>
              <w:right w:val="dotted" w:sz="4" w:space="0" w:color="auto"/>
            </w:tcBorders>
            <w:vAlign w:val="center"/>
            <w:hideMark/>
          </w:tcPr>
          <w:p w14:paraId="306B12BC" w14:textId="77777777" w:rsidR="003B3804" w:rsidRPr="004E5A6E" w:rsidRDefault="003B3804" w:rsidP="00713DEA">
            <w:pPr>
              <w:rPr>
                <w:b/>
                <w:bCs/>
                <w:sz w:val="16"/>
                <w:szCs w:val="18"/>
                <w:lang w:val="sq-AL"/>
              </w:rPr>
            </w:pPr>
          </w:p>
        </w:tc>
        <w:tc>
          <w:tcPr>
            <w:tcW w:w="2767" w:type="dxa"/>
            <w:vMerge/>
            <w:tcBorders>
              <w:top w:val="nil"/>
              <w:left w:val="dotted" w:sz="4" w:space="0" w:color="auto"/>
              <w:bottom w:val="single" w:sz="8" w:space="0" w:color="000000"/>
              <w:right w:val="dotted" w:sz="4" w:space="0" w:color="auto"/>
            </w:tcBorders>
            <w:vAlign w:val="center"/>
            <w:hideMark/>
          </w:tcPr>
          <w:p w14:paraId="16BA74B7" w14:textId="77777777" w:rsidR="003B3804" w:rsidRPr="004E5A6E" w:rsidRDefault="003B3804" w:rsidP="00713DEA">
            <w:pPr>
              <w:rPr>
                <w:b/>
                <w:bCs/>
                <w:sz w:val="16"/>
                <w:szCs w:val="18"/>
                <w:lang w:val="sq-AL"/>
              </w:rPr>
            </w:pPr>
          </w:p>
        </w:tc>
        <w:tc>
          <w:tcPr>
            <w:tcW w:w="741" w:type="dxa"/>
            <w:vMerge/>
            <w:tcBorders>
              <w:top w:val="nil"/>
              <w:left w:val="dotted" w:sz="4" w:space="0" w:color="auto"/>
              <w:bottom w:val="single" w:sz="8" w:space="0" w:color="000000"/>
              <w:right w:val="dotted" w:sz="4" w:space="0" w:color="auto"/>
            </w:tcBorders>
            <w:vAlign w:val="center"/>
            <w:hideMark/>
          </w:tcPr>
          <w:p w14:paraId="0A1C4FB9" w14:textId="77777777" w:rsidR="003B3804" w:rsidRPr="004E5A6E" w:rsidRDefault="003B3804" w:rsidP="00713DEA">
            <w:pPr>
              <w:rPr>
                <w:b/>
                <w:bCs/>
                <w:sz w:val="16"/>
                <w:szCs w:val="18"/>
                <w:lang w:val="sq-AL"/>
              </w:rPr>
            </w:pPr>
          </w:p>
        </w:tc>
        <w:tc>
          <w:tcPr>
            <w:tcW w:w="863" w:type="dxa"/>
            <w:vMerge/>
            <w:tcBorders>
              <w:top w:val="nil"/>
              <w:left w:val="dotted" w:sz="4" w:space="0" w:color="auto"/>
              <w:bottom w:val="single" w:sz="8" w:space="0" w:color="000000"/>
              <w:right w:val="dotted" w:sz="4" w:space="0" w:color="auto"/>
            </w:tcBorders>
            <w:vAlign w:val="center"/>
            <w:hideMark/>
          </w:tcPr>
          <w:p w14:paraId="7B2B2B5E" w14:textId="77777777" w:rsidR="003B3804" w:rsidRPr="004E5A6E" w:rsidRDefault="003B3804" w:rsidP="00713DEA">
            <w:pPr>
              <w:rPr>
                <w:b/>
                <w:bCs/>
                <w:sz w:val="16"/>
                <w:szCs w:val="18"/>
                <w:lang w:val="sq-AL"/>
              </w:rPr>
            </w:pPr>
          </w:p>
        </w:tc>
        <w:tc>
          <w:tcPr>
            <w:tcW w:w="863" w:type="dxa"/>
            <w:vMerge/>
            <w:tcBorders>
              <w:top w:val="nil"/>
              <w:left w:val="dotted" w:sz="4" w:space="0" w:color="auto"/>
              <w:bottom w:val="single" w:sz="8" w:space="0" w:color="000000"/>
              <w:right w:val="dotted" w:sz="4" w:space="0" w:color="auto"/>
            </w:tcBorders>
            <w:vAlign w:val="center"/>
            <w:hideMark/>
          </w:tcPr>
          <w:p w14:paraId="422BBA12" w14:textId="77777777" w:rsidR="003B3804" w:rsidRPr="004E5A6E" w:rsidRDefault="003B3804" w:rsidP="00713DEA">
            <w:pPr>
              <w:rPr>
                <w:b/>
                <w:bCs/>
                <w:sz w:val="16"/>
                <w:szCs w:val="18"/>
                <w:lang w:val="sq-AL"/>
              </w:rPr>
            </w:pPr>
          </w:p>
        </w:tc>
        <w:tc>
          <w:tcPr>
            <w:tcW w:w="863" w:type="dxa"/>
            <w:vMerge/>
            <w:tcBorders>
              <w:top w:val="nil"/>
              <w:left w:val="dotted" w:sz="4" w:space="0" w:color="auto"/>
              <w:bottom w:val="single" w:sz="8" w:space="0" w:color="000000"/>
              <w:right w:val="dotted" w:sz="4" w:space="0" w:color="auto"/>
            </w:tcBorders>
            <w:vAlign w:val="center"/>
            <w:hideMark/>
          </w:tcPr>
          <w:p w14:paraId="228E275F" w14:textId="77777777" w:rsidR="003B3804" w:rsidRPr="004E5A6E" w:rsidRDefault="003B3804" w:rsidP="00713DEA">
            <w:pPr>
              <w:rPr>
                <w:b/>
                <w:bCs/>
                <w:sz w:val="16"/>
                <w:szCs w:val="18"/>
                <w:lang w:val="sq-AL"/>
              </w:rPr>
            </w:pPr>
          </w:p>
        </w:tc>
        <w:tc>
          <w:tcPr>
            <w:tcW w:w="863" w:type="dxa"/>
            <w:vMerge/>
            <w:tcBorders>
              <w:top w:val="nil"/>
              <w:left w:val="dotted" w:sz="4" w:space="0" w:color="auto"/>
              <w:bottom w:val="single" w:sz="8" w:space="0" w:color="000000"/>
              <w:right w:val="dotted" w:sz="4" w:space="0" w:color="auto"/>
            </w:tcBorders>
            <w:vAlign w:val="center"/>
            <w:hideMark/>
          </w:tcPr>
          <w:p w14:paraId="42893164" w14:textId="77777777" w:rsidR="003B3804" w:rsidRPr="004E5A6E" w:rsidRDefault="003B3804" w:rsidP="00713DEA">
            <w:pPr>
              <w:rPr>
                <w:b/>
                <w:bCs/>
                <w:sz w:val="16"/>
                <w:szCs w:val="18"/>
                <w:lang w:val="sq-AL"/>
              </w:rPr>
            </w:pPr>
          </w:p>
        </w:tc>
        <w:tc>
          <w:tcPr>
            <w:tcW w:w="863" w:type="dxa"/>
            <w:vMerge/>
            <w:tcBorders>
              <w:top w:val="nil"/>
              <w:left w:val="dotted" w:sz="4" w:space="0" w:color="auto"/>
              <w:bottom w:val="single" w:sz="8" w:space="0" w:color="000000"/>
              <w:right w:val="single" w:sz="8" w:space="0" w:color="auto"/>
            </w:tcBorders>
            <w:vAlign w:val="center"/>
            <w:hideMark/>
          </w:tcPr>
          <w:p w14:paraId="2438A6EA" w14:textId="77777777" w:rsidR="003B3804" w:rsidRPr="004E5A6E" w:rsidRDefault="003B3804" w:rsidP="00713DEA">
            <w:pPr>
              <w:rPr>
                <w:b/>
                <w:bCs/>
                <w:sz w:val="16"/>
                <w:szCs w:val="18"/>
                <w:lang w:val="sq-AL"/>
              </w:rPr>
            </w:pPr>
          </w:p>
        </w:tc>
      </w:tr>
      <w:tr w:rsidR="003B3804" w:rsidRPr="004E5A6E" w14:paraId="09B5ADB1" w14:textId="77777777" w:rsidTr="00713DEA">
        <w:trPr>
          <w:trHeight w:val="292"/>
        </w:trPr>
        <w:tc>
          <w:tcPr>
            <w:tcW w:w="981" w:type="dxa"/>
            <w:vMerge w:val="restart"/>
            <w:tcBorders>
              <w:top w:val="nil"/>
              <w:left w:val="single" w:sz="8" w:space="0" w:color="auto"/>
              <w:bottom w:val="single" w:sz="8" w:space="0" w:color="000000"/>
              <w:right w:val="single" w:sz="4" w:space="0" w:color="auto"/>
            </w:tcBorders>
            <w:shd w:val="clear" w:color="000000" w:fill="DEEAF6"/>
            <w:noWrap/>
            <w:vAlign w:val="center"/>
            <w:hideMark/>
          </w:tcPr>
          <w:p w14:paraId="3499172B" w14:textId="77777777" w:rsidR="003B3804" w:rsidRPr="004E5A6E" w:rsidRDefault="003B3804" w:rsidP="00713DEA">
            <w:pPr>
              <w:rPr>
                <w:b/>
                <w:bCs/>
                <w:sz w:val="16"/>
                <w:szCs w:val="18"/>
                <w:lang w:val="sq-AL"/>
              </w:rPr>
            </w:pPr>
            <w:r w:rsidRPr="004E5A6E">
              <w:rPr>
                <w:b/>
                <w:bCs/>
                <w:sz w:val="16"/>
                <w:szCs w:val="18"/>
                <w:lang w:val="sq-AL"/>
              </w:rPr>
              <w:t>PRE 2021</w:t>
            </w:r>
          </w:p>
        </w:tc>
        <w:tc>
          <w:tcPr>
            <w:tcW w:w="2767" w:type="dxa"/>
            <w:tcBorders>
              <w:top w:val="nil"/>
              <w:left w:val="nil"/>
              <w:bottom w:val="dotted" w:sz="4" w:space="0" w:color="auto"/>
              <w:right w:val="dotted" w:sz="4" w:space="0" w:color="auto"/>
            </w:tcBorders>
            <w:shd w:val="clear" w:color="000000" w:fill="DEEAF6"/>
            <w:noWrap/>
            <w:vAlign w:val="center"/>
            <w:hideMark/>
          </w:tcPr>
          <w:p w14:paraId="701AAD93" w14:textId="77777777" w:rsidR="003B3804" w:rsidRPr="004E5A6E" w:rsidRDefault="003B3804" w:rsidP="00713DEA">
            <w:pPr>
              <w:rPr>
                <w:sz w:val="16"/>
                <w:szCs w:val="18"/>
                <w:lang w:val="sq-AL"/>
              </w:rPr>
            </w:pPr>
            <w:r w:rsidRPr="004E5A6E">
              <w:rPr>
                <w:sz w:val="16"/>
                <w:szCs w:val="18"/>
                <w:lang w:val="sq-AL"/>
              </w:rPr>
              <w:t>Të ardhurat totale</w:t>
            </w:r>
          </w:p>
        </w:tc>
        <w:tc>
          <w:tcPr>
            <w:tcW w:w="741" w:type="dxa"/>
            <w:tcBorders>
              <w:top w:val="nil"/>
              <w:left w:val="nil"/>
              <w:bottom w:val="dotted" w:sz="4" w:space="0" w:color="auto"/>
              <w:right w:val="dotted" w:sz="4" w:space="0" w:color="auto"/>
            </w:tcBorders>
            <w:shd w:val="clear" w:color="000000" w:fill="DEEAF6"/>
            <w:noWrap/>
            <w:vAlign w:val="center"/>
            <w:hideMark/>
          </w:tcPr>
          <w:p w14:paraId="4A81E241" w14:textId="77777777" w:rsidR="003B3804" w:rsidRPr="004E5A6E" w:rsidRDefault="003B3804" w:rsidP="00713DEA">
            <w:pPr>
              <w:jc w:val="right"/>
              <w:rPr>
                <w:sz w:val="16"/>
                <w:szCs w:val="18"/>
                <w:lang w:val="sq-AL"/>
              </w:rPr>
            </w:pPr>
            <w:r w:rsidRPr="004E5A6E">
              <w:rPr>
                <w:sz w:val="16"/>
                <w:szCs w:val="18"/>
                <w:lang w:val="sq-AL"/>
              </w:rPr>
              <w:t>1,756.6</w:t>
            </w:r>
          </w:p>
        </w:tc>
        <w:tc>
          <w:tcPr>
            <w:tcW w:w="863" w:type="dxa"/>
            <w:tcBorders>
              <w:top w:val="nil"/>
              <w:left w:val="nil"/>
              <w:bottom w:val="dotted" w:sz="4" w:space="0" w:color="auto"/>
              <w:right w:val="dotted" w:sz="4" w:space="0" w:color="auto"/>
            </w:tcBorders>
            <w:shd w:val="clear" w:color="000000" w:fill="DEEAF6"/>
            <w:noWrap/>
            <w:vAlign w:val="center"/>
            <w:hideMark/>
          </w:tcPr>
          <w:p w14:paraId="73D1A935" w14:textId="77777777" w:rsidR="003B3804" w:rsidRPr="004E5A6E" w:rsidRDefault="003B3804" w:rsidP="00713DEA">
            <w:pPr>
              <w:jc w:val="right"/>
              <w:rPr>
                <w:sz w:val="16"/>
                <w:szCs w:val="18"/>
                <w:lang w:val="sq-AL"/>
              </w:rPr>
            </w:pPr>
            <w:r w:rsidRPr="004E5A6E">
              <w:rPr>
                <w:sz w:val="16"/>
                <w:szCs w:val="18"/>
                <w:lang w:val="sq-AL"/>
              </w:rPr>
              <w:t>1,888.2</w:t>
            </w:r>
          </w:p>
        </w:tc>
        <w:tc>
          <w:tcPr>
            <w:tcW w:w="863" w:type="dxa"/>
            <w:tcBorders>
              <w:top w:val="nil"/>
              <w:left w:val="nil"/>
              <w:bottom w:val="dotted" w:sz="4" w:space="0" w:color="auto"/>
              <w:right w:val="dotted" w:sz="4" w:space="0" w:color="auto"/>
            </w:tcBorders>
            <w:shd w:val="clear" w:color="000000" w:fill="DEEAF6"/>
            <w:vAlign w:val="center"/>
            <w:hideMark/>
          </w:tcPr>
          <w:p w14:paraId="4D554F0A" w14:textId="77777777" w:rsidR="003B3804" w:rsidRPr="004E5A6E" w:rsidRDefault="003B3804" w:rsidP="00713DEA">
            <w:pPr>
              <w:jc w:val="right"/>
              <w:rPr>
                <w:sz w:val="16"/>
                <w:szCs w:val="18"/>
                <w:lang w:val="sq-AL"/>
              </w:rPr>
            </w:pPr>
            <w:r w:rsidRPr="004E5A6E">
              <w:rPr>
                <w:sz w:val="16"/>
                <w:szCs w:val="18"/>
                <w:lang w:val="sq-AL"/>
              </w:rPr>
              <w:t>1,788.5</w:t>
            </w:r>
          </w:p>
        </w:tc>
        <w:tc>
          <w:tcPr>
            <w:tcW w:w="863" w:type="dxa"/>
            <w:tcBorders>
              <w:top w:val="nil"/>
              <w:left w:val="nil"/>
              <w:bottom w:val="dotted" w:sz="4" w:space="0" w:color="auto"/>
              <w:right w:val="dotted" w:sz="4" w:space="0" w:color="auto"/>
            </w:tcBorders>
            <w:shd w:val="clear" w:color="000000" w:fill="DEEAF6"/>
            <w:vAlign w:val="center"/>
            <w:hideMark/>
          </w:tcPr>
          <w:p w14:paraId="5CC604FA" w14:textId="77777777" w:rsidR="003B3804" w:rsidRPr="004E5A6E" w:rsidRDefault="003B3804" w:rsidP="00713DEA">
            <w:pPr>
              <w:jc w:val="right"/>
              <w:rPr>
                <w:sz w:val="16"/>
                <w:szCs w:val="18"/>
                <w:lang w:val="sq-AL"/>
              </w:rPr>
            </w:pPr>
            <w:r w:rsidRPr="004E5A6E">
              <w:rPr>
                <w:sz w:val="16"/>
                <w:szCs w:val="18"/>
                <w:lang w:val="sq-AL"/>
              </w:rPr>
              <w:t>1,885.9</w:t>
            </w:r>
          </w:p>
        </w:tc>
        <w:tc>
          <w:tcPr>
            <w:tcW w:w="863" w:type="dxa"/>
            <w:tcBorders>
              <w:top w:val="nil"/>
              <w:left w:val="nil"/>
              <w:bottom w:val="dotted" w:sz="4" w:space="0" w:color="auto"/>
              <w:right w:val="dotted" w:sz="4" w:space="0" w:color="auto"/>
            </w:tcBorders>
            <w:shd w:val="clear" w:color="000000" w:fill="DEEAF6"/>
            <w:vAlign w:val="center"/>
            <w:hideMark/>
          </w:tcPr>
          <w:p w14:paraId="33B9DC90" w14:textId="77777777" w:rsidR="003B3804" w:rsidRPr="004E5A6E" w:rsidRDefault="003B3804" w:rsidP="00713DEA">
            <w:pPr>
              <w:jc w:val="right"/>
              <w:rPr>
                <w:sz w:val="16"/>
                <w:szCs w:val="18"/>
                <w:lang w:val="sq-AL"/>
              </w:rPr>
            </w:pPr>
            <w:r w:rsidRPr="004E5A6E">
              <w:rPr>
                <w:sz w:val="16"/>
                <w:szCs w:val="18"/>
                <w:lang w:val="sq-AL"/>
              </w:rPr>
              <w:t>2,002.0</w:t>
            </w:r>
          </w:p>
        </w:tc>
        <w:tc>
          <w:tcPr>
            <w:tcW w:w="863" w:type="dxa"/>
            <w:tcBorders>
              <w:top w:val="nil"/>
              <w:left w:val="nil"/>
              <w:bottom w:val="dotted" w:sz="4" w:space="0" w:color="auto"/>
              <w:right w:val="single" w:sz="8" w:space="0" w:color="auto"/>
            </w:tcBorders>
            <w:shd w:val="clear" w:color="000000" w:fill="DEEAF6"/>
            <w:vAlign w:val="center"/>
            <w:hideMark/>
          </w:tcPr>
          <w:p w14:paraId="7C4F4FCF" w14:textId="77777777" w:rsidR="003B3804" w:rsidRPr="004E5A6E" w:rsidRDefault="003B3804" w:rsidP="00713DEA">
            <w:pPr>
              <w:jc w:val="right"/>
              <w:rPr>
                <w:sz w:val="16"/>
                <w:szCs w:val="18"/>
                <w:lang w:val="sq-AL"/>
              </w:rPr>
            </w:pPr>
            <w:r w:rsidRPr="004E5A6E">
              <w:rPr>
                <w:sz w:val="16"/>
                <w:szCs w:val="18"/>
                <w:lang w:val="sq-AL"/>
              </w:rPr>
              <w:t>2,097.8</w:t>
            </w:r>
          </w:p>
        </w:tc>
      </w:tr>
      <w:tr w:rsidR="003B3804" w:rsidRPr="004E5A6E" w14:paraId="723C4EFB" w14:textId="77777777" w:rsidTr="00713DEA">
        <w:trPr>
          <w:trHeight w:val="292"/>
        </w:trPr>
        <w:tc>
          <w:tcPr>
            <w:tcW w:w="981" w:type="dxa"/>
            <w:vMerge/>
            <w:tcBorders>
              <w:top w:val="nil"/>
              <w:left w:val="single" w:sz="8" w:space="0" w:color="auto"/>
              <w:bottom w:val="single" w:sz="8" w:space="0" w:color="000000"/>
              <w:right w:val="single" w:sz="4" w:space="0" w:color="auto"/>
            </w:tcBorders>
            <w:vAlign w:val="center"/>
            <w:hideMark/>
          </w:tcPr>
          <w:p w14:paraId="19D50B96" w14:textId="77777777" w:rsidR="003B3804" w:rsidRPr="004E5A6E" w:rsidRDefault="003B3804" w:rsidP="00713DEA">
            <w:pPr>
              <w:rPr>
                <w:b/>
                <w:bCs/>
                <w:sz w:val="16"/>
                <w:szCs w:val="18"/>
                <w:lang w:val="sq-AL"/>
              </w:rPr>
            </w:pPr>
          </w:p>
        </w:tc>
        <w:tc>
          <w:tcPr>
            <w:tcW w:w="2767" w:type="dxa"/>
            <w:tcBorders>
              <w:top w:val="nil"/>
              <w:left w:val="nil"/>
              <w:bottom w:val="dotted" w:sz="4" w:space="0" w:color="auto"/>
              <w:right w:val="dotted" w:sz="4" w:space="0" w:color="auto"/>
            </w:tcBorders>
            <w:shd w:val="clear" w:color="000000" w:fill="DEEAF6"/>
            <w:noWrap/>
            <w:vAlign w:val="center"/>
            <w:hideMark/>
          </w:tcPr>
          <w:p w14:paraId="1D2A3A62" w14:textId="77777777" w:rsidR="003B3804" w:rsidRPr="004E5A6E" w:rsidRDefault="003B3804" w:rsidP="00713DEA">
            <w:pPr>
              <w:ind w:firstLineChars="100" w:firstLine="160"/>
              <w:rPr>
                <w:i/>
                <w:iCs/>
                <w:sz w:val="16"/>
                <w:szCs w:val="18"/>
                <w:lang w:val="sq-AL"/>
              </w:rPr>
            </w:pPr>
            <w:r w:rsidRPr="004E5A6E">
              <w:rPr>
                <w:i/>
                <w:iCs/>
                <w:sz w:val="16"/>
                <w:szCs w:val="18"/>
                <w:lang w:val="sq-AL"/>
              </w:rPr>
              <w:t>Të ardhurat tatimore</w:t>
            </w:r>
          </w:p>
        </w:tc>
        <w:tc>
          <w:tcPr>
            <w:tcW w:w="741" w:type="dxa"/>
            <w:tcBorders>
              <w:top w:val="nil"/>
              <w:left w:val="nil"/>
              <w:bottom w:val="dotted" w:sz="4" w:space="0" w:color="auto"/>
              <w:right w:val="dotted" w:sz="4" w:space="0" w:color="auto"/>
            </w:tcBorders>
            <w:shd w:val="clear" w:color="000000" w:fill="DEEAF6"/>
            <w:noWrap/>
            <w:vAlign w:val="center"/>
            <w:hideMark/>
          </w:tcPr>
          <w:p w14:paraId="780E809D" w14:textId="77777777" w:rsidR="003B3804" w:rsidRPr="004E5A6E" w:rsidRDefault="003B3804" w:rsidP="00713DEA">
            <w:pPr>
              <w:jc w:val="right"/>
              <w:rPr>
                <w:i/>
                <w:iCs/>
                <w:sz w:val="16"/>
                <w:szCs w:val="18"/>
                <w:lang w:val="sq-AL"/>
              </w:rPr>
            </w:pPr>
            <w:r w:rsidRPr="004E5A6E">
              <w:rPr>
                <w:i/>
                <w:iCs/>
                <w:sz w:val="16"/>
                <w:szCs w:val="18"/>
                <w:lang w:val="sq-AL"/>
              </w:rPr>
              <w:t>1,563.8</w:t>
            </w:r>
          </w:p>
        </w:tc>
        <w:tc>
          <w:tcPr>
            <w:tcW w:w="863" w:type="dxa"/>
            <w:tcBorders>
              <w:top w:val="nil"/>
              <w:left w:val="nil"/>
              <w:bottom w:val="dotted" w:sz="4" w:space="0" w:color="auto"/>
              <w:right w:val="dotted" w:sz="4" w:space="0" w:color="auto"/>
            </w:tcBorders>
            <w:shd w:val="clear" w:color="000000" w:fill="DEEAF6"/>
            <w:noWrap/>
            <w:vAlign w:val="center"/>
            <w:hideMark/>
          </w:tcPr>
          <w:p w14:paraId="5F68FE05" w14:textId="77777777" w:rsidR="003B3804" w:rsidRPr="004E5A6E" w:rsidRDefault="003B3804" w:rsidP="00713DEA">
            <w:pPr>
              <w:jc w:val="right"/>
              <w:rPr>
                <w:i/>
                <w:iCs/>
                <w:sz w:val="16"/>
                <w:szCs w:val="18"/>
                <w:lang w:val="sq-AL"/>
              </w:rPr>
            </w:pPr>
            <w:r w:rsidRPr="004E5A6E">
              <w:rPr>
                <w:i/>
                <w:iCs/>
                <w:sz w:val="16"/>
                <w:szCs w:val="18"/>
                <w:lang w:val="sq-AL"/>
              </w:rPr>
              <w:t>1,662.0</w:t>
            </w:r>
          </w:p>
        </w:tc>
        <w:tc>
          <w:tcPr>
            <w:tcW w:w="863" w:type="dxa"/>
            <w:tcBorders>
              <w:top w:val="nil"/>
              <w:left w:val="nil"/>
              <w:bottom w:val="dotted" w:sz="4" w:space="0" w:color="auto"/>
              <w:right w:val="dotted" w:sz="4" w:space="0" w:color="auto"/>
            </w:tcBorders>
            <w:shd w:val="clear" w:color="000000" w:fill="DEEAF6"/>
            <w:vAlign w:val="center"/>
            <w:hideMark/>
          </w:tcPr>
          <w:p w14:paraId="59E5F0BD" w14:textId="77777777" w:rsidR="003B3804" w:rsidRPr="004E5A6E" w:rsidRDefault="003B3804" w:rsidP="00713DEA">
            <w:pPr>
              <w:jc w:val="right"/>
              <w:rPr>
                <w:i/>
                <w:iCs/>
                <w:sz w:val="16"/>
                <w:szCs w:val="18"/>
                <w:lang w:val="sq-AL"/>
              </w:rPr>
            </w:pPr>
            <w:r w:rsidRPr="004E5A6E">
              <w:rPr>
                <w:i/>
                <w:iCs/>
                <w:sz w:val="16"/>
                <w:szCs w:val="18"/>
                <w:lang w:val="sq-AL"/>
              </w:rPr>
              <w:t>1,565.2</w:t>
            </w:r>
          </w:p>
        </w:tc>
        <w:tc>
          <w:tcPr>
            <w:tcW w:w="863" w:type="dxa"/>
            <w:tcBorders>
              <w:top w:val="nil"/>
              <w:left w:val="nil"/>
              <w:bottom w:val="dotted" w:sz="4" w:space="0" w:color="auto"/>
              <w:right w:val="dotted" w:sz="4" w:space="0" w:color="auto"/>
            </w:tcBorders>
            <w:shd w:val="clear" w:color="000000" w:fill="DEEAF6"/>
            <w:vAlign w:val="center"/>
            <w:hideMark/>
          </w:tcPr>
          <w:p w14:paraId="65516437" w14:textId="77777777" w:rsidR="003B3804" w:rsidRPr="004E5A6E" w:rsidRDefault="003B3804" w:rsidP="00713DEA">
            <w:pPr>
              <w:jc w:val="right"/>
              <w:rPr>
                <w:i/>
                <w:iCs/>
                <w:sz w:val="16"/>
                <w:szCs w:val="18"/>
                <w:lang w:val="sq-AL"/>
              </w:rPr>
            </w:pPr>
            <w:r w:rsidRPr="004E5A6E">
              <w:rPr>
                <w:i/>
                <w:iCs/>
                <w:sz w:val="16"/>
                <w:szCs w:val="18"/>
                <w:lang w:val="sq-AL"/>
              </w:rPr>
              <w:t>1,661.1</w:t>
            </w:r>
          </w:p>
        </w:tc>
        <w:tc>
          <w:tcPr>
            <w:tcW w:w="863" w:type="dxa"/>
            <w:tcBorders>
              <w:top w:val="nil"/>
              <w:left w:val="nil"/>
              <w:bottom w:val="dotted" w:sz="4" w:space="0" w:color="auto"/>
              <w:right w:val="dotted" w:sz="4" w:space="0" w:color="auto"/>
            </w:tcBorders>
            <w:shd w:val="clear" w:color="000000" w:fill="DEEAF6"/>
            <w:vAlign w:val="center"/>
            <w:hideMark/>
          </w:tcPr>
          <w:p w14:paraId="7E7E7ED9" w14:textId="77777777" w:rsidR="003B3804" w:rsidRPr="004E5A6E" w:rsidRDefault="003B3804" w:rsidP="00713DEA">
            <w:pPr>
              <w:jc w:val="right"/>
              <w:rPr>
                <w:i/>
                <w:iCs/>
                <w:sz w:val="16"/>
                <w:szCs w:val="18"/>
                <w:lang w:val="sq-AL"/>
              </w:rPr>
            </w:pPr>
            <w:r w:rsidRPr="004E5A6E">
              <w:rPr>
                <w:i/>
                <w:iCs/>
                <w:sz w:val="16"/>
                <w:szCs w:val="18"/>
                <w:lang w:val="sq-AL"/>
              </w:rPr>
              <w:t>1,766.5</w:t>
            </w:r>
          </w:p>
        </w:tc>
        <w:tc>
          <w:tcPr>
            <w:tcW w:w="863" w:type="dxa"/>
            <w:tcBorders>
              <w:top w:val="nil"/>
              <w:left w:val="nil"/>
              <w:bottom w:val="dotted" w:sz="4" w:space="0" w:color="auto"/>
              <w:right w:val="single" w:sz="8" w:space="0" w:color="auto"/>
            </w:tcBorders>
            <w:shd w:val="clear" w:color="000000" w:fill="DEEAF6"/>
            <w:vAlign w:val="center"/>
            <w:hideMark/>
          </w:tcPr>
          <w:p w14:paraId="55D5481C" w14:textId="77777777" w:rsidR="003B3804" w:rsidRPr="004E5A6E" w:rsidRDefault="003B3804" w:rsidP="00713DEA">
            <w:pPr>
              <w:jc w:val="right"/>
              <w:rPr>
                <w:i/>
                <w:iCs/>
                <w:sz w:val="16"/>
                <w:szCs w:val="18"/>
                <w:lang w:val="sq-AL"/>
              </w:rPr>
            </w:pPr>
            <w:r w:rsidRPr="004E5A6E">
              <w:rPr>
                <w:i/>
                <w:iCs/>
                <w:sz w:val="16"/>
                <w:szCs w:val="18"/>
                <w:lang w:val="sq-AL"/>
              </w:rPr>
              <w:t>1,849.7</w:t>
            </w:r>
          </w:p>
        </w:tc>
      </w:tr>
      <w:tr w:rsidR="003B3804" w:rsidRPr="004E5A6E" w14:paraId="20FD6723" w14:textId="77777777" w:rsidTr="00713DEA">
        <w:trPr>
          <w:trHeight w:val="292"/>
        </w:trPr>
        <w:tc>
          <w:tcPr>
            <w:tcW w:w="981" w:type="dxa"/>
            <w:vMerge/>
            <w:tcBorders>
              <w:top w:val="nil"/>
              <w:left w:val="single" w:sz="8" w:space="0" w:color="auto"/>
              <w:bottom w:val="single" w:sz="8" w:space="0" w:color="000000"/>
              <w:right w:val="single" w:sz="4" w:space="0" w:color="auto"/>
            </w:tcBorders>
            <w:vAlign w:val="center"/>
            <w:hideMark/>
          </w:tcPr>
          <w:p w14:paraId="0EAEFA35" w14:textId="77777777" w:rsidR="003B3804" w:rsidRPr="004E5A6E" w:rsidRDefault="003B3804" w:rsidP="00713DEA">
            <w:pPr>
              <w:rPr>
                <w:b/>
                <w:bCs/>
                <w:sz w:val="16"/>
                <w:szCs w:val="18"/>
                <w:lang w:val="sq-AL"/>
              </w:rPr>
            </w:pPr>
          </w:p>
        </w:tc>
        <w:tc>
          <w:tcPr>
            <w:tcW w:w="2767" w:type="dxa"/>
            <w:tcBorders>
              <w:top w:val="nil"/>
              <w:left w:val="nil"/>
              <w:bottom w:val="dotted" w:sz="4" w:space="0" w:color="auto"/>
              <w:right w:val="dotted" w:sz="4" w:space="0" w:color="auto"/>
            </w:tcBorders>
            <w:shd w:val="clear" w:color="000000" w:fill="DEEAF6"/>
            <w:noWrap/>
            <w:vAlign w:val="center"/>
            <w:hideMark/>
          </w:tcPr>
          <w:p w14:paraId="69C18304" w14:textId="77777777" w:rsidR="003B3804" w:rsidRPr="004E5A6E" w:rsidRDefault="003B3804" w:rsidP="00713DEA">
            <w:pPr>
              <w:ind w:firstLineChars="100" w:firstLine="160"/>
              <w:rPr>
                <w:i/>
                <w:iCs/>
                <w:sz w:val="16"/>
                <w:szCs w:val="18"/>
                <w:lang w:val="sq-AL"/>
              </w:rPr>
            </w:pPr>
            <w:r w:rsidRPr="004E5A6E">
              <w:rPr>
                <w:i/>
                <w:iCs/>
                <w:sz w:val="16"/>
                <w:szCs w:val="18"/>
                <w:lang w:val="sq-AL"/>
              </w:rPr>
              <w:t>Të ardhurat jotatimore</w:t>
            </w:r>
          </w:p>
        </w:tc>
        <w:tc>
          <w:tcPr>
            <w:tcW w:w="741" w:type="dxa"/>
            <w:tcBorders>
              <w:top w:val="nil"/>
              <w:left w:val="nil"/>
              <w:bottom w:val="dotted" w:sz="4" w:space="0" w:color="auto"/>
              <w:right w:val="dotted" w:sz="4" w:space="0" w:color="auto"/>
            </w:tcBorders>
            <w:shd w:val="clear" w:color="000000" w:fill="DEEAF6"/>
            <w:noWrap/>
            <w:vAlign w:val="center"/>
            <w:hideMark/>
          </w:tcPr>
          <w:p w14:paraId="3FCC2065" w14:textId="77777777" w:rsidR="003B3804" w:rsidRPr="004E5A6E" w:rsidRDefault="003B3804" w:rsidP="00713DEA">
            <w:pPr>
              <w:jc w:val="right"/>
              <w:rPr>
                <w:i/>
                <w:iCs/>
                <w:sz w:val="16"/>
                <w:szCs w:val="18"/>
                <w:lang w:val="sq-AL"/>
              </w:rPr>
            </w:pPr>
            <w:r w:rsidRPr="004E5A6E">
              <w:rPr>
                <w:i/>
                <w:iCs/>
                <w:sz w:val="16"/>
                <w:szCs w:val="18"/>
                <w:lang w:val="sq-AL"/>
              </w:rPr>
              <w:t>192.9</w:t>
            </w:r>
          </w:p>
        </w:tc>
        <w:tc>
          <w:tcPr>
            <w:tcW w:w="863" w:type="dxa"/>
            <w:tcBorders>
              <w:top w:val="nil"/>
              <w:left w:val="nil"/>
              <w:bottom w:val="dotted" w:sz="4" w:space="0" w:color="auto"/>
              <w:right w:val="dotted" w:sz="4" w:space="0" w:color="auto"/>
            </w:tcBorders>
            <w:shd w:val="clear" w:color="000000" w:fill="DEEAF6"/>
            <w:noWrap/>
            <w:vAlign w:val="center"/>
            <w:hideMark/>
          </w:tcPr>
          <w:p w14:paraId="1503AAC5" w14:textId="77777777" w:rsidR="003B3804" w:rsidRPr="004E5A6E" w:rsidRDefault="003B3804" w:rsidP="00713DEA">
            <w:pPr>
              <w:jc w:val="right"/>
              <w:rPr>
                <w:i/>
                <w:iCs/>
                <w:sz w:val="16"/>
                <w:szCs w:val="18"/>
                <w:lang w:val="sq-AL"/>
              </w:rPr>
            </w:pPr>
            <w:r w:rsidRPr="004E5A6E">
              <w:rPr>
                <w:i/>
                <w:iCs/>
                <w:sz w:val="16"/>
                <w:szCs w:val="18"/>
                <w:lang w:val="sq-AL"/>
              </w:rPr>
              <w:t>214.6</w:t>
            </w:r>
          </w:p>
        </w:tc>
        <w:tc>
          <w:tcPr>
            <w:tcW w:w="863" w:type="dxa"/>
            <w:tcBorders>
              <w:top w:val="nil"/>
              <w:left w:val="nil"/>
              <w:bottom w:val="dotted" w:sz="4" w:space="0" w:color="auto"/>
              <w:right w:val="dotted" w:sz="4" w:space="0" w:color="auto"/>
            </w:tcBorders>
            <w:shd w:val="clear" w:color="000000" w:fill="DEEAF6"/>
            <w:vAlign w:val="center"/>
            <w:hideMark/>
          </w:tcPr>
          <w:p w14:paraId="48BB0682" w14:textId="77777777" w:rsidR="003B3804" w:rsidRPr="004E5A6E" w:rsidRDefault="003B3804" w:rsidP="00713DEA">
            <w:pPr>
              <w:jc w:val="right"/>
              <w:rPr>
                <w:i/>
                <w:iCs/>
                <w:sz w:val="16"/>
                <w:szCs w:val="18"/>
                <w:lang w:val="sq-AL"/>
              </w:rPr>
            </w:pPr>
            <w:r w:rsidRPr="004E5A6E">
              <w:rPr>
                <w:i/>
                <w:iCs/>
                <w:sz w:val="16"/>
                <w:szCs w:val="18"/>
                <w:lang w:val="sq-AL"/>
              </w:rPr>
              <w:t>188.9</w:t>
            </w:r>
          </w:p>
        </w:tc>
        <w:tc>
          <w:tcPr>
            <w:tcW w:w="863" w:type="dxa"/>
            <w:tcBorders>
              <w:top w:val="nil"/>
              <w:left w:val="nil"/>
              <w:bottom w:val="dotted" w:sz="4" w:space="0" w:color="auto"/>
              <w:right w:val="dotted" w:sz="4" w:space="0" w:color="auto"/>
            </w:tcBorders>
            <w:shd w:val="clear" w:color="000000" w:fill="DEEAF6"/>
            <w:vAlign w:val="center"/>
            <w:hideMark/>
          </w:tcPr>
          <w:p w14:paraId="49F572E1" w14:textId="77777777" w:rsidR="003B3804" w:rsidRPr="004E5A6E" w:rsidRDefault="003B3804" w:rsidP="00713DEA">
            <w:pPr>
              <w:jc w:val="right"/>
              <w:rPr>
                <w:i/>
                <w:iCs/>
                <w:sz w:val="16"/>
                <w:szCs w:val="18"/>
                <w:lang w:val="sq-AL"/>
              </w:rPr>
            </w:pPr>
            <w:r w:rsidRPr="004E5A6E">
              <w:rPr>
                <w:i/>
                <w:iCs/>
                <w:sz w:val="16"/>
                <w:szCs w:val="18"/>
                <w:lang w:val="sq-AL"/>
              </w:rPr>
              <w:t>214.3</w:t>
            </w:r>
          </w:p>
        </w:tc>
        <w:tc>
          <w:tcPr>
            <w:tcW w:w="863" w:type="dxa"/>
            <w:tcBorders>
              <w:top w:val="nil"/>
              <w:left w:val="nil"/>
              <w:bottom w:val="dotted" w:sz="4" w:space="0" w:color="auto"/>
              <w:right w:val="dotted" w:sz="4" w:space="0" w:color="auto"/>
            </w:tcBorders>
            <w:shd w:val="clear" w:color="000000" w:fill="DEEAF6"/>
            <w:vAlign w:val="center"/>
            <w:hideMark/>
          </w:tcPr>
          <w:p w14:paraId="684510C8" w14:textId="77777777" w:rsidR="003B3804" w:rsidRPr="004E5A6E" w:rsidRDefault="003B3804" w:rsidP="00713DEA">
            <w:pPr>
              <w:jc w:val="right"/>
              <w:rPr>
                <w:i/>
                <w:iCs/>
                <w:sz w:val="16"/>
                <w:szCs w:val="18"/>
                <w:lang w:val="sq-AL"/>
              </w:rPr>
            </w:pPr>
            <w:r w:rsidRPr="004E5A6E">
              <w:rPr>
                <w:i/>
                <w:iCs/>
                <w:sz w:val="16"/>
                <w:szCs w:val="18"/>
                <w:lang w:val="sq-AL"/>
              </w:rPr>
              <w:t>225.0</w:t>
            </w:r>
          </w:p>
        </w:tc>
        <w:tc>
          <w:tcPr>
            <w:tcW w:w="863" w:type="dxa"/>
            <w:tcBorders>
              <w:top w:val="nil"/>
              <w:left w:val="nil"/>
              <w:bottom w:val="dotted" w:sz="4" w:space="0" w:color="auto"/>
              <w:right w:val="single" w:sz="8" w:space="0" w:color="auto"/>
            </w:tcBorders>
            <w:shd w:val="clear" w:color="000000" w:fill="DEEAF6"/>
            <w:vAlign w:val="center"/>
            <w:hideMark/>
          </w:tcPr>
          <w:p w14:paraId="3CA1A9D7" w14:textId="77777777" w:rsidR="003B3804" w:rsidRPr="004E5A6E" w:rsidRDefault="003B3804" w:rsidP="00713DEA">
            <w:pPr>
              <w:jc w:val="right"/>
              <w:rPr>
                <w:i/>
                <w:iCs/>
                <w:sz w:val="16"/>
                <w:szCs w:val="18"/>
                <w:lang w:val="sq-AL"/>
              </w:rPr>
            </w:pPr>
            <w:r w:rsidRPr="004E5A6E">
              <w:rPr>
                <w:i/>
                <w:iCs/>
                <w:sz w:val="16"/>
                <w:szCs w:val="18"/>
                <w:lang w:val="sq-AL"/>
              </w:rPr>
              <w:t>237.6</w:t>
            </w:r>
          </w:p>
        </w:tc>
      </w:tr>
      <w:tr w:rsidR="003B3804" w:rsidRPr="004E5A6E" w14:paraId="36A9932D" w14:textId="77777777" w:rsidTr="00713DEA">
        <w:trPr>
          <w:trHeight w:val="292"/>
        </w:trPr>
        <w:tc>
          <w:tcPr>
            <w:tcW w:w="981" w:type="dxa"/>
            <w:vMerge/>
            <w:tcBorders>
              <w:top w:val="nil"/>
              <w:left w:val="single" w:sz="8" w:space="0" w:color="auto"/>
              <w:bottom w:val="single" w:sz="8" w:space="0" w:color="000000"/>
              <w:right w:val="single" w:sz="4" w:space="0" w:color="auto"/>
            </w:tcBorders>
            <w:vAlign w:val="center"/>
            <w:hideMark/>
          </w:tcPr>
          <w:p w14:paraId="346A6EE0" w14:textId="77777777" w:rsidR="003B3804" w:rsidRPr="004E5A6E" w:rsidRDefault="003B3804" w:rsidP="00713DEA">
            <w:pPr>
              <w:rPr>
                <w:b/>
                <w:bCs/>
                <w:sz w:val="16"/>
                <w:szCs w:val="18"/>
                <w:lang w:val="sq-AL"/>
              </w:rPr>
            </w:pPr>
          </w:p>
        </w:tc>
        <w:tc>
          <w:tcPr>
            <w:tcW w:w="2767" w:type="dxa"/>
            <w:tcBorders>
              <w:top w:val="nil"/>
              <w:left w:val="nil"/>
              <w:bottom w:val="dotted" w:sz="4" w:space="0" w:color="auto"/>
              <w:right w:val="dotted" w:sz="4" w:space="0" w:color="auto"/>
            </w:tcBorders>
            <w:shd w:val="clear" w:color="000000" w:fill="DEEAF6"/>
            <w:noWrap/>
            <w:vAlign w:val="center"/>
            <w:hideMark/>
          </w:tcPr>
          <w:p w14:paraId="722C53F3" w14:textId="77777777" w:rsidR="003B3804" w:rsidRPr="004E5A6E" w:rsidRDefault="003B3804" w:rsidP="00713DEA">
            <w:pPr>
              <w:rPr>
                <w:sz w:val="16"/>
                <w:szCs w:val="18"/>
                <w:lang w:val="sq-AL"/>
              </w:rPr>
            </w:pPr>
            <w:r w:rsidRPr="004E5A6E">
              <w:rPr>
                <w:sz w:val="16"/>
                <w:szCs w:val="18"/>
                <w:lang w:val="sq-AL"/>
              </w:rPr>
              <w:t>Shpenzimet totale</w:t>
            </w:r>
          </w:p>
        </w:tc>
        <w:tc>
          <w:tcPr>
            <w:tcW w:w="741" w:type="dxa"/>
            <w:tcBorders>
              <w:top w:val="nil"/>
              <w:left w:val="nil"/>
              <w:bottom w:val="dotted" w:sz="4" w:space="0" w:color="auto"/>
              <w:right w:val="dotted" w:sz="4" w:space="0" w:color="auto"/>
            </w:tcBorders>
            <w:shd w:val="clear" w:color="000000" w:fill="DEEAF6"/>
            <w:noWrap/>
            <w:vAlign w:val="center"/>
            <w:hideMark/>
          </w:tcPr>
          <w:p w14:paraId="299D838B" w14:textId="77777777" w:rsidR="003B3804" w:rsidRPr="004E5A6E" w:rsidRDefault="003B3804" w:rsidP="00713DEA">
            <w:pPr>
              <w:jc w:val="right"/>
              <w:rPr>
                <w:sz w:val="16"/>
                <w:szCs w:val="18"/>
                <w:lang w:val="sq-AL"/>
              </w:rPr>
            </w:pPr>
            <w:r w:rsidRPr="004E5A6E">
              <w:rPr>
                <w:sz w:val="16"/>
                <w:szCs w:val="18"/>
                <w:lang w:val="sq-AL"/>
              </w:rPr>
              <w:t>1,956.0</w:t>
            </w:r>
          </w:p>
        </w:tc>
        <w:tc>
          <w:tcPr>
            <w:tcW w:w="863" w:type="dxa"/>
            <w:tcBorders>
              <w:top w:val="nil"/>
              <w:left w:val="nil"/>
              <w:bottom w:val="dotted" w:sz="4" w:space="0" w:color="auto"/>
              <w:right w:val="dotted" w:sz="4" w:space="0" w:color="auto"/>
            </w:tcBorders>
            <w:shd w:val="clear" w:color="000000" w:fill="DEEAF6"/>
            <w:noWrap/>
            <w:vAlign w:val="center"/>
            <w:hideMark/>
          </w:tcPr>
          <w:p w14:paraId="1ACC457D" w14:textId="77777777" w:rsidR="003B3804" w:rsidRPr="004E5A6E" w:rsidRDefault="003B3804" w:rsidP="00713DEA">
            <w:pPr>
              <w:jc w:val="right"/>
              <w:rPr>
                <w:sz w:val="16"/>
                <w:szCs w:val="18"/>
                <w:lang w:val="sq-AL"/>
              </w:rPr>
            </w:pPr>
            <w:r w:rsidRPr="004E5A6E">
              <w:rPr>
                <w:sz w:val="16"/>
                <w:szCs w:val="18"/>
                <w:lang w:val="sq-AL"/>
              </w:rPr>
              <w:t>2,093.4</w:t>
            </w:r>
          </w:p>
        </w:tc>
        <w:tc>
          <w:tcPr>
            <w:tcW w:w="863" w:type="dxa"/>
            <w:tcBorders>
              <w:top w:val="nil"/>
              <w:left w:val="nil"/>
              <w:bottom w:val="dotted" w:sz="4" w:space="0" w:color="auto"/>
              <w:right w:val="dotted" w:sz="4" w:space="0" w:color="auto"/>
            </w:tcBorders>
            <w:shd w:val="clear" w:color="000000" w:fill="DEEAF6"/>
            <w:vAlign w:val="center"/>
            <w:hideMark/>
          </w:tcPr>
          <w:p w14:paraId="299285A8" w14:textId="77777777" w:rsidR="003B3804" w:rsidRPr="004E5A6E" w:rsidRDefault="003B3804" w:rsidP="00713DEA">
            <w:pPr>
              <w:jc w:val="right"/>
              <w:rPr>
                <w:sz w:val="16"/>
                <w:szCs w:val="18"/>
                <w:lang w:val="sq-AL"/>
              </w:rPr>
            </w:pPr>
            <w:r w:rsidRPr="004E5A6E">
              <w:rPr>
                <w:sz w:val="16"/>
                <w:szCs w:val="18"/>
                <w:lang w:val="sq-AL"/>
              </w:rPr>
              <w:t>2,620.4</w:t>
            </w:r>
          </w:p>
        </w:tc>
        <w:tc>
          <w:tcPr>
            <w:tcW w:w="863" w:type="dxa"/>
            <w:tcBorders>
              <w:top w:val="nil"/>
              <w:left w:val="nil"/>
              <w:bottom w:val="dotted" w:sz="4" w:space="0" w:color="auto"/>
              <w:right w:val="dotted" w:sz="4" w:space="0" w:color="auto"/>
            </w:tcBorders>
            <w:shd w:val="clear" w:color="000000" w:fill="DEEAF6"/>
            <w:vAlign w:val="center"/>
            <w:hideMark/>
          </w:tcPr>
          <w:p w14:paraId="751E4F2D" w14:textId="77777777" w:rsidR="003B3804" w:rsidRPr="004E5A6E" w:rsidRDefault="003B3804" w:rsidP="00713DEA">
            <w:pPr>
              <w:jc w:val="right"/>
              <w:rPr>
                <w:sz w:val="16"/>
                <w:szCs w:val="18"/>
                <w:lang w:val="sq-AL"/>
              </w:rPr>
            </w:pPr>
            <w:r w:rsidRPr="004E5A6E">
              <w:rPr>
                <w:sz w:val="16"/>
                <w:szCs w:val="18"/>
                <w:lang w:val="sq-AL"/>
              </w:rPr>
              <w:t>2,412.6</w:t>
            </w:r>
          </w:p>
        </w:tc>
        <w:tc>
          <w:tcPr>
            <w:tcW w:w="863" w:type="dxa"/>
            <w:tcBorders>
              <w:top w:val="nil"/>
              <w:left w:val="nil"/>
              <w:bottom w:val="dotted" w:sz="4" w:space="0" w:color="auto"/>
              <w:right w:val="dotted" w:sz="4" w:space="0" w:color="auto"/>
            </w:tcBorders>
            <w:shd w:val="clear" w:color="000000" w:fill="DEEAF6"/>
            <w:vAlign w:val="center"/>
            <w:hideMark/>
          </w:tcPr>
          <w:p w14:paraId="26D066B0" w14:textId="77777777" w:rsidR="003B3804" w:rsidRPr="004E5A6E" w:rsidRDefault="003B3804" w:rsidP="00713DEA">
            <w:pPr>
              <w:jc w:val="right"/>
              <w:rPr>
                <w:sz w:val="16"/>
                <w:szCs w:val="18"/>
                <w:lang w:val="sq-AL"/>
              </w:rPr>
            </w:pPr>
            <w:r w:rsidRPr="004E5A6E">
              <w:rPr>
                <w:sz w:val="16"/>
                <w:szCs w:val="18"/>
                <w:lang w:val="sq-AL"/>
              </w:rPr>
              <w:t>2,375.8</w:t>
            </w:r>
          </w:p>
        </w:tc>
        <w:tc>
          <w:tcPr>
            <w:tcW w:w="863" w:type="dxa"/>
            <w:tcBorders>
              <w:top w:val="nil"/>
              <w:left w:val="nil"/>
              <w:bottom w:val="dotted" w:sz="4" w:space="0" w:color="auto"/>
              <w:right w:val="single" w:sz="8" w:space="0" w:color="auto"/>
            </w:tcBorders>
            <w:shd w:val="clear" w:color="000000" w:fill="DEEAF6"/>
            <w:vAlign w:val="center"/>
            <w:hideMark/>
          </w:tcPr>
          <w:p w14:paraId="240032CC" w14:textId="77777777" w:rsidR="003B3804" w:rsidRPr="004E5A6E" w:rsidRDefault="003B3804" w:rsidP="00713DEA">
            <w:pPr>
              <w:jc w:val="right"/>
              <w:rPr>
                <w:sz w:val="16"/>
                <w:szCs w:val="18"/>
                <w:lang w:val="sq-AL"/>
              </w:rPr>
            </w:pPr>
            <w:r w:rsidRPr="004E5A6E">
              <w:rPr>
                <w:sz w:val="16"/>
                <w:szCs w:val="18"/>
                <w:lang w:val="sq-AL"/>
              </w:rPr>
              <w:t>2,434.7</w:t>
            </w:r>
          </w:p>
        </w:tc>
      </w:tr>
      <w:tr w:rsidR="003B3804" w:rsidRPr="004E5A6E" w14:paraId="63E146BC" w14:textId="77777777" w:rsidTr="00713DEA">
        <w:trPr>
          <w:trHeight w:val="292"/>
        </w:trPr>
        <w:tc>
          <w:tcPr>
            <w:tcW w:w="981" w:type="dxa"/>
            <w:vMerge/>
            <w:tcBorders>
              <w:top w:val="nil"/>
              <w:left w:val="single" w:sz="8" w:space="0" w:color="auto"/>
              <w:bottom w:val="single" w:sz="8" w:space="0" w:color="000000"/>
              <w:right w:val="single" w:sz="4" w:space="0" w:color="auto"/>
            </w:tcBorders>
            <w:vAlign w:val="center"/>
            <w:hideMark/>
          </w:tcPr>
          <w:p w14:paraId="228001BD" w14:textId="77777777" w:rsidR="003B3804" w:rsidRPr="004E5A6E" w:rsidRDefault="003B3804" w:rsidP="00713DEA">
            <w:pPr>
              <w:rPr>
                <w:b/>
                <w:bCs/>
                <w:sz w:val="16"/>
                <w:szCs w:val="18"/>
                <w:lang w:val="sq-AL"/>
              </w:rPr>
            </w:pPr>
          </w:p>
        </w:tc>
        <w:tc>
          <w:tcPr>
            <w:tcW w:w="2767" w:type="dxa"/>
            <w:tcBorders>
              <w:top w:val="nil"/>
              <w:left w:val="nil"/>
              <w:bottom w:val="dotted" w:sz="4" w:space="0" w:color="auto"/>
              <w:right w:val="dotted" w:sz="4" w:space="0" w:color="auto"/>
            </w:tcBorders>
            <w:shd w:val="clear" w:color="000000" w:fill="DEEAF6"/>
            <w:noWrap/>
            <w:vAlign w:val="center"/>
            <w:hideMark/>
          </w:tcPr>
          <w:p w14:paraId="23CF61B7" w14:textId="77777777" w:rsidR="003B3804" w:rsidRPr="004E5A6E" w:rsidRDefault="003B3804" w:rsidP="00713DEA">
            <w:pPr>
              <w:ind w:firstLineChars="200" w:firstLine="320"/>
              <w:rPr>
                <w:i/>
                <w:iCs/>
                <w:sz w:val="16"/>
                <w:szCs w:val="18"/>
                <w:lang w:val="sq-AL"/>
              </w:rPr>
            </w:pPr>
            <w:r w:rsidRPr="004E5A6E">
              <w:rPr>
                <w:i/>
                <w:iCs/>
                <w:sz w:val="16"/>
                <w:szCs w:val="18"/>
                <w:lang w:val="sq-AL"/>
              </w:rPr>
              <w:t>Shpenzimet e përsëritura</w:t>
            </w:r>
          </w:p>
        </w:tc>
        <w:tc>
          <w:tcPr>
            <w:tcW w:w="741" w:type="dxa"/>
            <w:tcBorders>
              <w:top w:val="nil"/>
              <w:left w:val="nil"/>
              <w:bottom w:val="dotted" w:sz="4" w:space="0" w:color="auto"/>
              <w:right w:val="dotted" w:sz="4" w:space="0" w:color="auto"/>
            </w:tcBorders>
            <w:shd w:val="clear" w:color="000000" w:fill="DEEAF6"/>
            <w:noWrap/>
            <w:vAlign w:val="center"/>
            <w:hideMark/>
          </w:tcPr>
          <w:p w14:paraId="65E469D8" w14:textId="77777777" w:rsidR="003B3804" w:rsidRPr="004E5A6E" w:rsidRDefault="003B3804" w:rsidP="00713DEA">
            <w:pPr>
              <w:jc w:val="right"/>
              <w:rPr>
                <w:i/>
                <w:iCs/>
                <w:sz w:val="16"/>
                <w:szCs w:val="18"/>
                <w:lang w:val="sq-AL"/>
              </w:rPr>
            </w:pPr>
            <w:r w:rsidRPr="004E5A6E">
              <w:rPr>
                <w:i/>
                <w:iCs/>
                <w:sz w:val="16"/>
                <w:szCs w:val="18"/>
                <w:lang w:val="sq-AL"/>
              </w:rPr>
              <w:t>1,404.0</w:t>
            </w:r>
          </w:p>
        </w:tc>
        <w:tc>
          <w:tcPr>
            <w:tcW w:w="863" w:type="dxa"/>
            <w:tcBorders>
              <w:top w:val="nil"/>
              <w:left w:val="nil"/>
              <w:bottom w:val="dotted" w:sz="4" w:space="0" w:color="auto"/>
              <w:right w:val="dotted" w:sz="4" w:space="0" w:color="auto"/>
            </w:tcBorders>
            <w:shd w:val="clear" w:color="000000" w:fill="DEEAF6"/>
            <w:noWrap/>
            <w:vAlign w:val="center"/>
            <w:hideMark/>
          </w:tcPr>
          <w:p w14:paraId="06BD5E6F" w14:textId="77777777" w:rsidR="003B3804" w:rsidRPr="004E5A6E" w:rsidRDefault="003B3804" w:rsidP="00713DEA">
            <w:pPr>
              <w:jc w:val="right"/>
              <w:rPr>
                <w:i/>
                <w:iCs/>
                <w:sz w:val="16"/>
                <w:szCs w:val="18"/>
                <w:lang w:val="sq-AL"/>
              </w:rPr>
            </w:pPr>
            <w:r w:rsidRPr="004E5A6E">
              <w:rPr>
                <w:i/>
                <w:iCs/>
                <w:sz w:val="16"/>
                <w:szCs w:val="18"/>
                <w:lang w:val="sq-AL"/>
              </w:rPr>
              <w:t>1,538.8</w:t>
            </w:r>
          </w:p>
        </w:tc>
        <w:tc>
          <w:tcPr>
            <w:tcW w:w="863" w:type="dxa"/>
            <w:tcBorders>
              <w:top w:val="nil"/>
              <w:left w:val="nil"/>
              <w:bottom w:val="dotted" w:sz="4" w:space="0" w:color="auto"/>
              <w:right w:val="dotted" w:sz="4" w:space="0" w:color="auto"/>
            </w:tcBorders>
            <w:shd w:val="clear" w:color="000000" w:fill="DEEAF6"/>
            <w:vAlign w:val="center"/>
            <w:hideMark/>
          </w:tcPr>
          <w:p w14:paraId="29DC8F6F" w14:textId="77777777" w:rsidR="003B3804" w:rsidRPr="004E5A6E" w:rsidRDefault="003B3804" w:rsidP="00713DEA">
            <w:pPr>
              <w:jc w:val="right"/>
              <w:rPr>
                <w:i/>
                <w:iCs/>
                <w:sz w:val="16"/>
                <w:szCs w:val="18"/>
                <w:lang w:val="sq-AL"/>
              </w:rPr>
            </w:pPr>
            <w:r w:rsidRPr="004E5A6E">
              <w:rPr>
                <w:i/>
                <w:iCs/>
                <w:sz w:val="16"/>
                <w:szCs w:val="18"/>
                <w:lang w:val="sq-AL"/>
              </w:rPr>
              <w:t>1,860.5</w:t>
            </w:r>
          </w:p>
        </w:tc>
        <w:tc>
          <w:tcPr>
            <w:tcW w:w="863" w:type="dxa"/>
            <w:tcBorders>
              <w:top w:val="nil"/>
              <w:left w:val="nil"/>
              <w:bottom w:val="dotted" w:sz="4" w:space="0" w:color="auto"/>
              <w:right w:val="dotted" w:sz="4" w:space="0" w:color="auto"/>
            </w:tcBorders>
            <w:shd w:val="clear" w:color="000000" w:fill="DEEAF6"/>
            <w:vAlign w:val="center"/>
            <w:hideMark/>
          </w:tcPr>
          <w:p w14:paraId="0D775744" w14:textId="77777777" w:rsidR="003B3804" w:rsidRPr="004E5A6E" w:rsidRDefault="003B3804" w:rsidP="00713DEA">
            <w:pPr>
              <w:jc w:val="right"/>
              <w:rPr>
                <w:i/>
                <w:iCs/>
                <w:sz w:val="16"/>
                <w:szCs w:val="18"/>
                <w:lang w:val="sq-AL"/>
              </w:rPr>
            </w:pPr>
            <w:r w:rsidRPr="004E5A6E">
              <w:rPr>
                <w:i/>
                <w:iCs/>
                <w:sz w:val="16"/>
                <w:szCs w:val="18"/>
                <w:lang w:val="sq-AL"/>
              </w:rPr>
              <w:t>1,757.9</w:t>
            </w:r>
          </w:p>
        </w:tc>
        <w:tc>
          <w:tcPr>
            <w:tcW w:w="863" w:type="dxa"/>
            <w:tcBorders>
              <w:top w:val="nil"/>
              <w:left w:val="nil"/>
              <w:bottom w:val="dotted" w:sz="4" w:space="0" w:color="auto"/>
              <w:right w:val="dotted" w:sz="4" w:space="0" w:color="auto"/>
            </w:tcBorders>
            <w:shd w:val="clear" w:color="000000" w:fill="DEEAF6"/>
            <w:vAlign w:val="center"/>
            <w:hideMark/>
          </w:tcPr>
          <w:p w14:paraId="365B792F" w14:textId="77777777" w:rsidR="003B3804" w:rsidRPr="004E5A6E" w:rsidRDefault="003B3804" w:rsidP="00713DEA">
            <w:pPr>
              <w:jc w:val="right"/>
              <w:rPr>
                <w:i/>
                <w:iCs/>
                <w:sz w:val="16"/>
                <w:szCs w:val="18"/>
                <w:lang w:val="sq-AL"/>
              </w:rPr>
            </w:pPr>
            <w:r w:rsidRPr="004E5A6E">
              <w:rPr>
                <w:i/>
                <w:iCs/>
                <w:sz w:val="16"/>
                <w:szCs w:val="18"/>
                <w:lang w:val="sq-AL"/>
              </w:rPr>
              <w:t>1,647.6</w:t>
            </w:r>
          </w:p>
        </w:tc>
        <w:tc>
          <w:tcPr>
            <w:tcW w:w="863" w:type="dxa"/>
            <w:tcBorders>
              <w:top w:val="nil"/>
              <w:left w:val="nil"/>
              <w:bottom w:val="dotted" w:sz="4" w:space="0" w:color="auto"/>
              <w:right w:val="single" w:sz="8" w:space="0" w:color="auto"/>
            </w:tcBorders>
            <w:shd w:val="clear" w:color="000000" w:fill="DEEAF6"/>
            <w:vAlign w:val="center"/>
            <w:hideMark/>
          </w:tcPr>
          <w:p w14:paraId="6E44E3BA" w14:textId="77777777" w:rsidR="003B3804" w:rsidRPr="004E5A6E" w:rsidRDefault="003B3804" w:rsidP="00713DEA">
            <w:pPr>
              <w:jc w:val="right"/>
              <w:rPr>
                <w:i/>
                <w:iCs/>
                <w:sz w:val="16"/>
                <w:szCs w:val="18"/>
                <w:lang w:val="sq-AL"/>
              </w:rPr>
            </w:pPr>
            <w:r w:rsidRPr="004E5A6E">
              <w:rPr>
                <w:i/>
                <w:iCs/>
                <w:sz w:val="16"/>
                <w:szCs w:val="18"/>
                <w:lang w:val="sq-AL"/>
              </w:rPr>
              <w:t>1,655.2</w:t>
            </w:r>
          </w:p>
        </w:tc>
      </w:tr>
      <w:tr w:rsidR="003B3804" w:rsidRPr="004E5A6E" w14:paraId="424D3B6A" w14:textId="77777777" w:rsidTr="00713DEA">
        <w:trPr>
          <w:trHeight w:val="292"/>
        </w:trPr>
        <w:tc>
          <w:tcPr>
            <w:tcW w:w="981" w:type="dxa"/>
            <w:vMerge/>
            <w:tcBorders>
              <w:top w:val="nil"/>
              <w:left w:val="single" w:sz="8" w:space="0" w:color="auto"/>
              <w:bottom w:val="single" w:sz="8" w:space="0" w:color="000000"/>
              <w:right w:val="single" w:sz="4" w:space="0" w:color="auto"/>
            </w:tcBorders>
            <w:vAlign w:val="center"/>
            <w:hideMark/>
          </w:tcPr>
          <w:p w14:paraId="5463975A" w14:textId="77777777" w:rsidR="003B3804" w:rsidRPr="004E5A6E" w:rsidRDefault="003B3804" w:rsidP="00713DEA">
            <w:pPr>
              <w:rPr>
                <w:b/>
                <w:bCs/>
                <w:sz w:val="16"/>
                <w:szCs w:val="18"/>
                <w:lang w:val="sq-AL"/>
              </w:rPr>
            </w:pPr>
          </w:p>
        </w:tc>
        <w:tc>
          <w:tcPr>
            <w:tcW w:w="2767" w:type="dxa"/>
            <w:tcBorders>
              <w:top w:val="nil"/>
              <w:left w:val="nil"/>
              <w:bottom w:val="dotted" w:sz="4" w:space="0" w:color="auto"/>
              <w:right w:val="dotted" w:sz="4" w:space="0" w:color="auto"/>
            </w:tcBorders>
            <w:shd w:val="clear" w:color="000000" w:fill="DEEAF6"/>
            <w:noWrap/>
            <w:vAlign w:val="center"/>
            <w:hideMark/>
          </w:tcPr>
          <w:p w14:paraId="0BB2379B" w14:textId="77777777" w:rsidR="003B3804" w:rsidRPr="004E5A6E" w:rsidRDefault="003B3804" w:rsidP="00713DEA">
            <w:pPr>
              <w:ind w:firstLineChars="100" w:firstLine="160"/>
              <w:rPr>
                <w:i/>
                <w:iCs/>
                <w:sz w:val="16"/>
                <w:szCs w:val="18"/>
                <w:lang w:val="sq-AL"/>
              </w:rPr>
            </w:pPr>
            <w:r w:rsidRPr="004E5A6E">
              <w:rPr>
                <w:i/>
                <w:iCs/>
                <w:sz w:val="16"/>
                <w:szCs w:val="18"/>
                <w:lang w:val="sq-AL"/>
              </w:rPr>
              <w:t>Shpenzimet kapitale</w:t>
            </w:r>
          </w:p>
        </w:tc>
        <w:tc>
          <w:tcPr>
            <w:tcW w:w="741" w:type="dxa"/>
            <w:tcBorders>
              <w:top w:val="nil"/>
              <w:left w:val="nil"/>
              <w:bottom w:val="dotted" w:sz="4" w:space="0" w:color="auto"/>
              <w:right w:val="dotted" w:sz="4" w:space="0" w:color="auto"/>
            </w:tcBorders>
            <w:shd w:val="clear" w:color="000000" w:fill="DEEAF6"/>
            <w:noWrap/>
            <w:vAlign w:val="center"/>
            <w:hideMark/>
          </w:tcPr>
          <w:p w14:paraId="4F0BFBF7" w14:textId="77777777" w:rsidR="003B3804" w:rsidRPr="004E5A6E" w:rsidRDefault="003B3804" w:rsidP="00713DEA">
            <w:pPr>
              <w:jc w:val="right"/>
              <w:rPr>
                <w:i/>
                <w:iCs/>
                <w:sz w:val="16"/>
                <w:szCs w:val="18"/>
                <w:lang w:val="sq-AL"/>
              </w:rPr>
            </w:pPr>
            <w:r w:rsidRPr="004E5A6E">
              <w:rPr>
                <w:i/>
                <w:iCs/>
                <w:sz w:val="16"/>
                <w:szCs w:val="18"/>
                <w:lang w:val="sq-AL"/>
              </w:rPr>
              <w:t>533.0</w:t>
            </w:r>
          </w:p>
        </w:tc>
        <w:tc>
          <w:tcPr>
            <w:tcW w:w="863" w:type="dxa"/>
            <w:tcBorders>
              <w:top w:val="nil"/>
              <w:left w:val="nil"/>
              <w:bottom w:val="dotted" w:sz="4" w:space="0" w:color="auto"/>
              <w:right w:val="dotted" w:sz="4" w:space="0" w:color="auto"/>
            </w:tcBorders>
            <w:shd w:val="clear" w:color="000000" w:fill="DEEAF6"/>
            <w:noWrap/>
            <w:vAlign w:val="center"/>
            <w:hideMark/>
          </w:tcPr>
          <w:p w14:paraId="19CE1796" w14:textId="77777777" w:rsidR="003B3804" w:rsidRPr="004E5A6E" w:rsidRDefault="003B3804" w:rsidP="00713DEA">
            <w:pPr>
              <w:jc w:val="right"/>
              <w:rPr>
                <w:i/>
                <w:iCs/>
                <w:sz w:val="16"/>
                <w:szCs w:val="18"/>
                <w:lang w:val="sq-AL"/>
              </w:rPr>
            </w:pPr>
            <w:r w:rsidRPr="004E5A6E">
              <w:rPr>
                <w:i/>
                <w:iCs/>
                <w:sz w:val="16"/>
                <w:szCs w:val="18"/>
                <w:lang w:val="sq-AL"/>
              </w:rPr>
              <w:t>531.2</w:t>
            </w:r>
          </w:p>
        </w:tc>
        <w:tc>
          <w:tcPr>
            <w:tcW w:w="863" w:type="dxa"/>
            <w:tcBorders>
              <w:top w:val="nil"/>
              <w:left w:val="nil"/>
              <w:bottom w:val="dotted" w:sz="4" w:space="0" w:color="auto"/>
              <w:right w:val="dotted" w:sz="4" w:space="0" w:color="auto"/>
            </w:tcBorders>
            <w:shd w:val="clear" w:color="000000" w:fill="DEEAF6"/>
            <w:vAlign w:val="center"/>
            <w:hideMark/>
          </w:tcPr>
          <w:p w14:paraId="126B9BB4" w14:textId="77777777" w:rsidR="003B3804" w:rsidRPr="004E5A6E" w:rsidRDefault="003B3804" w:rsidP="00713DEA">
            <w:pPr>
              <w:jc w:val="right"/>
              <w:rPr>
                <w:i/>
                <w:iCs/>
                <w:sz w:val="16"/>
                <w:szCs w:val="18"/>
                <w:lang w:val="sq-AL"/>
              </w:rPr>
            </w:pPr>
            <w:r w:rsidRPr="004E5A6E">
              <w:rPr>
                <w:i/>
                <w:iCs/>
                <w:sz w:val="16"/>
                <w:szCs w:val="18"/>
                <w:lang w:val="sq-AL"/>
              </w:rPr>
              <w:t>729.9</w:t>
            </w:r>
          </w:p>
        </w:tc>
        <w:tc>
          <w:tcPr>
            <w:tcW w:w="863" w:type="dxa"/>
            <w:tcBorders>
              <w:top w:val="nil"/>
              <w:left w:val="nil"/>
              <w:bottom w:val="dotted" w:sz="4" w:space="0" w:color="auto"/>
              <w:right w:val="dotted" w:sz="4" w:space="0" w:color="auto"/>
            </w:tcBorders>
            <w:shd w:val="clear" w:color="000000" w:fill="DEEAF6"/>
            <w:vAlign w:val="center"/>
            <w:hideMark/>
          </w:tcPr>
          <w:p w14:paraId="4541036F" w14:textId="77777777" w:rsidR="003B3804" w:rsidRPr="004E5A6E" w:rsidRDefault="003B3804" w:rsidP="00713DEA">
            <w:pPr>
              <w:jc w:val="right"/>
              <w:rPr>
                <w:i/>
                <w:iCs/>
                <w:sz w:val="16"/>
                <w:szCs w:val="18"/>
                <w:lang w:val="sq-AL"/>
              </w:rPr>
            </w:pPr>
            <w:r w:rsidRPr="004E5A6E">
              <w:rPr>
                <w:i/>
                <w:iCs/>
                <w:sz w:val="16"/>
                <w:szCs w:val="18"/>
                <w:lang w:val="sq-AL"/>
              </w:rPr>
              <w:t>616.3</w:t>
            </w:r>
          </w:p>
        </w:tc>
        <w:tc>
          <w:tcPr>
            <w:tcW w:w="863" w:type="dxa"/>
            <w:tcBorders>
              <w:top w:val="nil"/>
              <w:left w:val="nil"/>
              <w:bottom w:val="dotted" w:sz="4" w:space="0" w:color="auto"/>
              <w:right w:val="dotted" w:sz="4" w:space="0" w:color="auto"/>
            </w:tcBorders>
            <w:shd w:val="clear" w:color="000000" w:fill="DEEAF6"/>
            <w:vAlign w:val="center"/>
            <w:hideMark/>
          </w:tcPr>
          <w:p w14:paraId="6A2D9842" w14:textId="77777777" w:rsidR="003B3804" w:rsidRPr="004E5A6E" w:rsidRDefault="003B3804" w:rsidP="00713DEA">
            <w:pPr>
              <w:jc w:val="right"/>
              <w:rPr>
                <w:i/>
                <w:iCs/>
                <w:sz w:val="16"/>
                <w:szCs w:val="18"/>
                <w:lang w:val="sq-AL"/>
              </w:rPr>
            </w:pPr>
            <w:r w:rsidRPr="004E5A6E">
              <w:rPr>
                <w:i/>
                <w:iCs/>
                <w:sz w:val="16"/>
                <w:szCs w:val="18"/>
                <w:lang w:val="sq-AL"/>
              </w:rPr>
              <w:t>678.9</w:t>
            </w:r>
          </w:p>
        </w:tc>
        <w:tc>
          <w:tcPr>
            <w:tcW w:w="863" w:type="dxa"/>
            <w:tcBorders>
              <w:top w:val="nil"/>
              <w:left w:val="nil"/>
              <w:bottom w:val="dotted" w:sz="4" w:space="0" w:color="auto"/>
              <w:right w:val="single" w:sz="8" w:space="0" w:color="auto"/>
            </w:tcBorders>
            <w:shd w:val="clear" w:color="000000" w:fill="DEEAF6"/>
            <w:vAlign w:val="center"/>
            <w:hideMark/>
          </w:tcPr>
          <w:p w14:paraId="7236FB22" w14:textId="77777777" w:rsidR="003B3804" w:rsidRPr="004E5A6E" w:rsidRDefault="003B3804" w:rsidP="00713DEA">
            <w:pPr>
              <w:jc w:val="right"/>
              <w:rPr>
                <w:i/>
                <w:iCs/>
                <w:sz w:val="16"/>
                <w:szCs w:val="18"/>
                <w:lang w:val="sq-AL"/>
              </w:rPr>
            </w:pPr>
            <w:r w:rsidRPr="004E5A6E">
              <w:rPr>
                <w:i/>
                <w:iCs/>
                <w:sz w:val="16"/>
                <w:szCs w:val="18"/>
                <w:lang w:val="sq-AL"/>
              </w:rPr>
              <w:t>718.5</w:t>
            </w:r>
          </w:p>
        </w:tc>
      </w:tr>
      <w:tr w:rsidR="003B3804" w:rsidRPr="004E5A6E" w14:paraId="4077C488" w14:textId="77777777" w:rsidTr="00713DEA">
        <w:trPr>
          <w:trHeight w:val="292"/>
        </w:trPr>
        <w:tc>
          <w:tcPr>
            <w:tcW w:w="981" w:type="dxa"/>
            <w:vMerge/>
            <w:tcBorders>
              <w:top w:val="nil"/>
              <w:left w:val="single" w:sz="8" w:space="0" w:color="auto"/>
              <w:bottom w:val="single" w:sz="8" w:space="0" w:color="000000"/>
              <w:right w:val="single" w:sz="4" w:space="0" w:color="auto"/>
            </w:tcBorders>
            <w:vAlign w:val="center"/>
            <w:hideMark/>
          </w:tcPr>
          <w:p w14:paraId="27ED3949" w14:textId="77777777" w:rsidR="003B3804" w:rsidRPr="004E5A6E" w:rsidRDefault="003B3804" w:rsidP="00713DEA">
            <w:pPr>
              <w:rPr>
                <w:b/>
                <w:bCs/>
                <w:sz w:val="16"/>
                <w:szCs w:val="18"/>
                <w:lang w:val="sq-AL"/>
              </w:rPr>
            </w:pPr>
          </w:p>
        </w:tc>
        <w:tc>
          <w:tcPr>
            <w:tcW w:w="2767" w:type="dxa"/>
            <w:tcBorders>
              <w:top w:val="nil"/>
              <w:left w:val="nil"/>
              <w:bottom w:val="dotted" w:sz="4" w:space="0" w:color="auto"/>
              <w:right w:val="dotted" w:sz="4" w:space="0" w:color="auto"/>
            </w:tcBorders>
            <w:shd w:val="clear" w:color="000000" w:fill="DEEAF6"/>
            <w:noWrap/>
            <w:vAlign w:val="center"/>
            <w:hideMark/>
          </w:tcPr>
          <w:p w14:paraId="52BB6EF3" w14:textId="77777777" w:rsidR="003B3804" w:rsidRPr="004E5A6E" w:rsidRDefault="003B3804" w:rsidP="00713DEA">
            <w:pPr>
              <w:rPr>
                <w:sz w:val="16"/>
                <w:szCs w:val="18"/>
                <w:lang w:val="sq-AL"/>
              </w:rPr>
            </w:pPr>
            <w:r w:rsidRPr="004E5A6E">
              <w:rPr>
                <w:sz w:val="16"/>
                <w:szCs w:val="18"/>
                <w:lang w:val="sq-AL"/>
              </w:rPr>
              <w:t>Bilanci i përgjithshëm i buxhetit</w:t>
            </w:r>
          </w:p>
        </w:tc>
        <w:tc>
          <w:tcPr>
            <w:tcW w:w="741" w:type="dxa"/>
            <w:tcBorders>
              <w:top w:val="nil"/>
              <w:left w:val="nil"/>
              <w:bottom w:val="dotted" w:sz="4" w:space="0" w:color="auto"/>
              <w:right w:val="dotted" w:sz="4" w:space="0" w:color="auto"/>
            </w:tcBorders>
            <w:shd w:val="clear" w:color="000000" w:fill="DEEAF6"/>
            <w:noWrap/>
            <w:vAlign w:val="center"/>
            <w:hideMark/>
          </w:tcPr>
          <w:p w14:paraId="7B9C3A6A" w14:textId="77777777" w:rsidR="003B3804" w:rsidRPr="004E5A6E" w:rsidRDefault="003B3804" w:rsidP="00713DEA">
            <w:pPr>
              <w:jc w:val="right"/>
              <w:rPr>
                <w:sz w:val="16"/>
                <w:szCs w:val="18"/>
                <w:lang w:val="sq-AL"/>
              </w:rPr>
            </w:pPr>
            <w:r w:rsidRPr="004E5A6E">
              <w:rPr>
                <w:sz w:val="16"/>
                <w:szCs w:val="18"/>
                <w:lang w:val="sq-AL"/>
              </w:rPr>
              <w:t>-199.2</w:t>
            </w:r>
          </w:p>
        </w:tc>
        <w:tc>
          <w:tcPr>
            <w:tcW w:w="863" w:type="dxa"/>
            <w:tcBorders>
              <w:top w:val="nil"/>
              <w:left w:val="nil"/>
              <w:bottom w:val="dotted" w:sz="4" w:space="0" w:color="auto"/>
              <w:right w:val="dotted" w:sz="4" w:space="0" w:color="auto"/>
            </w:tcBorders>
            <w:shd w:val="clear" w:color="000000" w:fill="DEEAF6"/>
            <w:noWrap/>
            <w:vAlign w:val="center"/>
            <w:hideMark/>
          </w:tcPr>
          <w:p w14:paraId="3379E20E" w14:textId="77777777" w:rsidR="003B3804" w:rsidRPr="004E5A6E" w:rsidRDefault="003B3804" w:rsidP="00713DEA">
            <w:pPr>
              <w:jc w:val="right"/>
              <w:rPr>
                <w:sz w:val="16"/>
                <w:szCs w:val="18"/>
                <w:lang w:val="sq-AL"/>
              </w:rPr>
            </w:pPr>
            <w:r w:rsidRPr="004E5A6E">
              <w:rPr>
                <w:sz w:val="16"/>
                <w:szCs w:val="18"/>
                <w:lang w:val="sq-AL"/>
              </w:rPr>
              <w:t>-205.3</w:t>
            </w:r>
          </w:p>
        </w:tc>
        <w:tc>
          <w:tcPr>
            <w:tcW w:w="863" w:type="dxa"/>
            <w:tcBorders>
              <w:top w:val="nil"/>
              <w:left w:val="nil"/>
              <w:bottom w:val="dotted" w:sz="4" w:space="0" w:color="auto"/>
              <w:right w:val="dotted" w:sz="4" w:space="0" w:color="auto"/>
            </w:tcBorders>
            <w:shd w:val="clear" w:color="000000" w:fill="DEEAF6"/>
            <w:vAlign w:val="center"/>
            <w:hideMark/>
          </w:tcPr>
          <w:p w14:paraId="65E1FC24" w14:textId="77777777" w:rsidR="003B3804" w:rsidRPr="004E5A6E" w:rsidRDefault="003B3804" w:rsidP="00713DEA">
            <w:pPr>
              <w:jc w:val="right"/>
              <w:rPr>
                <w:sz w:val="16"/>
                <w:szCs w:val="18"/>
                <w:lang w:val="sq-AL"/>
              </w:rPr>
            </w:pPr>
            <w:r w:rsidRPr="004E5A6E">
              <w:rPr>
                <w:sz w:val="16"/>
                <w:szCs w:val="18"/>
                <w:lang w:val="sq-AL"/>
              </w:rPr>
              <w:t>-831.9</w:t>
            </w:r>
          </w:p>
        </w:tc>
        <w:tc>
          <w:tcPr>
            <w:tcW w:w="863" w:type="dxa"/>
            <w:tcBorders>
              <w:top w:val="nil"/>
              <w:left w:val="nil"/>
              <w:bottom w:val="dotted" w:sz="4" w:space="0" w:color="auto"/>
              <w:right w:val="dotted" w:sz="4" w:space="0" w:color="auto"/>
            </w:tcBorders>
            <w:shd w:val="clear" w:color="000000" w:fill="DEEAF6"/>
            <w:vAlign w:val="center"/>
            <w:hideMark/>
          </w:tcPr>
          <w:p w14:paraId="2992CEBD" w14:textId="77777777" w:rsidR="003B3804" w:rsidRPr="004E5A6E" w:rsidRDefault="003B3804" w:rsidP="00713DEA">
            <w:pPr>
              <w:jc w:val="right"/>
              <w:rPr>
                <w:sz w:val="16"/>
                <w:szCs w:val="18"/>
                <w:lang w:val="sq-AL"/>
              </w:rPr>
            </w:pPr>
            <w:r w:rsidRPr="004E5A6E">
              <w:rPr>
                <w:sz w:val="16"/>
                <w:szCs w:val="18"/>
                <w:lang w:val="sq-AL"/>
              </w:rPr>
              <w:t>-526.7</w:t>
            </w:r>
          </w:p>
        </w:tc>
        <w:tc>
          <w:tcPr>
            <w:tcW w:w="863" w:type="dxa"/>
            <w:tcBorders>
              <w:top w:val="nil"/>
              <w:left w:val="nil"/>
              <w:bottom w:val="dotted" w:sz="4" w:space="0" w:color="auto"/>
              <w:right w:val="dotted" w:sz="4" w:space="0" w:color="auto"/>
            </w:tcBorders>
            <w:shd w:val="clear" w:color="000000" w:fill="DEEAF6"/>
            <w:vAlign w:val="center"/>
            <w:hideMark/>
          </w:tcPr>
          <w:p w14:paraId="00120474" w14:textId="77777777" w:rsidR="003B3804" w:rsidRPr="004E5A6E" w:rsidRDefault="003B3804" w:rsidP="00713DEA">
            <w:pPr>
              <w:jc w:val="right"/>
              <w:rPr>
                <w:sz w:val="16"/>
                <w:szCs w:val="18"/>
                <w:lang w:val="sq-AL"/>
              </w:rPr>
            </w:pPr>
            <w:r w:rsidRPr="004E5A6E">
              <w:rPr>
                <w:sz w:val="16"/>
                <w:szCs w:val="18"/>
                <w:lang w:val="sq-AL"/>
              </w:rPr>
              <w:t>-373.7</w:t>
            </w:r>
          </w:p>
        </w:tc>
        <w:tc>
          <w:tcPr>
            <w:tcW w:w="863" w:type="dxa"/>
            <w:tcBorders>
              <w:top w:val="nil"/>
              <w:left w:val="nil"/>
              <w:bottom w:val="dotted" w:sz="4" w:space="0" w:color="auto"/>
              <w:right w:val="single" w:sz="8" w:space="0" w:color="auto"/>
            </w:tcBorders>
            <w:shd w:val="clear" w:color="000000" w:fill="DEEAF6"/>
            <w:vAlign w:val="center"/>
            <w:hideMark/>
          </w:tcPr>
          <w:p w14:paraId="4E4176CF" w14:textId="77777777" w:rsidR="003B3804" w:rsidRPr="004E5A6E" w:rsidRDefault="003B3804" w:rsidP="00713DEA">
            <w:pPr>
              <w:jc w:val="right"/>
              <w:rPr>
                <w:sz w:val="16"/>
                <w:szCs w:val="18"/>
                <w:lang w:val="sq-AL"/>
              </w:rPr>
            </w:pPr>
            <w:r w:rsidRPr="004E5A6E">
              <w:rPr>
                <w:sz w:val="16"/>
                <w:szCs w:val="18"/>
                <w:lang w:val="sq-AL"/>
              </w:rPr>
              <w:t>-336.9</w:t>
            </w:r>
          </w:p>
        </w:tc>
      </w:tr>
      <w:tr w:rsidR="003B3804" w:rsidRPr="004E5A6E" w14:paraId="37D0B87A" w14:textId="77777777" w:rsidTr="00713DEA">
        <w:trPr>
          <w:trHeight w:val="292"/>
        </w:trPr>
        <w:tc>
          <w:tcPr>
            <w:tcW w:w="981" w:type="dxa"/>
            <w:vMerge/>
            <w:tcBorders>
              <w:top w:val="nil"/>
              <w:left w:val="single" w:sz="8" w:space="0" w:color="auto"/>
              <w:bottom w:val="single" w:sz="8" w:space="0" w:color="000000"/>
              <w:right w:val="single" w:sz="4" w:space="0" w:color="auto"/>
            </w:tcBorders>
            <w:vAlign w:val="center"/>
            <w:hideMark/>
          </w:tcPr>
          <w:p w14:paraId="4DBB7B02" w14:textId="77777777" w:rsidR="003B3804" w:rsidRPr="004E5A6E" w:rsidRDefault="003B3804" w:rsidP="00713DEA">
            <w:pPr>
              <w:rPr>
                <w:b/>
                <w:bCs/>
                <w:sz w:val="16"/>
                <w:szCs w:val="18"/>
                <w:lang w:val="sq-AL"/>
              </w:rPr>
            </w:pPr>
          </w:p>
        </w:tc>
        <w:tc>
          <w:tcPr>
            <w:tcW w:w="2767" w:type="dxa"/>
            <w:tcBorders>
              <w:top w:val="nil"/>
              <w:left w:val="nil"/>
              <w:bottom w:val="dotted" w:sz="4" w:space="0" w:color="auto"/>
              <w:right w:val="dotted" w:sz="4" w:space="0" w:color="auto"/>
            </w:tcBorders>
            <w:shd w:val="clear" w:color="000000" w:fill="DEEAF6"/>
            <w:noWrap/>
            <w:vAlign w:val="center"/>
            <w:hideMark/>
          </w:tcPr>
          <w:p w14:paraId="2C6AE142" w14:textId="77777777" w:rsidR="003B3804" w:rsidRPr="004E5A6E" w:rsidRDefault="003B3804" w:rsidP="00713DEA">
            <w:pPr>
              <w:rPr>
                <w:i/>
                <w:iCs/>
                <w:sz w:val="16"/>
                <w:szCs w:val="18"/>
                <w:lang w:val="sq-AL"/>
              </w:rPr>
            </w:pPr>
            <w:r w:rsidRPr="004E5A6E">
              <w:rPr>
                <w:i/>
                <w:iCs/>
                <w:sz w:val="16"/>
                <w:szCs w:val="18"/>
                <w:lang w:val="sq-AL"/>
              </w:rPr>
              <w:t>Bilanci i buxhetit (sipas rregullit fiskal)</w:t>
            </w:r>
          </w:p>
        </w:tc>
        <w:tc>
          <w:tcPr>
            <w:tcW w:w="741" w:type="dxa"/>
            <w:tcBorders>
              <w:top w:val="nil"/>
              <w:left w:val="nil"/>
              <w:bottom w:val="dotted" w:sz="4" w:space="0" w:color="auto"/>
              <w:right w:val="dotted" w:sz="4" w:space="0" w:color="auto"/>
            </w:tcBorders>
            <w:shd w:val="clear" w:color="000000" w:fill="DEEAF6"/>
            <w:noWrap/>
            <w:vAlign w:val="center"/>
            <w:hideMark/>
          </w:tcPr>
          <w:p w14:paraId="1B50592D" w14:textId="77777777" w:rsidR="003B3804" w:rsidRPr="004E5A6E" w:rsidRDefault="003B3804" w:rsidP="00713DEA">
            <w:pPr>
              <w:jc w:val="right"/>
              <w:rPr>
                <w:i/>
                <w:iCs/>
                <w:sz w:val="16"/>
                <w:szCs w:val="18"/>
                <w:lang w:val="sq-AL"/>
              </w:rPr>
            </w:pPr>
            <w:r w:rsidRPr="004E5A6E">
              <w:rPr>
                <w:i/>
                <w:iCs/>
                <w:sz w:val="16"/>
                <w:szCs w:val="18"/>
                <w:lang w:val="sq-AL"/>
              </w:rPr>
              <w:t>-87.4</w:t>
            </w:r>
          </w:p>
        </w:tc>
        <w:tc>
          <w:tcPr>
            <w:tcW w:w="863" w:type="dxa"/>
            <w:tcBorders>
              <w:top w:val="nil"/>
              <w:left w:val="nil"/>
              <w:bottom w:val="dotted" w:sz="4" w:space="0" w:color="auto"/>
              <w:right w:val="dotted" w:sz="4" w:space="0" w:color="auto"/>
            </w:tcBorders>
            <w:shd w:val="clear" w:color="000000" w:fill="DEEAF6"/>
            <w:noWrap/>
            <w:vAlign w:val="center"/>
            <w:hideMark/>
          </w:tcPr>
          <w:p w14:paraId="7479CFA9" w14:textId="77777777" w:rsidR="003B3804" w:rsidRPr="004E5A6E" w:rsidRDefault="003B3804" w:rsidP="00713DEA">
            <w:pPr>
              <w:jc w:val="right"/>
              <w:rPr>
                <w:i/>
                <w:iCs/>
                <w:sz w:val="16"/>
                <w:szCs w:val="18"/>
                <w:lang w:val="sq-AL"/>
              </w:rPr>
            </w:pPr>
            <w:r w:rsidRPr="004E5A6E">
              <w:rPr>
                <w:i/>
                <w:iCs/>
                <w:sz w:val="16"/>
                <w:szCs w:val="18"/>
                <w:lang w:val="sq-AL"/>
              </w:rPr>
              <w:t>-28.2</w:t>
            </w:r>
          </w:p>
        </w:tc>
        <w:tc>
          <w:tcPr>
            <w:tcW w:w="863" w:type="dxa"/>
            <w:tcBorders>
              <w:top w:val="nil"/>
              <w:left w:val="nil"/>
              <w:bottom w:val="dotted" w:sz="4" w:space="0" w:color="auto"/>
              <w:right w:val="dotted" w:sz="4" w:space="0" w:color="auto"/>
            </w:tcBorders>
            <w:shd w:val="clear" w:color="000000" w:fill="DEEAF6"/>
            <w:vAlign w:val="center"/>
            <w:hideMark/>
          </w:tcPr>
          <w:p w14:paraId="00208F11" w14:textId="77777777" w:rsidR="003B3804" w:rsidRPr="004E5A6E" w:rsidRDefault="003B3804" w:rsidP="00713DEA">
            <w:pPr>
              <w:jc w:val="right"/>
              <w:rPr>
                <w:i/>
                <w:iCs/>
                <w:sz w:val="16"/>
                <w:szCs w:val="18"/>
                <w:lang w:val="sq-AL"/>
              </w:rPr>
            </w:pPr>
            <w:r w:rsidRPr="004E5A6E">
              <w:rPr>
                <w:i/>
                <w:iCs/>
                <w:sz w:val="16"/>
                <w:szCs w:val="18"/>
                <w:lang w:val="sq-AL"/>
              </w:rPr>
              <w:t>-451.1</w:t>
            </w:r>
          </w:p>
        </w:tc>
        <w:tc>
          <w:tcPr>
            <w:tcW w:w="863" w:type="dxa"/>
            <w:tcBorders>
              <w:top w:val="nil"/>
              <w:left w:val="nil"/>
              <w:bottom w:val="dotted" w:sz="4" w:space="0" w:color="auto"/>
              <w:right w:val="dotted" w:sz="4" w:space="0" w:color="auto"/>
            </w:tcBorders>
            <w:shd w:val="clear" w:color="000000" w:fill="DEEAF6"/>
            <w:vAlign w:val="center"/>
            <w:hideMark/>
          </w:tcPr>
          <w:p w14:paraId="7C1D3EA3" w14:textId="77777777" w:rsidR="003B3804" w:rsidRPr="004E5A6E" w:rsidRDefault="003B3804" w:rsidP="00713DEA">
            <w:pPr>
              <w:jc w:val="right"/>
              <w:rPr>
                <w:i/>
                <w:iCs/>
                <w:sz w:val="16"/>
                <w:szCs w:val="18"/>
                <w:lang w:val="sq-AL"/>
              </w:rPr>
            </w:pPr>
            <w:r w:rsidRPr="004E5A6E">
              <w:rPr>
                <w:i/>
                <w:iCs/>
                <w:sz w:val="16"/>
                <w:szCs w:val="18"/>
                <w:lang w:val="sq-AL"/>
              </w:rPr>
              <w:t>-297.7</w:t>
            </w:r>
          </w:p>
        </w:tc>
        <w:tc>
          <w:tcPr>
            <w:tcW w:w="863" w:type="dxa"/>
            <w:tcBorders>
              <w:top w:val="nil"/>
              <w:left w:val="nil"/>
              <w:bottom w:val="dotted" w:sz="4" w:space="0" w:color="auto"/>
              <w:right w:val="dotted" w:sz="4" w:space="0" w:color="auto"/>
            </w:tcBorders>
            <w:shd w:val="clear" w:color="000000" w:fill="DEEAF6"/>
            <w:vAlign w:val="center"/>
            <w:hideMark/>
          </w:tcPr>
          <w:p w14:paraId="08F8EDA7" w14:textId="77777777" w:rsidR="003B3804" w:rsidRPr="004E5A6E" w:rsidRDefault="003B3804" w:rsidP="00713DEA">
            <w:pPr>
              <w:jc w:val="right"/>
              <w:rPr>
                <w:i/>
                <w:iCs/>
                <w:sz w:val="16"/>
                <w:szCs w:val="18"/>
                <w:lang w:val="sq-AL"/>
              </w:rPr>
            </w:pPr>
            <w:r w:rsidRPr="004E5A6E">
              <w:rPr>
                <w:i/>
                <w:iCs/>
                <w:sz w:val="16"/>
                <w:szCs w:val="18"/>
                <w:lang w:val="sq-AL"/>
              </w:rPr>
              <w:t>-178.9</w:t>
            </w:r>
          </w:p>
        </w:tc>
        <w:tc>
          <w:tcPr>
            <w:tcW w:w="863" w:type="dxa"/>
            <w:tcBorders>
              <w:top w:val="nil"/>
              <w:left w:val="nil"/>
              <w:bottom w:val="dotted" w:sz="4" w:space="0" w:color="auto"/>
              <w:right w:val="single" w:sz="8" w:space="0" w:color="auto"/>
            </w:tcBorders>
            <w:shd w:val="clear" w:color="000000" w:fill="DEEAF6"/>
            <w:vAlign w:val="center"/>
            <w:hideMark/>
          </w:tcPr>
          <w:p w14:paraId="50C1D9E3" w14:textId="77777777" w:rsidR="003B3804" w:rsidRPr="004E5A6E" w:rsidRDefault="003B3804" w:rsidP="00713DEA">
            <w:pPr>
              <w:jc w:val="right"/>
              <w:rPr>
                <w:i/>
                <w:iCs/>
                <w:sz w:val="16"/>
                <w:szCs w:val="18"/>
                <w:lang w:val="sq-AL"/>
              </w:rPr>
            </w:pPr>
            <w:r w:rsidRPr="004E5A6E">
              <w:rPr>
                <w:i/>
                <w:iCs/>
                <w:sz w:val="16"/>
                <w:szCs w:val="18"/>
                <w:lang w:val="sq-AL"/>
              </w:rPr>
              <w:t>-141.7</w:t>
            </w:r>
          </w:p>
        </w:tc>
      </w:tr>
      <w:tr w:rsidR="003B3804" w:rsidRPr="004E5A6E" w14:paraId="6D212258" w14:textId="77777777" w:rsidTr="00713DEA">
        <w:trPr>
          <w:trHeight w:val="292"/>
        </w:trPr>
        <w:tc>
          <w:tcPr>
            <w:tcW w:w="981" w:type="dxa"/>
            <w:vMerge/>
            <w:tcBorders>
              <w:top w:val="nil"/>
              <w:left w:val="single" w:sz="8" w:space="0" w:color="auto"/>
              <w:bottom w:val="single" w:sz="8" w:space="0" w:color="000000"/>
              <w:right w:val="single" w:sz="4" w:space="0" w:color="auto"/>
            </w:tcBorders>
            <w:vAlign w:val="center"/>
            <w:hideMark/>
          </w:tcPr>
          <w:p w14:paraId="5D41E015" w14:textId="77777777" w:rsidR="003B3804" w:rsidRPr="004E5A6E" w:rsidRDefault="003B3804" w:rsidP="00713DEA">
            <w:pPr>
              <w:rPr>
                <w:b/>
                <w:bCs/>
                <w:sz w:val="16"/>
                <w:szCs w:val="18"/>
                <w:lang w:val="sq-AL"/>
              </w:rPr>
            </w:pPr>
          </w:p>
        </w:tc>
        <w:tc>
          <w:tcPr>
            <w:tcW w:w="2767" w:type="dxa"/>
            <w:tcBorders>
              <w:top w:val="nil"/>
              <w:left w:val="nil"/>
              <w:bottom w:val="dotted" w:sz="4" w:space="0" w:color="auto"/>
              <w:right w:val="dotted" w:sz="4" w:space="0" w:color="auto"/>
            </w:tcBorders>
            <w:shd w:val="clear" w:color="000000" w:fill="DEEAF6"/>
            <w:noWrap/>
            <w:vAlign w:val="center"/>
            <w:hideMark/>
          </w:tcPr>
          <w:p w14:paraId="433E7592" w14:textId="77777777" w:rsidR="003B3804" w:rsidRPr="004E5A6E" w:rsidRDefault="003B3804" w:rsidP="00713DEA">
            <w:pPr>
              <w:rPr>
                <w:sz w:val="16"/>
                <w:szCs w:val="18"/>
                <w:lang w:val="sq-AL"/>
              </w:rPr>
            </w:pPr>
            <w:r w:rsidRPr="004E5A6E">
              <w:rPr>
                <w:sz w:val="16"/>
                <w:szCs w:val="18"/>
                <w:lang w:val="sq-AL"/>
              </w:rPr>
              <w:t>BPV</w:t>
            </w:r>
          </w:p>
        </w:tc>
        <w:tc>
          <w:tcPr>
            <w:tcW w:w="741" w:type="dxa"/>
            <w:tcBorders>
              <w:top w:val="nil"/>
              <w:left w:val="nil"/>
              <w:bottom w:val="dotted" w:sz="4" w:space="0" w:color="auto"/>
              <w:right w:val="dotted" w:sz="4" w:space="0" w:color="auto"/>
            </w:tcBorders>
            <w:shd w:val="clear" w:color="000000" w:fill="DEEAF6"/>
            <w:noWrap/>
            <w:vAlign w:val="center"/>
            <w:hideMark/>
          </w:tcPr>
          <w:p w14:paraId="4E314A1D" w14:textId="77777777" w:rsidR="003B3804" w:rsidRPr="004E5A6E" w:rsidRDefault="003B3804" w:rsidP="00713DEA">
            <w:pPr>
              <w:jc w:val="right"/>
              <w:rPr>
                <w:sz w:val="16"/>
                <w:szCs w:val="18"/>
                <w:lang w:val="sq-AL"/>
              </w:rPr>
            </w:pPr>
            <w:r w:rsidRPr="004E5A6E">
              <w:rPr>
                <w:sz w:val="16"/>
                <w:szCs w:val="18"/>
                <w:lang w:val="sq-AL"/>
              </w:rPr>
              <w:t>6,657.7</w:t>
            </w:r>
          </w:p>
        </w:tc>
        <w:tc>
          <w:tcPr>
            <w:tcW w:w="863" w:type="dxa"/>
            <w:tcBorders>
              <w:top w:val="nil"/>
              <w:left w:val="nil"/>
              <w:bottom w:val="dotted" w:sz="4" w:space="0" w:color="auto"/>
              <w:right w:val="dotted" w:sz="4" w:space="0" w:color="auto"/>
            </w:tcBorders>
            <w:shd w:val="clear" w:color="000000" w:fill="DEEAF6"/>
            <w:noWrap/>
            <w:vAlign w:val="center"/>
            <w:hideMark/>
          </w:tcPr>
          <w:p w14:paraId="53F51FD6" w14:textId="77777777" w:rsidR="003B3804" w:rsidRPr="004E5A6E" w:rsidRDefault="003B3804" w:rsidP="00713DEA">
            <w:pPr>
              <w:jc w:val="right"/>
              <w:rPr>
                <w:sz w:val="16"/>
                <w:szCs w:val="18"/>
                <w:lang w:val="sq-AL"/>
              </w:rPr>
            </w:pPr>
            <w:r w:rsidRPr="004E5A6E">
              <w:rPr>
                <w:sz w:val="16"/>
                <w:szCs w:val="18"/>
                <w:lang w:val="sq-AL"/>
              </w:rPr>
              <w:t>7,058.3</w:t>
            </w:r>
          </w:p>
        </w:tc>
        <w:tc>
          <w:tcPr>
            <w:tcW w:w="863" w:type="dxa"/>
            <w:tcBorders>
              <w:top w:val="nil"/>
              <w:left w:val="nil"/>
              <w:bottom w:val="dotted" w:sz="4" w:space="0" w:color="auto"/>
              <w:right w:val="dotted" w:sz="4" w:space="0" w:color="auto"/>
            </w:tcBorders>
            <w:shd w:val="clear" w:color="000000" w:fill="DEEAF6"/>
            <w:vAlign w:val="center"/>
            <w:hideMark/>
          </w:tcPr>
          <w:p w14:paraId="7DD344C2" w14:textId="77777777" w:rsidR="003B3804" w:rsidRPr="004E5A6E" w:rsidRDefault="003B3804" w:rsidP="00713DEA">
            <w:pPr>
              <w:jc w:val="right"/>
              <w:rPr>
                <w:sz w:val="16"/>
                <w:szCs w:val="18"/>
                <w:lang w:val="sq-AL"/>
              </w:rPr>
            </w:pPr>
            <w:r w:rsidRPr="004E5A6E">
              <w:rPr>
                <w:sz w:val="16"/>
                <w:szCs w:val="18"/>
                <w:lang w:val="sq-AL"/>
              </w:rPr>
              <w:t>6,627.6</w:t>
            </w:r>
          </w:p>
        </w:tc>
        <w:tc>
          <w:tcPr>
            <w:tcW w:w="863" w:type="dxa"/>
            <w:tcBorders>
              <w:top w:val="nil"/>
              <w:left w:val="nil"/>
              <w:bottom w:val="dotted" w:sz="4" w:space="0" w:color="auto"/>
              <w:right w:val="dotted" w:sz="4" w:space="0" w:color="auto"/>
            </w:tcBorders>
            <w:shd w:val="clear" w:color="000000" w:fill="DEEAF6"/>
            <w:vAlign w:val="center"/>
            <w:hideMark/>
          </w:tcPr>
          <w:p w14:paraId="2D01B586" w14:textId="77777777" w:rsidR="003B3804" w:rsidRPr="004E5A6E" w:rsidRDefault="003B3804" w:rsidP="00713DEA">
            <w:pPr>
              <w:jc w:val="right"/>
              <w:rPr>
                <w:sz w:val="16"/>
                <w:szCs w:val="18"/>
                <w:lang w:val="sq-AL"/>
              </w:rPr>
            </w:pPr>
            <w:r w:rsidRPr="004E5A6E">
              <w:rPr>
                <w:sz w:val="16"/>
                <w:szCs w:val="18"/>
                <w:lang w:val="sq-AL"/>
              </w:rPr>
              <w:t>7,009.7</w:t>
            </w:r>
          </w:p>
        </w:tc>
        <w:tc>
          <w:tcPr>
            <w:tcW w:w="863" w:type="dxa"/>
            <w:tcBorders>
              <w:top w:val="nil"/>
              <w:left w:val="nil"/>
              <w:bottom w:val="dotted" w:sz="4" w:space="0" w:color="auto"/>
              <w:right w:val="dotted" w:sz="4" w:space="0" w:color="auto"/>
            </w:tcBorders>
            <w:shd w:val="clear" w:color="000000" w:fill="DEEAF6"/>
            <w:vAlign w:val="center"/>
            <w:hideMark/>
          </w:tcPr>
          <w:p w14:paraId="359D90A6" w14:textId="77777777" w:rsidR="003B3804" w:rsidRPr="004E5A6E" w:rsidRDefault="003B3804" w:rsidP="00713DEA">
            <w:pPr>
              <w:jc w:val="right"/>
              <w:rPr>
                <w:sz w:val="16"/>
                <w:szCs w:val="18"/>
                <w:lang w:val="sq-AL"/>
              </w:rPr>
            </w:pPr>
            <w:r w:rsidRPr="004E5A6E">
              <w:rPr>
                <w:sz w:val="16"/>
                <w:szCs w:val="18"/>
                <w:lang w:val="sq-AL"/>
              </w:rPr>
              <w:t>7,425.2</w:t>
            </w:r>
          </w:p>
        </w:tc>
        <w:tc>
          <w:tcPr>
            <w:tcW w:w="863" w:type="dxa"/>
            <w:tcBorders>
              <w:top w:val="nil"/>
              <w:left w:val="nil"/>
              <w:bottom w:val="dotted" w:sz="4" w:space="0" w:color="auto"/>
              <w:right w:val="single" w:sz="8" w:space="0" w:color="auto"/>
            </w:tcBorders>
            <w:shd w:val="clear" w:color="000000" w:fill="DEEAF6"/>
            <w:vAlign w:val="center"/>
            <w:hideMark/>
          </w:tcPr>
          <w:p w14:paraId="78C30844" w14:textId="77777777" w:rsidR="003B3804" w:rsidRPr="004E5A6E" w:rsidRDefault="003B3804" w:rsidP="00713DEA">
            <w:pPr>
              <w:jc w:val="right"/>
              <w:rPr>
                <w:sz w:val="16"/>
                <w:szCs w:val="18"/>
                <w:lang w:val="sq-AL"/>
              </w:rPr>
            </w:pPr>
            <w:r w:rsidRPr="004E5A6E">
              <w:rPr>
                <w:sz w:val="16"/>
                <w:szCs w:val="18"/>
                <w:lang w:val="sq-AL"/>
              </w:rPr>
              <w:t>7,822.2</w:t>
            </w:r>
          </w:p>
        </w:tc>
      </w:tr>
      <w:tr w:rsidR="003B3804" w:rsidRPr="004E5A6E" w14:paraId="0FA47495" w14:textId="77777777" w:rsidTr="00713DEA">
        <w:trPr>
          <w:trHeight w:val="292"/>
        </w:trPr>
        <w:tc>
          <w:tcPr>
            <w:tcW w:w="981" w:type="dxa"/>
            <w:vMerge/>
            <w:tcBorders>
              <w:top w:val="nil"/>
              <w:left w:val="single" w:sz="8" w:space="0" w:color="auto"/>
              <w:bottom w:val="single" w:sz="8" w:space="0" w:color="000000"/>
              <w:right w:val="single" w:sz="4" w:space="0" w:color="auto"/>
            </w:tcBorders>
            <w:vAlign w:val="center"/>
            <w:hideMark/>
          </w:tcPr>
          <w:p w14:paraId="2B2F7DBC" w14:textId="77777777" w:rsidR="003B3804" w:rsidRPr="004E5A6E" w:rsidRDefault="003B3804" w:rsidP="00713DEA">
            <w:pPr>
              <w:rPr>
                <w:b/>
                <w:bCs/>
                <w:sz w:val="16"/>
                <w:szCs w:val="18"/>
                <w:lang w:val="sq-AL"/>
              </w:rPr>
            </w:pPr>
          </w:p>
        </w:tc>
        <w:tc>
          <w:tcPr>
            <w:tcW w:w="2767" w:type="dxa"/>
            <w:tcBorders>
              <w:top w:val="nil"/>
              <w:left w:val="nil"/>
              <w:bottom w:val="dotted" w:sz="4" w:space="0" w:color="auto"/>
              <w:right w:val="dotted" w:sz="4" w:space="0" w:color="auto"/>
            </w:tcBorders>
            <w:shd w:val="clear" w:color="000000" w:fill="DEEAF6"/>
            <w:noWrap/>
            <w:vAlign w:val="center"/>
            <w:hideMark/>
          </w:tcPr>
          <w:p w14:paraId="57F76133" w14:textId="77777777" w:rsidR="003B3804" w:rsidRPr="004E5A6E" w:rsidRDefault="003B3804" w:rsidP="00713DEA">
            <w:pPr>
              <w:rPr>
                <w:sz w:val="16"/>
                <w:szCs w:val="18"/>
                <w:lang w:val="sq-AL"/>
              </w:rPr>
            </w:pPr>
            <w:r w:rsidRPr="004E5A6E">
              <w:rPr>
                <w:sz w:val="16"/>
                <w:szCs w:val="18"/>
                <w:lang w:val="sq-AL"/>
              </w:rPr>
              <w:t>Deficiti i përgjithshëm, si % e BPV-së</w:t>
            </w:r>
          </w:p>
        </w:tc>
        <w:tc>
          <w:tcPr>
            <w:tcW w:w="741" w:type="dxa"/>
            <w:tcBorders>
              <w:top w:val="nil"/>
              <w:left w:val="nil"/>
              <w:bottom w:val="dotted" w:sz="4" w:space="0" w:color="auto"/>
              <w:right w:val="dotted" w:sz="4" w:space="0" w:color="auto"/>
            </w:tcBorders>
            <w:shd w:val="clear" w:color="000000" w:fill="DEEAF6"/>
            <w:noWrap/>
            <w:vAlign w:val="center"/>
            <w:hideMark/>
          </w:tcPr>
          <w:p w14:paraId="4858BB71" w14:textId="77777777" w:rsidR="003B3804" w:rsidRPr="004E5A6E" w:rsidRDefault="003B3804" w:rsidP="00713DEA">
            <w:pPr>
              <w:jc w:val="right"/>
              <w:rPr>
                <w:sz w:val="16"/>
                <w:szCs w:val="18"/>
                <w:lang w:val="sq-AL"/>
              </w:rPr>
            </w:pPr>
            <w:r w:rsidRPr="004E5A6E">
              <w:rPr>
                <w:sz w:val="16"/>
                <w:szCs w:val="18"/>
                <w:lang w:val="sq-AL"/>
              </w:rPr>
              <w:t>-3.0%</w:t>
            </w:r>
          </w:p>
        </w:tc>
        <w:tc>
          <w:tcPr>
            <w:tcW w:w="863" w:type="dxa"/>
            <w:tcBorders>
              <w:top w:val="nil"/>
              <w:left w:val="nil"/>
              <w:bottom w:val="dotted" w:sz="4" w:space="0" w:color="auto"/>
              <w:right w:val="dotted" w:sz="4" w:space="0" w:color="auto"/>
            </w:tcBorders>
            <w:shd w:val="clear" w:color="000000" w:fill="DEEAF6"/>
            <w:noWrap/>
            <w:vAlign w:val="center"/>
            <w:hideMark/>
          </w:tcPr>
          <w:p w14:paraId="0F1BB6B2" w14:textId="77777777" w:rsidR="003B3804" w:rsidRPr="004E5A6E" w:rsidRDefault="003B3804" w:rsidP="00713DEA">
            <w:pPr>
              <w:jc w:val="right"/>
              <w:rPr>
                <w:sz w:val="16"/>
                <w:szCs w:val="18"/>
                <w:lang w:val="sq-AL"/>
              </w:rPr>
            </w:pPr>
            <w:r w:rsidRPr="004E5A6E">
              <w:rPr>
                <w:sz w:val="16"/>
                <w:szCs w:val="18"/>
                <w:lang w:val="sq-AL"/>
              </w:rPr>
              <w:t>-2.9%</w:t>
            </w:r>
          </w:p>
        </w:tc>
        <w:tc>
          <w:tcPr>
            <w:tcW w:w="863" w:type="dxa"/>
            <w:tcBorders>
              <w:top w:val="nil"/>
              <w:left w:val="nil"/>
              <w:bottom w:val="dotted" w:sz="4" w:space="0" w:color="auto"/>
              <w:right w:val="dotted" w:sz="4" w:space="0" w:color="auto"/>
            </w:tcBorders>
            <w:shd w:val="clear" w:color="000000" w:fill="DEEAF6"/>
            <w:noWrap/>
            <w:vAlign w:val="center"/>
            <w:hideMark/>
          </w:tcPr>
          <w:p w14:paraId="353C7992" w14:textId="77777777" w:rsidR="003B3804" w:rsidRPr="004E5A6E" w:rsidRDefault="003B3804" w:rsidP="00713DEA">
            <w:pPr>
              <w:jc w:val="right"/>
              <w:rPr>
                <w:sz w:val="16"/>
                <w:szCs w:val="18"/>
                <w:lang w:val="sq-AL"/>
              </w:rPr>
            </w:pPr>
            <w:r w:rsidRPr="004E5A6E">
              <w:rPr>
                <w:sz w:val="16"/>
                <w:szCs w:val="18"/>
                <w:lang w:val="sq-AL"/>
              </w:rPr>
              <w:t>-12.6%</w:t>
            </w:r>
          </w:p>
        </w:tc>
        <w:tc>
          <w:tcPr>
            <w:tcW w:w="863" w:type="dxa"/>
            <w:tcBorders>
              <w:top w:val="nil"/>
              <w:left w:val="nil"/>
              <w:bottom w:val="dotted" w:sz="4" w:space="0" w:color="auto"/>
              <w:right w:val="dotted" w:sz="4" w:space="0" w:color="auto"/>
            </w:tcBorders>
            <w:shd w:val="clear" w:color="000000" w:fill="DEEAF6"/>
            <w:noWrap/>
            <w:vAlign w:val="center"/>
            <w:hideMark/>
          </w:tcPr>
          <w:p w14:paraId="6C10A4A3" w14:textId="77777777" w:rsidR="003B3804" w:rsidRPr="004E5A6E" w:rsidRDefault="003B3804" w:rsidP="00713DEA">
            <w:pPr>
              <w:jc w:val="right"/>
              <w:rPr>
                <w:sz w:val="16"/>
                <w:szCs w:val="18"/>
                <w:lang w:val="sq-AL"/>
              </w:rPr>
            </w:pPr>
            <w:r w:rsidRPr="004E5A6E">
              <w:rPr>
                <w:sz w:val="16"/>
                <w:szCs w:val="18"/>
                <w:lang w:val="sq-AL"/>
              </w:rPr>
              <w:t>-7.5%</w:t>
            </w:r>
          </w:p>
        </w:tc>
        <w:tc>
          <w:tcPr>
            <w:tcW w:w="863" w:type="dxa"/>
            <w:tcBorders>
              <w:top w:val="nil"/>
              <w:left w:val="nil"/>
              <w:bottom w:val="dotted" w:sz="4" w:space="0" w:color="auto"/>
              <w:right w:val="dotted" w:sz="4" w:space="0" w:color="auto"/>
            </w:tcBorders>
            <w:shd w:val="clear" w:color="000000" w:fill="DEEAF6"/>
            <w:noWrap/>
            <w:vAlign w:val="center"/>
            <w:hideMark/>
          </w:tcPr>
          <w:p w14:paraId="5588EFCF" w14:textId="77777777" w:rsidR="003B3804" w:rsidRPr="004E5A6E" w:rsidRDefault="003B3804" w:rsidP="00713DEA">
            <w:pPr>
              <w:jc w:val="right"/>
              <w:rPr>
                <w:sz w:val="16"/>
                <w:szCs w:val="18"/>
                <w:lang w:val="sq-AL"/>
              </w:rPr>
            </w:pPr>
            <w:r w:rsidRPr="004E5A6E">
              <w:rPr>
                <w:sz w:val="16"/>
                <w:szCs w:val="18"/>
                <w:lang w:val="sq-AL"/>
              </w:rPr>
              <w:t>-5.0%</w:t>
            </w:r>
          </w:p>
        </w:tc>
        <w:tc>
          <w:tcPr>
            <w:tcW w:w="863" w:type="dxa"/>
            <w:tcBorders>
              <w:top w:val="nil"/>
              <w:left w:val="nil"/>
              <w:bottom w:val="dotted" w:sz="4" w:space="0" w:color="auto"/>
              <w:right w:val="single" w:sz="8" w:space="0" w:color="auto"/>
            </w:tcBorders>
            <w:shd w:val="clear" w:color="000000" w:fill="DEEAF6"/>
            <w:noWrap/>
            <w:vAlign w:val="center"/>
            <w:hideMark/>
          </w:tcPr>
          <w:p w14:paraId="0164B5F0" w14:textId="77777777" w:rsidR="003B3804" w:rsidRPr="004E5A6E" w:rsidRDefault="003B3804" w:rsidP="00713DEA">
            <w:pPr>
              <w:jc w:val="right"/>
              <w:rPr>
                <w:sz w:val="16"/>
                <w:szCs w:val="18"/>
                <w:lang w:val="sq-AL"/>
              </w:rPr>
            </w:pPr>
            <w:r w:rsidRPr="004E5A6E">
              <w:rPr>
                <w:sz w:val="16"/>
                <w:szCs w:val="18"/>
                <w:lang w:val="sq-AL"/>
              </w:rPr>
              <w:t>-4.3%</w:t>
            </w:r>
          </w:p>
        </w:tc>
      </w:tr>
      <w:tr w:rsidR="003B3804" w:rsidRPr="004E5A6E" w14:paraId="3FB384AF" w14:textId="77777777" w:rsidTr="00713DEA">
        <w:trPr>
          <w:trHeight w:val="292"/>
        </w:trPr>
        <w:tc>
          <w:tcPr>
            <w:tcW w:w="981" w:type="dxa"/>
            <w:vMerge/>
            <w:tcBorders>
              <w:top w:val="nil"/>
              <w:left w:val="single" w:sz="8" w:space="0" w:color="auto"/>
              <w:bottom w:val="single" w:sz="8" w:space="0" w:color="000000"/>
              <w:right w:val="single" w:sz="4" w:space="0" w:color="auto"/>
            </w:tcBorders>
            <w:vAlign w:val="center"/>
            <w:hideMark/>
          </w:tcPr>
          <w:p w14:paraId="33193B0B" w14:textId="77777777" w:rsidR="003B3804" w:rsidRPr="004E5A6E" w:rsidRDefault="003B3804" w:rsidP="00713DEA">
            <w:pPr>
              <w:rPr>
                <w:b/>
                <w:bCs/>
                <w:sz w:val="16"/>
                <w:szCs w:val="18"/>
                <w:lang w:val="sq-AL"/>
              </w:rPr>
            </w:pPr>
          </w:p>
        </w:tc>
        <w:tc>
          <w:tcPr>
            <w:tcW w:w="2767" w:type="dxa"/>
            <w:tcBorders>
              <w:top w:val="nil"/>
              <w:left w:val="nil"/>
              <w:bottom w:val="dotted" w:sz="4" w:space="0" w:color="auto"/>
              <w:right w:val="dotted" w:sz="4" w:space="0" w:color="auto"/>
            </w:tcBorders>
            <w:shd w:val="clear" w:color="000000" w:fill="DEEAF6"/>
            <w:noWrap/>
            <w:vAlign w:val="center"/>
            <w:hideMark/>
          </w:tcPr>
          <w:p w14:paraId="69FADBD7" w14:textId="77777777" w:rsidR="003B3804" w:rsidRPr="004E5A6E" w:rsidRDefault="003B3804" w:rsidP="00713DEA">
            <w:pPr>
              <w:rPr>
                <w:sz w:val="16"/>
                <w:szCs w:val="18"/>
                <w:lang w:val="sq-AL"/>
              </w:rPr>
            </w:pPr>
            <w:r w:rsidRPr="004E5A6E">
              <w:rPr>
                <w:sz w:val="16"/>
                <w:szCs w:val="18"/>
                <w:lang w:val="sq-AL"/>
              </w:rPr>
              <w:t>Bilanci bankar, si % e BPV-së</w:t>
            </w:r>
          </w:p>
        </w:tc>
        <w:tc>
          <w:tcPr>
            <w:tcW w:w="741" w:type="dxa"/>
            <w:tcBorders>
              <w:top w:val="nil"/>
              <w:left w:val="nil"/>
              <w:bottom w:val="dotted" w:sz="4" w:space="0" w:color="auto"/>
              <w:right w:val="dotted" w:sz="4" w:space="0" w:color="auto"/>
            </w:tcBorders>
            <w:shd w:val="clear" w:color="000000" w:fill="DEEAF6"/>
            <w:noWrap/>
            <w:vAlign w:val="center"/>
            <w:hideMark/>
          </w:tcPr>
          <w:p w14:paraId="57D0AA32" w14:textId="77777777" w:rsidR="003B3804" w:rsidRPr="004E5A6E" w:rsidRDefault="003B3804" w:rsidP="00713DEA">
            <w:pPr>
              <w:jc w:val="right"/>
              <w:rPr>
                <w:sz w:val="16"/>
                <w:szCs w:val="18"/>
                <w:lang w:val="sq-AL"/>
              </w:rPr>
            </w:pPr>
            <w:r w:rsidRPr="004E5A6E">
              <w:rPr>
                <w:sz w:val="16"/>
                <w:szCs w:val="18"/>
                <w:lang w:val="sq-AL"/>
              </w:rPr>
              <w:t>4.6%</w:t>
            </w:r>
          </w:p>
        </w:tc>
        <w:tc>
          <w:tcPr>
            <w:tcW w:w="863" w:type="dxa"/>
            <w:tcBorders>
              <w:top w:val="nil"/>
              <w:left w:val="nil"/>
              <w:bottom w:val="dotted" w:sz="4" w:space="0" w:color="auto"/>
              <w:right w:val="dotted" w:sz="4" w:space="0" w:color="auto"/>
            </w:tcBorders>
            <w:shd w:val="clear" w:color="000000" w:fill="DEEAF6"/>
            <w:noWrap/>
            <w:vAlign w:val="center"/>
            <w:hideMark/>
          </w:tcPr>
          <w:p w14:paraId="7B1E35A6" w14:textId="77777777" w:rsidR="003B3804" w:rsidRPr="004E5A6E" w:rsidRDefault="003B3804" w:rsidP="00713DEA">
            <w:pPr>
              <w:jc w:val="right"/>
              <w:rPr>
                <w:sz w:val="16"/>
                <w:szCs w:val="18"/>
                <w:lang w:val="sq-AL"/>
              </w:rPr>
            </w:pPr>
            <w:r w:rsidRPr="004E5A6E">
              <w:rPr>
                <w:sz w:val="16"/>
                <w:szCs w:val="18"/>
                <w:lang w:val="sq-AL"/>
              </w:rPr>
              <w:t>4.3%</w:t>
            </w:r>
          </w:p>
        </w:tc>
        <w:tc>
          <w:tcPr>
            <w:tcW w:w="863" w:type="dxa"/>
            <w:tcBorders>
              <w:top w:val="nil"/>
              <w:left w:val="nil"/>
              <w:bottom w:val="dotted" w:sz="4" w:space="0" w:color="auto"/>
              <w:right w:val="dotted" w:sz="4" w:space="0" w:color="auto"/>
            </w:tcBorders>
            <w:shd w:val="clear" w:color="000000" w:fill="DEEAF6"/>
            <w:noWrap/>
            <w:vAlign w:val="center"/>
            <w:hideMark/>
          </w:tcPr>
          <w:p w14:paraId="50FD1A50" w14:textId="77777777" w:rsidR="003B3804" w:rsidRPr="004E5A6E" w:rsidRDefault="003B3804" w:rsidP="00713DEA">
            <w:pPr>
              <w:jc w:val="right"/>
              <w:rPr>
                <w:sz w:val="16"/>
                <w:szCs w:val="18"/>
                <w:lang w:val="sq-AL"/>
              </w:rPr>
            </w:pPr>
            <w:r w:rsidRPr="004E5A6E">
              <w:rPr>
                <w:sz w:val="16"/>
                <w:szCs w:val="18"/>
                <w:lang w:val="sq-AL"/>
              </w:rPr>
              <w:t>4.6%</w:t>
            </w:r>
          </w:p>
        </w:tc>
        <w:tc>
          <w:tcPr>
            <w:tcW w:w="863" w:type="dxa"/>
            <w:tcBorders>
              <w:top w:val="nil"/>
              <w:left w:val="nil"/>
              <w:bottom w:val="dotted" w:sz="4" w:space="0" w:color="auto"/>
              <w:right w:val="dotted" w:sz="4" w:space="0" w:color="auto"/>
            </w:tcBorders>
            <w:shd w:val="clear" w:color="000000" w:fill="DEEAF6"/>
            <w:noWrap/>
            <w:vAlign w:val="center"/>
            <w:hideMark/>
          </w:tcPr>
          <w:p w14:paraId="18E75664" w14:textId="77777777" w:rsidR="003B3804" w:rsidRPr="004E5A6E" w:rsidRDefault="003B3804" w:rsidP="00713DEA">
            <w:pPr>
              <w:jc w:val="right"/>
              <w:rPr>
                <w:sz w:val="16"/>
                <w:szCs w:val="18"/>
                <w:lang w:val="sq-AL"/>
              </w:rPr>
            </w:pPr>
            <w:r w:rsidRPr="004E5A6E">
              <w:rPr>
                <w:sz w:val="16"/>
                <w:szCs w:val="18"/>
                <w:lang w:val="sq-AL"/>
              </w:rPr>
              <w:t>4.4%</w:t>
            </w:r>
          </w:p>
        </w:tc>
        <w:tc>
          <w:tcPr>
            <w:tcW w:w="863" w:type="dxa"/>
            <w:tcBorders>
              <w:top w:val="nil"/>
              <w:left w:val="nil"/>
              <w:bottom w:val="dotted" w:sz="4" w:space="0" w:color="auto"/>
              <w:right w:val="dotted" w:sz="4" w:space="0" w:color="auto"/>
            </w:tcBorders>
            <w:shd w:val="clear" w:color="000000" w:fill="DEEAF6"/>
            <w:noWrap/>
            <w:vAlign w:val="center"/>
            <w:hideMark/>
          </w:tcPr>
          <w:p w14:paraId="7DEA004F" w14:textId="77777777" w:rsidR="003B3804" w:rsidRPr="004E5A6E" w:rsidRDefault="003B3804" w:rsidP="00713DEA">
            <w:pPr>
              <w:jc w:val="right"/>
              <w:rPr>
                <w:sz w:val="16"/>
                <w:szCs w:val="18"/>
                <w:lang w:val="sq-AL"/>
              </w:rPr>
            </w:pPr>
            <w:r w:rsidRPr="004E5A6E">
              <w:rPr>
                <w:sz w:val="16"/>
                <w:szCs w:val="18"/>
                <w:lang w:val="sq-AL"/>
              </w:rPr>
              <w:t>4.1%</w:t>
            </w:r>
          </w:p>
        </w:tc>
        <w:tc>
          <w:tcPr>
            <w:tcW w:w="863" w:type="dxa"/>
            <w:tcBorders>
              <w:top w:val="nil"/>
              <w:left w:val="nil"/>
              <w:bottom w:val="dotted" w:sz="4" w:space="0" w:color="auto"/>
              <w:right w:val="single" w:sz="8" w:space="0" w:color="auto"/>
            </w:tcBorders>
            <w:shd w:val="clear" w:color="000000" w:fill="DEEAF6"/>
            <w:noWrap/>
            <w:vAlign w:val="center"/>
            <w:hideMark/>
          </w:tcPr>
          <w:p w14:paraId="151AC991" w14:textId="77777777" w:rsidR="003B3804" w:rsidRPr="004E5A6E" w:rsidRDefault="003B3804" w:rsidP="00713DEA">
            <w:pPr>
              <w:jc w:val="right"/>
              <w:rPr>
                <w:sz w:val="16"/>
                <w:szCs w:val="18"/>
                <w:lang w:val="sq-AL"/>
              </w:rPr>
            </w:pPr>
            <w:r w:rsidRPr="004E5A6E">
              <w:rPr>
                <w:sz w:val="16"/>
                <w:szCs w:val="18"/>
                <w:lang w:val="sq-AL"/>
              </w:rPr>
              <w:t>3.9%</w:t>
            </w:r>
          </w:p>
        </w:tc>
      </w:tr>
      <w:tr w:rsidR="003B3804" w:rsidRPr="004E5A6E" w14:paraId="093907DC" w14:textId="77777777" w:rsidTr="00713DEA">
        <w:trPr>
          <w:trHeight w:val="292"/>
        </w:trPr>
        <w:tc>
          <w:tcPr>
            <w:tcW w:w="981" w:type="dxa"/>
            <w:vMerge/>
            <w:tcBorders>
              <w:top w:val="nil"/>
              <w:left w:val="single" w:sz="8" w:space="0" w:color="auto"/>
              <w:bottom w:val="single" w:sz="8" w:space="0" w:color="000000"/>
              <w:right w:val="single" w:sz="4" w:space="0" w:color="auto"/>
            </w:tcBorders>
            <w:vAlign w:val="center"/>
            <w:hideMark/>
          </w:tcPr>
          <w:p w14:paraId="64F61293" w14:textId="77777777" w:rsidR="003B3804" w:rsidRPr="004E5A6E" w:rsidRDefault="003B3804" w:rsidP="00713DEA">
            <w:pPr>
              <w:rPr>
                <w:b/>
                <w:bCs/>
                <w:sz w:val="16"/>
                <w:szCs w:val="18"/>
                <w:lang w:val="sq-AL"/>
              </w:rPr>
            </w:pPr>
          </w:p>
        </w:tc>
        <w:tc>
          <w:tcPr>
            <w:tcW w:w="2767" w:type="dxa"/>
            <w:tcBorders>
              <w:top w:val="nil"/>
              <w:left w:val="nil"/>
              <w:bottom w:val="dotted" w:sz="4" w:space="0" w:color="auto"/>
              <w:right w:val="dotted" w:sz="4" w:space="0" w:color="auto"/>
            </w:tcBorders>
            <w:shd w:val="clear" w:color="000000" w:fill="DEEAF6"/>
            <w:noWrap/>
            <w:vAlign w:val="center"/>
            <w:hideMark/>
          </w:tcPr>
          <w:p w14:paraId="4F338BE9" w14:textId="77777777" w:rsidR="003B3804" w:rsidRPr="004E5A6E" w:rsidRDefault="003B3804" w:rsidP="00713DEA">
            <w:pPr>
              <w:rPr>
                <w:sz w:val="16"/>
                <w:szCs w:val="18"/>
                <w:lang w:val="sq-AL"/>
              </w:rPr>
            </w:pPr>
            <w:r w:rsidRPr="004E5A6E">
              <w:rPr>
                <w:sz w:val="16"/>
                <w:szCs w:val="18"/>
                <w:lang w:val="sq-AL"/>
              </w:rPr>
              <w:t>Shpenzimet kapitale, si % e BPV-së</w:t>
            </w:r>
          </w:p>
        </w:tc>
        <w:tc>
          <w:tcPr>
            <w:tcW w:w="741" w:type="dxa"/>
            <w:tcBorders>
              <w:top w:val="nil"/>
              <w:left w:val="nil"/>
              <w:bottom w:val="dotted" w:sz="4" w:space="0" w:color="auto"/>
              <w:right w:val="dotted" w:sz="4" w:space="0" w:color="auto"/>
            </w:tcBorders>
            <w:shd w:val="clear" w:color="000000" w:fill="DEEAF6"/>
            <w:noWrap/>
            <w:vAlign w:val="center"/>
            <w:hideMark/>
          </w:tcPr>
          <w:p w14:paraId="078B42D0" w14:textId="77777777" w:rsidR="003B3804" w:rsidRPr="004E5A6E" w:rsidRDefault="003B3804" w:rsidP="00713DEA">
            <w:pPr>
              <w:jc w:val="right"/>
              <w:rPr>
                <w:sz w:val="16"/>
                <w:szCs w:val="18"/>
                <w:lang w:val="sq-AL"/>
              </w:rPr>
            </w:pPr>
            <w:r w:rsidRPr="004E5A6E">
              <w:rPr>
                <w:sz w:val="16"/>
                <w:szCs w:val="18"/>
                <w:lang w:val="sq-AL"/>
              </w:rPr>
              <w:t>8.0%</w:t>
            </w:r>
          </w:p>
        </w:tc>
        <w:tc>
          <w:tcPr>
            <w:tcW w:w="863" w:type="dxa"/>
            <w:tcBorders>
              <w:top w:val="nil"/>
              <w:left w:val="nil"/>
              <w:bottom w:val="dotted" w:sz="4" w:space="0" w:color="auto"/>
              <w:right w:val="dotted" w:sz="4" w:space="0" w:color="auto"/>
            </w:tcBorders>
            <w:shd w:val="clear" w:color="000000" w:fill="DEEAF6"/>
            <w:noWrap/>
            <w:vAlign w:val="center"/>
            <w:hideMark/>
          </w:tcPr>
          <w:p w14:paraId="048EDEE3" w14:textId="77777777" w:rsidR="003B3804" w:rsidRPr="004E5A6E" w:rsidRDefault="003B3804" w:rsidP="00713DEA">
            <w:pPr>
              <w:jc w:val="right"/>
              <w:rPr>
                <w:sz w:val="16"/>
                <w:szCs w:val="18"/>
                <w:lang w:val="sq-AL"/>
              </w:rPr>
            </w:pPr>
            <w:r w:rsidRPr="004E5A6E">
              <w:rPr>
                <w:sz w:val="16"/>
                <w:szCs w:val="18"/>
                <w:lang w:val="sq-AL"/>
              </w:rPr>
              <w:t>7.5%</w:t>
            </w:r>
          </w:p>
        </w:tc>
        <w:tc>
          <w:tcPr>
            <w:tcW w:w="863" w:type="dxa"/>
            <w:tcBorders>
              <w:top w:val="nil"/>
              <w:left w:val="nil"/>
              <w:bottom w:val="dotted" w:sz="4" w:space="0" w:color="auto"/>
              <w:right w:val="dotted" w:sz="4" w:space="0" w:color="auto"/>
            </w:tcBorders>
            <w:shd w:val="clear" w:color="000000" w:fill="DEEAF6"/>
            <w:noWrap/>
            <w:vAlign w:val="center"/>
            <w:hideMark/>
          </w:tcPr>
          <w:p w14:paraId="78095C37" w14:textId="77777777" w:rsidR="003B3804" w:rsidRPr="004E5A6E" w:rsidRDefault="003B3804" w:rsidP="00713DEA">
            <w:pPr>
              <w:jc w:val="right"/>
              <w:rPr>
                <w:sz w:val="16"/>
                <w:szCs w:val="18"/>
                <w:lang w:val="sq-AL"/>
              </w:rPr>
            </w:pPr>
            <w:r w:rsidRPr="004E5A6E">
              <w:rPr>
                <w:sz w:val="16"/>
                <w:szCs w:val="18"/>
                <w:lang w:val="sq-AL"/>
              </w:rPr>
              <w:t>11.0%</w:t>
            </w:r>
          </w:p>
        </w:tc>
        <w:tc>
          <w:tcPr>
            <w:tcW w:w="863" w:type="dxa"/>
            <w:tcBorders>
              <w:top w:val="nil"/>
              <w:left w:val="nil"/>
              <w:bottom w:val="dotted" w:sz="4" w:space="0" w:color="auto"/>
              <w:right w:val="dotted" w:sz="4" w:space="0" w:color="auto"/>
            </w:tcBorders>
            <w:shd w:val="clear" w:color="000000" w:fill="DEEAF6"/>
            <w:noWrap/>
            <w:vAlign w:val="center"/>
            <w:hideMark/>
          </w:tcPr>
          <w:p w14:paraId="1A239B33" w14:textId="77777777" w:rsidR="003B3804" w:rsidRPr="004E5A6E" w:rsidRDefault="003B3804" w:rsidP="00713DEA">
            <w:pPr>
              <w:jc w:val="right"/>
              <w:rPr>
                <w:sz w:val="16"/>
                <w:szCs w:val="18"/>
                <w:lang w:val="sq-AL"/>
              </w:rPr>
            </w:pPr>
            <w:r w:rsidRPr="004E5A6E">
              <w:rPr>
                <w:sz w:val="16"/>
                <w:szCs w:val="18"/>
                <w:lang w:val="sq-AL"/>
              </w:rPr>
              <w:t>8.8%</w:t>
            </w:r>
          </w:p>
        </w:tc>
        <w:tc>
          <w:tcPr>
            <w:tcW w:w="863" w:type="dxa"/>
            <w:tcBorders>
              <w:top w:val="nil"/>
              <w:left w:val="nil"/>
              <w:bottom w:val="dotted" w:sz="4" w:space="0" w:color="auto"/>
              <w:right w:val="dotted" w:sz="4" w:space="0" w:color="auto"/>
            </w:tcBorders>
            <w:shd w:val="clear" w:color="000000" w:fill="DEEAF6"/>
            <w:noWrap/>
            <w:vAlign w:val="center"/>
            <w:hideMark/>
          </w:tcPr>
          <w:p w14:paraId="6305B8AF" w14:textId="77777777" w:rsidR="003B3804" w:rsidRPr="004E5A6E" w:rsidRDefault="003B3804" w:rsidP="00713DEA">
            <w:pPr>
              <w:jc w:val="right"/>
              <w:rPr>
                <w:sz w:val="16"/>
                <w:szCs w:val="18"/>
                <w:lang w:val="sq-AL"/>
              </w:rPr>
            </w:pPr>
            <w:r w:rsidRPr="004E5A6E">
              <w:rPr>
                <w:sz w:val="16"/>
                <w:szCs w:val="18"/>
                <w:lang w:val="sq-AL"/>
              </w:rPr>
              <w:t>9.1%</w:t>
            </w:r>
          </w:p>
        </w:tc>
        <w:tc>
          <w:tcPr>
            <w:tcW w:w="863" w:type="dxa"/>
            <w:tcBorders>
              <w:top w:val="nil"/>
              <w:left w:val="nil"/>
              <w:bottom w:val="dotted" w:sz="4" w:space="0" w:color="auto"/>
              <w:right w:val="single" w:sz="8" w:space="0" w:color="auto"/>
            </w:tcBorders>
            <w:shd w:val="clear" w:color="000000" w:fill="DEEAF6"/>
            <w:noWrap/>
            <w:vAlign w:val="center"/>
            <w:hideMark/>
          </w:tcPr>
          <w:p w14:paraId="6D8B0483" w14:textId="77777777" w:rsidR="003B3804" w:rsidRPr="004E5A6E" w:rsidRDefault="003B3804" w:rsidP="00713DEA">
            <w:pPr>
              <w:jc w:val="right"/>
              <w:rPr>
                <w:sz w:val="16"/>
                <w:szCs w:val="18"/>
                <w:lang w:val="sq-AL"/>
              </w:rPr>
            </w:pPr>
            <w:r w:rsidRPr="004E5A6E">
              <w:rPr>
                <w:sz w:val="16"/>
                <w:szCs w:val="18"/>
                <w:lang w:val="sq-AL"/>
              </w:rPr>
              <w:t>9.2%</w:t>
            </w:r>
          </w:p>
        </w:tc>
      </w:tr>
      <w:tr w:rsidR="003B3804" w:rsidRPr="004E5A6E" w14:paraId="1CDE2660" w14:textId="77777777" w:rsidTr="00713DEA">
        <w:trPr>
          <w:trHeight w:val="306"/>
        </w:trPr>
        <w:tc>
          <w:tcPr>
            <w:tcW w:w="981" w:type="dxa"/>
            <w:vMerge/>
            <w:tcBorders>
              <w:top w:val="nil"/>
              <w:left w:val="single" w:sz="8" w:space="0" w:color="auto"/>
              <w:bottom w:val="single" w:sz="8" w:space="0" w:color="000000"/>
              <w:right w:val="single" w:sz="4" w:space="0" w:color="auto"/>
            </w:tcBorders>
            <w:vAlign w:val="center"/>
            <w:hideMark/>
          </w:tcPr>
          <w:p w14:paraId="6BEF368C" w14:textId="77777777" w:rsidR="003B3804" w:rsidRPr="004E5A6E" w:rsidRDefault="003B3804" w:rsidP="00713DEA">
            <w:pPr>
              <w:rPr>
                <w:b/>
                <w:bCs/>
                <w:sz w:val="16"/>
                <w:szCs w:val="18"/>
                <w:lang w:val="sq-AL"/>
              </w:rPr>
            </w:pPr>
          </w:p>
        </w:tc>
        <w:tc>
          <w:tcPr>
            <w:tcW w:w="2767" w:type="dxa"/>
            <w:tcBorders>
              <w:top w:val="nil"/>
              <w:left w:val="nil"/>
              <w:bottom w:val="single" w:sz="8" w:space="0" w:color="auto"/>
              <w:right w:val="dotted" w:sz="4" w:space="0" w:color="auto"/>
            </w:tcBorders>
            <w:shd w:val="clear" w:color="000000" w:fill="DEEAF6"/>
            <w:noWrap/>
            <w:vAlign w:val="center"/>
            <w:hideMark/>
          </w:tcPr>
          <w:p w14:paraId="530C7878" w14:textId="77777777" w:rsidR="003B3804" w:rsidRPr="004E5A6E" w:rsidRDefault="003B3804" w:rsidP="00713DEA">
            <w:pPr>
              <w:rPr>
                <w:sz w:val="16"/>
                <w:szCs w:val="18"/>
                <w:lang w:val="sq-AL"/>
              </w:rPr>
            </w:pPr>
            <w:r w:rsidRPr="004E5A6E">
              <w:rPr>
                <w:sz w:val="16"/>
                <w:szCs w:val="18"/>
                <w:lang w:val="sq-AL"/>
              </w:rPr>
              <w:t>Shpenzimet e përsëritura, si % e BPV-së</w:t>
            </w:r>
          </w:p>
        </w:tc>
        <w:tc>
          <w:tcPr>
            <w:tcW w:w="741" w:type="dxa"/>
            <w:tcBorders>
              <w:top w:val="nil"/>
              <w:left w:val="nil"/>
              <w:bottom w:val="single" w:sz="8" w:space="0" w:color="auto"/>
              <w:right w:val="dotted" w:sz="4" w:space="0" w:color="auto"/>
            </w:tcBorders>
            <w:shd w:val="clear" w:color="000000" w:fill="DEEAF6"/>
            <w:noWrap/>
            <w:vAlign w:val="center"/>
            <w:hideMark/>
          </w:tcPr>
          <w:p w14:paraId="207664BE" w14:textId="77777777" w:rsidR="003B3804" w:rsidRPr="004E5A6E" w:rsidRDefault="003B3804" w:rsidP="00713DEA">
            <w:pPr>
              <w:jc w:val="right"/>
              <w:rPr>
                <w:sz w:val="16"/>
                <w:szCs w:val="18"/>
                <w:lang w:val="sq-AL"/>
              </w:rPr>
            </w:pPr>
            <w:r w:rsidRPr="004E5A6E">
              <w:rPr>
                <w:sz w:val="16"/>
                <w:szCs w:val="18"/>
                <w:lang w:val="sq-AL"/>
              </w:rPr>
              <w:t>21.1%</w:t>
            </w:r>
          </w:p>
        </w:tc>
        <w:tc>
          <w:tcPr>
            <w:tcW w:w="863" w:type="dxa"/>
            <w:tcBorders>
              <w:top w:val="nil"/>
              <w:left w:val="nil"/>
              <w:bottom w:val="single" w:sz="8" w:space="0" w:color="auto"/>
              <w:right w:val="dotted" w:sz="4" w:space="0" w:color="auto"/>
            </w:tcBorders>
            <w:shd w:val="clear" w:color="000000" w:fill="DEEAF6"/>
            <w:noWrap/>
            <w:vAlign w:val="center"/>
            <w:hideMark/>
          </w:tcPr>
          <w:p w14:paraId="79039BFF" w14:textId="77777777" w:rsidR="003B3804" w:rsidRPr="004E5A6E" w:rsidRDefault="003B3804" w:rsidP="00713DEA">
            <w:pPr>
              <w:jc w:val="right"/>
              <w:rPr>
                <w:sz w:val="16"/>
                <w:szCs w:val="18"/>
                <w:lang w:val="sq-AL"/>
              </w:rPr>
            </w:pPr>
            <w:r w:rsidRPr="004E5A6E">
              <w:rPr>
                <w:sz w:val="16"/>
                <w:szCs w:val="18"/>
                <w:lang w:val="sq-AL"/>
              </w:rPr>
              <w:t>21.8%</w:t>
            </w:r>
          </w:p>
        </w:tc>
        <w:tc>
          <w:tcPr>
            <w:tcW w:w="863" w:type="dxa"/>
            <w:tcBorders>
              <w:top w:val="nil"/>
              <w:left w:val="nil"/>
              <w:bottom w:val="single" w:sz="8" w:space="0" w:color="auto"/>
              <w:right w:val="dotted" w:sz="4" w:space="0" w:color="auto"/>
            </w:tcBorders>
            <w:shd w:val="clear" w:color="000000" w:fill="DEEAF6"/>
            <w:noWrap/>
            <w:vAlign w:val="center"/>
            <w:hideMark/>
          </w:tcPr>
          <w:p w14:paraId="1A8470B6" w14:textId="77777777" w:rsidR="003B3804" w:rsidRPr="004E5A6E" w:rsidRDefault="003B3804" w:rsidP="00713DEA">
            <w:pPr>
              <w:jc w:val="right"/>
              <w:rPr>
                <w:sz w:val="16"/>
                <w:szCs w:val="18"/>
                <w:lang w:val="sq-AL"/>
              </w:rPr>
            </w:pPr>
            <w:r w:rsidRPr="004E5A6E">
              <w:rPr>
                <w:sz w:val="16"/>
                <w:szCs w:val="18"/>
                <w:lang w:val="sq-AL"/>
              </w:rPr>
              <w:t>28.1%</w:t>
            </w:r>
          </w:p>
        </w:tc>
        <w:tc>
          <w:tcPr>
            <w:tcW w:w="863" w:type="dxa"/>
            <w:tcBorders>
              <w:top w:val="nil"/>
              <w:left w:val="nil"/>
              <w:bottom w:val="single" w:sz="8" w:space="0" w:color="auto"/>
              <w:right w:val="dotted" w:sz="4" w:space="0" w:color="auto"/>
            </w:tcBorders>
            <w:shd w:val="clear" w:color="000000" w:fill="DEEAF6"/>
            <w:noWrap/>
            <w:vAlign w:val="center"/>
            <w:hideMark/>
          </w:tcPr>
          <w:p w14:paraId="65E4BF52" w14:textId="77777777" w:rsidR="003B3804" w:rsidRPr="004E5A6E" w:rsidRDefault="003B3804" w:rsidP="00713DEA">
            <w:pPr>
              <w:jc w:val="right"/>
              <w:rPr>
                <w:sz w:val="16"/>
                <w:szCs w:val="18"/>
                <w:lang w:val="sq-AL"/>
              </w:rPr>
            </w:pPr>
            <w:r w:rsidRPr="004E5A6E">
              <w:rPr>
                <w:sz w:val="16"/>
                <w:szCs w:val="18"/>
                <w:lang w:val="sq-AL"/>
              </w:rPr>
              <w:t>25.1%</w:t>
            </w:r>
          </w:p>
        </w:tc>
        <w:tc>
          <w:tcPr>
            <w:tcW w:w="863" w:type="dxa"/>
            <w:tcBorders>
              <w:top w:val="nil"/>
              <w:left w:val="nil"/>
              <w:bottom w:val="single" w:sz="8" w:space="0" w:color="auto"/>
              <w:right w:val="dotted" w:sz="4" w:space="0" w:color="auto"/>
            </w:tcBorders>
            <w:shd w:val="clear" w:color="000000" w:fill="DEEAF6"/>
            <w:noWrap/>
            <w:vAlign w:val="center"/>
            <w:hideMark/>
          </w:tcPr>
          <w:p w14:paraId="138C9864" w14:textId="77777777" w:rsidR="003B3804" w:rsidRPr="004E5A6E" w:rsidRDefault="003B3804" w:rsidP="00713DEA">
            <w:pPr>
              <w:jc w:val="right"/>
              <w:rPr>
                <w:sz w:val="16"/>
                <w:szCs w:val="18"/>
                <w:lang w:val="sq-AL"/>
              </w:rPr>
            </w:pPr>
            <w:r w:rsidRPr="004E5A6E">
              <w:rPr>
                <w:sz w:val="16"/>
                <w:szCs w:val="18"/>
                <w:lang w:val="sq-AL"/>
              </w:rPr>
              <w:t>22.2%</w:t>
            </w:r>
          </w:p>
        </w:tc>
        <w:tc>
          <w:tcPr>
            <w:tcW w:w="863" w:type="dxa"/>
            <w:tcBorders>
              <w:top w:val="nil"/>
              <w:left w:val="nil"/>
              <w:bottom w:val="single" w:sz="8" w:space="0" w:color="auto"/>
              <w:right w:val="single" w:sz="8" w:space="0" w:color="auto"/>
            </w:tcBorders>
            <w:shd w:val="clear" w:color="000000" w:fill="DEEAF6"/>
            <w:noWrap/>
            <w:vAlign w:val="center"/>
            <w:hideMark/>
          </w:tcPr>
          <w:p w14:paraId="13BEE183" w14:textId="77777777" w:rsidR="003B3804" w:rsidRPr="004E5A6E" w:rsidRDefault="003B3804" w:rsidP="00713DEA">
            <w:pPr>
              <w:jc w:val="right"/>
              <w:rPr>
                <w:sz w:val="16"/>
                <w:szCs w:val="18"/>
                <w:lang w:val="sq-AL"/>
              </w:rPr>
            </w:pPr>
            <w:r w:rsidRPr="004E5A6E">
              <w:rPr>
                <w:sz w:val="16"/>
                <w:szCs w:val="18"/>
                <w:lang w:val="sq-AL"/>
              </w:rPr>
              <w:t>21.2%</w:t>
            </w:r>
          </w:p>
        </w:tc>
      </w:tr>
      <w:tr w:rsidR="003B3804" w:rsidRPr="004E5A6E" w14:paraId="026E9734" w14:textId="77777777" w:rsidTr="00713DEA">
        <w:trPr>
          <w:trHeight w:val="292"/>
        </w:trPr>
        <w:tc>
          <w:tcPr>
            <w:tcW w:w="981" w:type="dxa"/>
            <w:vMerge w:val="restart"/>
            <w:tcBorders>
              <w:top w:val="nil"/>
              <w:left w:val="single" w:sz="8" w:space="0" w:color="auto"/>
              <w:bottom w:val="single" w:sz="8" w:space="0" w:color="000000"/>
              <w:right w:val="dotted" w:sz="4" w:space="0" w:color="auto"/>
            </w:tcBorders>
            <w:shd w:val="clear" w:color="000000" w:fill="DEEAF6"/>
            <w:vAlign w:val="center"/>
            <w:hideMark/>
          </w:tcPr>
          <w:p w14:paraId="1172E4CE" w14:textId="77777777" w:rsidR="003B3804" w:rsidRPr="004E5A6E" w:rsidRDefault="003B3804" w:rsidP="00713DEA">
            <w:pPr>
              <w:rPr>
                <w:b/>
                <w:bCs/>
                <w:sz w:val="16"/>
                <w:szCs w:val="18"/>
                <w:lang w:val="sq-AL"/>
              </w:rPr>
            </w:pPr>
            <w:r w:rsidRPr="004E5A6E">
              <w:rPr>
                <w:b/>
                <w:bCs/>
                <w:sz w:val="16"/>
                <w:szCs w:val="18"/>
                <w:lang w:val="sq-AL"/>
              </w:rPr>
              <w:lastRenderedPageBreak/>
              <w:t>Diferenca ndërmjet PRE 2021 dhe PRE 2020</w:t>
            </w:r>
          </w:p>
        </w:tc>
        <w:tc>
          <w:tcPr>
            <w:tcW w:w="2767" w:type="dxa"/>
            <w:tcBorders>
              <w:top w:val="nil"/>
              <w:left w:val="nil"/>
              <w:bottom w:val="dotted" w:sz="4" w:space="0" w:color="auto"/>
              <w:right w:val="dotted" w:sz="4" w:space="0" w:color="auto"/>
            </w:tcBorders>
            <w:shd w:val="clear" w:color="000000" w:fill="DEEAF6"/>
            <w:noWrap/>
            <w:vAlign w:val="center"/>
            <w:hideMark/>
          </w:tcPr>
          <w:p w14:paraId="7FC06196" w14:textId="77777777" w:rsidR="003B3804" w:rsidRPr="004E5A6E" w:rsidRDefault="003B3804" w:rsidP="00713DEA">
            <w:pPr>
              <w:rPr>
                <w:sz w:val="16"/>
                <w:szCs w:val="18"/>
                <w:lang w:val="sq-AL"/>
              </w:rPr>
            </w:pPr>
            <w:r w:rsidRPr="004E5A6E">
              <w:rPr>
                <w:sz w:val="16"/>
                <w:szCs w:val="18"/>
                <w:lang w:val="sq-AL"/>
              </w:rPr>
              <w:t>Të ardhurat totale</w:t>
            </w:r>
          </w:p>
        </w:tc>
        <w:tc>
          <w:tcPr>
            <w:tcW w:w="741" w:type="dxa"/>
            <w:tcBorders>
              <w:top w:val="nil"/>
              <w:left w:val="nil"/>
              <w:bottom w:val="dotted" w:sz="4" w:space="0" w:color="auto"/>
              <w:right w:val="dotted" w:sz="4" w:space="0" w:color="auto"/>
            </w:tcBorders>
            <w:shd w:val="clear" w:color="000000" w:fill="DEEAF6"/>
            <w:noWrap/>
            <w:vAlign w:val="center"/>
            <w:hideMark/>
          </w:tcPr>
          <w:p w14:paraId="126CC4E3" w14:textId="77777777" w:rsidR="003B3804" w:rsidRPr="004E5A6E" w:rsidRDefault="003B3804" w:rsidP="00713DEA">
            <w:pPr>
              <w:jc w:val="right"/>
              <w:rPr>
                <w:sz w:val="16"/>
                <w:szCs w:val="18"/>
                <w:lang w:val="sq-AL"/>
              </w:rPr>
            </w:pPr>
            <w:r w:rsidRPr="004E5A6E">
              <w:rPr>
                <w:sz w:val="16"/>
                <w:szCs w:val="18"/>
                <w:lang w:val="sq-AL"/>
              </w:rPr>
              <w:t>0.0%</w:t>
            </w:r>
          </w:p>
        </w:tc>
        <w:tc>
          <w:tcPr>
            <w:tcW w:w="863" w:type="dxa"/>
            <w:tcBorders>
              <w:top w:val="nil"/>
              <w:left w:val="nil"/>
              <w:bottom w:val="dotted" w:sz="4" w:space="0" w:color="auto"/>
              <w:right w:val="dotted" w:sz="4" w:space="0" w:color="auto"/>
            </w:tcBorders>
            <w:shd w:val="clear" w:color="000000" w:fill="DEEAF6"/>
            <w:noWrap/>
            <w:vAlign w:val="center"/>
            <w:hideMark/>
          </w:tcPr>
          <w:p w14:paraId="71C9E2A6" w14:textId="77777777" w:rsidR="003B3804" w:rsidRPr="004E5A6E" w:rsidRDefault="003B3804" w:rsidP="00713DEA">
            <w:pPr>
              <w:jc w:val="right"/>
              <w:rPr>
                <w:sz w:val="16"/>
                <w:szCs w:val="18"/>
                <w:lang w:val="sq-AL"/>
              </w:rPr>
            </w:pPr>
            <w:r w:rsidRPr="004E5A6E">
              <w:rPr>
                <w:sz w:val="16"/>
                <w:szCs w:val="18"/>
                <w:lang w:val="sq-AL"/>
              </w:rPr>
              <w:t>-3.1%</w:t>
            </w:r>
          </w:p>
        </w:tc>
        <w:tc>
          <w:tcPr>
            <w:tcW w:w="863" w:type="dxa"/>
            <w:tcBorders>
              <w:top w:val="nil"/>
              <w:left w:val="nil"/>
              <w:bottom w:val="dotted" w:sz="4" w:space="0" w:color="auto"/>
              <w:right w:val="dotted" w:sz="4" w:space="0" w:color="auto"/>
            </w:tcBorders>
            <w:shd w:val="clear" w:color="000000" w:fill="DEEAF6"/>
            <w:noWrap/>
            <w:vAlign w:val="center"/>
            <w:hideMark/>
          </w:tcPr>
          <w:p w14:paraId="6908DE42" w14:textId="77777777" w:rsidR="003B3804" w:rsidRPr="004E5A6E" w:rsidRDefault="003B3804" w:rsidP="00713DEA">
            <w:pPr>
              <w:jc w:val="right"/>
              <w:rPr>
                <w:sz w:val="16"/>
                <w:szCs w:val="18"/>
                <w:lang w:val="sq-AL"/>
              </w:rPr>
            </w:pPr>
            <w:r w:rsidRPr="004E5A6E">
              <w:rPr>
                <w:sz w:val="16"/>
                <w:szCs w:val="18"/>
                <w:lang w:val="sq-AL"/>
              </w:rPr>
              <w:t>-12.6%</w:t>
            </w:r>
          </w:p>
        </w:tc>
        <w:tc>
          <w:tcPr>
            <w:tcW w:w="863" w:type="dxa"/>
            <w:tcBorders>
              <w:top w:val="nil"/>
              <w:left w:val="nil"/>
              <w:bottom w:val="dotted" w:sz="4" w:space="0" w:color="auto"/>
              <w:right w:val="dotted" w:sz="4" w:space="0" w:color="auto"/>
            </w:tcBorders>
            <w:shd w:val="clear" w:color="000000" w:fill="DEEAF6"/>
            <w:noWrap/>
            <w:vAlign w:val="center"/>
            <w:hideMark/>
          </w:tcPr>
          <w:p w14:paraId="14436FCF" w14:textId="77777777" w:rsidR="003B3804" w:rsidRPr="004E5A6E" w:rsidRDefault="003B3804" w:rsidP="00713DEA">
            <w:pPr>
              <w:jc w:val="right"/>
              <w:rPr>
                <w:sz w:val="16"/>
                <w:szCs w:val="18"/>
                <w:lang w:val="sq-AL"/>
              </w:rPr>
            </w:pPr>
            <w:r w:rsidRPr="004E5A6E">
              <w:rPr>
                <w:sz w:val="16"/>
                <w:szCs w:val="18"/>
                <w:lang w:val="sq-AL"/>
              </w:rPr>
              <w:t>-11.2%</w:t>
            </w:r>
          </w:p>
        </w:tc>
        <w:tc>
          <w:tcPr>
            <w:tcW w:w="863" w:type="dxa"/>
            <w:tcBorders>
              <w:top w:val="nil"/>
              <w:left w:val="nil"/>
              <w:bottom w:val="dotted" w:sz="4" w:space="0" w:color="auto"/>
              <w:right w:val="dotted" w:sz="4" w:space="0" w:color="auto"/>
            </w:tcBorders>
            <w:shd w:val="clear" w:color="000000" w:fill="DEEAF6"/>
            <w:noWrap/>
            <w:vAlign w:val="center"/>
            <w:hideMark/>
          </w:tcPr>
          <w:p w14:paraId="7A2505E7" w14:textId="77777777" w:rsidR="003B3804" w:rsidRPr="004E5A6E" w:rsidRDefault="003B3804" w:rsidP="00713DEA">
            <w:pPr>
              <w:jc w:val="right"/>
              <w:rPr>
                <w:sz w:val="16"/>
                <w:szCs w:val="18"/>
                <w:lang w:val="sq-AL"/>
              </w:rPr>
            </w:pPr>
            <w:r w:rsidRPr="004E5A6E">
              <w:rPr>
                <w:sz w:val="16"/>
                <w:szCs w:val="18"/>
                <w:lang w:val="sq-AL"/>
              </w:rPr>
              <w:t>-10.6%</w:t>
            </w:r>
          </w:p>
        </w:tc>
        <w:tc>
          <w:tcPr>
            <w:tcW w:w="863" w:type="dxa"/>
            <w:tcBorders>
              <w:top w:val="nil"/>
              <w:left w:val="nil"/>
              <w:bottom w:val="dotted" w:sz="4" w:space="0" w:color="auto"/>
              <w:right w:val="single" w:sz="8" w:space="0" w:color="auto"/>
            </w:tcBorders>
            <w:shd w:val="clear" w:color="000000" w:fill="DEEAF6"/>
            <w:vAlign w:val="center"/>
            <w:hideMark/>
          </w:tcPr>
          <w:p w14:paraId="79606779" w14:textId="77777777" w:rsidR="003B3804" w:rsidRPr="004E5A6E" w:rsidRDefault="003B3804" w:rsidP="00713DEA">
            <w:pPr>
              <w:jc w:val="right"/>
              <w:rPr>
                <w:i/>
                <w:iCs/>
                <w:sz w:val="16"/>
                <w:szCs w:val="18"/>
                <w:lang w:val="sq-AL"/>
              </w:rPr>
            </w:pPr>
            <w:r w:rsidRPr="004E5A6E">
              <w:rPr>
                <w:i/>
                <w:iCs/>
                <w:sz w:val="16"/>
                <w:szCs w:val="18"/>
                <w:lang w:val="sq-AL"/>
              </w:rPr>
              <w:t>n/a</w:t>
            </w:r>
          </w:p>
        </w:tc>
      </w:tr>
      <w:tr w:rsidR="003B3804" w:rsidRPr="004E5A6E" w14:paraId="09B8F69F" w14:textId="77777777" w:rsidTr="00713DEA">
        <w:trPr>
          <w:trHeight w:val="292"/>
        </w:trPr>
        <w:tc>
          <w:tcPr>
            <w:tcW w:w="981" w:type="dxa"/>
            <w:vMerge/>
            <w:tcBorders>
              <w:top w:val="nil"/>
              <w:left w:val="single" w:sz="8" w:space="0" w:color="auto"/>
              <w:bottom w:val="single" w:sz="8" w:space="0" w:color="000000"/>
              <w:right w:val="dotted" w:sz="4" w:space="0" w:color="auto"/>
            </w:tcBorders>
            <w:vAlign w:val="center"/>
            <w:hideMark/>
          </w:tcPr>
          <w:p w14:paraId="67AB5E4F" w14:textId="77777777" w:rsidR="003B3804" w:rsidRPr="004E5A6E" w:rsidRDefault="003B3804" w:rsidP="00713DEA">
            <w:pPr>
              <w:rPr>
                <w:b/>
                <w:bCs/>
                <w:sz w:val="16"/>
                <w:szCs w:val="18"/>
                <w:lang w:val="sq-AL"/>
              </w:rPr>
            </w:pPr>
          </w:p>
        </w:tc>
        <w:tc>
          <w:tcPr>
            <w:tcW w:w="2767" w:type="dxa"/>
            <w:tcBorders>
              <w:top w:val="nil"/>
              <w:left w:val="nil"/>
              <w:bottom w:val="dotted" w:sz="4" w:space="0" w:color="auto"/>
              <w:right w:val="dotted" w:sz="4" w:space="0" w:color="auto"/>
            </w:tcBorders>
            <w:shd w:val="clear" w:color="000000" w:fill="DEEAF6"/>
            <w:noWrap/>
            <w:vAlign w:val="center"/>
            <w:hideMark/>
          </w:tcPr>
          <w:p w14:paraId="344DF44A" w14:textId="77777777" w:rsidR="003B3804" w:rsidRPr="004E5A6E" w:rsidRDefault="003B3804" w:rsidP="00713DEA">
            <w:pPr>
              <w:ind w:firstLineChars="100" w:firstLine="160"/>
              <w:rPr>
                <w:i/>
                <w:iCs/>
                <w:sz w:val="16"/>
                <w:szCs w:val="18"/>
                <w:lang w:val="sq-AL"/>
              </w:rPr>
            </w:pPr>
            <w:r w:rsidRPr="004E5A6E">
              <w:rPr>
                <w:i/>
                <w:iCs/>
                <w:sz w:val="16"/>
                <w:szCs w:val="18"/>
                <w:lang w:val="sq-AL"/>
              </w:rPr>
              <w:t>Të ardhurat tatimore</w:t>
            </w:r>
          </w:p>
        </w:tc>
        <w:tc>
          <w:tcPr>
            <w:tcW w:w="741" w:type="dxa"/>
            <w:tcBorders>
              <w:top w:val="nil"/>
              <w:left w:val="nil"/>
              <w:bottom w:val="dotted" w:sz="4" w:space="0" w:color="auto"/>
              <w:right w:val="dotted" w:sz="4" w:space="0" w:color="auto"/>
            </w:tcBorders>
            <w:shd w:val="clear" w:color="000000" w:fill="DEEAF6"/>
            <w:noWrap/>
            <w:vAlign w:val="center"/>
            <w:hideMark/>
          </w:tcPr>
          <w:p w14:paraId="2DA18177" w14:textId="77777777" w:rsidR="003B3804" w:rsidRPr="004E5A6E" w:rsidRDefault="003B3804" w:rsidP="00713DEA">
            <w:pPr>
              <w:jc w:val="right"/>
              <w:rPr>
                <w:sz w:val="16"/>
                <w:szCs w:val="18"/>
                <w:lang w:val="sq-AL"/>
              </w:rPr>
            </w:pPr>
            <w:r w:rsidRPr="004E5A6E">
              <w:rPr>
                <w:sz w:val="16"/>
                <w:szCs w:val="18"/>
                <w:lang w:val="sq-AL"/>
              </w:rPr>
              <w:t>0.0%</w:t>
            </w:r>
          </w:p>
        </w:tc>
        <w:tc>
          <w:tcPr>
            <w:tcW w:w="863" w:type="dxa"/>
            <w:tcBorders>
              <w:top w:val="nil"/>
              <w:left w:val="nil"/>
              <w:bottom w:val="dotted" w:sz="4" w:space="0" w:color="auto"/>
              <w:right w:val="dotted" w:sz="4" w:space="0" w:color="auto"/>
            </w:tcBorders>
            <w:shd w:val="clear" w:color="000000" w:fill="DEEAF6"/>
            <w:noWrap/>
            <w:vAlign w:val="center"/>
            <w:hideMark/>
          </w:tcPr>
          <w:p w14:paraId="27F0901E" w14:textId="77777777" w:rsidR="003B3804" w:rsidRPr="004E5A6E" w:rsidRDefault="003B3804" w:rsidP="00713DEA">
            <w:pPr>
              <w:jc w:val="right"/>
              <w:rPr>
                <w:sz w:val="16"/>
                <w:szCs w:val="18"/>
                <w:lang w:val="sq-AL"/>
              </w:rPr>
            </w:pPr>
            <w:r w:rsidRPr="004E5A6E">
              <w:rPr>
                <w:sz w:val="16"/>
                <w:szCs w:val="18"/>
                <w:lang w:val="sq-AL"/>
              </w:rPr>
              <w:t>-4.0%</w:t>
            </w:r>
          </w:p>
        </w:tc>
        <w:tc>
          <w:tcPr>
            <w:tcW w:w="863" w:type="dxa"/>
            <w:tcBorders>
              <w:top w:val="nil"/>
              <w:left w:val="nil"/>
              <w:bottom w:val="dotted" w:sz="4" w:space="0" w:color="auto"/>
              <w:right w:val="dotted" w:sz="4" w:space="0" w:color="auto"/>
            </w:tcBorders>
            <w:shd w:val="clear" w:color="000000" w:fill="DEEAF6"/>
            <w:noWrap/>
            <w:vAlign w:val="center"/>
            <w:hideMark/>
          </w:tcPr>
          <w:p w14:paraId="52D5993A" w14:textId="77777777" w:rsidR="003B3804" w:rsidRPr="004E5A6E" w:rsidRDefault="003B3804" w:rsidP="00713DEA">
            <w:pPr>
              <w:jc w:val="right"/>
              <w:rPr>
                <w:sz w:val="16"/>
                <w:szCs w:val="18"/>
                <w:lang w:val="sq-AL"/>
              </w:rPr>
            </w:pPr>
            <w:r w:rsidRPr="004E5A6E">
              <w:rPr>
                <w:sz w:val="16"/>
                <w:szCs w:val="18"/>
                <w:lang w:val="sq-AL"/>
              </w:rPr>
              <w:t>-13.5%</w:t>
            </w:r>
          </w:p>
        </w:tc>
        <w:tc>
          <w:tcPr>
            <w:tcW w:w="863" w:type="dxa"/>
            <w:tcBorders>
              <w:top w:val="nil"/>
              <w:left w:val="nil"/>
              <w:bottom w:val="dotted" w:sz="4" w:space="0" w:color="auto"/>
              <w:right w:val="dotted" w:sz="4" w:space="0" w:color="auto"/>
            </w:tcBorders>
            <w:shd w:val="clear" w:color="000000" w:fill="DEEAF6"/>
            <w:noWrap/>
            <w:vAlign w:val="center"/>
            <w:hideMark/>
          </w:tcPr>
          <w:p w14:paraId="6764271A" w14:textId="77777777" w:rsidR="003B3804" w:rsidRPr="004E5A6E" w:rsidRDefault="003B3804" w:rsidP="00713DEA">
            <w:pPr>
              <w:jc w:val="right"/>
              <w:rPr>
                <w:sz w:val="16"/>
                <w:szCs w:val="18"/>
                <w:lang w:val="sq-AL"/>
              </w:rPr>
            </w:pPr>
            <w:r w:rsidRPr="004E5A6E">
              <w:rPr>
                <w:sz w:val="16"/>
                <w:szCs w:val="18"/>
                <w:lang w:val="sq-AL"/>
              </w:rPr>
              <w:t>-12.0%</w:t>
            </w:r>
          </w:p>
        </w:tc>
        <w:tc>
          <w:tcPr>
            <w:tcW w:w="863" w:type="dxa"/>
            <w:tcBorders>
              <w:top w:val="nil"/>
              <w:left w:val="nil"/>
              <w:bottom w:val="dotted" w:sz="4" w:space="0" w:color="auto"/>
              <w:right w:val="dotted" w:sz="4" w:space="0" w:color="auto"/>
            </w:tcBorders>
            <w:shd w:val="clear" w:color="000000" w:fill="DEEAF6"/>
            <w:noWrap/>
            <w:vAlign w:val="center"/>
            <w:hideMark/>
          </w:tcPr>
          <w:p w14:paraId="083CF2E8" w14:textId="77777777" w:rsidR="003B3804" w:rsidRPr="004E5A6E" w:rsidRDefault="003B3804" w:rsidP="00713DEA">
            <w:pPr>
              <w:jc w:val="right"/>
              <w:rPr>
                <w:sz w:val="16"/>
                <w:szCs w:val="18"/>
                <w:lang w:val="sq-AL"/>
              </w:rPr>
            </w:pPr>
            <w:r w:rsidRPr="004E5A6E">
              <w:rPr>
                <w:sz w:val="16"/>
                <w:szCs w:val="18"/>
                <w:lang w:val="sq-AL"/>
              </w:rPr>
              <w:t>-11.5%</w:t>
            </w:r>
          </w:p>
        </w:tc>
        <w:tc>
          <w:tcPr>
            <w:tcW w:w="863" w:type="dxa"/>
            <w:tcBorders>
              <w:top w:val="nil"/>
              <w:left w:val="nil"/>
              <w:bottom w:val="dotted" w:sz="4" w:space="0" w:color="auto"/>
              <w:right w:val="single" w:sz="8" w:space="0" w:color="auto"/>
            </w:tcBorders>
            <w:shd w:val="clear" w:color="000000" w:fill="DEEAF6"/>
            <w:vAlign w:val="center"/>
            <w:hideMark/>
          </w:tcPr>
          <w:p w14:paraId="253F5552" w14:textId="77777777" w:rsidR="003B3804" w:rsidRPr="004E5A6E" w:rsidRDefault="003B3804" w:rsidP="00713DEA">
            <w:pPr>
              <w:jc w:val="right"/>
              <w:rPr>
                <w:i/>
                <w:iCs/>
                <w:sz w:val="16"/>
                <w:szCs w:val="18"/>
                <w:lang w:val="sq-AL"/>
              </w:rPr>
            </w:pPr>
            <w:r w:rsidRPr="004E5A6E">
              <w:rPr>
                <w:i/>
                <w:iCs/>
                <w:sz w:val="16"/>
                <w:szCs w:val="18"/>
                <w:lang w:val="sq-AL"/>
              </w:rPr>
              <w:t>n/a</w:t>
            </w:r>
          </w:p>
        </w:tc>
      </w:tr>
      <w:tr w:rsidR="003B3804" w:rsidRPr="004E5A6E" w14:paraId="1B51D264" w14:textId="77777777" w:rsidTr="00713DEA">
        <w:trPr>
          <w:trHeight w:val="292"/>
        </w:trPr>
        <w:tc>
          <w:tcPr>
            <w:tcW w:w="981" w:type="dxa"/>
            <w:vMerge/>
            <w:tcBorders>
              <w:top w:val="nil"/>
              <w:left w:val="single" w:sz="8" w:space="0" w:color="auto"/>
              <w:bottom w:val="single" w:sz="8" w:space="0" w:color="000000"/>
              <w:right w:val="dotted" w:sz="4" w:space="0" w:color="auto"/>
            </w:tcBorders>
            <w:vAlign w:val="center"/>
            <w:hideMark/>
          </w:tcPr>
          <w:p w14:paraId="17D9DE59" w14:textId="77777777" w:rsidR="003B3804" w:rsidRPr="004E5A6E" w:rsidRDefault="003B3804" w:rsidP="00713DEA">
            <w:pPr>
              <w:rPr>
                <w:b/>
                <w:bCs/>
                <w:sz w:val="16"/>
                <w:szCs w:val="18"/>
                <w:lang w:val="sq-AL"/>
              </w:rPr>
            </w:pPr>
          </w:p>
        </w:tc>
        <w:tc>
          <w:tcPr>
            <w:tcW w:w="2767" w:type="dxa"/>
            <w:tcBorders>
              <w:top w:val="nil"/>
              <w:left w:val="nil"/>
              <w:bottom w:val="dotted" w:sz="4" w:space="0" w:color="auto"/>
              <w:right w:val="dotted" w:sz="4" w:space="0" w:color="auto"/>
            </w:tcBorders>
            <w:shd w:val="clear" w:color="000000" w:fill="DEEAF6"/>
            <w:noWrap/>
            <w:vAlign w:val="center"/>
            <w:hideMark/>
          </w:tcPr>
          <w:p w14:paraId="1C33B2BC" w14:textId="77777777" w:rsidR="003B3804" w:rsidRPr="004E5A6E" w:rsidRDefault="003B3804" w:rsidP="00713DEA">
            <w:pPr>
              <w:ind w:firstLineChars="100" w:firstLine="160"/>
              <w:rPr>
                <w:i/>
                <w:iCs/>
                <w:sz w:val="16"/>
                <w:szCs w:val="18"/>
                <w:lang w:val="sq-AL"/>
              </w:rPr>
            </w:pPr>
            <w:r w:rsidRPr="004E5A6E">
              <w:rPr>
                <w:i/>
                <w:iCs/>
                <w:sz w:val="16"/>
                <w:szCs w:val="18"/>
                <w:lang w:val="sq-AL"/>
              </w:rPr>
              <w:t>Të ardhurat jotatimore</w:t>
            </w:r>
          </w:p>
        </w:tc>
        <w:tc>
          <w:tcPr>
            <w:tcW w:w="741" w:type="dxa"/>
            <w:tcBorders>
              <w:top w:val="nil"/>
              <w:left w:val="nil"/>
              <w:bottom w:val="dotted" w:sz="4" w:space="0" w:color="auto"/>
              <w:right w:val="dotted" w:sz="4" w:space="0" w:color="auto"/>
            </w:tcBorders>
            <w:shd w:val="clear" w:color="000000" w:fill="DEEAF6"/>
            <w:noWrap/>
            <w:vAlign w:val="center"/>
            <w:hideMark/>
          </w:tcPr>
          <w:p w14:paraId="065C84D5" w14:textId="77777777" w:rsidR="003B3804" w:rsidRPr="004E5A6E" w:rsidRDefault="003B3804" w:rsidP="00713DEA">
            <w:pPr>
              <w:jc w:val="right"/>
              <w:rPr>
                <w:sz w:val="16"/>
                <w:szCs w:val="18"/>
                <w:lang w:val="sq-AL"/>
              </w:rPr>
            </w:pPr>
            <w:r w:rsidRPr="004E5A6E">
              <w:rPr>
                <w:sz w:val="16"/>
                <w:szCs w:val="18"/>
                <w:lang w:val="sq-AL"/>
              </w:rPr>
              <w:t>-0.1%</w:t>
            </w:r>
          </w:p>
        </w:tc>
        <w:tc>
          <w:tcPr>
            <w:tcW w:w="863" w:type="dxa"/>
            <w:tcBorders>
              <w:top w:val="nil"/>
              <w:left w:val="nil"/>
              <w:bottom w:val="dotted" w:sz="4" w:space="0" w:color="auto"/>
              <w:right w:val="dotted" w:sz="4" w:space="0" w:color="auto"/>
            </w:tcBorders>
            <w:shd w:val="clear" w:color="000000" w:fill="DEEAF6"/>
            <w:noWrap/>
            <w:vAlign w:val="center"/>
            <w:hideMark/>
          </w:tcPr>
          <w:p w14:paraId="26608B24" w14:textId="77777777" w:rsidR="003B3804" w:rsidRPr="004E5A6E" w:rsidRDefault="003B3804" w:rsidP="00713DEA">
            <w:pPr>
              <w:jc w:val="right"/>
              <w:rPr>
                <w:sz w:val="16"/>
                <w:szCs w:val="18"/>
                <w:lang w:val="sq-AL"/>
              </w:rPr>
            </w:pPr>
            <w:r w:rsidRPr="004E5A6E">
              <w:rPr>
                <w:sz w:val="16"/>
                <w:szCs w:val="18"/>
                <w:lang w:val="sq-AL"/>
              </w:rPr>
              <w:t>3.2%</w:t>
            </w:r>
          </w:p>
        </w:tc>
        <w:tc>
          <w:tcPr>
            <w:tcW w:w="863" w:type="dxa"/>
            <w:tcBorders>
              <w:top w:val="nil"/>
              <w:left w:val="nil"/>
              <w:bottom w:val="dotted" w:sz="4" w:space="0" w:color="auto"/>
              <w:right w:val="dotted" w:sz="4" w:space="0" w:color="auto"/>
            </w:tcBorders>
            <w:shd w:val="clear" w:color="000000" w:fill="DEEAF6"/>
            <w:noWrap/>
            <w:vAlign w:val="center"/>
            <w:hideMark/>
          </w:tcPr>
          <w:p w14:paraId="60C69A8D" w14:textId="77777777" w:rsidR="003B3804" w:rsidRPr="004E5A6E" w:rsidRDefault="003B3804" w:rsidP="00713DEA">
            <w:pPr>
              <w:jc w:val="right"/>
              <w:rPr>
                <w:sz w:val="16"/>
                <w:szCs w:val="18"/>
                <w:lang w:val="sq-AL"/>
              </w:rPr>
            </w:pPr>
            <w:r w:rsidRPr="004E5A6E">
              <w:rPr>
                <w:sz w:val="16"/>
                <w:szCs w:val="18"/>
                <w:lang w:val="sq-AL"/>
              </w:rPr>
              <w:t>-16.4%</w:t>
            </w:r>
          </w:p>
        </w:tc>
        <w:tc>
          <w:tcPr>
            <w:tcW w:w="863" w:type="dxa"/>
            <w:tcBorders>
              <w:top w:val="nil"/>
              <w:left w:val="nil"/>
              <w:bottom w:val="dotted" w:sz="4" w:space="0" w:color="auto"/>
              <w:right w:val="dotted" w:sz="4" w:space="0" w:color="auto"/>
            </w:tcBorders>
            <w:shd w:val="clear" w:color="000000" w:fill="DEEAF6"/>
            <w:noWrap/>
            <w:vAlign w:val="center"/>
            <w:hideMark/>
          </w:tcPr>
          <w:p w14:paraId="3E23EF16" w14:textId="77777777" w:rsidR="003B3804" w:rsidRPr="004E5A6E" w:rsidRDefault="003B3804" w:rsidP="00713DEA">
            <w:pPr>
              <w:jc w:val="right"/>
              <w:rPr>
                <w:sz w:val="16"/>
                <w:szCs w:val="18"/>
                <w:lang w:val="sq-AL"/>
              </w:rPr>
            </w:pPr>
            <w:r w:rsidRPr="004E5A6E">
              <w:rPr>
                <w:sz w:val="16"/>
                <w:szCs w:val="18"/>
                <w:lang w:val="sq-AL"/>
              </w:rPr>
              <w:t>-4.8%</w:t>
            </w:r>
          </w:p>
        </w:tc>
        <w:tc>
          <w:tcPr>
            <w:tcW w:w="863" w:type="dxa"/>
            <w:tcBorders>
              <w:top w:val="nil"/>
              <w:left w:val="nil"/>
              <w:bottom w:val="dotted" w:sz="4" w:space="0" w:color="auto"/>
              <w:right w:val="dotted" w:sz="4" w:space="0" w:color="auto"/>
            </w:tcBorders>
            <w:shd w:val="clear" w:color="000000" w:fill="DEEAF6"/>
            <w:noWrap/>
            <w:vAlign w:val="center"/>
            <w:hideMark/>
          </w:tcPr>
          <w:p w14:paraId="0397ECFF" w14:textId="77777777" w:rsidR="003B3804" w:rsidRPr="004E5A6E" w:rsidRDefault="003B3804" w:rsidP="00713DEA">
            <w:pPr>
              <w:jc w:val="right"/>
              <w:rPr>
                <w:sz w:val="16"/>
                <w:szCs w:val="18"/>
                <w:lang w:val="sq-AL"/>
              </w:rPr>
            </w:pPr>
            <w:r w:rsidRPr="004E5A6E">
              <w:rPr>
                <w:sz w:val="16"/>
                <w:szCs w:val="18"/>
                <w:lang w:val="sq-AL"/>
              </w:rPr>
              <w:t>-3.8%</w:t>
            </w:r>
          </w:p>
        </w:tc>
        <w:tc>
          <w:tcPr>
            <w:tcW w:w="863" w:type="dxa"/>
            <w:tcBorders>
              <w:top w:val="nil"/>
              <w:left w:val="nil"/>
              <w:bottom w:val="dotted" w:sz="4" w:space="0" w:color="auto"/>
              <w:right w:val="single" w:sz="8" w:space="0" w:color="auto"/>
            </w:tcBorders>
            <w:shd w:val="clear" w:color="000000" w:fill="DEEAF6"/>
            <w:vAlign w:val="center"/>
            <w:hideMark/>
          </w:tcPr>
          <w:p w14:paraId="766BA97B" w14:textId="77777777" w:rsidR="003B3804" w:rsidRPr="004E5A6E" w:rsidRDefault="003B3804" w:rsidP="00713DEA">
            <w:pPr>
              <w:jc w:val="right"/>
              <w:rPr>
                <w:i/>
                <w:iCs/>
                <w:sz w:val="16"/>
                <w:szCs w:val="18"/>
                <w:lang w:val="sq-AL"/>
              </w:rPr>
            </w:pPr>
            <w:r w:rsidRPr="004E5A6E">
              <w:rPr>
                <w:i/>
                <w:iCs/>
                <w:sz w:val="16"/>
                <w:szCs w:val="18"/>
                <w:lang w:val="sq-AL"/>
              </w:rPr>
              <w:t>n/a</w:t>
            </w:r>
          </w:p>
        </w:tc>
      </w:tr>
      <w:tr w:rsidR="003B3804" w:rsidRPr="004E5A6E" w14:paraId="76165EAC" w14:textId="77777777" w:rsidTr="00713DEA">
        <w:trPr>
          <w:trHeight w:val="292"/>
        </w:trPr>
        <w:tc>
          <w:tcPr>
            <w:tcW w:w="981" w:type="dxa"/>
            <w:vMerge/>
            <w:tcBorders>
              <w:top w:val="nil"/>
              <w:left w:val="single" w:sz="8" w:space="0" w:color="auto"/>
              <w:bottom w:val="single" w:sz="8" w:space="0" w:color="000000"/>
              <w:right w:val="dotted" w:sz="4" w:space="0" w:color="auto"/>
            </w:tcBorders>
            <w:vAlign w:val="center"/>
            <w:hideMark/>
          </w:tcPr>
          <w:p w14:paraId="2D00FFCD" w14:textId="77777777" w:rsidR="003B3804" w:rsidRPr="004E5A6E" w:rsidRDefault="003B3804" w:rsidP="00713DEA">
            <w:pPr>
              <w:rPr>
                <w:b/>
                <w:bCs/>
                <w:sz w:val="16"/>
                <w:szCs w:val="18"/>
                <w:lang w:val="sq-AL"/>
              </w:rPr>
            </w:pPr>
          </w:p>
        </w:tc>
        <w:tc>
          <w:tcPr>
            <w:tcW w:w="2767" w:type="dxa"/>
            <w:tcBorders>
              <w:top w:val="nil"/>
              <w:left w:val="nil"/>
              <w:bottom w:val="dotted" w:sz="4" w:space="0" w:color="auto"/>
              <w:right w:val="dotted" w:sz="4" w:space="0" w:color="auto"/>
            </w:tcBorders>
            <w:shd w:val="clear" w:color="000000" w:fill="DEEAF6"/>
            <w:noWrap/>
            <w:vAlign w:val="center"/>
            <w:hideMark/>
          </w:tcPr>
          <w:p w14:paraId="1A621B2A" w14:textId="77777777" w:rsidR="003B3804" w:rsidRPr="004E5A6E" w:rsidRDefault="003B3804" w:rsidP="00713DEA">
            <w:pPr>
              <w:rPr>
                <w:sz w:val="16"/>
                <w:szCs w:val="18"/>
                <w:lang w:val="sq-AL"/>
              </w:rPr>
            </w:pPr>
            <w:r w:rsidRPr="004E5A6E">
              <w:rPr>
                <w:sz w:val="16"/>
                <w:szCs w:val="18"/>
                <w:lang w:val="sq-AL"/>
              </w:rPr>
              <w:t>Shpenzimet totale</w:t>
            </w:r>
          </w:p>
        </w:tc>
        <w:tc>
          <w:tcPr>
            <w:tcW w:w="741" w:type="dxa"/>
            <w:tcBorders>
              <w:top w:val="nil"/>
              <w:left w:val="nil"/>
              <w:bottom w:val="dotted" w:sz="4" w:space="0" w:color="auto"/>
              <w:right w:val="dotted" w:sz="4" w:space="0" w:color="auto"/>
            </w:tcBorders>
            <w:shd w:val="clear" w:color="000000" w:fill="DEEAF6"/>
            <w:noWrap/>
            <w:vAlign w:val="center"/>
            <w:hideMark/>
          </w:tcPr>
          <w:p w14:paraId="40B8DCDF" w14:textId="77777777" w:rsidR="003B3804" w:rsidRPr="004E5A6E" w:rsidRDefault="003B3804" w:rsidP="00713DEA">
            <w:pPr>
              <w:jc w:val="right"/>
              <w:rPr>
                <w:sz w:val="16"/>
                <w:szCs w:val="18"/>
                <w:lang w:val="sq-AL"/>
              </w:rPr>
            </w:pPr>
            <w:r w:rsidRPr="004E5A6E">
              <w:rPr>
                <w:sz w:val="16"/>
                <w:szCs w:val="18"/>
                <w:lang w:val="sq-AL"/>
              </w:rPr>
              <w:t>0.0%</w:t>
            </w:r>
          </w:p>
        </w:tc>
        <w:tc>
          <w:tcPr>
            <w:tcW w:w="863" w:type="dxa"/>
            <w:tcBorders>
              <w:top w:val="nil"/>
              <w:left w:val="nil"/>
              <w:bottom w:val="dotted" w:sz="4" w:space="0" w:color="auto"/>
              <w:right w:val="dotted" w:sz="4" w:space="0" w:color="auto"/>
            </w:tcBorders>
            <w:shd w:val="clear" w:color="000000" w:fill="DEEAF6"/>
            <w:noWrap/>
            <w:vAlign w:val="center"/>
            <w:hideMark/>
          </w:tcPr>
          <w:p w14:paraId="0EFE1CD9" w14:textId="77777777" w:rsidR="003B3804" w:rsidRPr="004E5A6E" w:rsidRDefault="003B3804" w:rsidP="00713DEA">
            <w:pPr>
              <w:jc w:val="right"/>
              <w:rPr>
                <w:sz w:val="16"/>
                <w:szCs w:val="18"/>
                <w:lang w:val="sq-AL"/>
              </w:rPr>
            </w:pPr>
            <w:r w:rsidRPr="004E5A6E">
              <w:rPr>
                <w:sz w:val="16"/>
                <w:szCs w:val="18"/>
                <w:lang w:val="sq-AL"/>
              </w:rPr>
              <w:t>-12.0%</w:t>
            </w:r>
          </w:p>
        </w:tc>
        <w:tc>
          <w:tcPr>
            <w:tcW w:w="863" w:type="dxa"/>
            <w:tcBorders>
              <w:top w:val="nil"/>
              <w:left w:val="nil"/>
              <w:bottom w:val="dotted" w:sz="4" w:space="0" w:color="auto"/>
              <w:right w:val="dotted" w:sz="4" w:space="0" w:color="auto"/>
            </w:tcBorders>
            <w:shd w:val="clear" w:color="000000" w:fill="DEEAF6"/>
            <w:noWrap/>
            <w:vAlign w:val="center"/>
            <w:hideMark/>
          </w:tcPr>
          <w:p w14:paraId="45A56F66" w14:textId="77777777" w:rsidR="003B3804" w:rsidRPr="004E5A6E" w:rsidRDefault="003B3804" w:rsidP="00713DEA">
            <w:pPr>
              <w:jc w:val="right"/>
              <w:rPr>
                <w:sz w:val="16"/>
                <w:szCs w:val="18"/>
                <w:lang w:val="sq-AL"/>
              </w:rPr>
            </w:pPr>
            <w:r w:rsidRPr="004E5A6E">
              <w:rPr>
                <w:sz w:val="16"/>
                <w:szCs w:val="18"/>
                <w:lang w:val="sq-AL"/>
              </w:rPr>
              <w:t>6.2%</w:t>
            </w:r>
          </w:p>
        </w:tc>
        <w:tc>
          <w:tcPr>
            <w:tcW w:w="863" w:type="dxa"/>
            <w:tcBorders>
              <w:top w:val="nil"/>
              <w:left w:val="nil"/>
              <w:bottom w:val="dotted" w:sz="4" w:space="0" w:color="auto"/>
              <w:right w:val="dotted" w:sz="4" w:space="0" w:color="auto"/>
            </w:tcBorders>
            <w:shd w:val="clear" w:color="000000" w:fill="DEEAF6"/>
            <w:noWrap/>
            <w:vAlign w:val="center"/>
            <w:hideMark/>
          </w:tcPr>
          <w:p w14:paraId="76AF693A" w14:textId="77777777" w:rsidR="003B3804" w:rsidRPr="004E5A6E" w:rsidRDefault="003B3804" w:rsidP="00713DEA">
            <w:pPr>
              <w:jc w:val="right"/>
              <w:rPr>
                <w:sz w:val="16"/>
                <w:szCs w:val="18"/>
                <w:lang w:val="sq-AL"/>
              </w:rPr>
            </w:pPr>
            <w:r w:rsidRPr="004E5A6E">
              <w:rPr>
                <w:sz w:val="16"/>
                <w:szCs w:val="18"/>
                <w:lang w:val="sq-AL"/>
              </w:rPr>
              <w:t>-5.2%</w:t>
            </w:r>
          </w:p>
        </w:tc>
        <w:tc>
          <w:tcPr>
            <w:tcW w:w="863" w:type="dxa"/>
            <w:tcBorders>
              <w:top w:val="nil"/>
              <w:left w:val="nil"/>
              <w:bottom w:val="dotted" w:sz="4" w:space="0" w:color="auto"/>
              <w:right w:val="dotted" w:sz="4" w:space="0" w:color="auto"/>
            </w:tcBorders>
            <w:shd w:val="clear" w:color="000000" w:fill="DEEAF6"/>
            <w:noWrap/>
            <w:vAlign w:val="center"/>
            <w:hideMark/>
          </w:tcPr>
          <w:p w14:paraId="4264D9B8" w14:textId="77777777" w:rsidR="003B3804" w:rsidRPr="004E5A6E" w:rsidRDefault="003B3804" w:rsidP="00713DEA">
            <w:pPr>
              <w:jc w:val="right"/>
              <w:rPr>
                <w:sz w:val="16"/>
                <w:szCs w:val="18"/>
                <w:lang w:val="sq-AL"/>
              </w:rPr>
            </w:pPr>
            <w:r w:rsidRPr="004E5A6E">
              <w:rPr>
                <w:sz w:val="16"/>
                <w:szCs w:val="18"/>
                <w:lang w:val="sq-AL"/>
              </w:rPr>
              <w:t>-9.2%</w:t>
            </w:r>
          </w:p>
        </w:tc>
        <w:tc>
          <w:tcPr>
            <w:tcW w:w="863" w:type="dxa"/>
            <w:tcBorders>
              <w:top w:val="nil"/>
              <w:left w:val="nil"/>
              <w:bottom w:val="dotted" w:sz="4" w:space="0" w:color="auto"/>
              <w:right w:val="single" w:sz="8" w:space="0" w:color="auto"/>
            </w:tcBorders>
            <w:shd w:val="clear" w:color="000000" w:fill="DEEAF6"/>
            <w:vAlign w:val="center"/>
            <w:hideMark/>
          </w:tcPr>
          <w:p w14:paraId="3201473B" w14:textId="77777777" w:rsidR="003B3804" w:rsidRPr="004E5A6E" w:rsidRDefault="003B3804" w:rsidP="00713DEA">
            <w:pPr>
              <w:jc w:val="right"/>
              <w:rPr>
                <w:i/>
                <w:iCs/>
                <w:sz w:val="16"/>
                <w:szCs w:val="18"/>
                <w:lang w:val="sq-AL"/>
              </w:rPr>
            </w:pPr>
            <w:r w:rsidRPr="004E5A6E">
              <w:rPr>
                <w:i/>
                <w:iCs/>
                <w:sz w:val="16"/>
                <w:szCs w:val="18"/>
                <w:lang w:val="sq-AL"/>
              </w:rPr>
              <w:t>n/a</w:t>
            </w:r>
          </w:p>
        </w:tc>
      </w:tr>
      <w:tr w:rsidR="003B3804" w:rsidRPr="004E5A6E" w14:paraId="49557FBC" w14:textId="77777777" w:rsidTr="00713DEA">
        <w:trPr>
          <w:trHeight w:val="292"/>
        </w:trPr>
        <w:tc>
          <w:tcPr>
            <w:tcW w:w="981" w:type="dxa"/>
            <w:vMerge/>
            <w:tcBorders>
              <w:top w:val="nil"/>
              <w:left w:val="single" w:sz="8" w:space="0" w:color="auto"/>
              <w:bottom w:val="single" w:sz="8" w:space="0" w:color="000000"/>
              <w:right w:val="dotted" w:sz="4" w:space="0" w:color="auto"/>
            </w:tcBorders>
            <w:vAlign w:val="center"/>
            <w:hideMark/>
          </w:tcPr>
          <w:p w14:paraId="533AEE2F" w14:textId="77777777" w:rsidR="003B3804" w:rsidRPr="004E5A6E" w:rsidRDefault="003B3804" w:rsidP="00713DEA">
            <w:pPr>
              <w:rPr>
                <w:b/>
                <w:bCs/>
                <w:sz w:val="16"/>
                <w:szCs w:val="18"/>
                <w:lang w:val="sq-AL"/>
              </w:rPr>
            </w:pPr>
          </w:p>
        </w:tc>
        <w:tc>
          <w:tcPr>
            <w:tcW w:w="2767" w:type="dxa"/>
            <w:tcBorders>
              <w:top w:val="nil"/>
              <w:left w:val="nil"/>
              <w:bottom w:val="dotted" w:sz="4" w:space="0" w:color="auto"/>
              <w:right w:val="dotted" w:sz="4" w:space="0" w:color="auto"/>
            </w:tcBorders>
            <w:shd w:val="clear" w:color="000000" w:fill="DEEAF6"/>
            <w:noWrap/>
            <w:vAlign w:val="center"/>
            <w:hideMark/>
          </w:tcPr>
          <w:p w14:paraId="16D06B1A" w14:textId="77777777" w:rsidR="003B3804" w:rsidRPr="004E5A6E" w:rsidRDefault="003B3804" w:rsidP="00713DEA">
            <w:pPr>
              <w:ind w:firstLineChars="100" w:firstLine="160"/>
              <w:rPr>
                <w:i/>
                <w:iCs/>
                <w:sz w:val="16"/>
                <w:szCs w:val="18"/>
                <w:lang w:val="sq-AL"/>
              </w:rPr>
            </w:pPr>
            <w:r w:rsidRPr="004E5A6E">
              <w:rPr>
                <w:i/>
                <w:iCs/>
                <w:sz w:val="16"/>
                <w:szCs w:val="18"/>
                <w:lang w:val="sq-AL"/>
              </w:rPr>
              <w:t>Shpenzimet e përsëritura</w:t>
            </w:r>
          </w:p>
        </w:tc>
        <w:tc>
          <w:tcPr>
            <w:tcW w:w="741" w:type="dxa"/>
            <w:tcBorders>
              <w:top w:val="nil"/>
              <w:left w:val="nil"/>
              <w:bottom w:val="dotted" w:sz="4" w:space="0" w:color="auto"/>
              <w:right w:val="dotted" w:sz="4" w:space="0" w:color="auto"/>
            </w:tcBorders>
            <w:shd w:val="clear" w:color="000000" w:fill="DEEAF6"/>
            <w:noWrap/>
            <w:vAlign w:val="center"/>
            <w:hideMark/>
          </w:tcPr>
          <w:p w14:paraId="54A978BF" w14:textId="77777777" w:rsidR="003B3804" w:rsidRPr="004E5A6E" w:rsidRDefault="003B3804" w:rsidP="00713DEA">
            <w:pPr>
              <w:jc w:val="right"/>
              <w:rPr>
                <w:sz w:val="16"/>
                <w:szCs w:val="18"/>
                <w:lang w:val="sq-AL"/>
              </w:rPr>
            </w:pPr>
            <w:r w:rsidRPr="004E5A6E">
              <w:rPr>
                <w:sz w:val="16"/>
                <w:szCs w:val="18"/>
                <w:lang w:val="sq-AL"/>
              </w:rPr>
              <w:t>0.0%</w:t>
            </w:r>
          </w:p>
        </w:tc>
        <w:tc>
          <w:tcPr>
            <w:tcW w:w="863" w:type="dxa"/>
            <w:tcBorders>
              <w:top w:val="nil"/>
              <w:left w:val="nil"/>
              <w:bottom w:val="dotted" w:sz="4" w:space="0" w:color="auto"/>
              <w:right w:val="dotted" w:sz="4" w:space="0" w:color="auto"/>
            </w:tcBorders>
            <w:shd w:val="clear" w:color="000000" w:fill="DEEAF6"/>
            <w:noWrap/>
            <w:vAlign w:val="center"/>
            <w:hideMark/>
          </w:tcPr>
          <w:p w14:paraId="048A08FD" w14:textId="77777777" w:rsidR="003B3804" w:rsidRPr="004E5A6E" w:rsidRDefault="003B3804" w:rsidP="00713DEA">
            <w:pPr>
              <w:jc w:val="right"/>
              <w:rPr>
                <w:sz w:val="16"/>
                <w:szCs w:val="18"/>
                <w:lang w:val="sq-AL"/>
              </w:rPr>
            </w:pPr>
            <w:r w:rsidRPr="004E5A6E">
              <w:rPr>
                <w:sz w:val="16"/>
                <w:szCs w:val="18"/>
                <w:lang w:val="sq-AL"/>
              </w:rPr>
              <w:t>-1.4%</w:t>
            </w:r>
          </w:p>
        </w:tc>
        <w:tc>
          <w:tcPr>
            <w:tcW w:w="863" w:type="dxa"/>
            <w:tcBorders>
              <w:top w:val="nil"/>
              <w:left w:val="nil"/>
              <w:bottom w:val="dotted" w:sz="4" w:space="0" w:color="auto"/>
              <w:right w:val="dotted" w:sz="4" w:space="0" w:color="auto"/>
            </w:tcBorders>
            <w:shd w:val="clear" w:color="000000" w:fill="DEEAF6"/>
            <w:noWrap/>
            <w:vAlign w:val="center"/>
            <w:hideMark/>
          </w:tcPr>
          <w:p w14:paraId="3E877DF8" w14:textId="77777777" w:rsidR="003B3804" w:rsidRPr="004E5A6E" w:rsidRDefault="003B3804" w:rsidP="00713DEA">
            <w:pPr>
              <w:jc w:val="right"/>
              <w:rPr>
                <w:sz w:val="16"/>
                <w:szCs w:val="18"/>
                <w:lang w:val="sq-AL"/>
              </w:rPr>
            </w:pPr>
            <w:r w:rsidRPr="004E5A6E">
              <w:rPr>
                <w:sz w:val="16"/>
                <w:szCs w:val="18"/>
                <w:lang w:val="sq-AL"/>
              </w:rPr>
              <w:t>13.2%</w:t>
            </w:r>
          </w:p>
        </w:tc>
        <w:tc>
          <w:tcPr>
            <w:tcW w:w="863" w:type="dxa"/>
            <w:tcBorders>
              <w:top w:val="nil"/>
              <w:left w:val="nil"/>
              <w:bottom w:val="dotted" w:sz="4" w:space="0" w:color="auto"/>
              <w:right w:val="dotted" w:sz="4" w:space="0" w:color="auto"/>
            </w:tcBorders>
            <w:shd w:val="clear" w:color="000000" w:fill="DEEAF6"/>
            <w:noWrap/>
            <w:vAlign w:val="center"/>
            <w:hideMark/>
          </w:tcPr>
          <w:p w14:paraId="6EF86570" w14:textId="77777777" w:rsidR="003B3804" w:rsidRPr="004E5A6E" w:rsidRDefault="003B3804" w:rsidP="00713DEA">
            <w:pPr>
              <w:jc w:val="right"/>
              <w:rPr>
                <w:sz w:val="16"/>
                <w:szCs w:val="18"/>
                <w:lang w:val="sq-AL"/>
              </w:rPr>
            </w:pPr>
            <w:r w:rsidRPr="004E5A6E">
              <w:rPr>
                <w:sz w:val="16"/>
                <w:szCs w:val="18"/>
                <w:lang w:val="sq-AL"/>
              </w:rPr>
              <w:t>4.5%</w:t>
            </w:r>
          </w:p>
        </w:tc>
        <w:tc>
          <w:tcPr>
            <w:tcW w:w="863" w:type="dxa"/>
            <w:tcBorders>
              <w:top w:val="nil"/>
              <w:left w:val="nil"/>
              <w:bottom w:val="dotted" w:sz="4" w:space="0" w:color="auto"/>
              <w:right w:val="dotted" w:sz="4" w:space="0" w:color="auto"/>
            </w:tcBorders>
            <w:shd w:val="clear" w:color="000000" w:fill="DEEAF6"/>
            <w:noWrap/>
            <w:vAlign w:val="center"/>
            <w:hideMark/>
          </w:tcPr>
          <w:p w14:paraId="4A586B6E" w14:textId="77777777" w:rsidR="003B3804" w:rsidRPr="004E5A6E" w:rsidRDefault="003B3804" w:rsidP="00713DEA">
            <w:pPr>
              <w:jc w:val="right"/>
              <w:rPr>
                <w:sz w:val="16"/>
                <w:szCs w:val="18"/>
                <w:lang w:val="sq-AL"/>
              </w:rPr>
            </w:pPr>
            <w:r w:rsidRPr="004E5A6E">
              <w:rPr>
                <w:sz w:val="16"/>
                <w:szCs w:val="18"/>
                <w:lang w:val="sq-AL"/>
              </w:rPr>
              <w:t>-4.6%</w:t>
            </w:r>
          </w:p>
        </w:tc>
        <w:tc>
          <w:tcPr>
            <w:tcW w:w="863" w:type="dxa"/>
            <w:tcBorders>
              <w:top w:val="nil"/>
              <w:left w:val="nil"/>
              <w:bottom w:val="dotted" w:sz="4" w:space="0" w:color="auto"/>
              <w:right w:val="single" w:sz="8" w:space="0" w:color="auto"/>
            </w:tcBorders>
            <w:shd w:val="clear" w:color="000000" w:fill="DEEAF6"/>
            <w:vAlign w:val="center"/>
            <w:hideMark/>
          </w:tcPr>
          <w:p w14:paraId="3D1E2A9C" w14:textId="77777777" w:rsidR="003B3804" w:rsidRPr="004E5A6E" w:rsidRDefault="003B3804" w:rsidP="00713DEA">
            <w:pPr>
              <w:jc w:val="right"/>
              <w:rPr>
                <w:i/>
                <w:iCs/>
                <w:sz w:val="16"/>
                <w:szCs w:val="18"/>
                <w:lang w:val="sq-AL"/>
              </w:rPr>
            </w:pPr>
            <w:r w:rsidRPr="004E5A6E">
              <w:rPr>
                <w:i/>
                <w:iCs/>
                <w:sz w:val="16"/>
                <w:szCs w:val="18"/>
                <w:lang w:val="sq-AL"/>
              </w:rPr>
              <w:t>n/a</w:t>
            </w:r>
          </w:p>
        </w:tc>
      </w:tr>
      <w:tr w:rsidR="003B3804" w:rsidRPr="004E5A6E" w14:paraId="21B6F89E" w14:textId="77777777" w:rsidTr="00713DEA">
        <w:trPr>
          <w:trHeight w:val="292"/>
        </w:trPr>
        <w:tc>
          <w:tcPr>
            <w:tcW w:w="981" w:type="dxa"/>
            <w:vMerge/>
            <w:tcBorders>
              <w:top w:val="nil"/>
              <w:left w:val="single" w:sz="8" w:space="0" w:color="auto"/>
              <w:bottom w:val="single" w:sz="8" w:space="0" w:color="000000"/>
              <w:right w:val="dotted" w:sz="4" w:space="0" w:color="auto"/>
            </w:tcBorders>
            <w:vAlign w:val="center"/>
            <w:hideMark/>
          </w:tcPr>
          <w:p w14:paraId="701219B3" w14:textId="77777777" w:rsidR="003B3804" w:rsidRPr="004E5A6E" w:rsidRDefault="003B3804" w:rsidP="00713DEA">
            <w:pPr>
              <w:rPr>
                <w:b/>
                <w:bCs/>
                <w:sz w:val="16"/>
                <w:szCs w:val="18"/>
                <w:lang w:val="sq-AL"/>
              </w:rPr>
            </w:pPr>
          </w:p>
        </w:tc>
        <w:tc>
          <w:tcPr>
            <w:tcW w:w="2767" w:type="dxa"/>
            <w:tcBorders>
              <w:top w:val="nil"/>
              <w:left w:val="nil"/>
              <w:bottom w:val="dotted" w:sz="4" w:space="0" w:color="auto"/>
              <w:right w:val="dotted" w:sz="4" w:space="0" w:color="auto"/>
            </w:tcBorders>
            <w:shd w:val="clear" w:color="000000" w:fill="DEEAF6"/>
            <w:noWrap/>
            <w:vAlign w:val="center"/>
            <w:hideMark/>
          </w:tcPr>
          <w:p w14:paraId="0170D008" w14:textId="77777777" w:rsidR="003B3804" w:rsidRPr="004E5A6E" w:rsidRDefault="003B3804" w:rsidP="00713DEA">
            <w:pPr>
              <w:ind w:firstLineChars="100" w:firstLine="160"/>
              <w:rPr>
                <w:i/>
                <w:iCs/>
                <w:sz w:val="16"/>
                <w:szCs w:val="18"/>
                <w:lang w:val="sq-AL"/>
              </w:rPr>
            </w:pPr>
            <w:r w:rsidRPr="004E5A6E">
              <w:rPr>
                <w:i/>
                <w:iCs/>
                <w:sz w:val="16"/>
                <w:szCs w:val="18"/>
                <w:lang w:val="sq-AL"/>
              </w:rPr>
              <w:t>Shpenzimet kapitale</w:t>
            </w:r>
          </w:p>
        </w:tc>
        <w:tc>
          <w:tcPr>
            <w:tcW w:w="741" w:type="dxa"/>
            <w:tcBorders>
              <w:top w:val="nil"/>
              <w:left w:val="nil"/>
              <w:bottom w:val="dotted" w:sz="4" w:space="0" w:color="auto"/>
              <w:right w:val="dotted" w:sz="4" w:space="0" w:color="auto"/>
            </w:tcBorders>
            <w:shd w:val="clear" w:color="000000" w:fill="DEEAF6"/>
            <w:noWrap/>
            <w:vAlign w:val="center"/>
            <w:hideMark/>
          </w:tcPr>
          <w:p w14:paraId="5FE97AE0" w14:textId="77777777" w:rsidR="003B3804" w:rsidRPr="004E5A6E" w:rsidRDefault="003B3804" w:rsidP="00713DEA">
            <w:pPr>
              <w:jc w:val="right"/>
              <w:rPr>
                <w:sz w:val="16"/>
                <w:szCs w:val="18"/>
                <w:lang w:val="sq-AL"/>
              </w:rPr>
            </w:pPr>
            <w:r w:rsidRPr="004E5A6E">
              <w:rPr>
                <w:sz w:val="16"/>
                <w:szCs w:val="18"/>
                <w:lang w:val="sq-AL"/>
              </w:rPr>
              <w:t>0.0%</w:t>
            </w:r>
          </w:p>
        </w:tc>
        <w:tc>
          <w:tcPr>
            <w:tcW w:w="863" w:type="dxa"/>
            <w:tcBorders>
              <w:top w:val="nil"/>
              <w:left w:val="nil"/>
              <w:bottom w:val="dotted" w:sz="4" w:space="0" w:color="auto"/>
              <w:right w:val="dotted" w:sz="4" w:space="0" w:color="auto"/>
            </w:tcBorders>
            <w:shd w:val="clear" w:color="000000" w:fill="DEEAF6"/>
            <w:noWrap/>
            <w:vAlign w:val="center"/>
            <w:hideMark/>
          </w:tcPr>
          <w:p w14:paraId="1B1BD785" w14:textId="77777777" w:rsidR="003B3804" w:rsidRPr="004E5A6E" w:rsidRDefault="003B3804" w:rsidP="00713DEA">
            <w:pPr>
              <w:jc w:val="right"/>
              <w:rPr>
                <w:sz w:val="16"/>
                <w:szCs w:val="18"/>
                <w:lang w:val="sq-AL"/>
              </w:rPr>
            </w:pPr>
            <w:r w:rsidRPr="004E5A6E">
              <w:rPr>
                <w:sz w:val="16"/>
                <w:szCs w:val="18"/>
                <w:lang w:val="sq-AL"/>
              </w:rPr>
              <w:t>-32.7%</w:t>
            </w:r>
          </w:p>
        </w:tc>
        <w:tc>
          <w:tcPr>
            <w:tcW w:w="863" w:type="dxa"/>
            <w:tcBorders>
              <w:top w:val="nil"/>
              <w:left w:val="nil"/>
              <w:bottom w:val="dotted" w:sz="4" w:space="0" w:color="auto"/>
              <w:right w:val="dotted" w:sz="4" w:space="0" w:color="auto"/>
            </w:tcBorders>
            <w:shd w:val="clear" w:color="000000" w:fill="DEEAF6"/>
            <w:noWrap/>
            <w:vAlign w:val="center"/>
            <w:hideMark/>
          </w:tcPr>
          <w:p w14:paraId="1627B6BA" w14:textId="77777777" w:rsidR="003B3804" w:rsidRPr="004E5A6E" w:rsidRDefault="003B3804" w:rsidP="00713DEA">
            <w:pPr>
              <w:jc w:val="right"/>
              <w:rPr>
                <w:sz w:val="16"/>
                <w:szCs w:val="18"/>
                <w:lang w:val="sq-AL"/>
              </w:rPr>
            </w:pPr>
            <w:r w:rsidRPr="004E5A6E">
              <w:rPr>
                <w:sz w:val="16"/>
                <w:szCs w:val="18"/>
                <w:lang w:val="sq-AL"/>
              </w:rPr>
              <w:t>-8.0%</w:t>
            </w:r>
          </w:p>
        </w:tc>
        <w:tc>
          <w:tcPr>
            <w:tcW w:w="863" w:type="dxa"/>
            <w:tcBorders>
              <w:top w:val="nil"/>
              <w:left w:val="nil"/>
              <w:bottom w:val="dotted" w:sz="4" w:space="0" w:color="auto"/>
              <w:right w:val="dotted" w:sz="4" w:space="0" w:color="auto"/>
            </w:tcBorders>
            <w:shd w:val="clear" w:color="000000" w:fill="DEEAF6"/>
            <w:noWrap/>
            <w:vAlign w:val="center"/>
            <w:hideMark/>
          </w:tcPr>
          <w:p w14:paraId="0C99B3E6" w14:textId="77777777" w:rsidR="003B3804" w:rsidRPr="004E5A6E" w:rsidRDefault="003B3804" w:rsidP="00713DEA">
            <w:pPr>
              <w:jc w:val="right"/>
              <w:rPr>
                <w:sz w:val="16"/>
                <w:szCs w:val="18"/>
                <w:lang w:val="sq-AL"/>
              </w:rPr>
            </w:pPr>
            <w:r w:rsidRPr="004E5A6E">
              <w:rPr>
                <w:sz w:val="16"/>
                <w:szCs w:val="18"/>
                <w:lang w:val="sq-AL"/>
              </w:rPr>
              <w:t>-25.3%</w:t>
            </w:r>
          </w:p>
        </w:tc>
        <w:tc>
          <w:tcPr>
            <w:tcW w:w="863" w:type="dxa"/>
            <w:tcBorders>
              <w:top w:val="nil"/>
              <w:left w:val="nil"/>
              <w:bottom w:val="dotted" w:sz="4" w:space="0" w:color="auto"/>
              <w:right w:val="dotted" w:sz="4" w:space="0" w:color="auto"/>
            </w:tcBorders>
            <w:shd w:val="clear" w:color="000000" w:fill="DEEAF6"/>
            <w:noWrap/>
            <w:vAlign w:val="center"/>
            <w:hideMark/>
          </w:tcPr>
          <w:p w14:paraId="7F97261D" w14:textId="77777777" w:rsidR="003B3804" w:rsidRPr="004E5A6E" w:rsidRDefault="003B3804" w:rsidP="00713DEA">
            <w:pPr>
              <w:jc w:val="right"/>
              <w:rPr>
                <w:sz w:val="16"/>
                <w:szCs w:val="18"/>
                <w:lang w:val="sq-AL"/>
              </w:rPr>
            </w:pPr>
            <w:r w:rsidRPr="004E5A6E">
              <w:rPr>
                <w:sz w:val="16"/>
                <w:szCs w:val="18"/>
                <w:lang w:val="sq-AL"/>
              </w:rPr>
              <w:t>-19.8%</w:t>
            </w:r>
          </w:p>
        </w:tc>
        <w:tc>
          <w:tcPr>
            <w:tcW w:w="863" w:type="dxa"/>
            <w:tcBorders>
              <w:top w:val="nil"/>
              <w:left w:val="nil"/>
              <w:bottom w:val="dotted" w:sz="4" w:space="0" w:color="auto"/>
              <w:right w:val="single" w:sz="8" w:space="0" w:color="auto"/>
            </w:tcBorders>
            <w:shd w:val="clear" w:color="000000" w:fill="DEEAF6"/>
            <w:vAlign w:val="center"/>
            <w:hideMark/>
          </w:tcPr>
          <w:p w14:paraId="649E2324" w14:textId="77777777" w:rsidR="003B3804" w:rsidRPr="004E5A6E" w:rsidRDefault="003B3804" w:rsidP="00713DEA">
            <w:pPr>
              <w:jc w:val="right"/>
              <w:rPr>
                <w:i/>
                <w:iCs/>
                <w:sz w:val="16"/>
                <w:szCs w:val="18"/>
                <w:lang w:val="sq-AL"/>
              </w:rPr>
            </w:pPr>
            <w:r w:rsidRPr="004E5A6E">
              <w:rPr>
                <w:i/>
                <w:iCs/>
                <w:sz w:val="16"/>
                <w:szCs w:val="18"/>
                <w:lang w:val="sq-AL"/>
              </w:rPr>
              <w:t>n/a</w:t>
            </w:r>
          </w:p>
        </w:tc>
      </w:tr>
      <w:tr w:rsidR="003B3804" w:rsidRPr="004E5A6E" w14:paraId="1A9B9BB5" w14:textId="77777777" w:rsidTr="00713DEA">
        <w:trPr>
          <w:trHeight w:val="292"/>
        </w:trPr>
        <w:tc>
          <w:tcPr>
            <w:tcW w:w="981" w:type="dxa"/>
            <w:vMerge/>
            <w:tcBorders>
              <w:top w:val="nil"/>
              <w:left w:val="single" w:sz="8" w:space="0" w:color="auto"/>
              <w:bottom w:val="single" w:sz="8" w:space="0" w:color="000000"/>
              <w:right w:val="dotted" w:sz="4" w:space="0" w:color="auto"/>
            </w:tcBorders>
            <w:vAlign w:val="center"/>
            <w:hideMark/>
          </w:tcPr>
          <w:p w14:paraId="036C8564" w14:textId="77777777" w:rsidR="003B3804" w:rsidRPr="004E5A6E" w:rsidRDefault="003B3804" w:rsidP="00713DEA">
            <w:pPr>
              <w:rPr>
                <w:b/>
                <w:bCs/>
                <w:sz w:val="16"/>
                <w:szCs w:val="18"/>
                <w:lang w:val="sq-AL"/>
              </w:rPr>
            </w:pPr>
          </w:p>
        </w:tc>
        <w:tc>
          <w:tcPr>
            <w:tcW w:w="2767" w:type="dxa"/>
            <w:tcBorders>
              <w:top w:val="nil"/>
              <w:left w:val="nil"/>
              <w:bottom w:val="dotted" w:sz="4" w:space="0" w:color="auto"/>
              <w:right w:val="dotted" w:sz="4" w:space="0" w:color="auto"/>
            </w:tcBorders>
            <w:shd w:val="clear" w:color="000000" w:fill="DEEAF6"/>
            <w:noWrap/>
            <w:vAlign w:val="center"/>
            <w:hideMark/>
          </w:tcPr>
          <w:p w14:paraId="75460572" w14:textId="77777777" w:rsidR="003B3804" w:rsidRPr="004E5A6E" w:rsidRDefault="003B3804" w:rsidP="00713DEA">
            <w:pPr>
              <w:rPr>
                <w:sz w:val="16"/>
                <w:szCs w:val="18"/>
                <w:lang w:val="sq-AL"/>
              </w:rPr>
            </w:pPr>
            <w:r w:rsidRPr="004E5A6E">
              <w:rPr>
                <w:sz w:val="16"/>
                <w:szCs w:val="18"/>
                <w:lang w:val="sq-AL"/>
              </w:rPr>
              <w:t>Bilanci i përgjithshëm i buxhetit</w:t>
            </w:r>
          </w:p>
        </w:tc>
        <w:tc>
          <w:tcPr>
            <w:tcW w:w="741" w:type="dxa"/>
            <w:tcBorders>
              <w:top w:val="nil"/>
              <w:left w:val="nil"/>
              <w:bottom w:val="dotted" w:sz="4" w:space="0" w:color="auto"/>
              <w:right w:val="dotted" w:sz="4" w:space="0" w:color="auto"/>
            </w:tcBorders>
            <w:shd w:val="clear" w:color="000000" w:fill="DEEAF6"/>
            <w:noWrap/>
            <w:vAlign w:val="center"/>
            <w:hideMark/>
          </w:tcPr>
          <w:p w14:paraId="1A4BE87E" w14:textId="77777777" w:rsidR="003B3804" w:rsidRPr="004E5A6E" w:rsidRDefault="003B3804" w:rsidP="00713DEA">
            <w:pPr>
              <w:jc w:val="right"/>
              <w:rPr>
                <w:sz w:val="16"/>
                <w:szCs w:val="18"/>
                <w:lang w:val="sq-AL"/>
              </w:rPr>
            </w:pPr>
            <w:r w:rsidRPr="004E5A6E">
              <w:rPr>
                <w:sz w:val="16"/>
                <w:szCs w:val="18"/>
                <w:lang w:val="sq-AL"/>
              </w:rPr>
              <w:t>0.0%</w:t>
            </w:r>
          </w:p>
        </w:tc>
        <w:tc>
          <w:tcPr>
            <w:tcW w:w="863" w:type="dxa"/>
            <w:tcBorders>
              <w:top w:val="nil"/>
              <w:left w:val="nil"/>
              <w:bottom w:val="dotted" w:sz="4" w:space="0" w:color="auto"/>
              <w:right w:val="dotted" w:sz="4" w:space="0" w:color="auto"/>
            </w:tcBorders>
            <w:shd w:val="clear" w:color="000000" w:fill="DEEAF6"/>
            <w:noWrap/>
            <w:vAlign w:val="center"/>
            <w:hideMark/>
          </w:tcPr>
          <w:p w14:paraId="6D22E9D6" w14:textId="77777777" w:rsidR="003B3804" w:rsidRPr="004E5A6E" w:rsidRDefault="003B3804" w:rsidP="00713DEA">
            <w:pPr>
              <w:jc w:val="right"/>
              <w:rPr>
                <w:sz w:val="16"/>
                <w:szCs w:val="18"/>
                <w:lang w:val="sq-AL"/>
              </w:rPr>
            </w:pPr>
            <w:r w:rsidRPr="004E5A6E">
              <w:rPr>
                <w:sz w:val="16"/>
                <w:szCs w:val="18"/>
                <w:lang w:val="sq-AL"/>
              </w:rPr>
              <w:t>52.1%</w:t>
            </w:r>
          </w:p>
        </w:tc>
        <w:tc>
          <w:tcPr>
            <w:tcW w:w="863" w:type="dxa"/>
            <w:tcBorders>
              <w:top w:val="nil"/>
              <w:left w:val="nil"/>
              <w:bottom w:val="dotted" w:sz="4" w:space="0" w:color="auto"/>
              <w:right w:val="dotted" w:sz="4" w:space="0" w:color="auto"/>
            </w:tcBorders>
            <w:shd w:val="clear" w:color="000000" w:fill="DEEAF6"/>
            <w:noWrap/>
            <w:vAlign w:val="center"/>
            <w:hideMark/>
          </w:tcPr>
          <w:p w14:paraId="6F719C31" w14:textId="77777777" w:rsidR="003B3804" w:rsidRPr="004E5A6E" w:rsidRDefault="003B3804" w:rsidP="00713DEA">
            <w:pPr>
              <w:jc w:val="right"/>
              <w:rPr>
                <w:sz w:val="16"/>
                <w:szCs w:val="18"/>
                <w:lang w:val="sq-AL"/>
              </w:rPr>
            </w:pPr>
            <w:r w:rsidRPr="004E5A6E">
              <w:rPr>
                <w:sz w:val="16"/>
                <w:szCs w:val="18"/>
                <w:lang w:val="sq-AL"/>
              </w:rPr>
              <w:t>-98.5%</w:t>
            </w:r>
          </w:p>
        </w:tc>
        <w:tc>
          <w:tcPr>
            <w:tcW w:w="863" w:type="dxa"/>
            <w:tcBorders>
              <w:top w:val="nil"/>
              <w:left w:val="nil"/>
              <w:bottom w:val="dotted" w:sz="4" w:space="0" w:color="auto"/>
              <w:right w:val="dotted" w:sz="4" w:space="0" w:color="auto"/>
            </w:tcBorders>
            <w:shd w:val="clear" w:color="000000" w:fill="DEEAF6"/>
            <w:noWrap/>
            <w:vAlign w:val="center"/>
            <w:hideMark/>
          </w:tcPr>
          <w:p w14:paraId="748201E7" w14:textId="77777777" w:rsidR="003B3804" w:rsidRPr="004E5A6E" w:rsidRDefault="003B3804" w:rsidP="00713DEA">
            <w:pPr>
              <w:jc w:val="right"/>
              <w:rPr>
                <w:sz w:val="16"/>
                <w:szCs w:val="18"/>
                <w:lang w:val="sq-AL"/>
              </w:rPr>
            </w:pPr>
            <w:r w:rsidRPr="004E5A6E">
              <w:rPr>
                <w:sz w:val="16"/>
                <w:szCs w:val="18"/>
                <w:lang w:val="sq-AL"/>
              </w:rPr>
              <w:t>-25.4%</w:t>
            </w:r>
          </w:p>
        </w:tc>
        <w:tc>
          <w:tcPr>
            <w:tcW w:w="863" w:type="dxa"/>
            <w:tcBorders>
              <w:top w:val="nil"/>
              <w:left w:val="nil"/>
              <w:bottom w:val="dotted" w:sz="4" w:space="0" w:color="auto"/>
              <w:right w:val="dotted" w:sz="4" w:space="0" w:color="auto"/>
            </w:tcBorders>
            <w:shd w:val="clear" w:color="000000" w:fill="DEEAF6"/>
            <w:noWrap/>
            <w:vAlign w:val="center"/>
            <w:hideMark/>
          </w:tcPr>
          <w:p w14:paraId="3A8FEFBB" w14:textId="77777777" w:rsidR="003B3804" w:rsidRPr="004E5A6E" w:rsidRDefault="003B3804" w:rsidP="00713DEA">
            <w:pPr>
              <w:jc w:val="right"/>
              <w:rPr>
                <w:sz w:val="16"/>
                <w:szCs w:val="18"/>
                <w:lang w:val="sq-AL"/>
              </w:rPr>
            </w:pPr>
            <w:r w:rsidRPr="004E5A6E">
              <w:rPr>
                <w:sz w:val="16"/>
                <w:szCs w:val="18"/>
                <w:lang w:val="sq-AL"/>
              </w:rPr>
              <w:t>0.6%</w:t>
            </w:r>
          </w:p>
        </w:tc>
        <w:tc>
          <w:tcPr>
            <w:tcW w:w="863" w:type="dxa"/>
            <w:tcBorders>
              <w:top w:val="nil"/>
              <w:left w:val="nil"/>
              <w:bottom w:val="dotted" w:sz="4" w:space="0" w:color="auto"/>
              <w:right w:val="single" w:sz="8" w:space="0" w:color="auto"/>
            </w:tcBorders>
            <w:shd w:val="clear" w:color="000000" w:fill="DEEAF6"/>
            <w:vAlign w:val="center"/>
            <w:hideMark/>
          </w:tcPr>
          <w:p w14:paraId="3EECB9AB" w14:textId="77777777" w:rsidR="003B3804" w:rsidRPr="004E5A6E" w:rsidRDefault="003B3804" w:rsidP="00713DEA">
            <w:pPr>
              <w:jc w:val="right"/>
              <w:rPr>
                <w:i/>
                <w:iCs/>
                <w:sz w:val="16"/>
                <w:szCs w:val="18"/>
                <w:lang w:val="sq-AL"/>
              </w:rPr>
            </w:pPr>
            <w:r w:rsidRPr="004E5A6E">
              <w:rPr>
                <w:i/>
                <w:iCs/>
                <w:sz w:val="16"/>
                <w:szCs w:val="18"/>
                <w:lang w:val="sq-AL"/>
              </w:rPr>
              <w:t>n/a</w:t>
            </w:r>
          </w:p>
        </w:tc>
      </w:tr>
      <w:tr w:rsidR="003B3804" w:rsidRPr="004E5A6E" w14:paraId="1F6E8C9D" w14:textId="77777777" w:rsidTr="00713DEA">
        <w:trPr>
          <w:trHeight w:val="292"/>
        </w:trPr>
        <w:tc>
          <w:tcPr>
            <w:tcW w:w="981" w:type="dxa"/>
            <w:vMerge/>
            <w:tcBorders>
              <w:top w:val="nil"/>
              <w:left w:val="single" w:sz="8" w:space="0" w:color="auto"/>
              <w:bottom w:val="single" w:sz="8" w:space="0" w:color="000000"/>
              <w:right w:val="dotted" w:sz="4" w:space="0" w:color="auto"/>
            </w:tcBorders>
            <w:vAlign w:val="center"/>
            <w:hideMark/>
          </w:tcPr>
          <w:p w14:paraId="5EB12646" w14:textId="77777777" w:rsidR="003B3804" w:rsidRPr="004E5A6E" w:rsidRDefault="003B3804" w:rsidP="00713DEA">
            <w:pPr>
              <w:rPr>
                <w:b/>
                <w:bCs/>
                <w:sz w:val="16"/>
                <w:szCs w:val="18"/>
                <w:lang w:val="sq-AL"/>
              </w:rPr>
            </w:pPr>
          </w:p>
        </w:tc>
        <w:tc>
          <w:tcPr>
            <w:tcW w:w="2767" w:type="dxa"/>
            <w:tcBorders>
              <w:top w:val="nil"/>
              <w:left w:val="nil"/>
              <w:bottom w:val="dotted" w:sz="4" w:space="0" w:color="auto"/>
              <w:right w:val="dotted" w:sz="4" w:space="0" w:color="auto"/>
            </w:tcBorders>
            <w:shd w:val="clear" w:color="000000" w:fill="DEEAF6"/>
            <w:noWrap/>
            <w:vAlign w:val="center"/>
            <w:hideMark/>
          </w:tcPr>
          <w:p w14:paraId="4D163C1F" w14:textId="77777777" w:rsidR="003B3804" w:rsidRPr="004E5A6E" w:rsidRDefault="003B3804" w:rsidP="00713DEA">
            <w:pPr>
              <w:rPr>
                <w:i/>
                <w:iCs/>
                <w:sz w:val="16"/>
                <w:szCs w:val="18"/>
                <w:lang w:val="sq-AL"/>
              </w:rPr>
            </w:pPr>
            <w:r w:rsidRPr="004E5A6E">
              <w:rPr>
                <w:i/>
                <w:iCs/>
                <w:sz w:val="16"/>
                <w:szCs w:val="18"/>
                <w:lang w:val="sq-AL"/>
              </w:rPr>
              <w:t>Bilanci i buxhetit (sipas rregullit fiskal)</w:t>
            </w:r>
          </w:p>
        </w:tc>
        <w:tc>
          <w:tcPr>
            <w:tcW w:w="741" w:type="dxa"/>
            <w:tcBorders>
              <w:top w:val="nil"/>
              <w:left w:val="nil"/>
              <w:bottom w:val="dotted" w:sz="4" w:space="0" w:color="auto"/>
              <w:right w:val="dotted" w:sz="4" w:space="0" w:color="auto"/>
            </w:tcBorders>
            <w:shd w:val="clear" w:color="000000" w:fill="DEEAF6"/>
            <w:noWrap/>
            <w:vAlign w:val="center"/>
            <w:hideMark/>
          </w:tcPr>
          <w:p w14:paraId="690D524B" w14:textId="77777777" w:rsidR="003B3804" w:rsidRPr="004E5A6E" w:rsidRDefault="003B3804" w:rsidP="00713DEA">
            <w:pPr>
              <w:jc w:val="right"/>
              <w:rPr>
                <w:sz w:val="16"/>
                <w:szCs w:val="18"/>
                <w:lang w:val="sq-AL"/>
              </w:rPr>
            </w:pPr>
            <w:r w:rsidRPr="004E5A6E">
              <w:rPr>
                <w:sz w:val="16"/>
                <w:szCs w:val="18"/>
                <w:lang w:val="sq-AL"/>
              </w:rPr>
              <w:t>0.0%</w:t>
            </w:r>
          </w:p>
        </w:tc>
        <w:tc>
          <w:tcPr>
            <w:tcW w:w="863" w:type="dxa"/>
            <w:tcBorders>
              <w:top w:val="nil"/>
              <w:left w:val="nil"/>
              <w:bottom w:val="dotted" w:sz="4" w:space="0" w:color="auto"/>
              <w:right w:val="dotted" w:sz="4" w:space="0" w:color="auto"/>
            </w:tcBorders>
            <w:shd w:val="clear" w:color="000000" w:fill="DEEAF6"/>
            <w:noWrap/>
            <w:vAlign w:val="center"/>
            <w:hideMark/>
          </w:tcPr>
          <w:p w14:paraId="3F1AE9B4" w14:textId="77777777" w:rsidR="003B3804" w:rsidRPr="004E5A6E" w:rsidRDefault="003B3804" w:rsidP="00713DEA">
            <w:pPr>
              <w:jc w:val="right"/>
              <w:rPr>
                <w:sz w:val="16"/>
                <w:szCs w:val="18"/>
                <w:lang w:val="sq-AL"/>
              </w:rPr>
            </w:pPr>
            <w:r w:rsidRPr="004E5A6E">
              <w:rPr>
                <w:sz w:val="16"/>
                <w:szCs w:val="18"/>
                <w:lang w:val="sq-AL"/>
              </w:rPr>
              <w:t>80.6%</w:t>
            </w:r>
          </w:p>
        </w:tc>
        <w:tc>
          <w:tcPr>
            <w:tcW w:w="863" w:type="dxa"/>
            <w:tcBorders>
              <w:top w:val="nil"/>
              <w:left w:val="nil"/>
              <w:bottom w:val="dotted" w:sz="4" w:space="0" w:color="auto"/>
              <w:right w:val="dotted" w:sz="4" w:space="0" w:color="auto"/>
            </w:tcBorders>
            <w:shd w:val="clear" w:color="000000" w:fill="DEEAF6"/>
            <w:noWrap/>
            <w:vAlign w:val="center"/>
            <w:hideMark/>
          </w:tcPr>
          <w:p w14:paraId="06846BCC" w14:textId="77777777" w:rsidR="003B3804" w:rsidRPr="004E5A6E" w:rsidRDefault="003B3804" w:rsidP="00713DEA">
            <w:pPr>
              <w:jc w:val="right"/>
              <w:rPr>
                <w:sz w:val="16"/>
                <w:szCs w:val="18"/>
                <w:lang w:val="sq-AL"/>
              </w:rPr>
            </w:pPr>
            <w:r w:rsidRPr="004E5A6E">
              <w:rPr>
                <w:sz w:val="16"/>
                <w:szCs w:val="18"/>
                <w:lang w:val="sq-AL"/>
              </w:rPr>
              <w:t>-192.9%</w:t>
            </w:r>
          </w:p>
        </w:tc>
        <w:tc>
          <w:tcPr>
            <w:tcW w:w="863" w:type="dxa"/>
            <w:tcBorders>
              <w:top w:val="nil"/>
              <w:left w:val="nil"/>
              <w:bottom w:val="dotted" w:sz="4" w:space="0" w:color="auto"/>
              <w:right w:val="dotted" w:sz="4" w:space="0" w:color="auto"/>
            </w:tcBorders>
            <w:shd w:val="clear" w:color="000000" w:fill="DEEAF6"/>
            <w:noWrap/>
            <w:vAlign w:val="center"/>
            <w:hideMark/>
          </w:tcPr>
          <w:p w14:paraId="21281693" w14:textId="77777777" w:rsidR="003B3804" w:rsidRPr="004E5A6E" w:rsidRDefault="003B3804" w:rsidP="00713DEA">
            <w:pPr>
              <w:jc w:val="right"/>
              <w:rPr>
                <w:sz w:val="16"/>
                <w:szCs w:val="18"/>
                <w:lang w:val="sq-AL"/>
              </w:rPr>
            </w:pPr>
            <w:r w:rsidRPr="004E5A6E">
              <w:rPr>
                <w:sz w:val="16"/>
                <w:szCs w:val="18"/>
                <w:lang w:val="sq-AL"/>
              </w:rPr>
              <w:t>-89.6%</w:t>
            </w:r>
          </w:p>
        </w:tc>
        <w:tc>
          <w:tcPr>
            <w:tcW w:w="863" w:type="dxa"/>
            <w:tcBorders>
              <w:top w:val="nil"/>
              <w:left w:val="nil"/>
              <w:bottom w:val="dotted" w:sz="4" w:space="0" w:color="auto"/>
              <w:right w:val="dotted" w:sz="4" w:space="0" w:color="auto"/>
            </w:tcBorders>
            <w:shd w:val="clear" w:color="000000" w:fill="DEEAF6"/>
            <w:noWrap/>
            <w:vAlign w:val="center"/>
            <w:hideMark/>
          </w:tcPr>
          <w:p w14:paraId="19F6D85A" w14:textId="77777777" w:rsidR="003B3804" w:rsidRPr="004E5A6E" w:rsidRDefault="003B3804" w:rsidP="00713DEA">
            <w:pPr>
              <w:jc w:val="right"/>
              <w:rPr>
                <w:sz w:val="16"/>
                <w:szCs w:val="18"/>
                <w:lang w:val="sq-AL"/>
              </w:rPr>
            </w:pPr>
            <w:r w:rsidRPr="004E5A6E">
              <w:rPr>
                <w:sz w:val="16"/>
                <w:szCs w:val="18"/>
                <w:lang w:val="sq-AL"/>
              </w:rPr>
              <w:t>-9.8%</w:t>
            </w:r>
          </w:p>
        </w:tc>
        <w:tc>
          <w:tcPr>
            <w:tcW w:w="863" w:type="dxa"/>
            <w:tcBorders>
              <w:top w:val="nil"/>
              <w:left w:val="nil"/>
              <w:bottom w:val="dotted" w:sz="4" w:space="0" w:color="auto"/>
              <w:right w:val="single" w:sz="8" w:space="0" w:color="auto"/>
            </w:tcBorders>
            <w:shd w:val="clear" w:color="000000" w:fill="DEEAF6"/>
            <w:vAlign w:val="center"/>
            <w:hideMark/>
          </w:tcPr>
          <w:p w14:paraId="2DD6AB18" w14:textId="77777777" w:rsidR="003B3804" w:rsidRPr="004E5A6E" w:rsidRDefault="003B3804" w:rsidP="00713DEA">
            <w:pPr>
              <w:jc w:val="right"/>
              <w:rPr>
                <w:i/>
                <w:iCs/>
                <w:sz w:val="16"/>
                <w:szCs w:val="18"/>
                <w:lang w:val="sq-AL"/>
              </w:rPr>
            </w:pPr>
            <w:r w:rsidRPr="004E5A6E">
              <w:rPr>
                <w:i/>
                <w:iCs/>
                <w:sz w:val="16"/>
                <w:szCs w:val="18"/>
                <w:lang w:val="sq-AL"/>
              </w:rPr>
              <w:t>n/a</w:t>
            </w:r>
          </w:p>
        </w:tc>
      </w:tr>
      <w:tr w:rsidR="003B3804" w:rsidRPr="004E5A6E" w14:paraId="30A3A87B" w14:textId="77777777" w:rsidTr="00713DEA">
        <w:trPr>
          <w:trHeight w:val="292"/>
        </w:trPr>
        <w:tc>
          <w:tcPr>
            <w:tcW w:w="981" w:type="dxa"/>
            <w:vMerge/>
            <w:tcBorders>
              <w:top w:val="nil"/>
              <w:left w:val="single" w:sz="8" w:space="0" w:color="auto"/>
              <w:bottom w:val="single" w:sz="8" w:space="0" w:color="000000"/>
              <w:right w:val="dotted" w:sz="4" w:space="0" w:color="auto"/>
            </w:tcBorders>
            <w:vAlign w:val="center"/>
            <w:hideMark/>
          </w:tcPr>
          <w:p w14:paraId="6F153527" w14:textId="77777777" w:rsidR="003B3804" w:rsidRPr="004E5A6E" w:rsidRDefault="003B3804" w:rsidP="00713DEA">
            <w:pPr>
              <w:rPr>
                <w:b/>
                <w:bCs/>
                <w:sz w:val="16"/>
                <w:szCs w:val="18"/>
                <w:lang w:val="sq-AL"/>
              </w:rPr>
            </w:pPr>
          </w:p>
        </w:tc>
        <w:tc>
          <w:tcPr>
            <w:tcW w:w="2767" w:type="dxa"/>
            <w:tcBorders>
              <w:top w:val="nil"/>
              <w:left w:val="nil"/>
              <w:bottom w:val="dotted" w:sz="4" w:space="0" w:color="auto"/>
              <w:right w:val="dotted" w:sz="4" w:space="0" w:color="auto"/>
            </w:tcBorders>
            <w:shd w:val="clear" w:color="000000" w:fill="DEEAF6"/>
            <w:noWrap/>
            <w:vAlign w:val="center"/>
            <w:hideMark/>
          </w:tcPr>
          <w:p w14:paraId="1BA51C5F" w14:textId="77777777" w:rsidR="003B3804" w:rsidRPr="004E5A6E" w:rsidRDefault="003B3804" w:rsidP="00713DEA">
            <w:pPr>
              <w:rPr>
                <w:sz w:val="16"/>
                <w:szCs w:val="18"/>
                <w:lang w:val="sq-AL"/>
              </w:rPr>
            </w:pPr>
            <w:r w:rsidRPr="004E5A6E">
              <w:rPr>
                <w:sz w:val="16"/>
                <w:szCs w:val="18"/>
                <w:lang w:val="sq-AL"/>
              </w:rPr>
              <w:t>BPV</w:t>
            </w:r>
          </w:p>
        </w:tc>
        <w:tc>
          <w:tcPr>
            <w:tcW w:w="741" w:type="dxa"/>
            <w:tcBorders>
              <w:top w:val="nil"/>
              <w:left w:val="nil"/>
              <w:bottom w:val="dotted" w:sz="4" w:space="0" w:color="auto"/>
              <w:right w:val="dotted" w:sz="4" w:space="0" w:color="auto"/>
            </w:tcBorders>
            <w:shd w:val="clear" w:color="000000" w:fill="DEEAF6"/>
            <w:noWrap/>
            <w:vAlign w:val="center"/>
            <w:hideMark/>
          </w:tcPr>
          <w:p w14:paraId="283E1E16" w14:textId="77777777" w:rsidR="003B3804" w:rsidRPr="004E5A6E" w:rsidRDefault="003B3804" w:rsidP="00713DEA">
            <w:pPr>
              <w:jc w:val="right"/>
              <w:rPr>
                <w:sz w:val="16"/>
                <w:szCs w:val="18"/>
                <w:lang w:val="sq-AL"/>
              </w:rPr>
            </w:pPr>
            <w:r w:rsidRPr="004E5A6E">
              <w:rPr>
                <w:sz w:val="16"/>
                <w:szCs w:val="18"/>
                <w:lang w:val="sq-AL"/>
              </w:rPr>
              <w:t>-1.0%</w:t>
            </w:r>
          </w:p>
        </w:tc>
        <w:tc>
          <w:tcPr>
            <w:tcW w:w="863" w:type="dxa"/>
            <w:tcBorders>
              <w:top w:val="nil"/>
              <w:left w:val="nil"/>
              <w:bottom w:val="dotted" w:sz="4" w:space="0" w:color="auto"/>
              <w:right w:val="dotted" w:sz="4" w:space="0" w:color="auto"/>
            </w:tcBorders>
            <w:shd w:val="clear" w:color="000000" w:fill="DEEAF6"/>
            <w:noWrap/>
            <w:vAlign w:val="center"/>
            <w:hideMark/>
          </w:tcPr>
          <w:p w14:paraId="721506F5" w14:textId="77777777" w:rsidR="003B3804" w:rsidRPr="004E5A6E" w:rsidRDefault="003B3804" w:rsidP="00713DEA">
            <w:pPr>
              <w:jc w:val="right"/>
              <w:rPr>
                <w:sz w:val="16"/>
                <w:szCs w:val="18"/>
                <w:lang w:val="sq-AL"/>
              </w:rPr>
            </w:pPr>
            <w:r w:rsidRPr="004E5A6E">
              <w:rPr>
                <w:sz w:val="16"/>
                <w:szCs w:val="18"/>
                <w:lang w:val="sq-AL"/>
              </w:rPr>
              <w:t>-0.9%</w:t>
            </w:r>
          </w:p>
        </w:tc>
        <w:tc>
          <w:tcPr>
            <w:tcW w:w="863" w:type="dxa"/>
            <w:tcBorders>
              <w:top w:val="nil"/>
              <w:left w:val="nil"/>
              <w:bottom w:val="dotted" w:sz="4" w:space="0" w:color="auto"/>
              <w:right w:val="dotted" w:sz="4" w:space="0" w:color="auto"/>
            </w:tcBorders>
            <w:shd w:val="clear" w:color="000000" w:fill="DEEAF6"/>
            <w:noWrap/>
            <w:vAlign w:val="center"/>
            <w:hideMark/>
          </w:tcPr>
          <w:p w14:paraId="2BB8E475" w14:textId="77777777" w:rsidR="003B3804" w:rsidRPr="004E5A6E" w:rsidRDefault="003B3804" w:rsidP="00713DEA">
            <w:pPr>
              <w:jc w:val="right"/>
              <w:rPr>
                <w:sz w:val="16"/>
                <w:szCs w:val="18"/>
                <w:lang w:val="sq-AL"/>
              </w:rPr>
            </w:pPr>
            <w:r w:rsidRPr="004E5A6E">
              <w:rPr>
                <w:sz w:val="16"/>
                <w:szCs w:val="18"/>
                <w:lang w:val="sq-AL"/>
              </w:rPr>
              <w:t>-11.9%</w:t>
            </w:r>
          </w:p>
        </w:tc>
        <w:tc>
          <w:tcPr>
            <w:tcW w:w="863" w:type="dxa"/>
            <w:tcBorders>
              <w:top w:val="nil"/>
              <w:left w:val="nil"/>
              <w:bottom w:val="dotted" w:sz="4" w:space="0" w:color="auto"/>
              <w:right w:val="dotted" w:sz="4" w:space="0" w:color="auto"/>
            </w:tcBorders>
            <w:shd w:val="clear" w:color="000000" w:fill="DEEAF6"/>
            <w:noWrap/>
            <w:vAlign w:val="center"/>
            <w:hideMark/>
          </w:tcPr>
          <w:p w14:paraId="6F21354B" w14:textId="77777777" w:rsidR="003B3804" w:rsidRPr="004E5A6E" w:rsidRDefault="003B3804" w:rsidP="00713DEA">
            <w:pPr>
              <w:jc w:val="right"/>
              <w:rPr>
                <w:sz w:val="16"/>
                <w:szCs w:val="18"/>
                <w:lang w:val="sq-AL"/>
              </w:rPr>
            </w:pPr>
            <w:r w:rsidRPr="004E5A6E">
              <w:rPr>
                <w:sz w:val="16"/>
                <w:szCs w:val="18"/>
                <w:lang w:val="sq-AL"/>
              </w:rPr>
              <w:t>-11.7%</w:t>
            </w:r>
          </w:p>
        </w:tc>
        <w:tc>
          <w:tcPr>
            <w:tcW w:w="863" w:type="dxa"/>
            <w:tcBorders>
              <w:top w:val="nil"/>
              <w:left w:val="nil"/>
              <w:bottom w:val="dotted" w:sz="4" w:space="0" w:color="auto"/>
              <w:right w:val="dotted" w:sz="4" w:space="0" w:color="auto"/>
            </w:tcBorders>
            <w:shd w:val="clear" w:color="000000" w:fill="DEEAF6"/>
            <w:noWrap/>
            <w:vAlign w:val="center"/>
            <w:hideMark/>
          </w:tcPr>
          <w:p w14:paraId="68066173" w14:textId="77777777" w:rsidR="003B3804" w:rsidRPr="004E5A6E" w:rsidRDefault="003B3804" w:rsidP="00713DEA">
            <w:pPr>
              <w:jc w:val="right"/>
              <w:rPr>
                <w:sz w:val="16"/>
                <w:szCs w:val="18"/>
                <w:lang w:val="sq-AL"/>
              </w:rPr>
            </w:pPr>
            <w:r w:rsidRPr="004E5A6E">
              <w:rPr>
                <w:sz w:val="16"/>
                <w:szCs w:val="18"/>
                <w:lang w:val="sq-AL"/>
              </w:rPr>
              <w:t>-11.2%</w:t>
            </w:r>
          </w:p>
        </w:tc>
        <w:tc>
          <w:tcPr>
            <w:tcW w:w="863" w:type="dxa"/>
            <w:tcBorders>
              <w:top w:val="nil"/>
              <w:left w:val="nil"/>
              <w:bottom w:val="dotted" w:sz="4" w:space="0" w:color="auto"/>
              <w:right w:val="single" w:sz="8" w:space="0" w:color="auto"/>
            </w:tcBorders>
            <w:shd w:val="clear" w:color="000000" w:fill="DEEAF6"/>
            <w:vAlign w:val="center"/>
            <w:hideMark/>
          </w:tcPr>
          <w:p w14:paraId="57D5657F" w14:textId="77777777" w:rsidR="003B3804" w:rsidRPr="004E5A6E" w:rsidRDefault="003B3804" w:rsidP="00713DEA">
            <w:pPr>
              <w:jc w:val="right"/>
              <w:rPr>
                <w:i/>
                <w:iCs/>
                <w:sz w:val="16"/>
                <w:szCs w:val="18"/>
                <w:lang w:val="sq-AL"/>
              </w:rPr>
            </w:pPr>
            <w:r w:rsidRPr="004E5A6E">
              <w:rPr>
                <w:i/>
                <w:iCs/>
                <w:sz w:val="16"/>
                <w:szCs w:val="18"/>
                <w:lang w:val="sq-AL"/>
              </w:rPr>
              <w:t>n/a</w:t>
            </w:r>
          </w:p>
        </w:tc>
      </w:tr>
      <w:tr w:rsidR="003B3804" w:rsidRPr="004E5A6E" w14:paraId="3F500819" w14:textId="77777777" w:rsidTr="00713DEA">
        <w:trPr>
          <w:trHeight w:val="292"/>
        </w:trPr>
        <w:tc>
          <w:tcPr>
            <w:tcW w:w="981" w:type="dxa"/>
            <w:vMerge/>
            <w:tcBorders>
              <w:top w:val="nil"/>
              <w:left w:val="single" w:sz="8" w:space="0" w:color="auto"/>
              <w:bottom w:val="single" w:sz="8" w:space="0" w:color="000000"/>
              <w:right w:val="dotted" w:sz="4" w:space="0" w:color="auto"/>
            </w:tcBorders>
            <w:vAlign w:val="center"/>
            <w:hideMark/>
          </w:tcPr>
          <w:p w14:paraId="11834D61" w14:textId="77777777" w:rsidR="003B3804" w:rsidRPr="004E5A6E" w:rsidRDefault="003B3804" w:rsidP="00713DEA">
            <w:pPr>
              <w:rPr>
                <w:b/>
                <w:bCs/>
                <w:sz w:val="16"/>
                <w:szCs w:val="18"/>
                <w:lang w:val="sq-AL"/>
              </w:rPr>
            </w:pPr>
          </w:p>
        </w:tc>
        <w:tc>
          <w:tcPr>
            <w:tcW w:w="2767" w:type="dxa"/>
            <w:tcBorders>
              <w:top w:val="nil"/>
              <w:left w:val="nil"/>
              <w:bottom w:val="dotted" w:sz="4" w:space="0" w:color="auto"/>
              <w:right w:val="dotted" w:sz="4" w:space="0" w:color="auto"/>
            </w:tcBorders>
            <w:shd w:val="clear" w:color="000000" w:fill="DEEAF6"/>
            <w:noWrap/>
            <w:vAlign w:val="center"/>
            <w:hideMark/>
          </w:tcPr>
          <w:p w14:paraId="753C3BC8" w14:textId="77777777" w:rsidR="003B3804" w:rsidRPr="004E5A6E" w:rsidRDefault="003B3804" w:rsidP="00713DEA">
            <w:pPr>
              <w:rPr>
                <w:sz w:val="16"/>
                <w:szCs w:val="18"/>
                <w:lang w:val="sq-AL"/>
              </w:rPr>
            </w:pPr>
            <w:r w:rsidRPr="004E5A6E">
              <w:rPr>
                <w:sz w:val="16"/>
                <w:szCs w:val="18"/>
                <w:lang w:val="sq-AL"/>
              </w:rPr>
              <w:t>Deficiti i përgjithshëm, si % e BPV-së</w:t>
            </w:r>
          </w:p>
        </w:tc>
        <w:tc>
          <w:tcPr>
            <w:tcW w:w="741" w:type="dxa"/>
            <w:tcBorders>
              <w:top w:val="nil"/>
              <w:left w:val="nil"/>
              <w:bottom w:val="dotted" w:sz="4" w:space="0" w:color="auto"/>
              <w:right w:val="dotted" w:sz="4" w:space="0" w:color="auto"/>
            </w:tcBorders>
            <w:shd w:val="clear" w:color="000000" w:fill="DEEAF6"/>
            <w:noWrap/>
            <w:vAlign w:val="center"/>
            <w:hideMark/>
          </w:tcPr>
          <w:p w14:paraId="22CE54AE" w14:textId="77777777" w:rsidR="003B3804" w:rsidRPr="004E5A6E" w:rsidRDefault="003B3804" w:rsidP="00713DEA">
            <w:pPr>
              <w:jc w:val="right"/>
              <w:rPr>
                <w:sz w:val="16"/>
                <w:szCs w:val="18"/>
                <w:lang w:val="sq-AL"/>
              </w:rPr>
            </w:pPr>
            <w:r w:rsidRPr="004E5A6E">
              <w:rPr>
                <w:sz w:val="16"/>
                <w:szCs w:val="18"/>
                <w:lang w:val="sq-AL"/>
              </w:rPr>
              <w:t>-1.7%</w:t>
            </w:r>
          </w:p>
        </w:tc>
        <w:tc>
          <w:tcPr>
            <w:tcW w:w="863" w:type="dxa"/>
            <w:tcBorders>
              <w:top w:val="nil"/>
              <w:left w:val="nil"/>
              <w:bottom w:val="dotted" w:sz="4" w:space="0" w:color="auto"/>
              <w:right w:val="dotted" w:sz="4" w:space="0" w:color="auto"/>
            </w:tcBorders>
            <w:shd w:val="clear" w:color="000000" w:fill="DEEAF6"/>
            <w:noWrap/>
            <w:vAlign w:val="center"/>
            <w:hideMark/>
          </w:tcPr>
          <w:p w14:paraId="609355C6" w14:textId="77777777" w:rsidR="003B3804" w:rsidRPr="004E5A6E" w:rsidRDefault="003B3804" w:rsidP="00713DEA">
            <w:pPr>
              <w:jc w:val="right"/>
              <w:rPr>
                <w:sz w:val="16"/>
                <w:szCs w:val="18"/>
                <w:lang w:val="sq-AL"/>
              </w:rPr>
            </w:pPr>
            <w:r w:rsidRPr="004E5A6E">
              <w:rPr>
                <w:sz w:val="16"/>
                <w:szCs w:val="18"/>
                <w:lang w:val="sq-AL"/>
              </w:rPr>
              <w:t>-0.9%</w:t>
            </w:r>
          </w:p>
        </w:tc>
        <w:tc>
          <w:tcPr>
            <w:tcW w:w="863" w:type="dxa"/>
            <w:tcBorders>
              <w:top w:val="nil"/>
              <w:left w:val="nil"/>
              <w:bottom w:val="dotted" w:sz="4" w:space="0" w:color="auto"/>
              <w:right w:val="dotted" w:sz="4" w:space="0" w:color="auto"/>
            </w:tcBorders>
            <w:shd w:val="clear" w:color="000000" w:fill="DEEAF6"/>
            <w:noWrap/>
            <w:vAlign w:val="center"/>
            <w:hideMark/>
          </w:tcPr>
          <w:p w14:paraId="0F4E8079" w14:textId="77777777" w:rsidR="003B3804" w:rsidRPr="004E5A6E" w:rsidRDefault="003B3804" w:rsidP="00713DEA">
            <w:pPr>
              <w:jc w:val="right"/>
              <w:rPr>
                <w:sz w:val="16"/>
                <w:szCs w:val="18"/>
                <w:lang w:val="sq-AL"/>
              </w:rPr>
            </w:pPr>
            <w:r w:rsidRPr="004E5A6E">
              <w:rPr>
                <w:sz w:val="16"/>
                <w:szCs w:val="18"/>
                <w:lang w:val="sq-AL"/>
              </w:rPr>
              <w:t>-10.6%</w:t>
            </w:r>
          </w:p>
        </w:tc>
        <w:tc>
          <w:tcPr>
            <w:tcW w:w="863" w:type="dxa"/>
            <w:tcBorders>
              <w:top w:val="nil"/>
              <w:left w:val="nil"/>
              <w:bottom w:val="dotted" w:sz="4" w:space="0" w:color="auto"/>
              <w:right w:val="dotted" w:sz="4" w:space="0" w:color="auto"/>
            </w:tcBorders>
            <w:shd w:val="clear" w:color="000000" w:fill="DEEAF6"/>
            <w:noWrap/>
            <w:vAlign w:val="center"/>
            <w:hideMark/>
          </w:tcPr>
          <w:p w14:paraId="51A358E1" w14:textId="77777777" w:rsidR="003B3804" w:rsidRPr="004E5A6E" w:rsidRDefault="003B3804" w:rsidP="00713DEA">
            <w:pPr>
              <w:jc w:val="right"/>
              <w:rPr>
                <w:sz w:val="16"/>
                <w:szCs w:val="18"/>
                <w:lang w:val="sq-AL"/>
              </w:rPr>
            </w:pPr>
            <w:r w:rsidRPr="004E5A6E">
              <w:rPr>
                <w:sz w:val="16"/>
                <w:szCs w:val="18"/>
                <w:lang w:val="sq-AL"/>
              </w:rPr>
              <w:t>-5.5%</w:t>
            </w:r>
          </w:p>
        </w:tc>
        <w:tc>
          <w:tcPr>
            <w:tcW w:w="863" w:type="dxa"/>
            <w:tcBorders>
              <w:top w:val="nil"/>
              <w:left w:val="nil"/>
              <w:bottom w:val="dotted" w:sz="4" w:space="0" w:color="auto"/>
              <w:right w:val="dotted" w:sz="4" w:space="0" w:color="auto"/>
            </w:tcBorders>
            <w:shd w:val="clear" w:color="000000" w:fill="DEEAF6"/>
            <w:noWrap/>
            <w:vAlign w:val="center"/>
            <w:hideMark/>
          </w:tcPr>
          <w:p w14:paraId="02958F0D" w14:textId="77777777" w:rsidR="003B3804" w:rsidRPr="004E5A6E" w:rsidRDefault="003B3804" w:rsidP="00713DEA">
            <w:pPr>
              <w:jc w:val="right"/>
              <w:rPr>
                <w:sz w:val="16"/>
                <w:szCs w:val="18"/>
                <w:lang w:val="sq-AL"/>
              </w:rPr>
            </w:pPr>
            <w:r w:rsidRPr="004E5A6E">
              <w:rPr>
                <w:sz w:val="16"/>
                <w:szCs w:val="18"/>
                <w:lang w:val="sq-AL"/>
              </w:rPr>
              <w:t>-3.0%</w:t>
            </w:r>
          </w:p>
        </w:tc>
        <w:tc>
          <w:tcPr>
            <w:tcW w:w="863" w:type="dxa"/>
            <w:tcBorders>
              <w:top w:val="nil"/>
              <w:left w:val="nil"/>
              <w:bottom w:val="dotted" w:sz="4" w:space="0" w:color="auto"/>
              <w:right w:val="single" w:sz="8" w:space="0" w:color="auto"/>
            </w:tcBorders>
            <w:shd w:val="clear" w:color="000000" w:fill="DEEAF6"/>
            <w:vAlign w:val="center"/>
            <w:hideMark/>
          </w:tcPr>
          <w:p w14:paraId="3E9D9AFF" w14:textId="77777777" w:rsidR="003B3804" w:rsidRPr="004E5A6E" w:rsidRDefault="003B3804" w:rsidP="00713DEA">
            <w:pPr>
              <w:jc w:val="right"/>
              <w:rPr>
                <w:i/>
                <w:iCs/>
                <w:sz w:val="16"/>
                <w:szCs w:val="18"/>
                <w:lang w:val="sq-AL"/>
              </w:rPr>
            </w:pPr>
            <w:r w:rsidRPr="004E5A6E">
              <w:rPr>
                <w:i/>
                <w:iCs/>
                <w:sz w:val="16"/>
                <w:szCs w:val="18"/>
                <w:lang w:val="sq-AL"/>
              </w:rPr>
              <w:t>n/a</w:t>
            </w:r>
          </w:p>
        </w:tc>
      </w:tr>
      <w:tr w:rsidR="003B3804" w:rsidRPr="004E5A6E" w14:paraId="6E4735FD" w14:textId="77777777" w:rsidTr="00713DEA">
        <w:trPr>
          <w:trHeight w:val="292"/>
        </w:trPr>
        <w:tc>
          <w:tcPr>
            <w:tcW w:w="981" w:type="dxa"/>
            <w:vMerge/>
            <w:tcBorders>
              <w:top w:val="nil"/>
              <w:left w:val="single" w:sz="8" w:space="0" w:color="auto"/>
              <w:bottom w:val="single" w:sz="8" w:space="0" w:color="000000"/>
              <w:right w:val="dotted" w:sz="4" w:space="0" w:color="auto"/>
            </w:tcBorders>
            <w:vAlign w:val="center"/>
            <w:hideMark/>
          </w:tcPr>
          <w:p w14:paraId="7C53814B" w14:textId="77777777" w:rsidR="003B3804" w:rsidRPr="004E5A6E" w:rsidRDefault="003B3804" w:rsidP="00713DEA">
            <w:pPr>
              <w:rPr>
                <w:b/>
                <w:bCs/>
                <w:sz w:val="16"/>
                <w:szCs w:val="18"/>
                <w:lang w:val="sq-AL"/>
              </w:rPr>
            </w:pPr>
          </w:p>
        </w:tc>
        <w:tc>
          <w:tcPr>
            <w:tcW w:w="2767" w:type="dxa"/>
            <w:tcBorders>
              <w:top w:val="nil"/>
              <w:left w:val="nil"/>
              <w:bottom w:val="dotted" w:sz="4" w:space="0" w:color="auto"/>
              <w:right w:val="dotted" w:sz="4" w:space="0" w:color="auto"/>
            </w:tcBorders>
            <w:shd w:val="clear" w:color="000000" w:fill="DEEAF6"/>
            <w:noWrap/>
            <w:vAlign w:val="center"/>
            <w:hideMark/>
          </w:tcPr>
          <w:p w14:paraId="2A940EC3" w14:textId="77777777" w:rsidR="003B3804" w:rsidRPr="004E5A6E" w:rsidRDefault="003B3804" w:rsidP="00713DEA">
            <w:pPr>
              <w:rPr>
                <w:sz w:val="16"/>
                <w:szCs w:val="18"/>
                <w:lang w:val="sq-AL"/>
              </w:rPr>
            </w:pPr>
            <w:r w:rsidRPr="004E5A6E">
              <w:rPr>
                <w:sz w:val="16"/>
                <w:szCs w:val="18"/>
                <w:lang w:val="sq-AL"/>
              </w:rPr>
              <w:t>Bilanci bankar, si % e BPV-së</w:t>
            </w:r>
          </w:p>
        </w:tc>
        <w:tc>
          <w:tcPr>
            <w:tcW w:w="741" w:type="dxa"/>
            <w:tcBorders>
              <w:top w:val="nil"/>
              <w:left w:val="nil"/>
              <w:bottom w:val="dotted" w:sz="4" w:space="0" w:color="auto"/>
              <w:right w:val="dotted" w:sz="4" w:space="0" w:color="auto"/>
            </w:tcBorders>
            <w:shd w:val="clear" w:color="000000" w:fill="DEEAF6"/>
            <w:noWrap/>
            <w:vAlign w:val="center"/>
            <w:hideMark/>
          </w:tcPr>
          <w:p w14:paraId="0D0713B4" w14:textId="77777777" w:rsidR="003B3804" w:rsidRPr="004E5A6E" w:rsidRDefault="003B3804" w:rsidP="00713DEA">
            <w:pPr>
              <w:jc w:val="right"/>
              <w:rPr>
                <w:sz w:val="16"/>
                <w:szCs w:val="18"/>
                <w:lang w:val="sq-AL"/>
              </w:rPr>
            </w:pPr>
            <w:r w:rsidRPr="004E5A6E">
              <w:rPr>
                <w:sz w:val="16"/>
                <w:szCs w:val="18"/>
                <w:lang w:val="sq-AL"/>
              </w:rPr>
              <w:t>0.1%</w:t>
            </w:r>
          </w:p>
        </w:tc>
        <w:tc>
          <w:tcPr>
            <w:tcW w:w="863" w:type="dxa"/>
            <w:tcBorders>
              <w:top w:val="nil"/>
              <w:left w:val="nil"/>
              <w:bottom w:val="dotted" w:sz="4" w:space="0" w:color="auto"/>
              <w:right w:val="dotted" w:sz="4" w:space="0" w:color="auto"/>
            </w:tcBorders>
            <w:shd w:val="clear" w:color="000000" w:fill="DEEAF6"/>
            <w:noWrap/>
            <w:vAlign w:val="center"/>
            <w:hideMark/>
          </w:tcPr>
          <w:p w14:paraId="638B9118" w14:textId="77777777" w:rsidR="003B3804" w:rsidRPr="004E5A6E" w:rsidRDefault="003B3804" w:rsidP="00713DEA">
            <w:pPr>
              <w:jc w:val="right"/>
              <w:rPr>
                <w:sz w:val="16"/>
                <w:szCs w:val="18"/>
                <w:lang w:val="sq-AL"/>
              </w:rPr>
            </w:pPr>
            <w:r w:rsidRPr="004E5A6E">
              <w:rPr>
                <w:sz w:val="16"/>
                <w:szCs w:val="18"/>
                <w:lang w:val="sq-AL"/>
              </w:rPr>
              <w:t>-0.5%</w:t>
            </w:r>
          </w:p>
        </w:tc>
        <w:tc>
          <w:tcPr>
            <w:tcW w:w="863" w:type="dxa"/>
            <w:tcBorders>
              <w:top w:val="nil"/>
              <w:left w:val="nil"/>
              <w:bottom w:val="dotted" w:sz="4" w:space="0" w:color="auto"/>
              <w:right w:val="dotted" w:sz="4" w:space="0" w:color="auto"/>
            </w:tcBorders>
            <w:shd w:val="clear" w:color="000000" w:fill="DEEAF6"/>
            <w:noWrap/>
            <w:vAlign w:val="center"/>
            <w:hideMark/>
          </w:tcPr>
          <w:p w14:paraId="7C4A221A" w14:textId="77777777" w:rsidR="003B3804" w:rsidRPr="004E5A6E" w:rsidRDefault="003B3804" w:rsidP="00713DEA">
            <w:pPr>
              <w:jc w:val="right"/>
              <w:rPr>
                <w:sz w:val="16"/>
                <w:szCs w:val="18"/>
                <w:lang w:val="sq-AL"/>
              </w:rPr>
            </w:pPr>
            <w:r w:rsidRPr="004E5A6E">
              <w:rPr>
                <w:sz w:val="16"/>
                <w:szCs w:val="18"/>
                <w:lang w:val="sq-AL"/>
              </w:rPr>
              <w:t>0.1%</w:t>
            </w:r>
          </w:p>
        </w:tc>
        <w:tc>
          <w:tcPr>
            <w:tcW w:w="863" w:type="dxa"/>
            <w:tcBorders>
              <w:top w:val="nil"/>
              <w:left w:val="nil"/>
              <w:bottom w:val="dotted" w:sz="4" w:space="0" w:color="auto"/>
              <w:right w:val="dotted" w:sz="4" w:space="0" w:color="auto"/>
            </w:tcBorders>
            <w:shd w:val="clear" w:color="000000" w:fill="DEEAF6"/>
            <w:noWrap/>
            <w:vAlign w:val="center"/>
            <w:hideMark/>
          </w:tcPr>
          <w:p w14:paraId="430B3E39" w14:textId="77777777" w:rsidR="003B3804" w:rsidRPr="004E5A6E" w:rsidRDefault="003B3804" w:rsidP="00713DEA">
            <w:pPr>
              <w:jc w:val="right"/>
              <w:rPr>
                <w:sz w:val="16"/>
                <w:szCs w:val="18"/>
                <w:lang w:val="sq-AL"/>
              </w:rPr>
            </w:pPr>
            <w:r w:rsidRPr="004E5A6E">
              <w:rPr>
                <w:sz w:val="16"/>
                <w:szCs w:val="18"/>
                <w:lang w:val="sq-AL"/>
              </w:rPr>
              <w:t>1.3%</w:t>
            </w:r>
          </w:p>
        </w:tc>
        <w:tc>
          <w:tcPr>
            <w:tcW w:w="863" w:type="dxa"/>
            <w:tcBorders>
              <w:top w:val="nil"/>
              <w:left w:val="nil"/>
              <w:bottom w:val="dotted" w:sz="4" w:space="0" w:color="auto"/>
              <w:right w:val="dotted" w:sz="4" w:space="0" w:color="auto"/>
            </w:tcBorders>
            <w:shd w:val="clear" w:color="000000" w:fill="DEEAF6"/>
            <w:noWrap/>
            <w:vAlign w:val="center"/>
            <w:hideMark/>
          </w:tcPr>
          <w:p w14:paraId="215EF770" w14:textId="77777777" w:rsidR="003B3804" w:rsidRPr="004E5A6E" w:rsidRDefault="003B3804" w:rsidP="00713DEA">
            <w:pPr>
              <w:jc w:val="right"/>
              <w:rPr>
                <w:sz w:val="16"/>
                <w:szCs w:val="18"/>
                <w:lang w:val="sq-AL"/>
              </w:rPr>
            </w:pPr>
            <w:r w:rsidRPr="004E5A6E">
              <w:rPr>
                <w:sz w:val="16"/>
                <w:szCs w:val="18"/>
                <w:lang w:val="sq-AL"/>
              </w:rPr>
              <w:t>1.9%</w:t>
            </w:r>
          </w:p>
        </w:tc>
        <w:tc>
          <w:tcPr>
            <w:tcW w:w="863" w:type="dxa"/>
            <w:tcBorders>
              <w:top w:val="nil"/>
              <w:left w:val="nil"/>
              <w:bottom w:val="dotted" w:sz="4" w:space="0" w:color="auto"/>
              <w:right w:val="single" w:sz="8" w:space="0" w:color="auto"/>
            </w:tcBorders>
            <w:shd w:val="clear" w:color="000000" w:fill="DEEAF6"/>
            <w:vAlign w:val="center"/>
            <w:hideMark/>
          </w:tcPr>
          <w:p w14:paraId="53473849" w14:textId="77777777" w:rsidR="003B3804" w:rsidRPr="004E5A6E" w:rsidRDefault="003B3804" w:rsidP="00713DEA">
            <w:pPr>
              <w:jc w:val="right"/>
              <w:rPr>
                <w:i/>
                <w:iCs/>
                <w:sz w:val="16"/>
                <w:szCs w:val="18"/>
                <w:lang w:val="sq-AL"/>
              </w:rPr>
            </w:pPr>
            <w:r w:rsidRPr="004E5A6E">
              <w:rPr>
                <w:i/>
                <w:iCs/>
                <w:sz w:val="16"/>
                <w:szCs w:val="18"/>
                <w:lang w:val="sq-AL"/>
              </w:rPr>
              <w:t>n/a</w:t>
            </w:r>
          </w:p>
        </w:tc>
      </w:tr>
      <w:tr w:rsidR="003B3804" w:rsidRPr="004E5A6E" w14:paraId="32DFCC5F" w14:textId="77777777" w:rsidTr="00713DEA">
        <w:trPr>
          <w:trHeight w:val="375"/>
        </w:trPr>
        <w:tc>
          <w:tcPr>
            <w:tcW w:w="981" w:type="dxa"/>
            <w:vMerge/>
            <w:tcBorders>
              <w:top w:val="nil"/>
              <w:left w:val="single" w:sz="8" w:space="0" w:color="auto"/>
              <w:bottom w:val="single" w:sz="8" w:space="0" w:color="000000"/>
              <w:right w:val="dotted" w:sz="4" w:space="0" w:color="auto"/>
            </w:tcBorders>
            <w:vAlign w:val="center"/>
            <w:hideMark/>
          </w:tcPr>
          <w:p w14:paraId="3CEF1336" w14:textId="77777777" w:rsidR="003B3804" w:rsidRPr="004E5A6E" w:rsidRDefault="003B3804" w:rsidP="00713DEA">
            <w:pPr>
              <w:rPr>
                <w:b/>
                <w:bCs/>
                <w:sz w:val="16"/>
                <w:szCs w:val="18"/>
                <w:lang w:val="sq-AL"/>
              </w:rPr>
            </w:pPr>
          </w:p>
        </w:tc>
        <w:tc>
          <w:tcPr>
            <w:tcW w:w="2767" w:type="dxa"/>
            <w:tcBorders>
              <w:top w:val="nil"/>
              <w:left w:val="nil"/>
              <w:bottom w:val="dotted" w:sz="4" w:space="0" w:color="auto"/>
              <w:right w:val="dotted" w:sz="4" w:space="0" w:color="auto"/>
            </w:tcBorders>
            <w:shd w:val="clear" w:color="000000" w:fill="DEEAF6"/>
            <w:noWrap/>
            <w:vAlign w:val="center"/>
            <w:hideMark/>
          </w:tcPr>
          <w:p w14:paraId="3AC0D276" w14:textId="77777777" w:rsidR="003B3804" w:rsidRPr="004E5A6E" w:rsidRDefault="003B3804" w:rsidP="00713DEA">
            <w:pPr>
              <w:rPr>
                <w:sz w:val="16"/>
                <w:szCs w:val="18"/>
                <w:lang w:val="sq-AL"/>
              </w:rPr>
            </w:pPr>
            <w:r w:rsidRPr="004E5A6E">
              <w:rPr>
                <w:sz w:val="16"/>
                <w:szCs w:val="18"/>
                <w:lang w:val="sq-AL"/>
              </w:rPr>
              <w:t>Shpenzimet kapitale, si % e BPV-së</w:t>
            </w:r>
          </w:p>
        </w:tc>
        <w:tc>
          <w:tcPr>
            <w:tcW w:w="741" w:type="dxa"/>
            <w:tcBorders>
              <w:top w:val="nil"/>
              <w:left w:val="nil"/>
              <w:bottom w:val="dotted" w:sz="4" w:space="0" w:color="auto"/>
              <w:right w:val="dotted" w:sz="4" w:space="0" w:color="auto"/>
            </w:tcBorders>
            <w:shd w:val="clear" w:color="000000" w:fill="DEEAF6"/>
            <w:noWrap/>
            <w:vAlign w:val="center"/>
            <w:hideMark/>
          </w:tcPr>
          <w:p w14:paraId="1256DC86" w14:textId="77777777" w:rsidR="003B3804" w:rsidRPr="004E5A6E" w:rsidRDefault="003B3804" w:rsidP="00713DEA">
            <w:pPr>
              <w:jc w:val="right"/>
              <w:rPr>
                <w:sz w:val="16"/>
                <w:szCs w:val="18"/>
                <w:lang w:val="sq-AL"/>
              </w:rPr>
            </w:pPr>
            <w:r w:rsidRPr="004E5A6E">
              <w:rPr>
                <w:sz w:val="16"/>
                <w:szCs w:val="18"/>
                <w:lang w:val="sq-AL"/>
              </w:rPr>
              <w:t>0.1%</w:t>
            </w:r>
          </w:p>
        </w:tc>
        <w:tc>
          <w:tcPr>
            <w:tcW w:w="863" w:type="dxa"/>
            <w:tcBorders>
              <w:top w:val="nil"/>
              <w:left w:val="nil"/>
              <w:bottom w:val="dotted" w:sz="4" w:space="0" w:color="auto"/>
              <w:right w:val="dotted" w:sz="4" w:space="0" w:color="auto"/>
            </w:tcBorders>
            <w:shd w:val="clear" w:color="000000" w:fill="DEEAF6"/>
            <w:noWrap/>
            <w:vAlign w:val="center"/>
            <w:hideMark/>
          </w:tcPr>
          <w:p w14:paraId="2956CA7C" w14:textId="77777777" w:rsidR="003B3804" w:rsidRPr="004E5A6E" w:rsidRDefault="003B3804" w:rsidP="00713DEA">
            <w:pPr>
              <w:jc w:val="right"/>
              <w:rPr>
                <w:sz w:val="16"/>
                <w:szCs w:val="18"/>
                <w:lang w:val="sq-AL"/>
              </w:rPr>
            </w:pPr>
            <w:r w:rsidRPr="004E5A6E">
              <w:rPr>
                <w:sz w:val="16"/>
                <w:szCs w:val="18"/>
                <w:lang w:val="sq-AL"/>
              </w:rPr>
              <w:t>-3.6%</w:t>
            </w:r>
          </w:p>
        </w:tc>
        <w:tc>
          <w:tcPr>
            <w:tcW w:w="863" w:type="dxa"/>
            <w:tcBorders>
              <w:top w:val="nil"/>
              <w:left w:val="nil"/>
              <w:bottom w:val="dotted" w:sz="4" w:space="0" w:color="auto"/>
              <w:right w:val="dotted" w:sz="4" w:space="0" w:color="auto"/>
            </w:tcBorders>
            <w:shd w:val="clear" w:color="000000" w:fill="DEEAF6"/>
            <w:noWrap/>
            <w:vAlign w:val="center"/>
            <w:hideMark/>
          </w:tcPr>
          <w:p w14:paraId="01A2CDAB" w14:textId="77777777" w:rsidR="003B3804" w:rsidRPr="004E5A6E" w:rsidRDefault="003B3804" w:rsidP="00713DEA">
            <w:pPr>
              <w:jc w:val="right"/>
              <w:rPr>
                <w:sz w:val="16"/>
                <w:szCs w:val="18"/>
                <w:lang w:val="sq-AL"/>
              </w:rPr>
            </w:pPr>
            <w:r w:rsidRPr="004E5A6E">
              <w:rPr>
                <w:sz w:val="16"/>
                <w:szCs w:val="18"/>
                <w:lang w:val="sq-AL"/>
              </w:rPr>
              <w:t>0.5%</w:t>
            </w:r>
          </w:p>
        </w:tc>
        <w:tc>
          <w:tcPr>
            <w:tcW w:w="863" w:type="dxa"/>
            <w:tcBorders>
              <w:top w:val="nil"/>
              <w:left w:val="nil"/>
              <w:bottom w:val="dotted" w:sz="4" w:space="0" w:color="auto"/>
              <w:right w:val="dotted" w:sz="4" w:space="0" w:color="auto"/>
            </w:tcBorders>
            <w:shd w:val="clear" w:color="000000" w:fill="DEEAF6"/>
            <w:noWrap/>
            <w:vAlign w:val="center"/>
            <w:hideMark/>
          </w:tcPr>
          <w:p w14:paraId="5DB8CBB2" w14:textId="77777777" w:rsidR="003B3804" w:rsidRPr="004E5A6E" w:rsidRDefault="003B3804" w:rsidP="00713DEA">
            <w:pPr>
              <w:jc w:val="right"/>
              <w:rPr>
                <w:sz w:val="16"/>
                <w:szCs w:val="18"/>
                <w:lang w:val="sq-AL"/>
              </w:rPr>
            </w:pPr>
            <w:r w:rsidRPr="004E5A6E">
              <w:rPr>
                <w:sz w:val="16"/>
                <w:szCs w:val="18"/>
                <w:lang w:val="sq-AL"/>
              </w:rPr>
              <w:t>-1.6%</w:t>
            </w:r>
          </w:p>
        </w:tc>
        <w:tc>
          <w:tcPr>
            <w:tcW w:w="863" w:type="dxa"/>
            <w:tcBorders>
              <w:top w:val="nil"/>
              <w:left w:val="nil"/>
              <w:bottom w:val="dotted" w:sz="4" w:space="0" w:color="auto"/>
              <w:right w:val="dotted" w:sz="4" w:space="0" w:color="auto"/>
            </w:tcBorders>
            <w:shd w:val="clear" w:color="000000" w:fill="DEEAF6"/>
            <w:noWrap/>
            <w:vAlign w:val="center"/>
            <w:hideMark/>
          </w:tcPr>
          <w:p w14:paraId="156B5CCF" w14:textId="77777777" w:rsidR="003B3804" w:rsidRPr="004E5A6E" w:rsidRDefault="003B3804" w:rsidP="00713DEA">
            <w:pPr>
              <w:jc w:val="right"/>
              <w:rPr>
                <w:sz w:val="16"/>
                <w:szCs w:val="18"/>
                <w:lang w:val="sq-AL"/>
              </w:rPr>
            </w:pPr>
            <w:r w:rsidRPr="004E5A6E">
              <w:rPr>
                <w:sz w:val="16"/>
                <w:szCs w:val="18"/>
                <w:lang w:val="sq-AL"/>
              </w:rPr>
              <w:t>-1.0%</w:t>
            </w:r>
          </w:p>
        </w:tc>
        <w:tc>
          <w:tcPr>
            <w:tcW w:w="863" w:type="dxa"/>
            <w:tcBorders>
              <w:top w:val="nil"/>
              <w:left w:val="nil"/>
              <w:bottom w:val="dotted" w:sz="4" w:space="0" w:color="auto"/>
              <w:right w:val="single" w:sz="8" w:space="0" w:color="auto"/>
            </w:tcBorders>
            <w:shd w:val="clear" w:color="000000" w:fill="DEEAF6"/>
            <w:vAlign w:val="center"/>
            <w:hideMark/>
          </w:tcPr>
          <w:p w14:paraId="52D43AC7" w14:textId="77777777" w:rsidR="003B3804" w:rsidRPr="004E5A6E" w:rsidRDefault="003B3804" w:rsidP="00713DEA">
            <w:pPr>
              <w:jc w:val="right"/>
              <w:rPr>
                <w:i/>
                <w:iCs/>
                <w:sz w:val="16"/>
                <w:szCs w:val="18"/>
                <w:lang w:val="sq-AL"/>
              </w:rPr>
            </w:pPr>
            <w:r w:rsidRPr="004E5A6E">
              <w:rPr>
                <w:i/>
                <w:iCs/>
                <w:sz w:val="16"/>
                <w:szCs w:val="18"/>
                <w:lang w:val="sq-AL"/>
              </w:rPr>
              <w:t>n/a</w:t>
            </w:r>
          </w:p>
        </w:tc>
      </w:tr>
      <w:tr w:rsidR="003B3804" w:rsidRPr="004E5A6E" w14:paraId="525A1D9B" w14:textId="77777777" w:rsidTr="00713DEA">
        <w:trPr>
          <w:trHeight w:val="306"/>
        </w:trPr>
        <w:tc>
          <w:tcPr>
            <w:tcW w:w="981" w:type="dxa"/>
            <w:vMerge/>
            <w:tcBorders>
              <w:top w:val="nil"/>
              <w:left w:val="single" w:sz="8" w:space="0" w:color="auto"/>
              <w:bottom w:val="single" w:sz="8" w:space="0" w:color="000000"/>
              <w:right w:val="dotted" w:sz="4" w:space="0" w:color="auto"/>
            </w:tcBorders>
            <w:vAlign w:val="center"/>
            <w:hideMark/>
          </w:tcPr>
          <w:p w14:paraId="4EB01773" w14:textId="77777777" w:rsidR="003B3804" w:rsidRPr="004E5A6E" w:rsidRDefault="003B3804" w:rsidP="00713DEA">
            <w:pPr>
              <w:rPr>
                <w:b/>
                <w:bCs/>
                <w:sz w:val="16"/>
                <w:szCs w:val="18"/>
                <w:lang w:val="sq-AL"/>
              </w:rPr>
            </w:pPr>
          </w:p>
        </w:tc>
        <w:tc>
          <w:tcPr>
            <w:tcW w:w="2767" w:type="dxa"/>
            <w:tcBorders>
              <w:top w:val="nil"/>
              <w:left w:val="nil"/>
              <w:bottom w:val="single" w:sz="8" w:space="0" w:color="auto"/>
              <w:right w:val="dotted" w:sz="4" w:space="0" w:color="auto"/>
            </w:tcBorders>
            <w:shd w:val="clear" w:color="000000" w:fill="DEEAF6"/>
            <w:noWrap/>
            <w:vAlign w:val="center"/>
            <w:hideMark/>
          </w:tcPr>
          <w:p w14:paraId="548086CB" w14:textId="77777777" w:rsidR="003B3804" w:rsidRPr="004E5A6E" w:rsidRDefault="003B3804" w:rsidP="00713DEA">
            <w:pPr>
              <w:rPr>
                <w:sz w:val="16"/>
                <w:szCs w:val="18"/>
                <w:lang w:val="sq-AL"/>
              </w:rPr>
            </w:pPr>
            <w:r w:rsidRPr="004E5A6E">
              <w:rPr>
                <w:sz w:val="16"/>
                <w:szCs w:val="18"/>
                <w:lang w:val="sq-AL"/>
              </w:rPr>
              <w:t>Shpenzimet e përsëritura, si % e BPV-së</w:t>
            </w:r>
          </w:p>
        </w:tc>
        <w:tc>
          <w:tcPr>
            <w:tcW w:w="741" w:type="dxa"/>
            <w:tcBorders>
              <w:top w:val="nil"/>
              <w:left w:val="nil"/>
              <w:bottom w:val="single" w:sz="8" w:space="0" w:color="auto"/>
              <w:right w:val="dotted" w:sz="4" w:space="0" w:color="auto"/>
            </w:tcBorders>
            <w:shd w:val="clear" w:color="000000" w:fill="DEEAF6"/>
            <w:noWrap/>
            <w:vAlign w:val="center"/>
            <w:hideMark/>
          </w:tcPr>
          <w:p w14:paraId="61C008CA" w14:textId="77777777" w:rsidR="003B3804" w:rsidRPr="004E5A6E" w:rsidRDefault="003B3804" w:rsidP="00713DEA">
            <w:pPr>
              <w:jc w:val="right"/>
              <w:rPr>
                <w:sz w:val="16"/>
                <w:szCs w:val="18"/>
                <w:lang w:val="sq-AL"/>
              </w:rPr>
            </w:pPr>
            <w:r w:rsidRPr="004E5A6E">
              <w:rPr>
                <w:sz w:val="16"/>
                <w:szCs w:val="18"/>
                <w:lang w:val="sq-AL"/>
              </w:rPr>
              <w:t>0.2%</w:t>
            </w:r>
          </w:p>
        </w:tc>
        <w:tc>
          <w:tcPr>
            <w:tcW w:w="863" w:type="dxa"/>
            <w:tcBorders>
              <w:top w:val="nil"/>
              <w:left w:val="nil"/>
              <w:bottom w:val="single" w:sz="8" w:space="0" w:color="auto"/>
              <w:right w:val="dotted" w:sz="4" w:space="0" w:color="auto"/>
            </w:tcBorders>
            <w:shd w:val="clear" w:color="000000" w:fill="DEEAF6"/>
            <w:noWrap/>
            <w:vAlign w:val="center"/>
            <w:hideMark/>
          </w:tcPr>
          <w:p w14:paraId="1F1E0E91" w14:textId="77777777" w:rsidR="003B3804" w:rsidRPr="004E5A6E" w:rsidRDefault="003B3804" w:rsidP="00713DEA">
            <w:pPr>
              <w:jc w:val="right"/>
              <w:rPr>
                <w:sz w:val="16"/>
                <w:szCs w:val="18"/>
                <w:lang w:val="sq-AL"/>
              </w:rPr>
            </w:pPr>
            <w:r w:rsidRPr="004E5A6E">
              <w:rPr>
                <w:sz w:val="16"/>
                <w:szCs w:val="18"/>
                <w:lang w:val="sq-AL"/>
              </w:rPr>
              <w:t>-0.1%</w:t>
            </w:r>
          </w:p>
        </w:tc>
        <w:tc>
          <w:tcPr>
            <w:tcW w:w="863" w:type="dxa"/>
            <w:tcBorders>
              <w:top w:val="nil"/>
              <w:left w:val="nil"/>
              <w:bottom w:val="single" w:sz="8" w:space="0" w:color="auto"/>
              <w:right w:val="dotted" w:sz="4" w:space="0" w:color="auto"/>
            </w:tcBorders>
            <w:shd w:val="clear" w:color="000000" w:fill="DEEAF6"/>
            <w:noWrap/>
            <w:vAlign w:val="center"/>
            <w:hideMark/>
          </w:tcPr>
          <w:p w14:paraId="5F219AB4" w14:textId="77777777" w:rsidR="003B3804" w:rsidRPr="004E5A6E" w:rsidRDefault="003B3804" w:rsidP="00713DEA">
            <w:pPr>
              <w:jc w:val="right"/>
              <w:rPr>
                <w:sz w:val="16"/>
                <w:szCs w:val="18"/>
                <w:lang w:val="sq-AL"/>
              </w:rPr>
            </w:pPr>
            <w:r w:rsidRPr="004E5A6E">
              <w:rPr>
                <w:sz w:val="16"/>
                <w:szCs w:val="18"/>
                <w:lang w:val="sq-AL"/>
              </w:rPr>
              <w:t>6.2%</w:t>
            </w:r>
          </w:p>
        </w:tc>
        <w:tc>
          <w:tcPr>
            <w:tcW w:w="863" w:type="dxa"/>
            <w:tcBorders>
              <w:top w:val="nil"/>
              <w:left w:val="nil"/>
              <w:bottom w:val="single" w:sz="8" w:space="0" w:color="auto"/>
              <w:right w:val="dotted" w:sz="4" w:space="0" w:color="auto"/>
            </w:tcBorders>
            <w:shd w:val="clear" w:color="000000" w:fill="DEEAF6"/>
            <w:noWrap/>
            <w:vAlign w:val="center"/>
            <w:hideMark/>
          </w:tcPr>
          <w:p w14:paraId="2738D6EA" w14:textId="77777777" w:rsidR="003B3804" w:rsidRPr="004E5A6E" w:rsidRDefault="003B3804" w:rsidP="00713DEA">
            <w:pPr>
              <w:jc w:val="right"/>
              <w:rPr>
                <w:sz w:val="16"/>
                <w:szCs w:val="18"/>
                <w:lang w:val="sq-AL"/>
              </w:rPr>
            </w:pPr>
            <w:r w:rsidRPr="004E5A6E">
              <w:rPr>
                <w:sz w:val="16"/>
                <w:szCs w:val="18"/>
                <w:lang w:val="sq-AL"/>
              </w:rPr>
              <w:t>3.9%</w:t>
            </w:r>
          </w:p>
        </w:tc>
        <w:tc>
          <w:tcPr>
            <w:tcW w:w="863" w:type="dxa"/>
            <w:tcBorders>
              <w:top w:val="nil"/>
              <w:left w:val="nil"/>
              <w:bottom w:val="single" w:sz="8" w:space="0" w:color="auto"/>
              <w:right w:val="dotted" w:sz="4" w:space="0" w:color="auto"/>
            </w:tcBorders>
            <w:shd w:val="clear" w:color="000000" w:fill="DEEAF6"/>
            <w:noWrap/>
            <w:vAlign w:val="center"/>
            <w:hideMark/>
          </w:tcPr>
          <w:p w14:paraId="4A999B96" w14:textId="77777777" w:rsidR="003B3804" w:rsidRPr="004E5A6E" w:rsidRDefault="003B3804" w:rsidP="00713DEA">
            <w:pPr>
              <w:jc w:val="right"/>
              <w:rPr>
                <w:sz w:val="16"/>
                <w:szCs w:val="18"/>
                <w:lang w:val="sq-AL"/>
              </w:rPr>
            </w:pPr>
            <w:r w:rsidRPr="004E5A6E">
              <w:rPr>
                <w:sz w:val="16"/>
                <w:szCs w:val="18"/>
                <w:lang w:val="sq-AL"/>
              </w:rPr>
              <w:t>1.5%</w:t>
            </w:r>
          </w:p>
        </w:tc>
        <w:tc>
          <w:tcPr>
            <w:tcW w:w="863" w:type="dxa"/>
            <w:tcBorders>
              <w:top w:val="nil"/>
              <w:left w:val="nil"/>
              <w:bottom w:val="single" w:sz="8" w:space="0" w:color="auto"/>
              <w:right w:val="single" w:sz="8" w:space="0" w:color="auto"/>
            </w:tcBorders>
            <w:shd w:val="clear" w:color="000000" w:fill="DEEAF6"/>
            <w:vAlign w:val="center"/>
            <w:hideMark/>
          </w:tcPr>
          <w:p w14:paraId="01F29566" w14:textId="77777777" w:rsidR="003B3804" w:rsidRPr="004E5A6E" w:rsidRDefault="003B3804" w:rsidP="00713DEA">
            <w:pPr>
              <w:jc w:val="right"/>
              <w:rPr>
                <w:i/>
                <w:iCs/>
                <w:sz w:val="16"/>
                <w:szCs w:val="18"/>
                <w:lang w:val="sq-AL"/>
              </w:rPr>
            </w:pPr>
            <w:r w:rsidRPr="004E5A6E">
              <w:rPr>
                <w:i/>
                <w:iCs/>
                <w:sz w:val="16"/>
                <w:szCs w:val="18"/>
                <w:lang w:val="sq-AL"/>
              </w:rPr>
              <w:t>n/a</w:t>
            </w:r>
          </w:p>
        </w:tc>
      </w:tr>
    </w:tbl>
    <w:p w14:paraId="2B41863E" w14:textId="77777777" w:rsidR="003B3804" w:rsidRPr="004E5A6E" w:rsidRDefault="003B3804" w:rsidP="00693151">
      <w:pPr>
        <w:rPr>
          <w:highlight w:val="yellow"/>
          <w:lang w:val="sq-AL"/>
        </w:rPr>
      </w:pPr>
    </w:p>
    <w:tbl>
      <w:tblPr>
        <w:tblStyle w:val="TableGrid"/>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shd w:val="clear" w:color="auto" w:fill="DEEAF6" w:themeFill="accent1" w:themeFillTint="33"/>
        <w:tblLook w:val="04A0" w:firstRow="1" w:lastRow="0" w:firstColumn="1" w:lastColumn="0" w:noHBand="0" w:noVBand="1"/>
      </w:tblPr>
      <w:tblGrid>
        <w:gridCol w:w="8614"/>
      </w:tblGrid>
      <w:tr w:rsidR="003B3804" w:rsidRPr="004E5A6E" w14:paraId="5F6E9151" w14:textId="77777777" w:rsidTr="00713DEA">
        <w:trPr>
          <w:trHeight w:val="429"/>
        </w:trPr>
        <w:tc>
          <w:tcPr>
            <w:tcW w:w="5000" w:type="pct"/>
            <w:shd w:val="clear" w:color="auto" w:fill="DEEAF6" w:themeFill="accent1" w:themeFillTint="33"/>
            <w:vAlign w:val="center"/>
          </w:tcPr>
          <w:p w14:paraId="2F4E06FB" w14:textId="77777777" w:rsidR="003B3804" w:rsidRPr="004E5A6E" w:rsidRDefault="003B3804" w:rsidP="00713DEA">
            <w:pPr>
              <w:rPr>
                <w:b/>
                <w:i/>
                <w:color w:val="auto"/>
                <w:sz w:val="26"/>
                <w:szCs w:val="26"/>
                <w:lang w:val="sq-AL"/>
              </w:rPr>
            </w:pPr>
            <w:r w:rsidRPr="004E5A6E">
              <w:rPr>
                <w:b/>
                <w:bCs/>
                <w:color w:val="auto"/>
                <w:lang w:val="sq-AL"/>
              </w:rPr>
              <w:t>Kutia 1. Klauzola e Investimeve</w:t>
            </w:r>
          </w:p>
        </w:tc>
      </w:tr>
      <w:tr w:rsidR="003B3804" w:rsidRPr="004E5A6E" w14:paraId="5082FCC7" w14:textId="77777777" w:rsidTr="00713DEA">
        <w:tc>
          <w:tcPr>
            <w:tcW w:w="5000" w:type="pct"/>
            <w:shd w:val="clear" w:color="auto" w:fill="DEEAF6" w:themeFill="accent1" w:themeFillTint="33"/>
          </w:tcPr>
          <w:p w14:paraId="2FC9AADE" w14:textId="77777777" w:rsidR="003B3804" w:rsidRPr="004E5A6E" w:rsidRDefault="003B3804" w:rsidP="00713DEA">
            <w:pPr>
              <w:spacing w:after="200" w:line="276" w:lineRule="auto"/>
              <w:jc w:val="both"/>
              <w:rPr>
                <w:rFonts w:eastAsiaTheme="minorEastAsia"/>
                <w:lang w:val="sq-AL" w:eastAsia="sq-AL"/>
              </w:rPr>
            </w:pPr>
            <w:r w:rsidRPr="004E5A6E">
              <w:rPr>
                <w:rFonts w:eastAsiaTheme="minorEastAsia"/>
                <w:lang w:val="sq-AL" w:eastAsia="sq-AL"/>
              </w:rPr>
              <w:t xml:space="preserve">Në vitin 2012, si pjesë e programit të atëhershëm me Fondin Monetar Ndërkombëtar (FMN), Kuvendi i Kosovës pati aprovuar amandamentet e Ligjit për Menaxhimin e Financave Publike dhe Përgjegjësitë, përfshirë edhe rregullën fiskale. Ndër të tjera, kjo nënkupton një kufizim vjetor të huamarrjes shtetërore në maksimum 2% të Bruto Produktit Vendor (BPV), pa marrë parasysh kapacitetin e Qeverisë për të siguruar më shumë financim të jashtëm për projekte kapitale me rëndësi publike. </w:t>
            </w:r>
          </w:p>
          <w:p w14:paraId="66ACC357" w14:textId="77777777" w:rsidR="003B3804" w:rsidRPr="004E5A6E" w:rsidRDefault="003B3804" w:rsidP="00713DEA">
            <w:pPr>
              <w:spacing w:after="200" w:line="276" w:lineRule="auto"/>
              <w:jc w:val="both"/>
              <w:rPr>
                <w:rFonts w:eastAsiaTheme="minorEastAsia"/>
                <w:lang w:val="sq-AL" w:eastAsia="sq-AL"/>
              </w:rPr>
            </w:pPr>
            <w:r w:rsidRPr="004E5A6E">
              <w:rPr>
                <w:rFonts w:eastAsiaTheme="minorEastAsia"/>
                <w:lang w:val="sq-AL" w:eastAsia="sq-AL"/>
              </w:rPr>
              <w:t>Në të njëjtën kohë, Qeveria e Kosovës identifikoi nevojën për hapësirë shtesë për financim të projekteve të mëdha kapitale dhe në 2015 filloi negociatat për një program të tretë të FMN-së, i cili mes të tjerash, do të lejonte relaksimin e rregullës fiskale. Me fjalë të tjera, për projekte të mëdha kapitale me rëndësi strategjike, Qeveria do të ishte në gjendje të hynte në borxh përtej rregullës fiskale prej 2% për një periudhë 10 vjeçare, me kushtin kryesor që të mos tejkalohet 30% i BPV-së së parashikuar. Kjo do t’i jepte mundësinë që Qeveria e Kosovës të kishte hapësirë fiskale shtesë prej afërsisht 1.8% mbi 2% të përcaktuar me rregullën fiskale. Në fakt, kjo ishte njohur si “amandamenti i klauzolës për investime” që paraqiti aprovimin e ndryshimeve të nevojshme legjislative nga Kuvendi, në janar 2016.</w:t>
            </w:r>
          </w:p>
          <w:p w14:paraId="0CCEBF65" w14:textId="77777777" w:rsidR="003B3804" w:rsidRPr="004E5A6E" w:rsidRDefault="003B3804" w:rsidP="00713DEA">
            <w:pPr>
              <w:spacing w:after="200" w:line="276" w:lineRule="auto"/>
              <w:jc w:val="both"/>
              <w:rPr>
                <w:rFonts w:eastAsiaTheme="minorEastAsia"/>
                <w:lang w:val="sq-AL" w:eastAsia="sq-AL"/>
              </w:rPr>
            </w:pPr>
            <w:r w:rsidRPr="004E5A6E">
              <w:rPr>
                <w:rFonts w:eastAsiaTheme="minorEastAsia"/>
                <w:lang w:val="sq-AL" w:eastAsia="sq-AL"/>
              </w:rPr>
              <w:t xml:space="preserve">Qeveria e Kosovës mbetet e përkushtuar që në mënyrë të balancuar të përfshijë në procesin e buxhetit projekte kapitale të implementuara përmes “klauzolës për investime”, ashtu që analizimi i financimit të projekteve të tilla të bazohet në analizat për qëndrueshmërinë afatgjatë të borxhit publik. </w:t>
            </w:r>
          </w:p>
          <w:p w14:paraId="7291308C" w14:textId="77777777" w:rsidR="003B3804" w:rsidRPr="004E5A6E" w:rsidRDefault="003B3804" w:rsidP="00713DEA">
            <w:pPr>
              <w:spacing w:after="200" w:line="276" w:lineRule="auto"/>
              <w:jc w:val="both"/>
              <w:rPr>
                <w:rFonts w:eastAsiaTheme="minorEastAsia"/>
                <w:lang w:val="sq-AL" w:eastAsia="sq-AL"/>
              </w:rPr>
            </w:pPr>
            <w:r w:rsidRPr="004E5A6E">
              <w:rPr>
                <w:rFonts w:eastAsiaTheme="minorEastAsia"/>
                <w:lang w:val="sq-AL" w:eastAsia="sq-AL"/>
              </w:rPr>
              <w:t xml:space="preserve">Një kusht tjetër i paraparë me dispozitat e klauzolës për investime është që Ministria e Financave të përgatisë dy herë në vit një raport narrativ për implementimin e projekteve nën këtë dispozitë. </w:t>
            </w:r>
          </w:p>
          <w:p w14:paraId="4700672A" w14:textId="77777777" w:rsidR="003B3804" w:rsidRPr="004E5A6E" w:rsidRDefault="003B3804" w:rsidP="00713DEA">
            <w:pPr>
              <w:spacing w:after="200" w:line="276" w:lineRule="auto"/>
              <w:jc w:val="both"/>
              <w:rPr>
                <w:lang w:val="sq-AL"/>
              </w:rPr>
            </w:pPr>
            <w:r w:rsidRPr="004E5A6E">
              <w:rPr>
                <w:rFonts w:eastAsiaTheme="minorEastAsia"/>
                <w:lang w:val="sq-AL" w:eastAsia="sq-AL"/>
              </w:rPr>
              <w:t xml:space="preserve">Është më rendësi të theksohet se pandemia Covid-19 ka pasur një  ndikim të ndjeshëm ne ngadalësimin e realizimit te projekteve te planifikuara përgjatë 2020. Masat e marra për të menaxhuar efektin e pandemisë në shëndetin publik, kanë shkaktuar një ngadalësim të aktivitetit ekonomik që </w:t>
            </w:r>
            <w:r w:rsidRPr="004E5A6E">
              <w:rPr>
                <w:lang w:val="sq-AL"/>
              </w:rPr>
              <w:t>është p</w:t>
            </w:r>
            <w:r w:rsidRPr="004E5A6E">
              <w:rPr>
                <w:rFonts w:eastAsiaTheme="minorEastAsia"/>
                <w:lang w:val="sq-AL" w:eastAsia="sq-AL"/>
              </w:rPr>
              <w:t>ërcjellë</w:t>
            </w:r>
            <w:r w:rsidRPr="004E5A6E">
              <w:rPr>
                <w:lang w:val="sq-AL"/>
              </w:rPr>
              <w:t xml:space="preserve"> me probleme t</w:t>
            </w:r>
            <w:r w:rsidRPr="004E5A6E">
              <w:rPr>
                <w:rFonts w:eastAsiaTheme="minorEastAsia"/>
                <w:lang w:val="sq-AL" w:eastAsia="sq-AL"/>
              </w:rPr>
              <w:t>ë</w:t>
            </w:r>
            <w:r w:rsidRPr="004E5A6E">
              <w:rPr>
                <w:lang w:val="sq-AL"/>
              </w:rPr>
              <w:t xml:space="preserve"> shumta p</w:t>
            </w:r>
            <w:r w:rsidRPr="004E5A6E">
              <w:rPr>
                <w:rFonts w:eastAsiaTheme="minorEastAsia"/>
                <w:lang w:val="sq-AL" w:eastAsia="sq-AL"/>
              </w:rPr>
              <w:t xml:space="preserve">ër bizneset në vend dhe shtresat më </w:t>
            </w:r>
            <w:r w:rsidRPr="004E5A6E">
              <w:rPr>
                <w:lang w:val="sq-AL"/>
              </w:rPr>
              <w:t>t</w:t>
            </w:r>
            <w:r w:rsidRPr="004E5A6E">
              <w:rPr>
                <w:rFonts w:eastAsiaTheme="minorEastAsia"/>
                <w:lang w:val="sq-AL" w:eastAsia="sq-AL"/>
              </w:rPr>
              <w:t>ë ndjeshme të shoqërisë.</w:t>
            </w:r>
            <w:r w:rsidRPr="004E5A6E">
              <w:rPr>
                <w:lang w:val="sq-AL"/>
              </w:rPr>
              <w:t xml:space="preserve"> P</w:t>
            </w:r>
            <w:r w:rsidRPr="004E5A6E">
              <w:rPr>
                <w:rFonts w:eastAsiaTheme="minorEastAsia"/>
                <w:lang w:val="sq-AL" w:eastAsia="sq-AL"/>
              </w:rPr>
              <w:t xml:space="preserve">ër të </w:t>
            </w:r>
            <w:r w:rsidRPr="004E5A6E">
              <w:rPr>
                <w:lang w:val="sq-AL"/>
              </w:rPr>
              <w:t>sajuar d</w:t>
            </w:r>
            <w:r w:rsidRPr="004E5A6E">
              <w:rPr>
                <w:rFonts w:eastAsiaTheme="minorEastAsia"/>
                <w:lang w:val="sq-AL" w:eastAsia="sq-AL"/>
              </w:rPr>
              <w:t>ëmet e shkaktuara nga pandemia, Qeveria e Kosovës ka hartuar Planin për Rimëkëmbje Ekonomike, pjesë të secilit</w:t>
            </w:r>
            <w:r w:rsidRPr="004E5A6E">
              <w:rPr>
                <w:lang w:val="sq-AL"/>
              </w:rPr>
              <w:t xml:space="preserve"> do t</w:t>
            </w:r>
            <w:r w:rsidRPr="004E5A6E">
              <w:rPr>
                <w:rFonts w:eastAsiaTheme="minorEastAsia"/>
                <w:lang w:val="sq-AL" w:eastAsia="sq-AL"/>
              </w:rPr>
              <w:t>ë</w:t>
            </w:r>
            <w:r w:rsidRPr="004E5A6E">
              <w:rPr>
                <w:lang w:val="sq-AL"/>
              </w:rPr>
              <w:t xml:space="preserve"> financohen p</w:t>
            </w:r>
            <w:r w:rsidRPr="004E5A6E">
              <w:rPr>
                <w:rFonts w:eastAsiaTheme="minorEastAsia"/>
                <w:lang w:val="sq-AL" w:eastAsia="sq-AL"/>
              </w:rPr>
              <w:t>ërmes Klauzolës së Investimeve.</w:t>
            </w:r>
          </w:p>
          <w:p w14:paraId="75829D48" w14:textId="77777777" w:rsidR="003B3804" w:rsidRPr="004E5A6E" w:rsidRDefault="003B3804" w:rsidP="00713DEA">
            <w:pPr>
              <w:spacing w:after="200" w:line="276" w:lineRule="auto"/>
              <w:jc w:val="both"/>
              <w:rPr>
                <w:rFonts w:eastAsiaTheme="minorEastAsia"/>
                <w:lang w:val="sq-AL" w:eastAsia="sq-AL"/>
              </w:rPr>
            </w:pPr>
            <w:r w:rsidRPr="004E5A6E">
              <w:rPr>
                <w:lang w:val="sq-AL"/>
              </w:rPr>
              <w:t>Situata</w:t>
            </w:r>
            <w:r w:rsidRPr="004E5A6E">
              <w:rPr>
                <w:rFonts w:eastAsiaTheme="minorEastAsia"/>
                <w:lang w:val="sq-AL" w:eastAsia="sq-AL"/>
              </w:rPr>
              <w:t xml:space="preserve"> e krijuar nga pandemia ka krijuar poashtu nevojën që të sigurohet financim për menaxhuar situatën e shkaktuar nga pandemia.</w:t>
            </w:r>
          </w:p>
          <w:p w14:paraId="2ED8C9FE" w14:textId="77777777" w:rsidR="003B3804" w:rsidRPr="004E5A6E" w:rsidRDefault="003B3804" w:rsidP="00713DEA">
            <w:pPr>
              <w:spacing w:after="200" w:line="276" w:lineRule="auto"/>
              <w:jc w:val="both"/>
              <w:rPr>
                <w:rFonts w:eastAsiaTheme="minorEastAsia"/>
                <w:lang w:val="sq-AL" w:eastAsia="sq-AL"/>
              </w:rPr>
            </w:pPr>
            <w:r w:rsidRPr="004E5A6E">
              <w:rPr>
                <w:rFonts w:eastAsiaTheme="minorEastAsia"/>
                <w:lang w:val="sq-AL" w:eastAsia="sq-AL"/>
              </w:rPr>
              <w:lastRenderedPageBreak/>
              <w:t>Projektet që janë të përfshira në klauzolën investive janë të përmbledhura shkurtimisht në vijim:</w:t>
            </w:r>
          </w:p>
          <w:p w14:paraId="4DC9F269" w14:textId="77777777" w:rsidR="003B3804" w:rsidRPr="004E5A6E" w:rsidRDefault="003B3804" w:rsidP="0068706C">
            <w:pPr>
              <w:pStyle w:val="ListParagraph"/>
              <w:numPr>
                <w:ilvl w:val="0"/>
                <w:numId w:val="11"/>
              </w:numPr>
              <w:spacing w:after="200" w:line="276" w:lineRule="auto"/>
              <w:ind w:left="0" w:firstLine="0"/>
              <w:jc w:val="both"/>
              <w:rPr>
                <w:rFonts w:ascii="Times New Roman" w:eastAsiaTheme="minorEastAsia" w:hAnsi="Times New Roman"/>
                <w:sz w:val="24"/>
                <w:szCs w:val="24"/>
                <w:lang w:val="sq-AL" w:eastAsia="sq-AL"/>
              </w:rPr>
            </w:pPr>
            <w:r w:rsidRPr="004E5A6E">
              <w:rPr>
                <w:rFonts w:ascii="Times New Roman" w:hAnsi="Times New Roman"/>
                <w:b/>
                <w:bCs/>
                <w:sz w:val="24"/>
                <w:szCs w:val="24"/>
                <w:lang w:val="sq-AL"/>
              </w:rPr>
              <w:t>Financim për ri-kapitalizimin e Fondit Kosovar për Garantimin e Kredive</w:t>
            </w:r>
            <w:r w:rsidRPr="004E5A6E">
              <w:rPr>
                <w:rFonts w:ascii="Times New Roman" w:hAnsi="Times New Roman"/>
                <w:sz w:val="24"/>
                <w:szCs w:val="24"/>
                <w:lang w:val="sq-AL"/>
              </w:rPr>
              <w:t xml:space="preserve"> – Në mënyre që të lehtësohet qasja në financim për bizneset vendore, në kuadër të programit për rimëkëmbjen ekonomike nga kriza e shkaktuar nga pandemia covid-19, është paraparë edhe ri-kapitalizimi i Fondit Kosovar për Garantimin e Kredive (FKGK). Totali i financimit të ri-kapitalizimit të FKGK pritet të jetë 40 milion euro dhe është planifikuar të financohet përmes marrëveshjes se financimit mes Kosovës dhe Bankës  Evropiane për Investime (BEI), e cila pritet të nënshkruhet në vitin 2021. </w:t>
            </w:r>
          </w:p>
          <w:p w14:paraId="57657784" w14:textId="77777777" w:rsidR="003B3804" w:rsidRPr="004E5A6E" w:rsidRDefault="003B3804" w:rsidP="00713DEA">
            <w:pPr>
              <w:pStyle w:val="ListParagraph"/>
              <w:spacing w:after="200" w:line="276" w:lineRule="auto"/>
              <w:ind w:left="0"/>
              <w:jc w:val="both"/>
              <w:rPr>
                <w:rFonts w:ascii="Times New Roman" w:eastAsiaTheme="minorEastAsia" w:hAnsi="Times New Roman"/>
                <w:sz w:val="24"/>
                <w:szCs w:val="24"/>
                <w:lang w:val="sq-AL" w:eastAsia="sq-AL"/>
              </w:rPr>
            </w:pPr>
          </w:p>
          <w:p w14:paraId="6AA6E6D5" w14:textId="77777777" w:rsidR="003B3804" w:rsidRPr="004E5A6E" w:rsidRDefault="003B3804" w:rsidP="0068706C">
            <w:pPr>
              <w:pStyle w:val="ListParagraph"/>
              <w:numPr>
                <w:ilvl w:val="0"/>
                <w:numId w:val="11"/>
              </w:numPr>
              <w:spacing w:after="200" w:line="276" w:lineRule="auto"/>
              <w:ind w:left="0" w:firstLine="0"/>
              <w:jc w:val="both"/>
              <w:rPr>
                <w:rFonts w:ascii="Times New Roman" w:eastAsiaTheme="minorEastAsia" w:hAnsi="Times New Roman"/>
                <w:sz w:val="24"/>
                <w:szCs w:val="24"/>
                <w:lang w:val="sq-AL" w:eastAsia="sq-AL"/>
              </w:rPr>
            </w:pPr>
            <w:r w:rsidRPr="004E5A6E">
              <w:rPr>
                <w:rFonts w:ascii="Times New Roman" w:hAnsi="Times New Roman"/>
                <w:b/>
                <w:bCs/>
                <w:sz w:val="24"/>
                <w:szCs w:val="24"/>
                <w:lang w:val="sq-AL"/>
              </w:rPr>
              <w:t>Instrumenti për Financim</w:t>
            </w:r>
            <w:r w:rsidRPr="004E5A6E">
              <w:rPr>
                <w:rFonts w:ascii="Times New Roman" w:hAnsi="Times New Roman"/>
                <w:sz w:val="24"/>
                <w:szCs w:val="24"/>
                <w:lang w:val="sq-AL"/>
              </w:rPr>
              <w:t xml:space="preserve"> </w:t>
            </w:r>
            <w:r w:rsidRPr="004E5A6E">
              <w:rPr>
                <w:rFonts w:ascii="Times New Roman" w:hAnsi="Times New Roman"/>
                <w:b/>
                <w:bCs/>
                <w:sz w:val="24"/>
                <w:szCs w:val="24"/>
                <w:lang w:val="sq-AL"/>
              </w:rPr>
              <w:t>të Sektorit Publik për</w:t>
            </w:r>
            <w:r w:rsidRPr="004E5A6E">
              <w:rPr>
                <w:rFonts w:ascii="Times New Roman" w:hAnsi="Times New Roman"/>
                <w:sz w:val="24"/>
                <w:szCs w:val="24"/>
                <w:lang w:val="sq-AL"/>
              </w:rPr>
              <w:t xml:space="preserve"> </w:t>
            </w:r>
            <w:r w:rsidRPr="004E5A6E">
              <w:rPr>
                <w:rFonts w:ascii="Times New Roman" w:hAnsi="Times New Roman"/>
                <w:b/>
                <w:bCs/>
                <w:sz w:val="24"/>
                <w:szCs w:val="24"/>
                <w:lang w:val="sq-AL"/>
              </w:rPr>
              <w:t>Reagim Emergjent ndaj COVID-19</w:t>
            </w:r>
            <w:r w:rsidRPr="004E5A6E">
              <w:rPr>
                <w:rFonts w:ascii="Times New Roman" w:hAnsi="Times New Roman"/>
                <w:sz w:val="24"/>
                <w:szCs w:val="24"/>
                <w:lang w:val="sq-AL"/>
              </w:rPr>
              <w:t xml:space="preserve"> –– Ky projekt është në kuadër të programit për rimëkëmbjen ekonomike sa i përket sektorit shëndetësor me Bankën Zhvillimore të Këshillit të Evropës. Vlera totale e kredisë është 35 milionë euro, ndërsa norma e interesit është e subvencionuar nga Banka Zhvillimore e Këshillit të Evropës (CEB) deri në 1 milion euro. Marrëveshja financiare është ratifikuar nga Kuvendi i Kosovës dhe ka hyrë në fuqi. Disbursimi i parë pritet të bëhet sivjet. </w:t>
            </w:r>
          </w:p>
          <w:p w14:paraId="1FF25817" w14:textId="77777777" w:rsidR="003B3804" w:rsidRPr="004E5A6E" w:rsidRDefault="003B3804" w:rsidP="00713DEA">
            <w:pPr>
              <w:pStyle w:val="ListParagraph"/>
              <w:ind w:left="0"/>
              <w:rPr>
                <w:rFonts w:ascii="Times New Roman" w:hAnsi="Times New Roman"/>
                <w:sz w:val="24"/>
                <w:szCs w:val="24"/>
                <w:lang w:val="sq-AL"/>
              </w:rPr>
            </w:pPr>
          </w:p>
          <w:p w14:paraId="2F2A349C" w14:textId="77777777" w:rsidR="003B3804" w:rsidRPr="004E5A6E" w:rsidRDefault="003B3804" w:rsidP="0068706C">
            <w:pPr>
              <w:pStyle w:val="ListParagraph"/>
              <w:numPr>
                <w:ilvl w:val="0"/>
                <w:numId w:val="11"/>
              </w:numPr>
              <w:spacing w:after="200" w:line="276" w:lineRule="auto"/>
              <w:ind w:left="0" w:firstLine="0"/>
              <w:jc w:val="both"/>
              <w:rPr>
                <w:rFonts w:ascii="Times New Roman" w:eastAsiaTheme="minorEastAsia" w:hAnsi="Times New Roman"/>
                <w:sz w:val="24"/>
                <w:szCs w:val="24"/>
                <w:lang w:val="sq-AL" w:eastAsia="sq-AL"/>
              </w:rPr>
            </w:pPr>
            <w:r w:rsidRPr="004E5A6E">
              <w:rPr>
                <w:rFonts w:ascii="Times New Roman" w:hAnsi="Times New Roman"/>
                <w:b/>
                <w:sz w:val="24"/>
                <w:szCs w:val="24"/>
                <w:lang w:val="sq-AL"/>
              </w:rPr>
              <w:t>Kredia e likuiditetit të urgjencës së infrastrukturës vitale</w:t>
            </w:r>
            <w:r w:rsidRPr="004E5A6E">
              <w:rPr>
                <w:rFonts w:ascii="Times New Roman" w:hAnsi="Times New Roman"/>
                <w:sz w:val="24"/>
                <w:szCs w:val="24"/>
                <w:lang w:val="sq-AL"/>
              </w:rPr>
              <w:t xml:space="preserve"> – Për shkak te pandemisë COVID-19, ofruesit e shërbimeve vitale infrastrukturore ne Republikën e Kosovës janë përballur ne vazhdimësi me humbje të të hyrave. Ne mungesë të likuiditet apo ndonjë përkrahje shtesë qeveritare, këto ndërmarrje janë në rrezik te theksuar te kolapsit financiar. Me qëllim të shmangies së këtij rreziku, Qeveria e Kosovës ka negociuar këtë marrëveshje për kredi emergjente për infrastrukturë vitale me </w:t>
            </w:r>
            <w:r w:rsidRPr="004E5A6E">
              <w:rPr>
                <w:rFonts w:ascii="Times New Roman" w:hAnsi="Times New Roman"/>
                <w:bCs/>
                <w:sz w:val="24"/>
                <w:szCs w:val="24"/>
                <w:lang w:val="sq-AL"/>
              </w:rPr>
              <w:t>Bankën Evropiane për Rindërtim dhe Zhvillim.</w:t>
            </w:r>
            <w:r w:rsidRPr="004E5A6E">
              <w:rPr>
                <w:rFonts w:ascii="Times New Roman" w:hAnsi="Times New Roman"/>
                <w:sz w:val="24"/>
                <w:szCs w:val="24"/>
                <w:lang w:val="sq-AL"/>
              </w:rPr>
              <w:t xml:space="preserve"> Vlera e kredisë është 30,000,000 EUR me kohëzgjatje prej 3 vjet. Marrëveshja financiare është nënshkruar dhe është në proces të ratifikimit.</w:t>
            </w:r>
          </w:p>
          <w:p w14:paraId="01311EBD" w14:textId="77777777" w:rsidR="003B3804" w:rsidRPr="004E5A6E" w:rsidRDefault="003B3804" w:rsidP="00713DEA">
            <w:pPr>
              <w:pStyle w:val="ListParagraph"/>
              <w:spacing w:after="200" w:line="276" w:lineRule="auto"/>
              <w:ind w:left="0"/>
              <w:jc w:val="both"/>
              <w:rPr>
                <w:rFonts w:ascii="Times New Roman" w:eastAsiaTheme="minorEastAsia" w:hAnsi="Times New Roman"/>
                <w:sz w:val="24"/>
                <w:szCs w:val="24"/>
                <w:lang w:val="sq-AL" w:eastAsia="sq-AL"/>
              </w:rPr>
            </w:pPr>
          </w:p>
          <w:p w14:paraId="5474F8DF" w14:textId="77777777" w:rsidR="003B3804" w:rsidRPr="004E5A6E" w:rsidRDefault="003B3804" w:rsidP="0068706C">
            <w:pPr>
              <w:pStyle w:val="ListParagraph"/>
              <w:numPr>
                <w:ilvl w:val="0"/>
                <w:numId w:val="11"/>
              </w:numPr>
              <w:spacing w:after="200" w:line="276" w:lineRule="auto"/>
              <w:ind w:left="0" w:firstLine="0"/>
              <w:jc w:val="both"/>
              <w:rPr>
                <w:rFonts w:ascii="Times New Roman" w:eastAsiaTheme="minorEastAsia" w:hAnsi="Times New Roman"/>
                <w:sz w:val="24"/>
                <w:szCs w:val="24"/>
                <w:lang w:val="sq-AL" w:eastAsia="sq-AL"/>
              </w:rPr>
            </w:pPr>
            <w:r w:rsidRPr="004E5A6E">
              <w:rPr>
                <w:rFonts w:ascii="Times New Roman" w:hAnsi="Times New Roman"/>
                <w:b/>
                <w:sz w:val="24"/>
                <w:szCs w:val="24"/>
                <w:lang w:val="sq-AL"/>
              </w:rPr>
              <w:t xml:space="preserve">Projekti i Fuqizimit të Sektorit Financiar </w:t>
            </w:r>
            <w:r w:rsidRPr="004E5A6E">
              <w:rPr>
                <w:rFonts w:ascii="Times New Roman" w:eastAsiaTheme="minorEastAsia" w:hAnsi="Times New Roman"/>
                <w:sz w:val="24"/>
                <w:szCs w:val="24"/>
                <w:lang w:val="sq-AL" w:eastAsia="sq-AL"/>
              </w:rPr>
              <w:t xml:space="preserve">– Ky projekt ka Fondin Kosovar për Garanci Kreditore (FKGK) si institucion implementues, dhe qëllimi i projektit është përmirësimi i qasjes në financa për ndërmarrjet mikro, të vogla, dhe të mesme, duke forcuar kapacitetin financiar dhe teknik të FKGK-së. Marrëveshja financiare është lidhur me AZhN/Bankën Botërore dhe është ratifikuar në kuvend.  </w:t>
            </w:r>
          </w:p>
          <w:p w14:paraId="267C7668" w14:textId="77777777" w:rsidR="003B3804" w:rsidRPr="004E5A6E" w:rsidRDefault="003B3804" w:rsidP="00713DEA">
            <w:pPr>
              <w:pStyle w:val="ListParagraph"/>
              <w:ind w:left="0"/>
              <w:rPr>
                <w:rFonts w:ascii="Times New Roman" w:eastAsiaTheme="minorEastAsia" w:hAnsi="Times New Roman"/>
                <w:sz w:val="24"/>
                <w:szCs w:val="24"/>
                <w:lang w:val="sq-AL" w:eastAsia="sq-AL"/>
              </w:rPr>
            </w:pPr>
          </w:p>
          <w:p w14:paraId="0FD7283C" w14:textId="77777777" w:rsidR="003B3804" w:rsidRPr="004E5A6E" w:rsidRDefault="003B3804" w:rsidP="00713DEA">
            <w:pPr>
              <w:pStyle w:val="ListParagraph"/>
              <w:spacing w:after="200" w:line="276" w:lineRule="auto"/>
              <w:ind w:left="0"/>
              <w:jc w:val="both"/>
              <w:rPr>
                <w:rFonts w:ascii="Times New Roman" w:eastAsiaTheme="minorEastAsia" w:hAnsi="Times New Roman"/>
                <w:sz w:val="24"/>
                <w:szCs w:val="24"/>
                <w:lang w:val="sq-AL" w:eastAsia="sq-AL"/>
              </w:rPr>
            </w:pPr>
          </w:p>
          <w:p w14:paraId="4C2F3EF7" w14:textId="77777777" w:rsidR="003B3804" w:rsidRPr="004E5A6E" w:rsidRDefault="003B3804" w:rsidP="0068706C">
            <w:pPr>
              <w:pStyle w:val="ListParagraph"/>
              <w:numPr>
                <w:ilvl w:val="0"/>
                <w:numId w:val="11"/>
              </w:numPr>
              <w:ind w:left="0" w:firstLine="0"/>
              <w:jc w:val="both"/>
              <w:rPr>
                <w:rFonts w:ascii="Times New Roman" w:hAnsi="Times New Roman"/>
                <w:color w:val="212121"/>
                <w:sz w:val="24"/>
                <w:szCs w:val="24"/>
                <w:lang w:val="sq-AL"/>
              </w:rPr>
            </w:pPr>
            <w:r w:rsidRPr="004E5A6E">
              <w:rPr>
                <w:rFonts w:ascii="Times New Roman" w:hAnsi="Times New Roman"/>
                <w:b/>
                <w:sz w:val="24"/>
                <w:szCs w:val="24"/>
                <w:lang w:val="sq-AL"/>
              </w:rPr>
              <w:t>Rehabilitimi i Linjës Hekurudhore 10</w:t>
            </w:r>
            <w:r w:rsidRPr="004E5A6E">
              <w:rPr>
                <w:rFonts w:ascii="Times New Roman" w:hAnsi="Times New Roman"/>
                <w:sz w:val="24"/>
                <w:szCs w:val="24"/>
                <w:lang w:val="sq-AL"/>
              </w:rPr>
              <w:t xml:space="preserve"> – institucioni implementues për këtë projekt është Ndërmarrja Publike “Infrakos” Prishtina. Fillimisht, totali i kostos së projektit është vlerësuar te jete rreth 194.5 milionë euro, ku BERZH dhe BEI financojnë gjysmën ndërsa Bashkimi Evropian gjysmën tjetër të këtij projekti. Marrëveshjet financiare me BERZH dhe BEI janë nënshkruar dhe ratifikuar. Për sa i përket kontributit të BE-së, marrëveshja e parë dhe e dytë e grantit tanimë është nënshkruar dhe ratifikuar. Por, si pasoje e ndryshimeve te çmimit te tregut ndërkohë dhe nevojës për ekspertë shtesë, vlera totale e projektit pritet të jetë rreth 255 milion EUR. Si projekt me prioritet të lartë për BE-në, do të mirëmbahet pariteti me institucionet financiare ndërkombëtare (BERZH dhe BEI) për te kërkuar financim shtesë për ketë projekt. Paralelisht do të dorëzohet aplikacion për grant në WBIF. Punët civile për Fazën 1 kanë filluar në fillim të vitit 2019, ndërsa për Fazën 2 pritet të fillojnë në 2020. Për fazën 3 janë duke u përgatitur termat e referencës për dizajnin preliminar detal, ndërsa punët pritet të fillojnë në 2021 dhe të përfundojnë në 2024. Disbursimi i parë nga kreditë dhe marrëveshja e donacionit është realizuar gjatë vitit 2019, dhe për shkak të vonesave në implementim duhet që të sigurohen amandamentimet e marrëveshjeve të nënshkruara në vitin 2015. Në nëntor të këtij viti është nënshkruar marrëveshja e amandamentimit me BEI dhe është bërë zgjatja e afatit të kredisë deri në vitin 2022. </w:t>
            </w:r>
          </w:p>
          <w:p w14:paraId="4B8F7A46" w14:textId="77777777" w:rsidR="003B3804" w:rsidRPr="004E5A6E" w:rsidRDefault="003B3804" w:rsidP="00713DEA">
            <w:pPr>
              <w:pStyle w:val="ListParagraph"/>
              <w:ind w:left="0"/>
              <w:jc w:val="both"/>
              <w:rPr>
                <w:rFonts w:ascii="Times New Roman" w:hAnsi="Times New Roman"/>
                <w:color w:val="212121"/>
                <w:sz w:val="24"/>
                <w:szCs w:val="24"/>
                <w:lang w:val="sq-AL"/>
              </w:rPr>
            </w:pPr>
          </w:p>
          <w:p w14:paraId="5A52A286" w14:textId="77777777" w:rsidR="003B3804" w:rsidRPr="004E5A6E" w:rsidRDefault="003B3804" w:rsidP="0068706C">
            <w:pPr>
              <w:pStyle w:val="ListParagraph"/>
              <w:numPr>
                <w:ilvl w:val="0"/>
                <w:numId w:val="11"/>
              </w:numPr>
              <w:spacing w:after="0" w:line="276" w:lineRule="auto"/>
              <w:ind w:left="0" w:firstLine="0"/>
              <w:jc w:val="both"/>
              <w:rPr>
                <w:rFonts w:ascii="Times New Roman" w:hAnsi="Times New Roman"/>
                <w:color w:val="000000" w:themeColor="text1"/>
                <w:sz w:val="24"/>
                <w:szCs w:val="24"/>
                <w:lang w:val="sq-AL"/>
              </w:rPr>
            </w:pPr>
            <w:r w:rsidRPr="004E5A6E">
              <w:rPr>
                <w:rFonts w:ascii="Times New Roman" w:hAnsi="Times New Roman"/>
                <w:b/>
                <w:color w:val="000000" w:themeColor="text1"/>
                <w:sz w:val="24"/>
                <w:szCs w:val="24"/>
                <w:lang w:val="sq-AL"/>
              </w:rPr>
              <w:t>Rehabilitimi i Ibër-Lepencit</w:t>
            </w:r>
            <w:r w:rsidRPr="004E5A6E">
              <w:rPr>
                <w:rFonts w:ascii="Times New Roman" w:hAnsi="Times New Roman"/>
                <w:color w:val="000000" w:themeColor="text1"/>
                <w:sz w:val="24"/>
                <w:szCs w:val="24"/>
                <w:lang w:val="sq-AL"/>
              </w:rPr>
              <w:t xml:space="preserve"> – Shuma e financuar nga huamarrja për këtë projekt është 22 milion, prej të cilave 7 milion janë kredi direkte tek MEA dhe 15 milion janë të nën-huazuara tek Ibër-Lepenci që njëkohësisht është organizata implementuese e projektit. Marrëveshja financiare mes Republikës së Kosovës dhe Bankës Botërore është ratifikuar në vitin 2017 ndërsa disbursimi i parë është bërë në Janar 2018. Deri në muajin gusht 2020 është disbursuar 18% e shumës së përgjithshme të kredisë.</w:t>
            </w:r>
          </w:p>
          <w:p w14:paraId="2F31D961" w14:textId="77777777" w:rsidR="003B3804" w:rsidRPr="004E5A6E" w:rsidRDefault="003B3804" w:rsidP="00713DEA">
            <w:pPr>
              <w:pStyle w:val="ListParagraph"/>
              <w:spacing w:after="0" w:line="276" w:lineRule="auto"/>
              <w:ind w:left="0"/>
              <w:jc w:val="both"/>
              <w:rPr>
                <w:rFonts w:ascii="Times New Roman" w:hAnsi="Times New Roman"/>
                <w:color w:val="000000" w:themeColor="text1"/>
                <w:sz w:val="24"/>
                <w:szCs w:val="24"/>
                <w:highlight w:val="yellow"/>
                <w:lang w:val="sq-AL"/>
              </w:rPr>
            </w:pPr>
          </w:p>
          <w:p w14:paraId="266D2AE4" w14:textId="77777777" w:rsidR="003B3804" w:rsidRPr="004E5A6E" w:rsidRDefault="003B3804" w:rsidP="0068706C">
            <w:pPr>
              <w:pStyle w:val="ListParagraph"/>
              <w:numPr>
                <w:ilvl w:val="0"/>
                <w:numId w:val="11"/>
              </w:numPr>
              <w:spacing w:after="0" w:line="276" w:lineRule="auto"/>
              <w:ind w:left="0" w:firstLine="0"/>
              <w:jc w:val="both"/>
              <w:rPr>
                <w:rFonts w:ascii="Times New Roman" w:hAnsi="Times New Roman"/>
                <w:color w:val="000000" w:themeColor="text1"/>
                <w:sz w:val="24"/>
                <w:szCs w:val="24"/>
                <w:lang w:val="sq-AL"/>
              </w:rPr>
            </w:pPr>
            <w:r w:rsidRPr="004E5A6E">
              <w:rPr>
                <w:rFonts w:ascii="Times New Roman" w:hAnsi="Times New Roman"/>
                <w:b/>
                <w:sz w:val="24"/>
                <w:szCs w:val="24"/>
                <w:lang w:val="sq-AL"/>
              </w:rPr>
              <w:t xml:space="preserve">Rehabilitimi i Rrugëve Rajonale - </w:t>
            </w:r>
            <w:r w:rsidRPr="004E5A6E">
              <w:rPr>
                <w:rFonts w:ascii="Times New Roman" w:hAnsi="Times New Roman"/>
                <w:sz w:val="24"/>
                <w:szCs w:val="24"/>
                <w:lang w:val="sq-AL"/>
              </w:rPr>
              <w:t xml:space="preserve">institucioni implementues për këtë projekt është Ministria e Infrastrukturës. Marrëveshja financiare është nënshkruar dhe ratifikuar, dhe projekti ka vlerën prej 29 milion EUR, me financim nga BERZH. Punët në terren kanë filluar në Maj të 2019-ës. </w:t>
            </w:r>
            <w:bookmarkStart w:id="237" w:name="_Toc444604280"/>
            <w:r w:rsidRPr="004E5A6E">
              <w:rPr>
                <w:rFonts w:ascii="Times New Roman" w:hAnsi="Times New Roman"/>
                <w:sz w:val="24"/>
                <w:szCs w:val="24"/>
                <w:lang w:val="sq-AL"/>
              </w:rPr>
              <w:t>Gjatë këtij viti pritet të nënshkruhet marrëveshja për vazhdim te grantit për mbulimin e shërbimeve shtesë të konsulentit si mbështetje për njësinë implementuese të projektit deri në vlerën 450,000 EUR.</w:t>
            </w:r>
          </w:p>
          <w:p w14:paraId="45133FB3" w14:textId="77777777" w:rsidR="003B3804" w:rsidRPr="004E5A6E" w:rsidRDefault="003B3804" w:rsidP="00713DEA">
            <w:pPr>
              <w:rPr>
                <w:color w:val="000000" w:themeColor="text1"/>
                <w:lang w:val="sq-AL"/>
              </w:rPr>
            </w:pPr>
          </w:p>
          <w:p w14:paraId="0E7F8BD3" w14:textId="77777777" w:rsidR="003B3804" w:rsidRPr="004E5A6E" w:rsidRDefault="003B3804" w:rsidP="0068706C">
            <w:pPr>
              <w:pStyle w:val="ListParagraph"/>
              <w:numPr>
                <w:ilvl w:val="0"/>
                <w:numId w:val="11"/>
              </w:numPr>
              <w:spacing w:after="0" w:line="276" w:lineRule="auto"/>
              <w:ind w:left="0" w:firstLine="0"/>
              <w:jc w:val="both"/>
              <w:rPr>
                <w:rFonts w:ascii="Times New Roman" w:hAnsi="Times New Roman"/>
                <w:color w:val="000000" w:themeColor="text1"/>
                <w:sz w:val="24"/>
                <w:szCs w:val="24"/>
                <w:lang w:val="sq-AL"/>
              </w:rPr>
            </w:pPr>
            <w:r w:rsidRPr="004E5A6E">
              <w:rPr>
                <w:rFonts w:ascii="Times New Roman" w:hAnsi="Times New Roman"/>
                <w:b/>
                <w:color w:val="000000" w:themeColor="text1"/>
                <w:sz w:val="24"/>
                <w:szCs w:val="24"/>
                <w:lang w:val="sq-AL"/>
              </w:rPr>
              <w:t xml:space="preserve">Implementimi i studimit të fizibilitetit për pajisje mjekësore për kujdesin dytësor dhe tretësor </w:t>
            </w:r>
            <w:r w:rsidRPr="004E5A6E">
              <w:rPr>
                <w:rFonts w:ascii="Times New Roman" w:hAnsi="Times New Roman"/>
                <w:color w:val="000000" w:themeColor="text1"/>
                <w:sz w:val="24"/>
                <w:szCs w:val="24"/>
                <w:lang w:val="sq-AL"/>
              </w:rPr>
              <w:t>- Buxheti i planifikuar për 2020 është  2,000,000 euro, për vitin 2021 është  18,000,000 euro, për 2022 është  33,000,000 euro, vlera totale e projektit është 53,000,000. Ky projekt pritet te financohet përmes kredive me Bankën Zhvillimore e Këshillit të Evropës dhe Bankën Evropiane për Rindërtim dhe Zhvillim.</w:t>
            </w:r>
          </w:p>
          <w:p w14:paraId="4E23D04E" w14:textId="77777777" w:rsidR="003B3804" w:rsidRPr="004E5A6E" w:rsidRDefault="003B3804" w:rsidP="00713DEA">
            <w:pPr>
              <w:pStyle w:val="ListParagraph"/>
              <w:ind w:left="0"/>
              <w:rPr>
                <w:rFonts w:ascii="Times New Roman" w:hAnsi="Times New Roman"/>
                <w:color w:val="000000" w:themeColor="text1"/>
                <w:sz w:val="24"/>
                <w:szCs w:val="24"/>
                <w:lang w:val="sq-AL"/>
              </w:rPr>
            </w:pPr>
          </w:p>
          <w:p w14:paraId="4EFB1215" w14:textId="77777777" w:rsidR="003B3804" w:rsidRPr="004E5A6E" w:rsidRDefault="003B3804" w:rsidP="0068706C">
            <w:pPr>
              <w:pStyle w:val="ListParagraph"/>
              <w:numPr>
                <w:ilvl w:val="0"/>
                <w:numId w:val="11"/>
              </w:numPr>
              <w:spacing w:after="0" w:line="276" w:lineRule="auto"/>
              <w:ind w:left="0" w:firstLine="0"/>
              <w:jc w:val="both"/>
              <w:rPr>
                <w:rFonts w:ascii="Times New Roman" w:hAnsi="Times New Roman"/>
                <w:b/>
                <w:sz w:val="24"/>
                <w:szCs w:val="24"/>
                <w:lang w:val="sq-AL"/>
              </w:rPr>
            </w:pPr>
            <w:r w:rsidRPr="004E5A6E">
              <w:rPr>
                <w:rFonts w:ascii="Times New Roman" w:hAnsi="Times New Roman"/>
                <w:b/>
                <w:color w:val="000000" w:themeColor="text1"/>
                <w:sz w:val="24"/>
                <w:szCs w:val="24"/>
                <w:lang w:val="sq-AL"/>
              </w:rPr>
              <w:t>Përfshirja e te rinjve dhe ndërmarrësia</w:t>
            </w:r>
            <w:r w:rsidRPr="004E5A6E">
              <w:rPr>
                <w:rFonts w:ascii="Times New Roman" w:hAnsi="Times New Roman"/>
                <w:color w:val="000000" w:themeColor="text1"/>
                <w:sz w:val="24"/>
                <w:szCs w:val="24"/>
                <w:lang w:val="sq-AL"/>
              </w:rPr>
              <w:t xml:space="preserve"> – Për shkak të pandemisë, diskutimi i projekti është shtyrë që të fillojë më vonë gjatë vitit 2020. </w:t>
            </w:r>
          </w:p>
          <w:p w14:paraId="10F18FFD" w14:textId="77777777" w:rsidR="003B3804" w:rsidRPr="004E5A6E" w:rsidRDefault="003B3804" w:rsidP="00713DEA">
            <w:pPr>
              <w:pStyle w:val="ListParagraph"/>
              <w:spacing w:after="0" w:line="276" w:lineRule="auto"/>
              <w:ind w:left="0"/>
              <w:jc w:val="both"/>
              <w:rPr>
                <w:rFonts w:ascii="Times New Roman" w:hAnsi="Times New Roman"/>
                <w:b/>
                <w:sz w:val="24"/>
                <w:szCs w:val="24"/>
                <w:lang w:val="sq-AL"/>
              </w:rPr>
            </w:pPr>
          </w:p>
          <w:p w14:paraId="1E2DA704" w14:textId="77777777" w:rsidR="003B3804" w:rsidRPr="004E5A6E" w:rsidRDefault="003B3804" w:rsidP="0068706C">
            <w:pPr>
              <w:pStyle w:val="ListParagraph"/>
              <w:numPr>
                <w:ilvl w:val="0"/>
                <w:numId w:val="11"/>
              </w:numPr>
              <w:spacing w:after="0" w:line="276" w:lineRule="auto"/>
              <w:ind w:left="0" w:firstLine="0"/>
              <w:jc w:val="both"/>
              <w:rPr>
                <w:rFonts w:ascii="Times New Roman" w:hAnsi="Times New Roman"/>
                <w:color w:val="000000" w:themeColor="text1"/>
                <w:sz w:val="24"/>
                <w:szCs w:val="24"/>
                <w:lang w:val="sq-AL"/>
              </w:rPr>
            </w:pPr>
            <w:r w:rsidRPr="004E5A6E">
              <w:rPr>
                <w:rFonts w:ascii="Times New Roman" w:hAnsi="Times New Roman"/>
                <w:b/>
                <w:sz w:val="24"/>
                <w:szCs w:val="24"/>
                <w:lang w:val="sq-AL"/>
              </w:rPr>
              <w:t xml:space="preserve">Ndërtimi i Autostradës N9 Prishtinë - Pejë (SEETO Route 6 A) </w:t>
            </w:r>
            <w:r w:rsidRPr="004E5A6E">
              <w:rPr>
                <w:rFonts w:ascii="Times New Roman" w:hAnsi="Times New Roman"/>
                <w:sz w:val="24"/>
                <w:szCs w:val="24"/>
                <w:lang w:val="sq-AL"/>
              </w:rPr>
              <w:t>segmenti Kijevë -Klinë deri në Zahaq - institucioni implementues për këtë projekt është Ministria e Infrastrukturës. Kosto e projektit është 193 milion EUR. Marrëveshja e Kredisë me BERZH është nënshkruar në 2017 dhe BEI në pjesën e dytë të vitit 2018. Në janar 2019, marrëveshja prej 1 milion EUR është nënshkruar mes Republikës së Kosovës dhe BEI si pjesë e Iniciativës ERI për mbështetje gjatë implementimit. Pritet që gjatë këtij viti të përfitojmë një grant prej 100,000 eurosh nga BERZH për financimin e rrugës dhe studimin institucional. P</w:t>
            </w:r>
            <w:r w:rsidRPr="004E5A6E">
              <w:rPr>
                <w:rFonts w:ascii="Times New Roman" w:hAnsi="Times New Roman"/>
                <w:color w:val="000000" w:themeColor="text1"/>
                <w:sz w:val="24"/>
                <w:szCs w:val="24"/>
                <w:lang w:val="sq-AL"/>
              </w:rPr>
              <w:t xml:space="preserve">rocesi për përzgjedhjen e mbikëqyrësi të punimeve është në përfundim e sipër dhe pas kësaj do të hapet tenderi për përzgjedhjen e punëkryesit. </w:t>
            </w:r>
          </w:p>
          <w:p w14:paraId="586D1094" w14:textId="77777777" w:rsidR="003B3804" w:rsidRPr="004E5A6E" w:rsidRDefault="003B3804" w:rsidP="00713DEA">
            <w:pPr>
              <w:pStyle w:val="ListParagraph"/>
              <w:ind w:left="0"/>
              <w:rPr>
                <w:rFonts w:ascii="Times New Roman" w:hAnsi="Times New Roman"/>
                <w:color w:val="000000" w:themeColor="text1"/>
                <w:sz w:val="24"/>
                <w:szCs w:val="24"/>
                <w:lang w:val="sq-AL"/>
              </w:rPr>
            </w:pPr>
          </w:p>
          <w:p w14:paraId="6B21EC95" w14:textId="77777777" w:rsidR="003B3804" w:rsidRPr="004E5A6E" w:rsidRDefault="003B3804" w:rsidP="0068706C">
            <w:pPr>
              <w:pStyle w:val="ListParagraph"/>
              <w:numPr>
                <w:ilvl w:val="0"/>
                <w:numId w:val="11"/>
              </w:numPr>
              <w:spacing w:after="0" w:line="276" w:lineRule="auto"/>
              <w:ind w:left="0" w:firstLine="0"/>
              <w:jc w:val="both"/>
              <w:rPr>
                <w:rFonts w:ascii="Times New Roman" w:hAnsi="Times New Roman"/>
                <w:color w:val="000000" w:themeColor="text1"/>
                <w:sz w:val="24"/>
                <w:szCs w:val="24"/>
                <w:lang w:val="sq-AL"/>
              </w:rPr>
            </w:pPr>
            <w:bookmarkStart w:id="238" w:name="_Toc457987997"/>
            <w:bookmarkEnd w:id="237"/>
            <w:r w:rsidRPr="004E5A6E">
              <w:rPr>
                <w:rFonts w:ascii="Times New Roman" w:hAnsi="Times New Roman"/>
                <w:b/>
                <w:color w:val="000000" w:themeColor="text1"/>
                <w:sz w:val="24"/>
                <w:szCs w:val="24"/>
                <w:lang w:val="sq-AL"/>
              </w:rPr>
              <w:t>Projekti për Konkurrueshmëri dhe Gatishmëri për Eksport</w:t>
            </w:r>
            <w:r w:rsidRPr="004E5A6E">
              <w:rPr>
                <w:rFonts w:ascii="Times New Roman" w:hAnsi="Times New Roman"/>
                <w:color w:val="000000" w:themeColor="text1"/>
                <w:sz w:val="24"/>
                <w:szCs w:val="24"/>
                <w:lang w:val="sq-AL"/>
              </w:rPr>
              <w:t xml:space="preserve"> - </w:t>
            </w:r>
            <w:r w:rsidRPr="004E5A6E">
              <w:rPr>
                <w:rFonts w:ascii="Times New Roman" w:hAnsi="Times New Roman"/>
                <w:sz w:val="24"/>
                <w:szCs w:val="24"/>
                <w:lang w:val="sq-AL"/>
              </w:rPr>
              <w:t>organizata implementuese për këtë projekt është Ministria e Tregtisë dhe Industrisë. Marrëveshja në shumën 14.3 milion euro është nënshkruar në vitin 2017 me Agjencinë Ndërkombëtare për Zhvillim – Bankën Botërore,  dhe disbursimi i parë është bërë në vitin 2019. Deri më tani (gusht 2020) është disbursuar 2% e shumës së përgjithshme të kredisë.</w:t>
            </w:r>
          </w:p>
          <w:p w14:paraId="0F7E02C6" w14:textId="77777777" w:rsidR="003B3804" w:rsidRPr="004E5A6E" w:rsidRDefault="003B3804" w:rsidP="00713DEA">
            <w:pPr>
              <w:pStyle w:val="ListParagraph"/>
              <w:ind w:left="0"/>
              <w:rPr>
                <w:rFonts w:ascii="Times New Roman" w:hAnsi="Times New Roman"/>
                <w:color w:val="000000" w:themeColor="text1"/>
                <w:sz w:val="24"/>
                <w:szCs w:val="24"/>
                <w:lang w:val="sq-AL"/>
              </w:rPr>
            </w:pPr>
          </w:p>
          <w:p w14:paraId="703D161B" w14:textId="77777777" w:rsidR="003B3804" w:rsidRPr="004E5A6E" w:rsidRDefault="003B3804" w:rsidP="00713DEA">
            <w:pPr>
              <w:pStyle w:val="ListParagraph"/>
              <w:spacing w:after="0" w:line="276" w:lineRule="auto"/>
              <w:ind w:left="0"/>
              <w:jc w:val="both"/>
              <w:rPr>
                <w:rFonts w:ascii="Times New Roman" w:hAnsi="Times New Roman"/>
                <w:color w:val="000000" w:themeColor="text1"/>
                <w:sz w:val="24"/>
                <w:szCs w:val="24"/>
                <w:lang w:val="sq-AL"/>
              </w:rPr>
            </w:pPr>
          </w:p>
          <w:p w14:paraId="72860224" w14:textId="77777777" w:rsidR="003B3804" w:rsidRPr="004E5A6E" w:rsidRDefault="003B3804" w:rsidP="0068706C">
            <w:pPr>
              <w:pStyle w:val="ListParagraph"/>
              <w:numPr>
                <w:ilvl w:val="0"/>
                <w:numId w:val="11"/>
              </w:numPr>
              <w:spacing w:after="0" w:line="276" w:lineRule="auto"/>
              <w:ind w:left="0" w:firstLine="0"/>
              <w:jc w:val="both"/>
              <w:rPr>
                <w:rFonts w:ascii="Times New Roman" w:hAnsi="Times New Roman"/>
                <w:color w:val="000000" w:themeColor="text1"/>
                <w:sz w:val="24"/>
                <w:szCs w:val="24"/>
                <w:lang w:val="sq-AL"/>
              </w:rPr>
            </w:pPr>
            <w:r w:rsidRPr="004E5A6E">
              <w:rPr>
                <w:rFonts w:ascii="Times New Roman" w:hAnsi="Times New Roman"/>
                <w:b/>
                <w:color w:val="000000" w:themeColor="text1"/>
                <w:sz w:val="24"/>
                <w:szCs w:val="24"/>
                <w:lang w:val="sq-AL"/>
              </w:rPr>
              <w:t>Financimi Shtesë për Projektin e Bujqësisë dhe Zhvillimit Rural</w:t>
            </w:r>
            <w:r w:rsidRPr="004E5A6E">
              <w:rPr>
                <w:rFonts w:ascii="Times New Roman" w:hAnsi="Times New Roman"/>
                <w:color w:val="000000" w:themeColor="text1"/>
                <w:sz w:val="24"/>
                <w:szCs w:val="24"/>
                <w:lang w:val="sq-AL"/>
              </w:rPr>
              <w:t xml:space="preserve"> – organizata implementuese është MBPZhR. Marrëveshja për këtë projekt në shumën 20.8 milion euro është nënshkruar me Agjencinë Ndërkombëtare për Zhvillim – Bankën Botërore, në vitin 2017. Disbursimi i parë është bërë në mars të 2019-ës. Deri më tani (gusht 2020) është disbursuar 28% e shumës së kredisë.</w:t>
            </w:r>
          </w:p>
          <w:p w14:paraId="1A0D147E" w14:textId="77777777" w:rsidR="003B3804" w:rsidRPr="004E5A6E" w:rsidRDefault="003B3804" w:rsidP="00713DEA">
            <w:pPr>
              <w:pStyle w:val="ListParagraph"/>
              <w:spacing w:line="276" w:lineRule="auto"/>
              <w:ind w:left="0"/>
              <w:jc w:val="both"/>
              <w:rPr>
                <w:rFonts w:ascii="Times New Roman" w:hAnsi="Times New Roman"/>
                <w:color w:val="000000" w:themeColor="text1"/>
                <w:sz w:val="24"/>
                <w:szCs w:val="24"/>
                <w:lang w:val="sq-AL"/>
              </w:rPr>
            </w:pPr>
          </w:p>
          <w:p w14:paraId="02D7F188" w14:textId="77777777" w:rsidR="003B3804" w:rsidRPr="004E5A6E" w:rsidRDefault="003B3804" w:rsidP="0068706C">
            <w:pPr>
              <w:pStyle w:val="ListParagraph"/>
              <w:numPr>
                <w:ilvl w:val="0"/>
                <w:numId w:val="11"/>
              </w:numPr>
              <w:spacing w:after="0" w:line="276" w:lineRule="auto"/>
              <w:ind w:left="0" w:firstLine="0"/>
              <w:jc w:val="both"/>
              <w:rPr>
                <w:rFonts w:ascii="Times New Roman" w:hAnsi="Times New Roman"/>
                <w:color w:val="000000" w:themeColor="text1"/>
                <w:sz w:val="24"/>
                <w:szCs w:val="24"/>
                <w:lang w:val="sq-AL"/>
              </w:rPr>
            </w:pPr>
            <w:r w:rsidRPr="004E5A6E">
              <w:rPr>
                <w:rFonts w:ascii="Times New Roman" w:hAnsi="Times New Roman"/>
                <w:b/>
                <w:color w:val="000000" w:themeColor="text1"/>
                <w:sz w:val="24"/>
                <w:szCs w:val="24"/>
                <w:lang w:val="sq-AL"/>
              </w:rPr>
              <w:t>Trajtimi i Ujërave të Zeza në Prishtinë (Ndërtimi i Impiantit për Trajtimin e Ujërave të Zeza në rajonin e Prishtinës)</w:t>
            </w:r>
            <w:r w:rsidRPr="004E5A6E">
              <w:rPr>
                <w:rFonts w:ascii="Times New Roman" w:hAnsi="Times New Roman"/>
                <w:color w:val="000000" w:themeColor="text1"/>
                <w:sz w:val="24"/>
                <w:szCs w:val="24"/>
                <w:lang w:val="sq-AL"/>
              </w:rPr>
              <w:t xml:space="preserve"> – Ministria e Mjedisit dhe Planifikimit Hapësinor (tash Ministria e Ekonomisë dhe Ambientit) është institucioni implementues i këtij projekti. Financimi i projektit është siguruar përmes marrëveshjes kornizë mes Qeverisë së Republikës së Kosovës dhe Qeverisë së Republikës së Francës, e cila është ratifikuar gjatë 2017. Bazuar në marrëveshjen, projekti ka vlerën 86 milion EUR.</w:t>
            </w:r>
            <w:bookmarkEnd w:id="238"/>
            <w:r w:rsidRPr="004E5A6E">
              <w:rPr>
                <w:rFonts w:ascii="Times New Roman" w:hAnsi="Times New Roman"/>
                <w:color w:val="000000" w:themeColor="text1"/>
                <w:sz w:val="24"/>
                <w:szCs w:val="24"/>
                <w:lang w:val="sq-AL"/>
              </w:rPr>
              <w:t xml:space="preserve"> Implementimi ka filluar në pjesën e dytë të vitit 2020, ku është hapur tenderi për dizajn.</w:t>
            </w:r>
          </w:p>
          <w:p w14:paraId="31599405" w14:textId="77777777" w:rsidR="003B3804" w:rsidRPr="004E5A6E" w:rsidRDefault="003B3804" w:rsidP="00713DEA">
            <w:pPr>
              <w:pStyle w:val="ListParagraph"/>
              <w:ind w:left="0"/>
              <w:jc w:val="both"/>
              <w:rPr>
                <w:rFonts w:ascii="Times New Roman" w:hAnsi="Times New Roman"/>
                <w:color w:val="000000" w:themeColor="text1"/>
                <w:sz w:val="24"/>
                <w:szCs w:val="24"/>
                <w:lang w:val="sq-AL"/>
              </w:rPr>
            </w:pPr>
          </w:p>
          <w:p w14:paraId="549064B3" w14:textId="77777777" w:rsidR="003B3804" w:rsidRPr="004E5A6E" w:rsidRDefault="003B3804" w:rsidP="0068706C">
            <w:pPr>
              <w:pStyle w:val="ListParagraph"/>
              <w:numPr>
                <w:ilvl w:val="0"/>
                <w:numId w:val="11"/>
              </w:numPr>
              <w:spacing w:after="0" w:line="276" w:lineRule="auto"/>
              <w:ind w:left="0" w:firstLine="0"/>
              <w:jc w:val="both"/>
              <w:rPr>
                <w:rFonts w:ascii="Times New Roman" w:hAnsi="Times New Roman"/>
                <w:sz w:val="24"/>
                <w:szCs w:val="24"/>
                <w:lang w:val="sq-AL"/>
              </w:rPr>
            </w:pPr>
            <w:r w:rsidRPr="004E5A6E">
              <w:rPr>
                <w:rFonts w:ascii="Times New Roman" w:hAnsi="Times New Roman"/>
                <w:b/>
                <w:sz w:val="24"/>
                <w:szCs w:val="24"/>
                <w:lang w:val="sq-AL"/>
              </w:rPr>
              <w:t>Ndërtimi i Qarkores së Prishtinës</w:t>
            </w:r>
            <w:r w:rsidRPr="004E5A6E">
              <w:rPr>
                <w:rFonts w:ascii="Times New Roman" w:hAnsi="Times New Roman"/>
                <w:sz w:val="24"/>
                <w:szCs w:val="24"/>
                <w:lang w:val="sq-AL"/>
              </w:rPr>
              <w:t xml:space="preserve"> – institucioni implementues për këtë projekt është Komuna e Prishtinës. Projekti është në fazën e studimit te fizibilitetit, i cili është duke u kryer nga Banka Evropiane për Rindërtim dhe Zhvillim.</w:t>
            </w:r>
          </w:p>
          <w:p w14:paraId="4274128D" w14:textId="77777777" w:rsidR="003B3804" w:rsidRPr="004E5A6E" w:rsidRDefault="003B3804" w:rsidP="00713DEA">
            <w:pPr>
              <w:pStyle w:val="ListParagraph"/>
              <w:ind w:left="0"/>
              <w:jc w:val="both"/>
              <w:rPr>
                <w:rFonts w:ascii="Times New Roman" w:hAnsi="Times New Roman"/>
                <w:sz w:val="24"/>
                <w:szCs w:val="24"/>
                <w:lang w:val="sq-AL"/>
              </w:rPr>
            </w:pPr>
          </w:p>
          <w:p w14:paraId="79F877CC" w14:textId="77777777" w:rsidR="003B3804" w:rsidRPr="004E5A6E" w:rsidRDefault="003B3804" w:rsidP="0068706C">
            <w:pPr>
              <w:pStyle w:val="ListParagraph"/>
              <w:numPr>
                <w:ilvl w:val="0"/>
                <w:numId w:val="11"/>
              </w:numPr>
              <w:spacing w:after="0" w:line="276" w:lineRule="auto"/>
              <w:ind w:left="0" w:firstLine="0"/>
              <w:jc w:val="both"/>
              <w:rPr>
                <w:rFonts w:ascii="Times New Roman" w:hAnsi="Times New Roman"/>
                <w:sz w:val="24"/>
                <w:szCs w:val="24"/>
                <w:lang w:val="sq-AL"/>
              </w:rPr>
            </w:pPr>
            <w:r w:rsidRPr="004E5A6E">
              <w:rPr>
                <w:rFonts w:ascii="Times New Roman" w:hAnsi="Times New Roman"/>
                <w:b/>
                <w:sz w:val="24"/>
                <w:szCs w:val="24"/>
                <w:lang w:val="sq-AL"/>
              </w:rPr>
              <w:t xml:space="preserve">Ekonomia Digjitale në Kosovë (KODE) </w:t>
            </w:r>
            <w:r w:rsidRPr="004E5A6E">
              <w:rPr>
                <w:rFonts w:ascii="Times New Roman" w:hAnsi="Times New Roman"/>
                <w:sz w:val="24"/>
                <w:szCs w:val="24"/>
                <w:lang w:val="sq-AL"/>
              </w:rPr>
              <w:t>– Organizata implementuese e këtij projekti është Ministria e Zhvillimit Ekonomik. Marrëveshja financiare për kredi në shumën 20.7 milion euro është nënshkruar në vitin 2018 me kreditorin ANZh.  Disbursimi i parë është bërë në Nëntor 2019 dhe deri më tani janë disbursuar 7% e shumës.</w:t>
            </w:r>
          </w:p>
          <w:p w14:paraId="4C18BF60" w14:textId="77777777" w:rsidR="003B3804" w:rsidRPr="004E5A6E" w:rsidRDefault="003B3804" w:rsidP="00713DEA">
            <w:pPr>
              <w:pStyle w:val="ListParagraph"/>
              <w:ind w:left="0"/>
              <w:jc w:val="both"/>
              <w:rPr>
                <w:rFonts w:ascii="Times New Roman" w:hAnsi="Times New Roman"/>
                <w:color w:val="000000" w:themeColor="text1"/>
                <w:sz w:val="24"/>
                <w:szCs w:val="24"/>
                <w:lang w:val="sq-AL"/>
              </w:rPr>
            </w:pPr>
          </w:p>
          <w:p w14:paraId="6C729FDD" w14:textId="77777777" w:rsidR="003B3804" w:rsidRPr="004E5A6E" w:rsidRDefault="003B3804" w:rsidP="0068706C">
            <w:pPr>
              <w:pStyle w:val="ListParagraph"/>
              <w:numPr>
                <w:ilvl w:val="0"/>
                <w:numId w:val="11"/>
              </w:numPr>
              <w:spacing w:after="0" w:line="276" w:lineRule="auto"/>
              <w:ind w:left="0" w:firstLine="0"/>
              <w:jc w:val="both"/>
              <w:rPr>
                <w:rFonts w:ascii="Times New Roman" w:hAnsi="Times New Roman"/>
                <w:sz w:val="24"/>
                <w:szCs w:val="24"/>
                <w:lang w:val="sq-AL"/>
              </w:rPr>
            </w:pPr>
            <w:r w:rsidRPr="004E5A6E">
              <w:rPr>
                <w:rFonts w:ascii="Times New Roman" w:hAnsi="Times New Roman"/>
                <w:b/>
                <w:sz w:val="24"/>
                <w:szCs w:val="24"/>
                <w:lang w:val="sq-AL"/>
              </w:rPr>
              <w:t xml:space="preserve">Ndërtimi i Impianteve për Trajtim të Ujërave të Zeza në Mitrovicë – </w:t>
            </w:r>
            <w:r w:rsidRPr="004E5A6E">
              <w:rPr>
                <w:rFonts w:ascii="Times New Roman" w:hAnsi="Times New Roman"/>
                <w:sz w:val="24"/>
                <w:szCs w:val="24"/>
                <w:lang w:val="sq-AL"/>
              </w:rPr>
              <w:t>kompania rajonale e ujit të Mitrovicës është institucioni implementues për këtë projekt. Projekti është në proces të vlerësimit nga BERZH (si institucion kryesor financiar) dhe BEI, të cilët do të financojnë projektin së bashku, ndërsa do të mbështetet edhe nga një grant nga Korniza Investuese e Ballkanit Perëndimor (WBIF). Marrëveshjet me këto institucione pritet te nënshkruhen ne pjesën e parë të vitit 2021, të cilat pastaj duhet të ratifikohen në Kuvend.</w:t>
            </w:r>
          </w:p>
          <w:p w14:paraId="046BC0E6" w14:textId="77777777" w:rsidR="003B3804" w:rsidRPr="004E5A6E" w:rsidRDefault="003B3804" w:rsidP="00713DEA">
            <w:pPr>
              <w:spacing w:line="276" w:lineRule="auto"/>
              <w:jc w:val="both"/>
              <w:rPr>
                <w:lang w:val="sq-AL"/>
              </w:rPr>
            </w:pPr>
          </w:p>
          <w:p w14:paraId="34D3E257" w14:textId="77777777" w:rsidR="003B3804" w:rsidRPr="004E5A6E" w:rsidRDefault="003B3804" w:rsidP="0068706C">
            <w:pPr>
              <w:pStyle w:val="ListParagraph"/>
              <w:numPr>
                <w:ilvl w:val="0"/>
                <w:numId w:val="11"/>
              </w:numPr>
              <w:spacing w:after="0" w:line="276" w:lineRule="auto"/>
              <w:ind w:left="0" w:firstLine="0"/>
              <w:jc w:val="both"/>
              <w:rPr>
                <w:rFonts w:ascii="Times New Roman" w:hAnsi="Times New Roman"/>
                <w:sz w:val="24"/>
                <w:szCs w:val="24"/>
                <w:lang w:val="sq-AL"/>
              </w:rPr>
            </w:pPr>
            <w:r w:rsidRPr="004E5A6E">
              <w:rPr>
                <w:rFonts w:ascii="Times New Roman" w:hAnsi="Times New Roman"/>
                <w:b/>
                <w:sz w:val="24"/>
                <w:szCs w:val="24"/>
                <w:lang w:val="sq-AL"/>
              </w:rPr>
              <w:t xml:space="preserve">Projekti i Zhvillimit të Trajtimit të Ujërave të Zeza në Gjilan - </w:t>
            </w:r>
            <w:r w:rsidRPr="004E5A6E">
              <w:rPr>
                <w:rFonts w:ascii="Times New Roman" w:hAnsi="Times New Roman"/>
                <w:sz w:val="24"/>
                <w:szCs w:val="24"/>
                <w:lang w:val="sq-AL"/>
              </w:rPr>
              <w:t>kompania rajonale e ujit të Gjilanit është institucioni implementues për këtë projekt, i cili ka një vlerë të paraparë prej 23 milion EUR, që do të financohet prej BERZH dhe BEI. Marrëveshja financiare prej 10 milion EUR me BERZH është nënshkruar në maj të 2020-ës dhe është ratifikuar në parlament me 23 korrik 2020, ndërsa marrëveshja prej 11 milion EUR me BEI është nënshkruar në maj 2020 dhe është në proces të ratifikimit. Projekti pritet të fillojë implementimin gjatë vitit 2020.</w:t>
            </w:r>
          </w:p>
          <w:p w14:paraId="3F9EF295" w14:textId="77777777" w:rsidR="003B3804" w:rsidRPr="004E5A6E" w:rsidRDefault="003B3804" w:rsidP="00713DEA">
            <w:pPr>
              <w:jc w:val="both"/>
              <w:rPr>
                <w:b/>
                <w:lang w:val="sq-AL"/>
              </w:rPr>
            </w:pPr>
          </w:p>
          <w:p w14:paraId="4FCD02D6" w14:textId="77777777" w:rsidR="003B3804" w:rsidRPr="004E5A6E" w:rsidRDefault="003B3804" w:rsidP="0068706C">
            <w:pPr>
              <w:pStyle w:val="ListParagraph"/>
              <w:numPr>
                <w:ilvl w:val="0"/>
                <w:numId w:val="11"/>
              </w:numPr>
              <w:spacing w:after="0" w:line="276" w:lineRule="auto"/>
              <w:ind w:left="0" w:firstLine="0"/>
              <w:jc w:val="both"/>
              <w:rPr>
                <w:rFonts w:ascii="Times New Roman" w:hAnsi="Times New Roman"/>
                <w:sz w:val="24"/>
                <w:szCs w:val="24"/>
                <w:lang w:val="sq-AL"/>
              </w:rPr>
            </w:pPr>
            <w:r w:rsidRPr="004E5A6E">
              <w:rPr>
                <w:rFonts w:ascii="Times New Roman" w:hAnsi="Times New Roman"/>
                <w:b/>
                <w:sz w:val="24"/>
                <w:szCs w:val="24"/>
                <w:lang w:val="sq-AL"/>
              </w:rPr>
              <w:t>Projekti për Trajtimin e Ujërave të Zeza në Komunën e Podujevës</w:t>
            </w:r>
            <w:r w:rsidRPr="004E5A6E">
              <w:rPr>
                <w:rFonts w:ascii="Times New Roman" w:hAnsi="Times New Roman"/>
                <w:sz w:val="24"/>
                <w:szCs w:val="24"/>
                <w:lang w:val="sq-AL"/>
              </w:rPr>
              <w:t xml:space="preserve"> – komuna e Podujevës është institucioni implementues i këtij projekti. Marrëveshja financiare për kredi në shumën 5.35 milion euro është nënshkruar me UniCredit Bank Austria AG, në emër të Qeverisë së Austrisë, në vitin 2018. Disbursimi  i parë për projektin është bërë në 2019 dhe deri më tani (gusht 2020) është disbursuar 80% e shumës. </w:t>
            </w:r>
          </w:p>
          <w:p w14:paraId="06F2BB3D" w14:textId="77777777" w:rsidR="003B3804" w:rsidRPr="004E5A6E" w:rsidRDefault="003B3804" w:rsidP="00713DEA">
            <w:pPr>
              <w:pStyle w:val="ListParagraph"/>
              <w:tabs>
                <w:tab w:val="left" w:pos="4046"/>
              </w:tabs>
              <w:ind w:left="0"/>
              <w:jc w:val="both"/>
              <w:rPr>
                <w:rFonts w:ascii="Times New Roman" w:hAnsi="Times New Roman"/>
                <w:b/>
                <w:bCs/>
                <w:sz w:val="24"/>
                <w:szCs w:val="24"/>
                <w:lang w:val="sq-AL"/>
              </w:rPr>
            </w:pPr>
            <w:r w:rsidRPr="004E5A6E">
              <w:rPr>
                <w:rFonts w:ascii="Times New Roman" w:hAnsi="Times New Roman"/>
                <w:b/>
                <w:bCs/>
                <w:sz w:val="24"/>
                <w:szCs w:val="24"/>
                <w:lang w:val="sq-AL"/>
              </w:rPr>
              <w:tab/>
            </w:r>
          </w:p>
          <w:p w14:paraId="2905D16D" w14:textId="77777777" w:rsidR="003B3804" w:rsidRPr="004E5A6E" w:rsidRDefault="003B3804" w:rsidP="0068706C">
            <w:pPr>
              <w:pStyle w:val="ListParagraph"/>
              <w:numPr>
                <w:ilvl w:val="0"/>
                <w:numId w:val="11"/>
              </w:numPr>
              <w:spacing w:after="0" w:line="276" w:lineRule="auto"/>
              <w:ind w:left="0" w:firstLine="0"/>
              <w:jc w:val="both"/>
              <w:rPr>
                <w:rFonts w:ascii="Times New Roman" w:hAnsi="Times New Roman"/>
                <w:sz w:val="24"/>
                <w:szCs w:val="24"/>
                <w:lang w:val="sq-AL"/>
              </w:rPr>
            </w:pPr>
            <w:r w:rsidRPr="004E5A6E">
              <w:rPr>
                <w:rFonts w:ascii="Times New Roman" w:hAnsi="Times New Roman"/>
                <w:b/>
                <w:sz w:val="24"/>
                <w:szCs w:val="24"/>
                <w:lang w:val="sq-AL"/>
              </w:rPr>
              <w:t>Ndërtimi i Skemës për Furnizim me Ujë në Komunën e Ferizajt</w:t>
            </w:r>
            <w:r w:rsidRPr="004E5A6E">
              <w:rPr>
                <w:rFonts w:ascii="Times New Roman" w:hAnsi="Times New Roman"/>
                <w:sz w:val="24"/>
                <w:szCs w:val="24"/>
                <w:lang w:val="sq-AL"/>
              </w:rPr>
              <w:t xml:space="preserve"> – Komuna e Ferizajit është institucioni implementues i këtij projekti. Marrëveshja financiare për kredi në shumën 5,125 milion euro është nënshkruar në nëntor të vitit 2018 me Raiffeisen Bank International, e cila vepron në emër të Qeverisë të Austrisë. Disbursimi i parë për këtë projekt është bërë në 2019 dhe deri më tani (gusht 2020) është disbursuar 47% e projektit.</w:t>
            </w:r>
          </w:p>
          <w:p w14:paraId="5F401A43" w14:textId="77777777" w:rsidR="003B3804" w:rsidRPr="004E5A6E" w:rsidRDefault="003B3804" w:rsidP="00713DEA">
            <w:pPr>
              <w:pStyle w:val="ListParagraph"/>
              <w:ind w:left="0"/>
              <w:jc w:val="both"/>
              <w:rPr>
                <w:rFonts w:ascii="Times New Roman" w:hAnsi="Times New Roman"/>
                <w:color w:val="000000" w:themeColor="text1"/>
                <w:sz w:val="24"/>
                <w:szCs w:val="24"/>
                <w:lang w:val="sq-AL"/>
              </w:rPr>
            </w:pPr>
          </w:p>
          <w:p w14:paraId="393C6A1C" w14:textId="77777777" w:rsidR="003B3804" w:rsidRPr="004E5A6E" w:rsidRDefault="003B3804" w:rsidP="0068706C">
            <w:pPr>
              <w:pStyle w:val="ListParagraph"/>
              <w:numPr>
                <w:ilvl w:val="0"/>
                <w:numId w:val="11"/>
              </w:numPr>
              <w:spacing w:after="0" w:line="276" w:lineRule="auto"/>
              <w:ind w:left="0" w:firstLine="0"/>
              <w:jc w:val="both"/>
              <w:rPr>
                <w:rFonts w:ascii="Times New Roman" w:hAnsi="Times New Roman"/>
                <w:sz w:val="24"/>
                <w:szCs w:val="24"/>
                <w:lang w:val="sq-AL"/>
              </w:rPr>
            </w:pPr>
            <w:r w:rsidRPr="004E5A6E">
              <w:rPr>
                <w:rFonts w:ascii="Times New Roman" w:hAnsi="Times New Roman"/>
                <w:b/>
                <w:sz w:val="24"/>
                <w:szCs w:val="24"/>
                <w:lang w:val="sq-AL"/>
              </w:rPr>
              <w:t>Ndërtimi i Skemës për Furnizim me Ujë në Komunën e Istogut</w:t>
            </w:r>
            <w:r w:rsidRPr="004E5A6E">
              <w:rPr>
                <w:rFonts w:ascii="Times New Roman" w:hAnsi="Times New Roman"/>
                <w:sz w:val="24"/>
                <w:szCs w:val="24"/>
                <w:lang w:val="sq-AL"/>
              </w:rPr>
              <w:t xml:space="preserve"> – Komuna e Istogut është institucioni implementues për këtë projekt, që financohet me kredi në shumën 5,094 milion euro. Marrëveshja financiare është nënshkruar në nëntor të vitit 2018 me UniCredit Bank Austria AG, e cila vepron në emër të Qeverisë së Austrisë. Disbursimi i parë për këtë projekt është bërë në 2019 dhe deri më tani (gusht 2020) janë disbursuar 67% e shumës së kredisë.</w:t>
            </w:r>
          </w:p>
          <w:p w14:paraId="5DBF91FB" w14:textId="77777777" w:rsidR="003B3804" w:rsidRPr="004E5A6E" w:rsidRDefault="003B3804" w:rsidP="00713DEA">
            <w:pPr>
              <w:pStyle w:val="ListParagraph"/>
              <w:spacing w:after="0" w:line="276" w:lineRule="auto"/>
              <w:ind w:left="0"/>
              <w:jc w:val="both"/>
              <w:rPr>
                <w:rFonts w:ascii="Times New Roman" w:hAnsi="Times New Roman"/>
                <w:sz w:val="24"/>
                <w:szCs w:val="24"/>
                <w:lang w:val="sq-AL"/>
              </w:rPr>
            </w:pPr>
          </w:p>
          <w:p w14:paraId="195033E9" w14:textId="77777777" w:rsidR="003B3804" w:rsidRPr="004E5A6E" w:rsidRDefault="003B3804" w:rsidP="0068706C">
            <w:pPr>
              <w:pStyle w:val="ListParagraph"/>
              <w:numPr>
                <w:ilvl w:val="0"/>
                <w:numId w:val="11"/>
              </w:numPr>
              <w:spacing w:after="0" w:line="276" w:lineRule="auto"/>
              <w:ind w:left="0" w:firstLine="0"/>
              <w:jc w:val="both"/>
              <w:rPr>
                <w:rFonts w:ascii="Times New Roman" w:hAnsi="Times New Roman"/>
                <w:sz w:val="24"/>
                <w:szCs w:val="24"/>
                <w:lang w:val="sq-AL"/>
              </w:rPr>
            </w:pPr>
            <w:bookmarkStart w:id="239" w:name="_Hlk56533735"/>
            <w:r w:rsidRPr="004E5A6E">
              <w:rPr>
                <w:rFonts w:ascii="Times New Roman" w:hAnsi="Times New Roman"/>
                <w:b/>
                <w:sz w:val="24"/>
                <w:szCs w:val="24"/>
                <w:lang w:val="sq-AL"/>
              </w:rPr>
              <w:t>Projekti për Trajtimin e Ujërave të Zeza në Komunën e Shtimes</w:t>
            </w:r>
            <w:r w:rsidRPr="004E5A6E">
              <w:rPr>
                <w:rFonts w:ascii="Times New Roman" w:hAnsi="Times New Roman"/>
                <w:sz w:val="24"/>
                <w:szCs w:val="24"/>
                <w:lang w:val="sq-AL"/>
              </w:rPr>
              <w:t xml:space="preserve"> – Komuna e Shtimes është institucioni implementues për këtë projekt, që financohet me kredi në shumën 2,385 milion euro. Marrëveshja financiare është nënshkruar në nëntor të vitit 2018 me UniCredit Bank Austria AG, e cila vepron në emër të Qeverisës së Austrisë. Disbursimi i parë për këtë projekt është bërë në 2019 dhe deri më tani (gusht 2020) është disbursuar 67% e shumës së kredisë.</w:t>
            </w:r>
          </w:p>
          <w:bookmarkEnd w:id="239"/>
          <w:p w14:paraId="34E4306F" w14:textId="77777777" w:rsidR="003B3804" w:rsidRPr="004E5A6E" w:rsidRDefault="003B3804" w:rsidP="00713DEA">
            <w:pPr>
              <w:spacing w:line="276" w:lineRule="auto"/>
              <w:jc w:val="both"/>
              <w:rPr>
                <w:lang w:val="sq-AL"/>
              </w:rPr>
            </w:pPr>
          </w:p>
          <w:p w14:paraId="3122F468" w14:textId="77777777" w:rsidR="003B3804" w:rsidRPr="004E5A6E" w:rsidRDefault="003B3804" w:rsidP="0068706C">
            <w:pPr>
              <w:pStyle w:val="ListParagraph"/>
              <w:numPr>
                <w:ilvl w:val="0"/>
                <w:numId w:val="11"/>
              </w:numPr>
              <w:spacing w:after="0" w:line="276" w:lineRule="auto"/>
              <w:ind w:left="0" w:firstLine="0"/>
              <w:jc w:val="both"/>
              <w:rPr>
                <w:rFonts w:ascii="Times New Roman" w:hAnsi="Times New Roman"/>
                <w:sz w:val="24"/>
                <w:szCs w:val="24"/>
                <w:lang w:val="sq-AL"/>
              </w:rPr>
            </w:pPr>
            <w:r w:rsidRPr="004E5A6E">
              <w:rPr>
                <w:rFonts w:ascii="Times New Roman" w:hAnsi="Times New Roman"/>
                <w:b/>
                <w:sz w:val="24"/>
                <w:szCs w:val="24"/>
                <w:lang w:val="sq-AL"/>
              </w:rPr>
              <w:t>Ndërtimi i Skemës për Furnizim me Ujë në Komunën e Graçanicës</w:t>
            </w:r>
            <w:r w:rsidRPr="004E5A6E">
              <w:rPr>
                <w:rFonts w:ascii="Times New Roman" w:hAnsi="Times New Roman"/>
                <w:sz w:val="24"/>
                <w:szCs w:val="24"/>
                <w:lang w:val="sq-AL"/>
              </w:rPr>
              <w:t xml:space="preserve"> – Komuna e Graçanicës është institucioni implementues për këtë projekt, që financohet me kredi në shumën 5,115 milion euro. Marrëveshja financiare është nënshkruar në nëntor të vitit 2018 me UniCredit Bank Austria AG, e cila vepron në emër të Qeverisë së Austrisë. Disbursimi i parë për këtë projekt është bërë në 2019 dhe deri më tani (gusht 2020) është disbursuar 75% e shumës së kredisë.</w:t>
            </w:r>
          </w:p>
          <w:p w14:paraId="25070AB5" w14:textId="77777777" w:rsidR="003B3804" w:rsidRPr="004E5A6E" w:rsidRDefault="003B3804" w:rsidP="00713DEA">
            <w:pPr>
              <w:pStyle w:val="ListParagraph"/>
              <w:ind w:left="0"/>
              <w:jc w:val="both"/>
              <w:rPr>
                <w:rFonts w:ascii="Times New Roman" w:hAnsi="Times New Roman"/>
                <w:sz w:val="24"/>
                <w:szCs w:val="24"/>
                <w:lang w:val="sq-AL"/>
              </w:rPr>
            </w:pPr>
          </w:p>
          <w:p w14:paraId="1A327BD3" w14:textId="77777777" w:rsidR="003B3804" w:rsidRPr="004E5A6E" w:rsidRDefault="003B3804" w:rsidP="0068706C">
            <w:pPr>
              <w:pStyle w:val="ListParagraph"/>
              <w:numPr>
                <w:ilvl w:val="0"/>
                <w:numId w:val="11"/>
              </w:numPr>
              <w:ind w:left="0" w:firstLine="0"/>
              <w:jc w:val="both"/>
              <w:rPr>
                <w:rFonts w:ascii="Times New Roman" w:hAnsi="Times New Roman"/>
                <w:sz w:val="24"/>
                <w:szCs w:val="24"/>
                <w:lang w:val="sq-AL"/>
              </w:rPr>
            </w:pPr>
            <w:r w:rsidRPr="004E5A6E">
              <w:rPr>
                <w:rFonts w:ascii="Times New Roman" w:hAnsi="Times New Roman"/>
                <w:b/>
                <w:sz w:val="24"/>
                <w:szCs w:val="24"/>
                <w:lang w:val="sq-AL"/>
              </w:rPr>
              <w:t>Projekti i Kadastrës së Patundshmërisë dhe Infrastrukturës Hapësinore (REGIP)</w:t>
            </w:r>
            <w:r w:rsidRPr="004E5A6E">
              <w:rPr>
                <w:rFonts w:ascii="Times New Roman" w:hAnsi="Times New Roman"/>
                <w:sz w:val="24"/>
                <w:szCs w:val="24"/>
                <w:lang w:val="sq-AL"/>
              </w:rPr>
              <w:t xml:space="preserve"> - institucioni zbatues i ketij projekti është Agjencia Kosovare e Kadastrës. Marrëveshja financiare në shumën 14.6 milion euro me kreditorin ANZh është nënshkruar në shkurt të vitit 2019. Ratifikimi i marrëveshjes është bërë në gusht 2020 dhe brenda vitit pritet fillimi i disbursimeve.</w:t>
            </w:r>
          </w:p>
          <w:p w14:paraId="1DC51EBA" w14:textId="77777777" w:rsidR="003B3804" w:rsidRPr="004E5A6E" w:rsidRDefault="003B3804" w:rsidP="00713DEA">
            <w:pPr>
              <w:pStyle w:val="ListParagraph"/>
              <w:ind w:left="0"/>
              <w:jc w:val="both"/>
              <w:rPr>
                <w:rFonts w:ascii="Times New Roman" w:hAnsi="Times New Roman"/>
                <w:sz w:val="24"/>
                <w:szCs w:val="24"/>
                <w:lang w:val="sq-AL"/>
              </w:rPr>
            </w:pPr>
          </w:p>
          <w:p w14:paraId="2E388D94" w14:textId="77777777" w:rsidR="003B3804" w:rsidRPr="004E5A6E" w:rsidRDefault="003B3804" w:rsidP="0068706C">
            <w:pPr>
              <w:pStyle w:val="ListParagraph"/>
              <w:numPr>
                <w:ilvl w:val="0"/>
                <w:numId w:val="11"/>
              </w:numPr>
              <w:ind w:left="0" w:firstLine="0"/>
              <w:jc w:val="both"/>
              <w:rPr>
                <w:rFonts w:ascii="Times New Roman" w:hAnsi="Times New Roman"/>
                <w:sz w:val="24"/>
                <w:szCs w:val="24"/>
                <w:lang w:val="sq-AL"/>
              </w:rPr>
            </w:pPr>
            <w:r w:rsidRPr="004E5A6E">
              <w:rPr>
                <w:rFonts w:ascii="Times New Roman" w:hAnsi="Times New Roman"/>
                <w:b/>
                <w:sz w:val="24"/>
                <w:szCs w:val="24"/>
                <w:lang w:val="sq-AL"/>
              </w:rPr>
              <w:t xml:space="preserve">Projekti i Transportit Publik, Komuna e Prishtinës </w:t>
            </w:r>
            <w:r w:rsidRPr="004E5A6E">
              <w:rPr>
                <w:rFonts w:ascii="Times New Roman" w:hAnsi="Times New Roman"/>
                <w:sz w:val="24"/>
                <w:szCs w:val="24"/>
                <w:lang w:val="sq-AL"/>
              </w:rPr>
              <w:t xml:space="preserve">- Ndërmarrja Publike e Prishtinës ‘Trafiku Urban’ është institucioni zbatues për këtë projekt, i cili ka një kosto totale të vlerësuar prej 10 milion EUR. Projekti është financuar nga BERZH dhe implementimi i tij ka filluar në vitin 2016. </w:t>
            </w:r>
            <w:r w:rsidRPr="004E5A6E">
              <w:rPr>
                <w:rFonts w:ascii="Times New Roman" w:hAnsi="Times New Roman"/>
                <w:color w:val="000000" w:themeColor="text1"/>
                <w:sz w:val="24"/>
                <w:szCs w:val="24"/>
                <w:lang w:val="sq-AL"/>
              </w:rPr>
              <w:t>Pas përfundimit te projektit, tani kredia është duke u paguar.</w:t>
            </w:r>
          </w:p>
          <w:p w14:paraId="4A9C2F98" w14:textId="77777777" w:rsidR="003B3804" w:rsidRPr="004E5A6E" w:rsidRDefault="003B3804" w:rsidP="00713DEA">
            <w:pPr>
              <w:pStyle w:val="ListParagraph"/>
              <w:ind w:left="0"/>
              <w:jc w:val="both"/>
              <w:rPr>
                <w:rFonts w:ascii="Times New Roman" w:hAnsi="Times New Roman"/>
                <w:sz w:val="24"/>
                <w:szCs w:val="24"/>
                <w:lang w:val="sq-AL"/>
              </w:rPr>
            </w:pPr>
          </w:p>
          <w:p w14:paraId="64DAC956" w14:textId="77777777" w:rsidR="003B3804" w:rsidRPr="004E5A6E" w:rsidRDefault="003B3804" w:rsidP="0068706C">
            <w:pPr>
              <w:pStyle w:val="ListParagraph"/>
              <w:numPr>
                <w:ilvl w:val="0"/>
                <w:numId w:val="11"/>
              </w:numPr>
              <w:ind w:left="0" w:firstLine="0"/>
              <w:jc w:val="both"/>
              <w:rPr>
                <w:rFonts w:ascii="Times New Roman" w:hAnsi="Times New Roman"/>
                <w:sz w:val="24"/>
                <w:szCs w:val="24"/>
                <w:lang w:val="sq-AL"/>
              </w:rPr>
            </w:pPr>
            <w:r w:rsidRPr="004E5A6E">
              <w:rPr>
                <w:rFonts w:ascii="Times New Roman" w:hAnsi="Times New Roman"/>
                <w:b/>
                <w:sz w:val="24"/>
                <w:szCs w:val="24"/>
                <w:lang w:val="sq-AL"/>
              </w:rPr>
              <w:t>Projekti i Transportit dhe Sigurisë ne Trafik</w:t>
            </w:r>
            <w:r w:rsidRPr="004E5A6E">
              <w:rPr>
                <w:rFonts w:ascii="Times New Roman" w:hAnsi="Times New Roman"/>
                <w:sz w:val="24"/>
                <w:szCs w:val="24"/>
                <w:lang w:val="sq-AL"/>
              </w:rPr>
              <w:t xml:space="preserve"> -Sistemi i Kontrollit do të kryejë detyrat komplekse të zbatimit të trafikut me Stacionet Zbatuese Fikse, Stacionet e Zbatimit të Telefonisë Celulare, Pajisjet e Zbatimit të Telefonisë Celulare, Njësitë e Zbatimit të Telefonisë Celulare dhe Njësitë e Zbatimit të Pajisjeve Lëvizëse. Projekti është miratuar nga Komiteti Kombëtar i Investimeve (NIC) që do të financohet përmes Marrëveshjes ndërmjet Qeverisë së Republikës së Kosovës dhe Qeverisë së Hungarisë për Themelimin e Programit Kuadër për Bashkëpunim Financiar (Ligji Nr. 05 / L-153). Projekti është në draftim e sipër nga Ministria e Infrastrukturës si agjenci zbatuese. </w:t>
            </w:r>
          </w:p>
          <w:p w14:paraId="386AD065" w14:textId="77777777" w:rsidR="003B3804" w:rsidRPr="004E5A6E" w:rsidRDefault="003B3804" w:rsidP="00713DEA">
            <w:pPr>
              <w:pStyle w:val="ListParagraph"/>
              <w:ind w:left="0"/>
              <w:jc w:val="both"/>
              <w:rPr>
                <w:rFonts w:ascii="Times New Roman" w:hAnsi="Times New Roman"/>
                <w:sz w:val="24"/>
                <w:szCs w:val="24"/>
                <w:lang w:val="sq-AL"/>
              </w:rPr>
            </w:pPr>
          </w:p>
          <w:p w14:paraId="74C97899" w14:textId="77777777" w:rsidR="003B3804" w:rsidRPr="004E5A6E" w:rsidRDefault="003B3804" w:rsidP="0068706C">
            <w:pPr>
              <w:pStyle w:val="ListParagraph"/>
              <w:numPr>
                <w:ilvl w:val="0"/>
                <w:numId w:val="11"/>
              </w:numPr>
              <w:ind w:left="0" w:firstLine="0"/>
              <w:jc w:val="both"/>
              <w:rPr>
                <w:rFonts w:ascii="Times New Roman" w:hAnsi="Times New Roman"/>
                <w:sz w:val="24"/>
                <w:szCs w:val="24"/>
                <w:lang w:val="sq-AL"/>
              </w:rPr>
            </w:pPr>
            <w:r w:rsidRPr="004E5A6E">
              <w:rPr>
                <w:rFonts w:ascii="Times New Roman" w:hAnsi="Times New Roman"/>
                <w:b/>
                <w:sz w:val="24"/>
                <w:szCs w:val="24"/>
                <w:lang w:val="sq-AL"/>
              </w:rPr>
              <w:t>Ndërrimi i gypave të asbestit – çementit në Komunën e Gjakovës</w:t>
            </w:r>
            <w:r w:rsidRPr="004E5A6E">
              <w:rPr>
                <w:rFonts w:ascii="Times New Roman" w:hAnsi="Times New Roman"/>
                <w:sz w:val="24"/>
                <w:szCs w:val="24"/>
                <w:lang w:val="sq-AL"/>
              </w:rPr>
              <w:t xml:space="preserve"> - Ndërrimi i linjave të tubave të furnizimit me ujë të asbestit - material nga çimento, të cilat janë instaluar 55 vjet më parë, në qytetin e Gjakovës. Ky investim do të plotësojë nevojën për të mbështetur furnizimin me ujë të pijshëm nga rubineti për 30 vitet e ardhshme. Agjencia e zbatimit është Komuna e Gjakovës. Projekti është miratuar nga Komiteti Kombëtar i Investimeve (NIC) që do të financohet përmes Marrëveshjes ndërmjet Qeverisë së Republikës së Kosovës dhe Qeverisë së Hungarisë për Themelimin e Programit Kuadër për Bashkëpunim Financiar (Ligji Nr. 05 / L-153). Negociatat e Marrëveshjes së Financimit i nënshtrohen procedurave te Ligjit Nr. 05 / L-153.</w:t>
            </w:r>
          </w:p>
          <w:p w14:paraId="7024717A" w14:textId="77777777" w:rsidR="003B3804" w:rsidRPr="004E5A6E" w:rsidRDefault="003B3804" w:rsidP="00713DEA">
            <w:pPr>
              <w:pStyle w:val="ListParagraph"/>
              <w:ind w:left="0"/>
              <w:jc w:val="both"/>
              <w:rPr>
                <w:rFonts w:ascii="Times New Roman" w:hAnsi="Times New Roman"/>
                <w:sz w:val="24"/>
                <w:szCs w:val="24"/>
                <w:lang w:val="sq-AL"/>
              </w:rPr>
            </w:pPr>
          </w:p>
          <w:p w14:paraId="412244BD" w14:textId="77777777" w:rsidR="003B3804" w:rsidRPr="004E5A6E" w:rsidRDefault="003B3804" w:rsidP="0068706C">
            <w:pPr>
              <w:pStyle w:val="ListParagraph"/>
              <w:numPr>
                <w:ilvl w:val="0"/>
                <w:numId w:val="11"/>
              </w:numPr>
              <w:ind w:left="0" w:firstLine="0"/>
              <w:jc w:val="both"/>
              <w:rPr>
                <w:rFonts w:ascii="Times New Roman" w:hAnsi="Times New Roman"/>
                <w:sz w:val="24"/>
                <w:szCs w:val="24"/>
                <w:lang w:val="sq-AL"/>
              </w:rPr>
            </w:pPr>
            <w:r w:rsidRPr="004E5A6E">
              <w:rPr>
                <w:rFonts w:ascii="Times New Roman" w:hAnsi="Times New Roman"/>
                <w:sz w:val="24"/>
                <w:szCs w:val="24"/>
                <w:lang w:val="sq-AL"/>
              </w:rPr>
              <w:t xml:space="preserve"> </w:t>
            </w:r>
            <w:bookmarkStart w:id="240" w:name="_Hlk56534766"/>
            <w:r w:rsidRPr="004E5A6E">
              <w:rPr>
                <w:rFonts w:ascii="Times New Roman" w:hAnsi="Times New Roman"/>
                <w:b/>
                <w:sz w:val="24"/>
                <w:szCs w:val="24"/>
                <w:lang w:val="sq-AL"/>
              </w:rPr>
              <w:t>Impianti i trajtimit të ujërave të zeza në Komunën e Ferizajt</w:t>
            </w:r>
            <w:r w:rsidRPr="004E5A6E">
              <w:rPr>
                <w:rFonts w:ascii="Times New Roman" w:hAnsi="Times New Roman"/>
                <w:sz w:val="24"/>
                <w:szCs w:val="24"/>
                <w:lang w:val="sq-AL"/>
              </w:rPr>
              <w:t xml:space="preserve"> – Ky projekt përfshin dizajnin, ndërtimin dhe mirëmbajtjen e sistemeve të grumbullimit (Impianti i Trajtimit të Ujërave të Zeza) në Komunën e Ferizajt. Ky projekt do të zbatohet nga Komuna e Ferizajit. Projekti është miratuar nga Komiteti Kombëtar i Investimeve (NIC) që do të financohet përmes Marrëveshjes ndërmjet Qeverisë së Republikës së Kosovës dhe Qeverisë së Hungarisë për Themelimin e Programit Kuadër për Bashkëpunim Financiar (Ligji Nr. 05 / L-153). Negociatat e Marrëveshjes së Financimit i nënshtrohen procedurave te Ligjit Nr. 05 / L-153.</w:t>
            </w:r>
            <w:bookmarkEnd w:id="240"/>
          </w:p>
          <w:p w14:paraId="5AB3E465" w14:textId="77777777" w:rsidR="003B3804" w:rsidRPr="004E5A6E" w:rsidRDefault="003B3804" w:rsidP="00713DEA">
            <w:pPr>
              <w:pStyle w:val="ListParagraph"/>
              <w:ind w:left="0"/>
              <w:jc w:val="both"/>
              <w:rPr>
                <w:rFonts w:ascii="Times New Roman" w:hAnsi="Times New Roman"/>
                <w:sz w:val="24"/>
                <w:szCs w:val="24"/>
                <w:lang w:val="sq-AL"/>
              </w:rPr>
            </w:pPr>
          </w:p>
          <w:p w14:paraId="424DD972" w14:textId="77777777" w:rsidR="003B3804" w:rsidRPr="004E5A6E" w:rsidRDefault="003B3804" w:rsidP="0068706C">
            <w:pPr>
              <w:pStyle w:val="ListParagraph"/>
              <w:numPr>
                <w:ilvl w:val="0"/>
                <w:numId w:val="11"/>
              </w:numPr>
              <w:ind w:left="0" w:firstLine="0"/>
              <w:jc w:val="both"/>
              <w:rPr>
                <w:rFonts w:ascii="Times New Roman" w:hAnsi="Times New Roman"/>
                <w:sz w:val="24"/>
                <w:szCs w:val="24"/>
                <w:lang w:val="sq-AL"/>
              </w:rPr>
            </w:pPr>
            <w:r w:rsidRPr="004E5A6E">
              <w:rPr>
                <w:rFonts w:ascii="Times New Roman" w:hAnsi="Times New Roman"/>
                <w:b/>
                <w:sz w:val="24"/>
                <w:szCs w:val="24"/>
                <w:lang w:val="sq-AL"/>
              </w:rPr>
              <w:t>Sistemi i kanalizimit në Komunën e Deçanit</w:t>
            </w:r>
            <w:r w:rsidRPr="004E5A6E">
              <w:rPr>
                <w:rFonts w:ascii="Times New Roman" w:hAnsi="Times New Roman"/>
                <w:sz w:val="24"/>
                <w:szCs w:val="24"/>
                <w:lang w:val="sq-AL"/>
              </w:rPr>
              <w:t xml:space="preserve"> - Zona 1: Sistemi i kanalizimit për fshatin Strellc. Zona 2: Sistemi i kanalizimit për fshatin Dubovik dhe pjesë e fshatit Isniq. Zona 3: Kanalizimi i fshatrave Lëbushë, Isniq dhe Prapaqan. Ky projekt do të zbatohet nga Komuna e Deçanit. Projekti është miratuar nga Komiteti Kombëtar i Investimeve (NIC) që do të financohet përmes Marrëveshjes ndërmjet Qeverisë së Republikës së Kosovës dhe Qeverisë së Hungarisë për Themelimin e Programit Kuadër për Bashkëpunim Financiar (Ligji Nr. 05 / L-153). Negociatat e Marrëveshjes së Financimit i nënshtrohen procedurave sipas Ligjit Nr. 05 / L-153.</w:t>
            </w:r>
          </w:p>
          <w:p w14:paraId="3F9BD3B0" w14:textId="77777777" w:rsidR="003B3804" w:rsidRPr="004E5A6E" w:rsidRDefault="003B3804" w:rsidP="00713DEA">
            <w:pPr>
              <w:pStyle w:val="ListParagraph"/>
              <w:ind w:left="0"/>
              <w:jc w:val="both"/>
              <w:rPr>
                <w:rFonts w:ascii="Times New Roman" w:hAnsi="Times New Roman"/>
                <w:sz w:val="24"/>
                <w:szCs w:val="24"/>
                <w:lang w:val="sq-AL"/>
              </w:rPr>
            </w:pPr>
          </w:p>
          <w:p w14:paraId="5814E8A5" w14:textId="77777777" w:rsidR="003B3804" w:rsidRPr="004E5A6E" w:rsidRDefault="003B3804" w:rsidP="0068706C">
            <w:pPr>
              <w:pStyle w:val="ListParagraph"/>
              <w:numPr>
                <w:ilvl w:val="0"/>
                <w:numId w:val="11"/>
              </w:numPr>
              <w:tabs>
                <w:tab w:val="left" w:pos="810"/>
              </w:tabs>
              <w:ind w:left="0" w:firstLine="0"/>
              <w:jc w:val="both"/>
              <w:rPr>
                <w:rFonts w:ascii="Times New Roman" w:hAnsi="Times New Roman"/>
                <w:sz w:val="24"/>
                <w:szCs w:val="24"/>
                <w:lang w:val="sq-AL"/>
              </w:rPr>
            </w:pPr>
            <w:r w:rsidRPr="004E5A6E">
              <w:rPr>
                <w:rFonts w:ascii="Times New Roman" w:hAnsi="Times New Roman"/>
                <w:b/>
                <w:sz w:val="24"/>
                <w:szCs w:val="24"/>
                <w:lang w:val="sq-AL"/>
              </w:rPr>
              <w:t>Rezervari i ujit të pijshëm në fshatin Verboc / Komuna e Drenasit</w:t>
            </w:r>
            <w:r w:rsidRPr="004E5A6E">
              <w:rPr>
                <w:rFonts w:ascii="Times New Roman" w:hAnsi="Times New Roman"/>
                <w:sz w:val="24"/>
                <w:szCs w:val="24"/>
                <w:lang w:val="sq-AL"/>
              </w:rPr>
              <w:t xml:space="preserve"> - Ndërtimi i ujëmbledhësit për ujë të pijshëm / nga rubineti në fshatin Verboc, i cili do të sigurojë furnizim me ujë të pijshëm në komunën e Drenasit. Ky projekt do të zbatohet nga Komuna e Drenasit. Projekti është miratuar nga Komiteti Kombëtar i Investimeve (NIC) që do të financohet përmes Marrëveshjes ndërmjet Qeverisë së Republikës së Kosovës dhe Qeverisë së Hungarisë për Themelimin e Programit Kuadër për Bashkëpunim Financiar (Ligji Nr. 05 / L-153). Negociatat e Marrëveshjes së Financimit i nënshtrohen procedurave sipas Ligjit Nr. 05 / L-153.</w:t>
            </w:r>
          </w:p>
          <w:p w14:paraId="3A8662A4" w14:textId="77777777" w:rsidR="003B3804" w:rsidRPr="004E5A6E" w:rsidRDefault="003B3804" w:rsidP="003B3804">
            <w:pPr>
              <w:pStyle w:val="ModelNrmlSingle"/>
              <w:spacing w:after="0"/>
              <w:ind w:firstLine="0"/>
              <w:rPr>
                <w:bCs/>
                <w:lang w:val="sq-AL"/>
              </w:rPr>
            </w:pPr>
          </w:p>
        </w:tc>
      </w:tr>
    </w:tbl>
    <w:p w14:paraId="69565028" w14:textId="77777777" w:rsidR="003B3804" w:rsidRPr="004E5A6E" w:rsidRDefault="003B3804" w:rsidP="00693151">
      <w:pPr>
        <w:rPr>
          <w:highlight w:val="yellow"/>
          <w:lang w:val="sq-AL"/>
        </w:rPr>
      </w:pPr>
    </w:p>
    <w:sectPr w:rsidR="003B3804" w:rsidRPr="004E5A6E" w:rsidSect="0012156A">
      <w:headerReference w:type="even" r:id="rId34"/>
      <w:headerReference w:type="default" r:id="rId35"/>
      <w:headerReference w:type="first" r:id="rId36"/>
      <w:pgSz w:w="11907" w:h="16839" w:code="9"/>
      <w:pgMar w:top="1440" w:right="1440" w:bottom="1440" w:left="1843" w:header="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59119" w14:textId="77777777" w:rsidR="00713DEA" w:rsidRDefault="00713DEA">
      <w:pPr>
        <w:rPr>
          <w:color w:val="auto"/>
          <w:lang w:eastAsia="en-GB"/>
        </w:rPr>
      </w:pPr>
      <w:r>
        <w:rPr>
          <w:color w:val="auto"/>
          <w:lang w:eastAsia="en-GB"/>
        </w:rPr>
        <w:separator/>
      </w:r>
    </w:p>
  </w:endnote>
  <w:endnote w:type="continuationSeparator" w:id="0">
    <w:p w14:paraId="67C20D7B" w14:textId="77777777" w:rsidR="00713DEA" w:rsidRDefault="00713DEA">
      <w:r>
        <w:continuationSeparator/>
      </w:r>
    </w:p>
  </w:endnote>
  <w:endnote w:type="continuationNotice" w:id="1">
    <w:p w14:paraId="0DF4405D" w14:textId="77777777" w:rsidR="00713DEA" w:rsidRDefault="00713D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Uighur">
    <w:panose1 w:val="02000000000000000000"/>
    <w:charset w:val="00"/>
    <w:family w:val="auto"/>
    <w:pitch w:val="variable"/>
    <w:sig w:usb0="80002023" w:usb1="80000002"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GillAlternateOneLight">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114648"/>
      <w:docPartObj>
        <w:docPartGallery w:val="Page Numbers (Bottom of Page)"/>
        <w:docPartUnique/>
      </w:docPartObj>
    </w:sdtPr>
    <w:sdtEndPr>
      <w:rPr>
        <w:noProof/>
      </w:rPr>
    </w:sdtEndPr>
    <w:sdtContent>
      <w:p w14:paraId="65F6153C" w14:textId="0E3C7797" w:rsidR="00713DEA" w:rsidRDefault="00713DEA">
        <w:pPr>
          <w:pStyle w:val="Footer"/>
          <w:jc w:val="center"/>
        </w:pPr>
        <w:r>
          <w:fldChar w:fldCharType="begin"/>
        </w:r>
        <w:r>
          <w:instrText xml:space="preserve"> PAGE   \* MERGEFORMAT </w:instrText>
        </w:r>
        <w:r>
          <w:fldChar w:fldCharType="separate"/>
        </w:r>
        <w:r w:rsidR="0068706C">
          <w:rPr>
            <w:noProof/>
          </w:rPr>
          <w:t>116</w:t>
        </w:r>
        <w:r>
          <w:rPr>
            <w:noProof/>
          </w:rPr>
          <w:fldChar w:fldCharType="end"/>
        </w:r>
      </w:p>
    </w:sdtContent>
  </w:sdt>
  <w:p w14:paraId="2C9992F0" w14:textId="77777777" w:rsidR="00713DEA" w:rsidRDefault="00713D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68932" w14:textId="77777777" w:rsidR="00713DEA" w:rsidRDefault="00713DEA">
      <w:pPr>
        <w:rPr>
          <w:color w:val="auto"/>
          <w:lang w:eastAsia="en-GB"/>
        </w:rPr>
      </w:pPr>
      <w:r>
        <w:rPr>
          <w:color w:val="auto"/>
          <w:lang w:eastAsia="en-GB"/>
        </w:rPr>
        <w:separator/>
      </w:r>
    </w:p>
  </w:footnote>
  <w:footnote w:type="continuationSeparator" w:id="0">
    <w:p w14:paraId="6411D1D8" w14:textId="77777777" w:rsidR="00713DEA" w:rsidRDefault="00713DEA">
      <w:r>
        <w:continuationSeparator/>
      </w:r>
    </w:p>
  </w:footnote>
  <w:footnote w:type="continuationNotice" w:id="1">
    <w:p w14:paraId="5E9ADA42" w14:textId="77777777" w:rsidR="00713DEA" w:rsidRDefault="00713DEA"/>
  </w:footnote>
  <w:footnote w:id="2">
    <w:p w14:paraId="03690AC2" w14:textId="77777777" w:rsidR="00713DEA" w:rsidRPr="00824849" w:rsidRDefault="00713DEA" w:rsidP="00733346">
      <w:pPr>
        <w:pStyle w:val="FootnoteText"/>
        <w:rPr>
          <w:lang w:val="en-US"/>
        </w:rPr>
      </w:pPr>
      <w:r>
        <w:rPr>
          <w:rStyle w:val="FootnoteReference"/>
        </w:rPr>
        <w:footnoteRef/>
      </w:r>
      <w:r>
        <w:t xml:space="preserve"> Parashikimi vjeshtor i Komisionit Evropian</w:t>
      </w:r>
    </w:p>
  </w:footnote>
  <w:footnote w:id="3">
    <w:p w14:paraId="6FCE706B" w14:textId="77777777" w:rsidR="00713DEA" w:rsidRPr="000E36C1" w:rsidRDefault="00713DEA" w:rsidP="00733346">
      <w:pPr>
        <w:pStyle w:val="FootnoteText"/>
        <w:rPr>
          <w:szCs w:val="16"/>
        </w:rPr>
      </w:pPr>
      <w:r w:rsidRPr="000E36C1">
        <w:rPr>
          <w:rStyle w:val="FootnoteReference"/>
        </w:rPr>
        <w:footnoteRef/>
      </w:r>
      <w:r w:rsidRPr="000E36C1">
        <w:rPr>
          <w:szCs w:val="16"/>
        </w:rPr>
        <w:t xml:space="preserve"> </w:t>
      </w:r>
      <w:r>
        <w:rPr>
          <w:szCs w:val="16"/>
        </w:rPr>
        <w:t>FMN</w:t>
      </w:r>
      <w:r w:rsidRPr="003A5E97">
        <w:rPr>
          <w:szCs w:val="16"/>
        </w:rPr>
        <w:t xml:space="preserve"> </w:t>
      </w:r>
      <w:r>
        <w:rPr>
          <w:szCs w:val="16"/>
        </w:rPr>
        <w:t>Portali i çmimeve të mallrave</w:t>
      </w:r>
      <w:r w:rsidRPr="003A5E97">
        <w:rPr>
          <w:szCs w:val="16"/>
        </w:rPr>
        <w:t>: https://www.imf.org/en/Research/commodity-prices</w:t>
      </w:r>
    </w:p>
  </w:footnote>
  <w:footnote w:id="4">
    <w:p w14:paraId="5DBB9EB2" w14:textId="77777777" w:rsidR="00713DEA" w:rsidRPr="00BF0CBF" w:rsidRDefault="00713DEA" w:rsidP="00733346">
      <w:pPr>
        <w:pStyle w:val="FootnoteText"/>
        <w:rPr>
          <w:szCs w:val="16"/>
        </w:rPr>
      </w:pPr>
      <w:r w:rsidRPr="00BF0CBF">
        <w:rPr>
          <w:rStyle w:val="FootnoteReference"/>
        </w:rPr>
        <w:footnoteRef/>
      </w:r>
      <w:r w:rsidRPr="00BF0CBF">
        <w:rPr>
          <w:szCs w:val="16"/>
        </w:rPr>
        <w:t xml:space="preserve"> </w:t>
      </w:r>
      <w:r>
        <w:rPr>
          <w:szCs w:val="16"/>
        </w:rPr>
        <w:t>BB</w:t>
      </w:r>
      <w:r w:rsidRPr="003A5E97">
        <w:rPr>
          <w:szCs w:val="16"/>
        </w:rPr>
        <w:t xml:space="preserve"> </w:t>
      </w:r>
      <w:r>
        <w:rPr>
          <w:szCs w:val="16"/>
        </w:rPr>
        <w:t>Portali i çmimeve të mallrave</w:t>
      </w:r>
      <w:r w:rsidRPr="003A5E97">
        <w:rPr>
          <w:szCs w:val="16"/>
        </w:rPr>
        <w:t>: https://www.worldbank.org/en/research/commodity-markets</w:t>
      </w:r>
    </w:p>
  </w:footnote>
  <w:footnote w:id="5">
    <w:p w14:paraId="41FCEB4C" w14:textId="3D8FCA80" w:rsidR="00713DEA" w:rsidRPr="008D6FC9" w:rsidRDefault="00713DEA" w:rsidP="008D6FC9">
      <w:pPr>
        <w:pStyle w:val="FootnoteText"/>
        <w:rPr>
          <w:lang w:val="sq-AL"/>
        </w:rPr>
      </w:pPr>
      <w:r>
        <w:rPr>
          <w:rStyle w:val="FootnoteReference"/>
        </w:rPr>
        <w:footnoteRef/>
      </w:r>
      <w:r>
        <w:t xml:space="preserve"> </w:t>
      </w:r>
      <w:r w:rsidRPr="00C202A3">
        <w:rPr>
          <w:lang w:val="sq-AL"/>
        </w:rPr>
        <w:t>Inflacioni bazë mat ndryshimin e çmimeve të produkteve të shportës së konsumit, duke përjashtuar paqëndrueshmërinë e përkohshme dhe kalimtare, e cila karakterizon kryesisht kategorinë e ushqimit ose të energjisë.</w:t>
      </w:r>
    </w:p>
  </w:footnote>
  <w:footnote w:id="6">
    <w:p w14:paraId="51426482" w14:textId="3664369C" w:rsidR="00713DEA" w:rsidRPr="00025898" w:rsidRDefault="00713DEA">
      <w:pPr>
        <w:pStyle w:val="FootnoteText"/>
        <w:rPr>
          <w:lang w:val="en-US"/>
        </w:rPr>
      </w:pPr>
      <w:r>
        <w:rPr>
          <w:rStyle w:val="FootnoteReference"/>
        </w:rPr>
        <w:footnoteRef/>
      </w:r>
      <w:r>
        <w:t xml:space="preserve"> </w:t>
      </w:r>
      <w:r w:rsidRPr="008D6FC9">
        <w:rPr>
          <w:lang w:val="sq-AL"/>
        </w:rPr>
        <w:t>Inflacioni i tregtueshëm mat ndryshimin e çmimeve të atyre produkteve që janë të ekspozuara ndaj tregtisë në tregjet ndërkombëtare dhe rrjedhimisht çmimet e tyre nuk ndikohen nga zhvillimet në tregun lokal. Ndërsa, inflacioni i patregtueshëm mat ndryshimin e çmimeve të atyre produkteve që nuk tregtohen në tregjet ndërkombëtare dhe rrjedhimisht ndikohen nga tregu i brendshëm lokal.</w:t>
      </w:r>
    </w:p>
  </w:footnote>
  <w:footnote w:id="7">
    <w:p w14:paraId="70E527D7" w14:textId="5EFA466A" w:rsidR="00713DEA" w:rsidRDefault="00713DEA" w:rsidP="00EA106B">
      <w:pPr>
        <w:pStyle w:val="FootnoteText"/>
        <w:rPr>
          <w:color w:val="000000"/>
        </w:rPr>
      </w:pPr>
      <w:r>
        <w:rPr>
          <w:rStyle w:val="FootnoteReference"/>
        </w:rPr>
        <w:footnoteRef/>
      </w:r>
      <w:r>
        <w:t xml:space="preserve"> </w:t>
      </w:r>
      <w:r w:rsidRPr="00D562BB">
        <w:rPr>
          <w:lang w:val="sq-AL"/>
        </w:rPr>
        <w:t xml:space="preserve">Indeksi </w:t>
      </w:r>
      <w:r w:rsidRPr="00D562BB">
        <w:rPr>
          <w:b/>
          <w:bCs/>
          <w:color w:val="000000"/>
          <w:bdr w:val="none" w:sz="0" w:space="0" w:color="auto" w:frame="1"/>
          <w:lang w:val="sq-AL"/>
        </w:rPr>
        <w:t>Hirschman Herfindahl Index</w:t>
      </w:r>
      <w:r w:rsidRPr="00D562BB">
        <w:rPr>
          <w:color w:val="000000"/>
          <w:lang w:val="sq-AL"/>
        </w:rPr>
        <w:t xml:space="preserve"> llogaritet si shuma e raporteve n</w:t>
      </w:r>
      <w:r>
        <w:rPr>
          <w:color w:val="000000"/>
          <w:lang w:val="sq-AL"/>
        </w:rPr>
        <w:t>ë katroe</w:t>
      </w:r>
      <w:r w:rsidRPr="00D562BB">
        <w:rPr>
          <w:color w:val="000000"/>
          <w:lang w:val="sq-AL"/>
        </w:rPr>
        <w:t xml:space="preserve"> e secili produkt ndaj totalit të eksporteve. Nj</w:t>
      </w:r>
      <w:r>
        <w:rPr>
          <w:color w:val="000000"/>
          <w:lang w:val="sq-AL"/>
        </w:rPr>
        <w:t>ë</w:t>
      </w:r>
      <w:r w:rsidRPr="00D562BB">
        <w:rPr>
          <w:color w:val="000000"/>
          <w:lang w:val="sq-AL"/>
        </w:rPr>
        <w:t xml:space="preserve"> vend me portfolio të eksporteve t</w:t>
      </w:r>
      <w:r>
        <w:rPr>
          <w:color w:val="000000"/>
          <w:lang w:val="sq-AL"/>
        </w:rPr>
        <w:t>ë</w:t>
      </w:r>
      <w:r w:rsidRPr="00D562BB">
        <w:rPr>
          <w:color w:val="000000"/>
          <w:lang w:val="sq-AL"/>
        </w:rPr>
        <w:t xml:space="preserve"> diversifikuara n</w:t>
      </w:r>
      <w:r>
        <w:rPr>
          <w:color w:val="000000"/>
          <w:lang w:val="sq-AL"/>
        </w:rPr>
        <w:t>ë</w:t>
      </w:r>
      <w:r w:rsidRPr="00D562BB">
        <w:rPr>
          <w:color w:val="000000"/>
          <w:lang w:val="sq-AL"/>
        </w:rPr>
        <w:t xml:space="preserve"> m</w:t>
      </w:r>
      <w:r>
        <w:rPr>
          <w:color w:val="000000"/>
          <w:lang w:val="sq-AL"/>
        </w:rPr>
        <w:t>ë</w:t>
      </w:r>
      <w:r w:rsidRPr="00D562BB">
        <w:rPr>
          <w:color w:val="000000"/>
          <w:lang w:val="sq-AL"/>
        </w:rPr>
        <w:t>nyr</w:t>
      </w:r>
      <w:r>
        <w:rPr>
          <w:color w:val="000000"/>
          <w:lang w:val="sq-AL"/>
        </w:rPr>
        <w:t>ë</w:t>
      </w:r>
      <w:r w:rsidRPr="00D562BB">
        <w:rPr>
          <w:color w:val="000000"/>
          <w:lang w:val="sq-AL"/>
        </w:rPr>
        <w:t xml:space="preserve"> p</w:t>
      </w:r>
      <w:r>
        <w:rPr>
          <w:color w:val="000000"/>
          <w:lang w:val="sq-AL"/>
        </w:rPr>
        <w:t>e</w:t>
      </w:r>
      <w:r w:rsidRPr="00D562BB">
        <w:rPr>
          <w:color w:val="000000"/>
          <w:lang w:val="sq-AL"/>
        </w:rPr>
        <w:t>rfekte ka nj</w:t>
      </w:r>
      <w:r>
        <w:rPr>
          <w:color w:val="000000"/>
          <w:lang w:val="sq-AL"/>
        </w:rPr>
        <w:t>ë</w:t>
      </w:r>
      <w:r w:rsidRPr="00D562BB">
        <w:rPr>
          <w:color w:val="000000"/>
          <w:lang w:val="sq-AL"/>
        </w:rPr>
        <w:t xml:space="preserve"> indeks n</w:t>
      </w:r>
      <w:r>
        <w:rPr>
          <w:color w:val="000000"/>
          <w:lang w:val="sq-AL"/>
        </w:rPr>
        <w:t>ë</w:t>
      </w:r>
      <w:r w:rsidRPr="00D562BB">
        <w:rPr>
          <w:color w:val="000000"/>
          <w:lang w:val="sq-AL"/>
        </w:rPr>
        <w:t xml:space="preserve"> vler</w:t>
      </w:r>
      <w:r>
        <w:rPr>
          <w:color w:val="000000"/>
          <w:lang w:val="sq-AL"/>
        </w:rPr>
        <w:t>ë</w:t>
      </w:r>
      <w:r w:rsidRPr="00D562BB">
        <w:rPr>
          <w:color w:val="000000"/>
          <w:lang w:val="sq-AL"/>
        </w:rPr>
        <w:t xml:space="preserve"> zero; nd</w:t>
      </w:r>
      <w:r>
        <w:rPr>
          <w:color w:val="000000"/>
          <w:lang w:val="sq-AL"/>
        </w:rPr>
        <w:t>ë</w:t>
      </w:r>
      <w:r w:rsidRPr="00D562BB">
        <w:rPr>
          <w:color w:val="000000"/>
          <w:lang w:val="sq-AL"/>
        </w:rPr>
        <w:t>rsa nj</w:t>
      </w:r>
      <w:r>
        <w:rPr>
          <w:color w:val="000000"/>
          <w:lang w:val="sq-AL"/>
        </w:rPr>
        <w:t>ë</w:t>
      </w:r>
      <w:r w:rsidRPr="00D562BB">
        <w:rPr>
          <w:color w:val="000000"/>
          <w:lang w:val="sq-AL"/>
        </w:rPr>
        <w:t xml:space="preserve"> vend q</w:t>
      </w:r>
      <w:r>
        <w:rPr>
          <w:color w:val="000000"/>
          <w:lang w:val="sq-AL"/>
        </w:rPr>
        <w:t>ë</w:t>
      </w:r>
      <w:r w:rsidRPr="00D562BB">
        <w:rPr>
          <w:color w:val="000000"/>
          <w:lang w:val="sq-AL"/>
        </w:rPr>
        <w:t xml:space="preserve"> eksporton vet</w:t>
      </w:r>
      <w:r>
        <w:rPr>
          <w:color w:val="000000"/>
          <w:lang w:val="sq-AL"/>
        </w:rPr>
        <w:t>ë</w:t>
      </w:r>
      <w:r w:rsidRPr="00D562BB">
        <w:rPr>
          <w:color w:val="000000"/>
          <w:lang w:val="sq-AL"/>
        </w:rPr>
        <w:t>m nj</w:t>
      </w:r>
      <w:r>
        <w:rPr>
          <w:color w:val="000000"/>
          <w:lang w:val="sq-AL"/>
        </w:rPr>
        <w:t>ë</w:t>
      </w:r>
      <w:r w:rsidRPr="00D562BB">
        <w:rPr>
          <w:color w:val="000000"/>
          <w:lang w:val="sq-AL"/>
        </w:rPr>
        <w:t xml:space="preserve"> produkt, ka nj</w:t>
      </w:r>
      <w:r>
        <w:rPr>
          <w:color w:val="000000"/>
          <w:lang w:val="sq-AL"/>
        </w:rPr>
        <w:t>ë</w:t>
      </w:r>
      <w:r w:rsidRPr="00D562BB">
        <w:rPr>
          <w:color w:val="000000"/>
          <w:lang w:val="sq-AL"/>
        </w:rPr>
        <w:t xml:space="preserve"> indeks me vlerë 1 (aspak të diversifikuar)</w:t>
      </w:r>
    </w:p>
    <w:p w14:paraId="593A2A26" w14:textId="5F9D1290" w:rsidR="00713DEA" w:rsidRPr="00280AD8" w:rsidRDefault="00713DEA" w:rsidP="00EA106B">
      <w:pPr>
        <w:pStyle w:val="FootnoteText"/>
        <w:rPr>
          <w:lang w:val="en-US"/>
        </w:rPr>
      </w:pPr>
    </w:p>
  </w:footnote>
  <w:footnote w:id="8">
    <w:p w14:paraId="276FD37E" w14:textId="77777777" w:rsidR="00713DEA" w:rsidRPr="00C57B9B" w:rsidRDefault="00713DEA" w:rsidP="00EA106B">
      <w:pPr>
        <w:jc w:val="both"/>
        <w:rPr>
          <w:b/>
          <w:lang w:val="sq-AL"/>
        </w:rPr>
      </w:pPr>
      <w:r w:rsidRPr="00C57B9B">
        <w:rPr>
          <w:rStyle w:val="FootnoteReference"/>
          <w:sz w:val="18"/>
          <w:szCs w:val="16"/>
          <w:lang w:val="sq-AL"/>
        </w:rPr>
        <w:footnoteRef/>
      </w:r>
      <w:r w:rsidRPr="00C57B9B">
        <w:rPr>
          <w:sz w:val="18"/>
          <w:szCs w:val="16"/>
          <w:lang w:val="sq-AL"/>
        </w:rPr>
        <w:t xml:space="preserve"> </w:t>
      </w:r>
      <w:r w:rsidRPr="00C57B9B">
        <w:rPr>
          <w:b/>
          <w:color w:val="222222"/>
          <w:sz w:val="16"/>
          <w:shd w:val="clear" w:color="auto" w:fill="FFFFFF"/>
          <w:lang w:val="sq-AL"/>
        </w:rPr>
        <w:t>Indeksi i Hapjes</w:t>
      </w:r>
      <w:r w:rsidRPr="00C57B9B">
        <w:rPr>
          <w:color w:val="222222"/>
          <w:sz w:val="16"/>
          <w:shd w:val="clear" w:color="auto" w:fill="FFFFFF"/>
          <w:lang w:val="sq-AL"/>
        </w:rPr>
        <w:t xml:space="preserve"> është një metrikë ekonomike e llogaritur si raporti i </w:t>
      </w:r>
      <w:r w:rsidRPr="00C57B9B">
        <w:rPr>
          <w:b/>
          <w:color w:val="222222"/>
          <w:sz w:val="16"/>
          <w:shd w:val="clear" w:color="auto" w:fill="FFFFFF"/>
          <w:lang w:val="sq-AL"/>
        </w:rPr>
        <w:t>tregtisë</w:t>
      </w:r>
      <w:r w:rsidRPr="00C57B9B">
        <w:rPr>
          <w:color w:val="222222"/>
          <w:sz w:val="16"/>
          <w:shd w:val="clear" w:color="auto" w:fill="FFFFFF"/>
          <w:lang w:val="sq-AL"/>
        </w:rPr>
        <w:t xml:space="preserve"> totale të vendit, shuma e eksporteve plus importet, me prodhimin e brendshëm bruto të vendit.. = (Eksportet e Importeve) / (Prodhimi i Brendshëm Bruto). “Sa më i lartë indeksi, aq më shumë ndikim ka tregtia në aktivitetin e brendshëm të atij vendi</w:t>
      </w:r>
      <w:r w:rsidRPr="00C57B9B">
        <w:rPr>
          <w:sz w:val="16"/>
          <w:szCs w:val="16"/>
          <w:lang w:val="sq-AL"/>
        </w:rPr>
        <w:t>.”</w:t>
      </w:r>
    </w:p>
  </w:footnote>
  <w:footnote w:id="9">
    <w:p w14:paraId="054374A6" w14:textId="58D7769D" w:rsidR="00713DEA" w:rsidRPr="008D6FC9" w:rsidRDefault="00713DEA">
      <w:pPr>
        <w:pStyle w:val="FootnoteText"/>
        <w:rPr>
          <w:lang w:val="en-US"/>
        </w:rPr>
      </w:pPr>
      <w:r>
        <w:rPr>
          <w:rStyle w:val="FootnoteReference"/>
        </w:rPr>
        <w:footnoteRef/>
      </w:r>
      <w:r>
        <w:t xml:space="preserve"> </w:t>
      </w:r>
      <w:r>
        <w:rPr>
          <w:lang w:val="en-US"/>
        </w:rPr>
        <w:t>Mesatarja e Shtator 2019/ Shtator 2018 (njëjtë aplikohet për krahasimet e tjera në tekst)</w:t>
      </w:r>
    </w:p>
  </w:footnote>
  <w:footnote w:id="10">
    <w:p w14:paraId="3AE36991" w14:textId="46680024" w:rsidR="00713DEA" w:rsidRPr="008D6FC9" w:rsidRDefault="00713DEA">
      <w:pPr>
        <w:pStyle w:val="FootnoteText"/>
        <w:rPr>
          <w:lang w:val="en-US"/>
        </w:rPr>
      </w:pPr>
      <w:r>
        <w:rPr>
          <w:rStyle w:val="FootnoteReference"/>
        </w:rPr>
        <w:footnoteRef/>
      </w:r>
      <w:r>
        <w:t xml:space="preserve"> </w:t>
      </w:r>
      <w:r w:rsidRPr="008D6FC9">
        <w:rPr>
          <w:lang w:val="sq-AL"/>
        </w:rPr>
        <w:t>Literatura sugjeron se beneficionet e papunësisë janë i vetmi komponent ciklik I shpenzimeve që duhet të merret parasysh kur llogaritet bilanci strukturor fiskal.</w:t>
      </w:r>
      <w:r>
        <w:rPr>
          <w:lang w:val="en-US"/>
        </w:rPr>
        <w:t xml:space="preserve"> </w:t>
      </w:r>
    </w:p>
  </w:footnote>
  <w:footnote w:id="11">
    <w:p w14:paraId="08115188" w14:textId="77777777" w:rsidR="00713DEA" w:rsidRPr="009C5C0C" w:rsidRDefault="00713DEA" w:rsidP="008D6F20">
      <w:pPr>
        <w:pStyle w:val="FootnoteText"/>
        <w:rPr>
          <w:lang w:val="sq-AL"/>
        </w:rPr>
      </w:pPr>
      <w:r>
        <w:rPr>
          <w:rStyle w:val="FootnoteReference"/>
        </w:rPr>
        <w:footnoteRef/>
      </w:r>
      <w:r>
        <w:t xml:space="preserve"> </w:t>
      </w:r>
      <w:r w:rsidRPr="009C5C0C">
        <w:rPr>
          <w:szCs w:val="16"/>
          <w:lang w:val="sq-AL"/>
        </w:rPr>
        <w:t>Kjo variabël kalkulohet duke zbritur nga bilanci primar strukturor (i cilitdo vit) vlerën e bilancit primar strukturor nga viti bazë. Në rastin e kësaj analize, viti bazë është marrë viti 2010, për shkak së gjatë 2010 BPV-ja aktuale ishte pothuajse e barabartë me BPV-në potenciale. Në rast se vlerat janë negative, atëherë nënkuptojmë se gjatë atij viti, krahasuar me vitin bazë, kemi të bëjmë me politika ekspansioniste, dhe në rast të vlerave pozitive – politika shtrënguese.</w:t>
      </w:r>
    </w:p>
  </w:footnote>
  <w:footnote w:id="12">
    <w:p w14:paraId="6DF6251F" w14:textId="355E7A2D" w:rsidR="00713DEA" w:rsidRPr="004569ED" w:rsidRDefault="00713DEA">
      <w:pPr>
        <w:pStyle w:val="FootnoteText"/>
        <w:rPr>
          <w:lang w:val="en-US"/>
        </w:rPr>
      </w:pPr>
      <w:r>
        <w:rPr>
          <w:rStyle w:val="FootnoteReference"/>
        </w:rPr>
        <w:footnoteRef/>
      </w:r>
      <w:hyperlink r:id="rId1" w:history="1">
        <w:r>
          <w:rPr>
            <w:rStyle w:val="Hyperlink"/>
          </w:rPr>
          <w:t>https://kryeministri-ks.net/wp-content/uploads/2020/06/Vendimet-e-Mbledhjes-s%C3%AB-2-t%C3%AB-t%C3%AB-Qeveris%C3%AB-s%C3%AB-Republik%C3%ABs-s%C3%AB-Kosov%C3%ABs-2020.pdf</w:t>
        </w:r>
      </w:hyperlink>
    </w:p>
  </w:footnote>
  <w:footnote w:id="13">
    <w:p w14:paraId="2B092510" w14:textId="77777777" w:rsidR="00CE4035" w:rsidRPr="007D3ACA" w:rsidRDefault="00CE4035" w:rsidP="00CE4035">
      <w:pPr>
        <w:pStyle w:val="FootnoteText"/>
      </w:pPr>
      <w:r w:rsidRPr="007D3ACA">
        <w:rPr>
          <w:rStyle w:val="FootnoteReference"/>
        </w:rPr>
        <w:footnoteRef/>
      </w:r>
      <w:r w:rsidRPr="007D3ACA">
        <w:t xml:space="preserve"> R</w:t>
      </w:r>
      <w:r>
        <w:t>ap</w:t>
      </w:r>
      <w:r w:rsidRPr="007D3ACA">
        <w:t>orti Ekonomik i</w:t>
      </w:r>
      <w:r>
        <w:t xml:space="preserve"> Rregullt për Ballkanin Perëndimor</w:t>
      </w:r>
      <w:r w:rsidRPr="007D3ACA">
        <w:t>”</w:t>
      </w:r>
      <w:r>
        <w:t xml:space="preserve"> i Bankës Botërore</w:t>
      </w:r>
      <w:r w:rsidRPr="007D3ACA">
        <w:t xml:space="preserve">, </w:t>
      </w:r>
      <w:r>
        <w:t>vjeshtë</w:t>
      </w:r>
      <w:r w:rsidRPr="007D3ACA">
        <w:t xml:space="preserve"> 2020. </w:t>
      </w:r>
      <w:hyperlink r:id="rId2" w:history="1">
        <w:r w:rsidRPr="000062F1">
          <w:rPr>
            <w:rStyle w:val="Hyperlink"/>
          </w:rPr>
          <w:t>https://openknowledge.worldbank.org/bitstream/handle/10986/34644/153774.pdf</w:t>
        </w:r>
      </w:hyperlink>
      <w:r w:rsidRPr="007D3ACA">
        <w:t xml:space="preserve"> </w:t>
      </w:r>
    </w:p>
  </w:footnote>
  <w:footnote w:id="14">
    <w:p w14:paraId="18DF95AE" w14:textId="77777777" w:rsidR="00CE4035" w:rsidRPr="007D3ACA" w:rsidRDefault="00CE4035" w:rsidP="00CE4035">
      <w:pPr>
        <w:pStyle w:val="FootnoteText"/>
      </w:pPr>
      <w:r w:rsidRPr="007D3ACA">
        <w:rPr>
          <w:rStyle w:val="FootnoteReference"/>
        </w:rPr>
        <w:footnoteRef/>
      </w:r>
      <w:r w:rsidRPr="007D3ACA">
        <w:t xml:space="preserve"> </w:t>
      </w:r>
      <w:r>
        <w:t>Raporti i Bankës Botërore i të Bërit Biznes,</w:t>
      </w:r>
      <w:r w:rsidRPr="007D3ACA">
        <w:t xml:space="preserve"> </w:t>
      </w:r>
      <w:hyperlink r:id="rId3" w:history="1">
        <w:r w:rsidRPr="000062F1">
          <w:rPr>
            <w:rStyle w:val="Hyperlink"/>
          </w:rPr>
          <w:t>https://www.doingbusiness.org/content/dam/doingBusiness/country/k/kosovo/KSV.pdf</w:t>
        </w:r>
      </w:hyperlink>
      <w:r w:rsidRPr="007D3ACA">
        <w:t xml:space="preserve"> </w:t>
      </w:r>
    </w:p>
  </w:footnote>
  <w:footnote w:id="15">
    <w:p w14:paraId="547DF6E5" w14:textId="77777777" w:rsidR="00CE4035" w:rsidRPr="007D3ACA" w:rsidRDefault="00CE4035" w:rsidP="00CE4035">
      <w:pPr>
        <w:pStyle w:val="FootnoteText"/>
      </w:pPr>
      <w:r w:rsidRPr="007D3ACA">
        <w:rPr>
          <w:rStyle w:val="FootnoteReference"/>
        </w:rPr>
        <w:footnoteRef/>
      </w:r>
      <w:r w:rsidRPr="007D3ACA">
        <w:t xml:space="preserve"> “R</w:t>
      </w:r>
      <w:r>
        <w:t>ap</w:t>
      </w:r>
      <w:r w:rsidRPr="007D3ACA">
        <w:t>orti Ekonomik i</w:t>
      </w:r>
      <w:r>
        <w:t xml:space="preserve"> Rregullt për Ballkanin Perëndimor</w:t>
      </w:r>
      <w:r w:rsidRPr="007D3ACA">
        <w:t>”</w:t>
      </w:r>
      <w:r>
        <w:t xml:space="preserve"> i Bankës Botërore</w:t>
      </w:r>
      <w:r w:rsidRPr="007D3ACA">
        <w:t xml:space="preserve">, </w:t>
      </w:r>
      <w:r>
        <w:t>vjeshtë</w:t>
      </w:r>
      <w:r w:rsidRPr="007D3ACA">
        <w:t xml:space="preserve"> 2020. </w:t>
      </w:r>
      <w:hyperlink r:id="rId4" w:history="1">
        <w:r w:rsidRPr="000062F1">
          <w:rPr>
            <w:rStyle w:val="Hyperlink"/>
          </w:rPr>
          <w:t>https://openknowledge.worldbank.org/bitstream/handle/10986/34644/153774.pdf</w:t>
        </w:r>
      </w:hyperlink>
    </w:p>
  </w:footnote>
  <w:footnote w:id="16">
    <w:p w14:paraId="7F75A25A" w14:textId="77777777" w:rsidR="00CE4035" w:rsidRPr="007D3ACA" w:rsidRDefault="00CE4035" w:rsidP="00CE4035">
      <w:pPr>
        <w:pStyle w:val="FootnoteText"/>
        <w:rPr>
          <w:sz w:val="18"/>
          <w:szCs w:val="18"/>
        </w:rPr>
      </w:pPr>
      <w:r w:rsidRPr="007D3ACA">
        <w:rPr>
          <w:rStyle w:val="FootnoteReference"/>
          <w:sz w:val="18"/>
          <w:szCs w:val="18"/>
        </w:rPr>
        <w:footnoteRef/>
      </w:r>
      <w:r w:rsidRPr="007D3ACA">
        <w:rPr>
          <w:sz w:val="18"/>
          <w:szCs w:val="18"/>
        </w:rPr>
        <w:t xml:space="preserve"> </w:t>
      </w:r>
      <w:r w:rsidRPr="007D3ACA">
        <w:t>Dokument pune i stafit të Komisionit Evropian, Programi per Reforma në Ekonomi I Kosovës 2019-2021. Vlerësimi I Komisionit: https://ec.europa.eu/neighbourhood-enlargement/sites/near/files/s</w:t>
      </w:r>
      <w:r>
        <w:t>ë</w:t>
      </w:r>
      <w:r w:rsidRPr="007D3ACA">
        <w:t>d_kosovo.pdf</w:t>
      </w:r>
    </w:p>
  </w:footnote>
  <w:footnote w:id="17">
    <w:p w14:paraId="5EE25DDD" w14:textId="77777777" w:rsidR="00CE4035" w:rsidRPr="007D3ACA" w:rsidRDefault="00CE4035" w:rsidP="00CE4035">
      <w:pPr>
        <w:pStyle w:val="FootnoteText"/>
        <w:ind w:left="144" w:hanging="144"/>
        <w:rPr>
          <w:sz w:val="18"/>
          <w:szCs w:val="18"/>
        </w:rPr>
      </w:pPr>
      <w:r w:rsidRPr="007D3ACA">
        <w:rPr>
          <w:rStyle w:val="FootnoteReference"/>
          <w:sz w:val="18"/>
          <w:szCs w:val="18"/>
        </w:rPr>
        <w:footnoteRef/>
      </w:r>
      <w:r w:rsidRPr="007D3ACA">
        <w:rPr>
          <w:sz w:val="18"/>
          <w:szCs w:val="18"/>
        </w:rPr>
        <w:t xml:space="preserve"> E raportuar n</w:t>
      </w:r>
      <w:r>
        <w:rPr>
          <w:sz w:val="18"/>
          <w:szCs w:val="18"/>
        </w:rPr>
        <w:t>ë</w:t>
      </w:r>
      <w:r w:rsidRPr="007D3ACA">
        <w:rPr>
          <w:sz w:val="18"/>
          <w:szCs w:val="18"/>
        </w:rPr>
        <w:t xml:space="preserve"> A. Cojocaru: Diagnostikimi i Vendeve t</w:t>
      </w:r>
      <w:r>
        <w:rPr>
          <w:sz w:val="18"/>
          <w:szCs w:val="18"/>
        </w:rPr>
        <w:t>ë</w:t>
      </w:r>
      <w:r w:rsidRPr="007D3ACA">
        <w:rPr>
          <w:sz w:val="18"/>
          <w:szCs w:val="18"/>
        </w:rPr>
        <w:t xml:space="preserve"> Pun</w:t>
      </w:r>
      <w:r>
        <w:rPr>
          <w:sz w:val="18"/>
          <w:szCs w:val="18"/>
        </w:rPr>
        <w:t>ë</w:t>
      </w:r>
      <w:r w:rsidRPr="007D3ACA">
        <w:rPr>
          <w:sz w:val="18"/>
          <w:szCs w:val="18"/>
        </w:rPr>
        <w:t>s n</w:t>
      </w:r>
      <w:r>
        <w:rPr>
          <w:sz w:val="18"/>
          <w:szCs w:val="18"/>
        </w:rPr>
        <w:t>ë</w:t>
      </w:r>
      <w:r w:rsidRPr="007D3ACA">
        <w:rPr>
          <w:sz w:val="18"/>
          <w:szCs w:val="18"/>
        </w:rPr>
        <w:t xml:space="preserve"> Kosov</w:t>
      </w:r>
      <w:r>
        <w:rPr>
          <w:sz w:val="18"/>
          <w:szCs w:val="18"/>
        </w:rPr>
        <w:t>ë</w:t>
      </w:r>
      <w:r w:rsidRPr="007D3ACA">
        <w:rPr>
          <w:sz w:val="18"/>
          <w:szCs w:val="18"/>
        </w:rPr>
        <w:t>, seria e publikimeve t</w:t>
      </w:r>
      <w:r>
        <w:rPr>
          <w:sz w:val="18"/>
          <w:szCs w:val="18"/>
        </w:rPr>
        <w:t>ë</w:t>
      </w:r>
      <w:r w:rsidRPr="007D3ACA">
        <w:rPr>
          <w:sz w:val="18"/>
          <w:szCs w:val="18"/>
        </w:rPr>
        <w:t xml:space="preserve"> BB (</w:t>
      </w:r>
      <w:r>
        <w:rPr>
          <w:sz w:val="18"/>
          <w:szCs w:val="18"/>
        </w:rPr>
        <w:t>W</w:t>
      </w:r>
      <w:r w:rsidRPr="007D3ACA">
        <w:rPr>
          <w:sz w:val="18"/>
          <w:szCs w:val="18"/>
        </w:rPr>
        <w:t>B Jobs Series)  nr. 5, 2017.</w:t>
      </w:r>
    </w:p>
  </w:footnote>
  <w:footnote w:id="18">
    <w:p w14:paraId="2D37DB33" w14:textId="77777777" w:rsidR="00CE4035" w:rsidRPr="007D3ACA" w:rsidRDefault="00CE4035" w:rsidP="00CE4035">
      <w:pPr>
        <w:pStyle w:val="FootnoteText"/>
        <w:ind w:left="144" w:hanging="144"/>
        <w:rPr>
          <w:sz w:val="18"/>
          <w:szCs w:val="18"/>
        </w:rPr>
      </w:pPr>
      <w:r w:rsidRPr="007D3ACA">
        <w:rPr>
          <w:rStyle w:val="FootnoteReference"/>
          <w:sz w:val="18"/>
          <w:szCs w:val="18"/>
        </w:rPr>
        <w:footnoteRef/>
      </w:r>
      <w:r w:rsidRPr="007D3ACA">
        <w:rPr>
          <w:sz w:val="18"/>
          <w:szCs w:val="18"/>
        </w:rPr>
        <w:t xml:space="preserve"> </w:t>
      </w:r>
      <w:r w:rsidRPr="007D3ACA">
        <w:t>Vlerësimi i nivelit të ekonomisë joformale në Kosovë, raport nga projekti i financuar nga BE: Projekti mbështetje e mëtutjeshme për institucionet e Kosovës në luftën kundër krimi t të organizuar, korrupsionit dhe ekstremizmit të dhunshëm</w:t>
      </w:r>
      <w:r>
        <w:t>,</w:t>
      </w:r>
      <w:r w:rsidRPr="007D3ACA">
        <w:t xml:space="preserve"> 9 N</w:t>
      </w:r>
      <w:r>
        <w:t>ëntor</w:t>
      </w:r>
      <w:r w:rsidRPr="007D3ACA">
        <w:t xml:space="preserve"> 2017</w:t>
      </w:r>
      <w:r>
        <w:t>.</w:t>
      </w:r>
      <w:r w:rsidRPr="007D3ACA">
        <w:rPr>
          <w:sz w:val="18"/>
          <w:szCs w:val="18"/>
        </w:rPr>
        <w:t xml:space="preserve"> </w:t>
      </w:r>
    </w:p>
  </w:footnote>
  <w:footnote w:id="19">
    <w:p w14:paraId="52E10D4A" w14:textId="77777777" w:rsidR="00CE4035" w:rsidRPr="00127C46" w:rsidRDefault="00CE4035" w:rsidP="00CE4035">
      <w:pPr>
        <w:pStyle w:val="FootnoteText"/>
        <w:rPr>
          <w:lang w:val="en-US"/>
        </w:rPr>
      </w:pPr>
      <w:r w:rsidRPr="00127C46">
        <w:rPr>
          <w:rStyle w:val="FootnoteReference"/>
        </w:rPr>
        <w:footnoteRef/>
      </w:r>
      <w:r w:rsidRPr="00127C46">
        <w:t xml:space="preserve"> </w:t>
      </w:r>
      <w:r w:rsidRPr="00127C46">
        <w:rPr>
          <w:lang w:val="en-US"/>
        </w:rPr>
        <w:t>Burimi i informacionit: ASK/Policia Kufitare</w:t>
      </w:r>
      <w:r>
        <w:rPr>
          <w:lang w:val="en-US"/>
        </w:rPr>
        <w:t xml:space="preserve">, </w:t>
      </w:r>
      <w:r>
        <w:t>Qarkullimi turistik në pikë kalimet kufitare</w:t>
      </w:r>
    </w:p>
  </w:footnote>
  <w:footnote w:id="20">
    <w:p w14:paraId="1EC7C0F4" w14:textId="77777777" w:rsidR="00CE4035" w:rsidRPr="0054506F" w:rsidRDefault="00CE4035" w:rsidP="00CE4035">
      <w:pPr>
        <w:pStyle w:val="FootnoteText"/>
        <w:rPr>
          <w:lang w:val="en-US"/>
        </w:rPr>
      </w:pPr>
      <w:r>
        <w:rPr>
          <w:rStyle w:val="FootnoteReference"/>
        </w:rPr>
        <w:footnoteRef/>
      </w:r>
      <w:r>
        <w:t xml:space="preserve"> </w:t>
      </w:r>
      <w:r>
        <w:rPr>
          <w:lang w:val="en-US"/>
        </w:rPr>
        <w:t>Burimi nga ASK, Anketa e Fuqise punetore</w:t>
      </w:r>
    </w:p>
  </w:footnote>
  <w:footnote w:id="21">
    <w:p w14:paraId="704207C9" w14:textId="77777777" w:rsidR="00CE4035" w:rsidRPr="0054506F" w:rsidRDefault="00CE4035" w:rsidP="00CE4035">
      <w:pPr>
        <w:pStyle w:val="FootnoteText"/>
        <w:rPr>
          <w:lang w:val="en-US"/>
        </w:rPr>
      </w:pPr>
      <w:r>
        <w:rPr>
          <w:rStyle w:val="FootnoteReference"/>
        </w:rPr>
        <w:footnoteRef/>
      </w:r>
      <w:r>
        <w:t xml:space="preserve"> </w:t>
      </w:r>
      <w:r>
        <w:rPr>
          <w:lang w:val="en-US"/>
        </w:rPr>
        <w:t xml:space="preserve">Burimi nga ASK , Anketa e Fuqisë punetore </w:t>
      </w:r>
    </w:p>
  </w:footnote>
  <w:footnote w:id="22">
    <w:p w14:paraId="30319E3C" w14:textId="77777777" w:rsidR="00CE4035" w:rsidRPr="00C84159" w:rsidRDefault="00CE4035" w:rsidP="00CE4035">
      <w:pPr>
        <w:pStyle w:val="FootnoteText"/>
        <w:rPr>
          <w:szCs w:val="16"/>
          <w:lang w:val="en-US"/>
        </w:rPr>
      </w:pPr>
      <w:r w:rsidRPr="00C84159">
        <w:rPr>
          <w:rStyle w:val="FootnoteReference"/>
          <w:szCs w:val="16"/>
        </w:rPr>
        <w:footnoteRef/>
      </w:r>
      <w:r w:rsidRPr="00C84159">
        <w:rPr>
          <w:szCs w:val="16"/>
        </w:rPr>
        <w:t xml:space="preserve"> Ne disa komuna, shkolla ne vendet rurale numri i nxënësve që nuk kane marr pjese në mësimin në distance shkon deri ne 20% .</w:t>
      </w:r>
    </w:p>
  </w:footnote>
  <w:footnote w:id="23">
    <w:p w14:paraId="7A903325" w14:textId="77777777" w:rsidR="00CE4035" w:rsidRPr="009D102F" w:rsidRDefault="00CE4035" w:rsidP="00CE4035">
      <w:pPr>
        <w:pStyle w:val="FootnoteText"/>
        <w:rPr>
          <w:sz w:val="18"/>
          <w:szCs w:val="18"/>
        </w:rPr>
      </w:pPr>
      <w:r w:rsidRPr="009D102F">
        <w:rPr>
          <w:rStyle w:val="FootnoteReference"/>
          <w:sz w:val="18"/>
          <w:szCs w:val="18"/>
        </w:rPr>
        <w:footnoteRef/>
      </w:r>
      <w:r w:rsidRPr="009D102F">
        <w:rPr>
          <w:sz w:val="18"/>
          <w:szCs w:val="18"/>
        </w:rPr>
        <w:t xml:space="preserve"> Numri i imigrimit është ulur në 5,832 persona në 2017, krahasuar me 18,862 në 2015, ndërkaq numri i emigrimit është ulur në 11,263 persona në 2017, krahasuar me 74,434 persona në vitin 2015. Gjatë 2017, janë lëshuar 5,283 leje qëndrimi të përkohshme, nga të cilat 54.2% ishin për çështje të punës. Gjatë 2017, 23,386 persona morën leje qëndrimi në vendet e BE-së, nga të cilët 6,635 ishin për arsye të “aktiviteteve që paguhen” dhe 547 leje për “edukim”.</w:t>
      </w:r>
    </w:p>
  </w:footnote>
  <w:footnote w:id="24">
    <w:p w14:paraId="0906F9FF" w14:textId="77777777" w:rsidR="00CE4035" w:rsidRPr="009D102F" w:rsidRDefault="00CE4035" w:rsidP="00CE4035">
      <w:pPr>
        <w:pStyle w:val="FootnoteText"/>
        <w:rPr>
          <w:sz w:val="18"/>
          <w:szCs w:val="18"/>
        </w:rPr>
      </w:pPr>
      <w:r w:rsidRPr="009D102F">
        <w:rPr>
          <w:rStyle w:val="FootnoteReference"/>
          <w:sz w:val="18"/>
          <w:szCs w:val="18"/>
        </w:rPr>
        <w:footnoteRef/>
      </w:r>
      <w:r>
        <w:rPr>
          <w:sz w:val="18"/>
          <w:szCs w:val="18"/>
        </w:rPr>
        <w:t>Banka Botërore/ASK</w:t>
      </w:r>
      <w:r w:rsidRPr="009D102F">
        <w:rPr>
          <w:sz w:val="18"/>
          <w:szCs w:val="18"/>
        </w:rPr>
        <w:t xml:space="preserve"> “</w:t>
      </w:r>
      <w:r>
        <w:rPr>
          <w:sz w:val="18"/>
          <w:szCs w:val="18"/>
        </w:rPr>
        <w:t>Varfëria në Konsum në Republikën e Kosovës”</w:t>
      </w:r>
      <w:r w:rsidRPr="009D102F">
        <w:rPr>
          <w:sz w:val="18"/>
          <w:szCs w:val="18"/>
        </w:rPr>
        <w:t xml:space="preserve">  </w:t>
      </w:r>
    </w:p>
  </w:footnote>
  <w:footnote w:id="25">
    <w:p w14:paraId="6BB1604F" w14:textId="77777777" w:rsidR="00CE4035" w:rsidRPr="009D102F" w:rsidRDefault="00CE4035" w:rsidP="00CE4035">
      <w:pPr>
        <w:pStyle w:val="FootnoteText"/>
        <w:rPr>
          <w:sz w:val="18"/>
          <w:szCs w:val="18"/>
        </w:rPr>
      </w:pPr>
      <w:r w:rsidRPr="009D102F">
        <w:rPr>
          <w:rStyle w:val="FootnoteReference"/>
          <w:sz w:val="18"/>
          <w:szCs w:val="18"/>
        </w:rPr>
        <w:footnoteRef/>
      </w:r>
      <w:r w:rsidRPr="009D102F">
        <w:rPr>
          <w:sz w:val="18"/>
          <w:szCs w:val="18"/>
        </w:rPr>
        <w:t xml:space="preserve"> ASK- Statistikat e Mirëqenies Sociale, TM2 2019</w:t>
      </w:r>
    </w:p>
  </w:footnote>
  <w:footnote w:id="26">
    <w:p w14:paraId="0EC8AB24" w14:textId="77777777" w:rsidR="00CE4035" w:rsidRPr="009D102F" w:rsidRDefault="00CE4035" w:rsidP="00CE4035">
      <w:pPr>
        <w:pStyle w:val="Footer"/>
        <w:rPr>
          <w:sz w:val="18"/>
          <w:szCs w:val="18"/>
        </w:rPr>
      </w:pPr>
      <w:r w:rsidRPr="009D102F">
        <w:rPr>
          <w:rStyle w:val="FootnoteReference"/>
          <w:sz w:val="18"/>
          <w:szCs w:val="18"/>
        </w:rPr>
        <w:footnoteRef/>
      </w:r>
      <w:r w:rsidRPr="009D102F">
        <w:rPr>
          <w:sz w:val="18"/>
          <w:szCs w:val="18"/>
        </w:rPr>
        <w:t>Analiza e gjendjes shëndetësore të popullatës,  Dhjetor 2013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D7955" w14:textId="77777777" w:rsidR="00713DEA" w:rsidRDefault="00713DEA">
    <w:pPr>
      <w:pStyle w:val="Header"/>
    </w:pPr>
    <w:r>
      <w:rPr>
        <w:noProof/>
      </w:rPr>
      <w:pict w14:anchorId="7FCF0F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9617376" o:spid="_x0000_s2079" type="#_x0000_t136" style="position:absolute;left:0;text-align:left;margin-left:0;margin-top:0;width:490.9pt;height:196.35pt;rotation:315;z-index:-25166284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37"/>
      <w:gridCol w:w="3037"/>
      <w:gridCol w:w="3037"/>
    </w:tblGrid>
    <w:tr w:rsidR="00713DEA" w14:paraId="402D0F2C" w14:textId="77777777" w:rsidTr="41E43B5A">
      <w:tc>
        <w:tcPr>
          <w:tcW w:w="3037" w:type="dxa"/>
        </w:tcPr>
        <w:p w14:paraId="136E0E0D" w14:textId="77777777" w:rsidR="00713DEA" w:rsidRDefault="00713DEA" w:rsidP="00C15CA3">
          <w:pPr>
            <w:pStyle w:val="Header"/>
            <w:ind w:left="-115"/>
            <w:jc w:val="left"/>
          </w:pPr>
        </w:p>
      </w:tc>
      <w:tc>
        <w:tcPr>
          <w:tcW w:w="3037" w:type="dxa"/>
        </w:tcPr>
        <w:p w14:paraId="001DC232" w14:textId="77777777" w:rsidR="00713DEA" w:rsidRDefault="00713DEA" w:rsidP="00C15CA3">
          <w:pPr>
            <w:pStyle w:val="Header"/>
            <w:jc w:val="center"/>
          </w:pPr>
        </w:p>
      </w:tc>
      <w:tc>
        <w:tcPr>
          <w:tcW w:w="3037" w:type="dxa"/>
        </w:tcPr>
        <w:p w14:paraId="10AFB7DB" w14:textId="77777777" w:rsidR="00713DEA" w:rsidRDefault="00713DEA" w:rsidP="00C15CA3">
          <w:pPr>
            <w:pStyle w:val="Header"/>
            <w:ind w:right="-115"/>
            <w:jc w:val="right"/>
          </w:pPr>
        </w:p>
      </w:tc>
    </w:tr>
  </w:tbl>
  <w:p w14:paraId="1BABDF30" w14:textId="77777777" w:rsidR="00713DEA" w:rsidRDefault="00713DEA">
    <w:pPr>
      <w:pStyle w:val="Header"/>
    </w:pPr>
    <w:r>
      <w:rPr>
        <w:noProof/>
      </w:rPr>
      <w:pict w14:anchorId="458D60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9617377" o:spid="_x0000_s2080" type="#_x0000_t136" style="position:absolute;left:0;text-align:left;margin-left:0;margin-top:0;width:490.9pt;height:196.35pt;rotation:315;z-index:-251661824;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CCB7B" w14:textId="77777777" w:rsidR="00713DEA" w:rsidRDefault="00713DEA">
    <w:pPr>
      <w:pStyle w:val="Header"/>
    </w:pPr>
    <w:r>
      <w:rPr>
        <w:noProof/>
      </w:rPr>
      <w:pict w14:anchorId="5BB0FA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9617375" o:spid="_x0000_s2078" type="#_x0000_t136" style="position:absolute;left:0;text-align:left;margin-left:0;margin-top:0;width:490.9pt;height:196.35pt;rotation:315;z-index:-25166080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0AB4B" w14:textId="77777777" w:rsidR="00713DEA" w:rsidRDefault="00713DEA">
    <w:pPr>
      <w:pStyle w:val="Header"/>
    </w:pPr>
    <w:r>
      <w:rPr>
        <w:noProof/>
      </w:rPr>
      <w:pict w14:anchorId="2F8780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9617379" o:spid="_x0000_s2082" type="#_x0000_t136" style="position:absolute;left:0;text-align:left;margin-left:0;margin-top:0;width:490.9pt;height:196.35pt;rotation:315;z-index:-25165977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50"/>
      <w:gridCol w:w="3250"/>
      <w:gridCol w:w="3250"/>
    </w:tblGrid>
    <w:tr w:rsidR="00713DEA" w14:paraId="36BF7B6C" w14:textId="77777777" w:rsidTr="41E43B5A">
      <w:tc>
        <w:tcPr>
          <w:tcW w:w="3250" w:type="dxa"/>
        </w:tcPr>
        <w:p w14:paraId="0AF6B662" w14:textId="77777777" w:rsidR="00713DEA" w:rsidRDefault="00713DEA" w:rsidP="00C15CA3">
          <w:pPr>
            <w:pStyle w:val="Header"/>
            <w:ind w:left="-115"/>
            <w:jc w:val="left"/>
          </w:pPr>
        </w:p>
      </w:tc>
      <w:tc>
        <w:tcPr>
          <w:tcW w:w="3250" w:type="dxa"/>
        </w:tcPr>
        <w:p w14:paraId="35BF77CA" w14:textId="77777777" w:rsidR="00713DEA" w:rsidRDefault="00713DEA" w:rsidP="00C15CA3">
          <w:pPr>
            <w:pStyle w:val="Header"/>
            <w:jc w:val="center"/>
          </w:pPr>
        </w:p>
      </w:tc>
      <w:tc>
        <w:tcPr>
          <w:tcW w:w="3250" w:type="dxa"/>
        </w:tcPr>
        <w:p w14:paraId="0D6354F9" w14:textId="77777777" w:rsidR="00713DEA" w:rsidRDefault="00713DEA" w:rsidP="00C15CA3">
          <w:pPr>
            <w:pStyle w:val="Header"/>
            <w:ind w:right="-115"/>
            <w:jc w:val="right"/>
          </w:pPr>
        </w:p>
      </w:tc>
    </w:tr>
  </w:tbl>
  <w:p w14:paraId="6AEEA317" w14:textId="77777777" w:rsidR="00713DEA" w:rsidRDefault="00713DEA">
    <w:pPr>
      <w:pStyle w:val="Header"/>
    </w:pPr>
    <w:r>
      <w:rPr>
        <w:noProof/>
      </w:rPr>
      <w:pict w14:anchorId="7C520E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9617380" o:spid="_x0000_s2083" type="#_x0000_t136" style="position:absolute;left:0;text-align:left;margin-left:0;margin-top:0;width:490.9pt;height:196.35pt;rotation:315;z-index:-25165875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2498F" w14:textId="77777777" w:rsidR="00713DEA" w:rsidRDefault="00713DEA">
    <w:pPr>
      <w:pStyle w:val="Header"/>
    </w:pPr>
    <w:r>
      <w:rPr>
        <w:noProof/>
      </w:rPr>
      <w:pict w14:anchorId="730F6A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9617378" o:spid="_x0000_s2081" type="#_x0000_t136" style="position:absolute;left:0;text-align:left;margin-left:0;margin-top:0;width:490.9pt;height:196.35pt;rotation:315;z-index:-25165772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97FAB" w14:textId="77777777" w:rsidR="00713DEA" w:rsidRDefault="00713DEA">
    <w:pPr>
      <w:pStyle w:val="Header"/>
    </w:pPr>
    <w:r>
      <w:rPr>
        <w:noProof/>
      </w:rPr>
      <w:pict w14:anchorId="316268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9617382" o:spid="_x0000_s2070" type="#_x0000_t136" style="position:absolute;left:0;text-align:left;margin-left:0;margin-top:0;width:490.9pt;height:196.35pt;rotation:315;z-index:-25165568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3D576" w14:textId="77777777" w:rsidR="00713DEA" w:rsidRDefault="00713DEA">
    <w:pPr>
      <w:pStyle w:val="Header"/>
    </w:pPr>
    <w:r>
      <w:rPr>
        <w:noProof/>
      </w:rPr>
      <w:pict w14:anchorId="274D03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9617383" o:spid="_x0000_s2071" type="#_x0000_t136" style="position:absolute;left:0;text-align:left;margin-left:0;margin-top:0;width:490.9pt;height:196.35pt;rotation:315;z-index:-25165465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2097E" w14:textId="77777777" w:rsidR="00713DEA" w:rsidRDefault="00713DEA">
    <w:pPr>
      <w:pStyle w:val="Header"/>
    </w:pPr>
    <w:r>
      <w:rPr>
        <w:noProof/>
      </w:rPr>
      <w:pict w14:anchorId="507DC1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9617381" o:spid="_x0000_s2069" type="#_x0000_t136" style="position:absolute;left:0;text-align:left;margin-left:0;margin-top:0;width:490.9pt;height:196.35pt;rotation:315;z-index:-251656704;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944161E"/>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54"/>
    <w:multiLevelType w:val="hybridMultilevel"/>
    <w:tmpl w:val="78B5E776"/>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56"/>
    <w:multiLevelType w:val="hybridMultilevel"/>
    <w:tmpl w:val="36CA33E8"/>
    <w:lvl w:ilvl="0" w:tplc="0409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5B"/>
    <w:multiLevelType w:val="hybridMultilevel"/>
    <w:tmpl w:val="7CA42232"/>
    <w:lvl w:ilvl="0" w:tplc="FFFFFFFF">
      <w:start w:val="1"/>
      <w:numFmt w:val="decimal"/>
      <w:lvlText w:val="%1."/>
      <w:lvlJc w:val="left"/>
    </w:lvl>
    <w:lvl w:ilvl="1" w:tplc="6114AA1E">
      <w:start w:val="1"/>
      <w:numFmt w:val="decimal"/>
      <w:lvlText w:val="%2)"/>
      <w:lvlJc w:val="left"/>
      <w:rPr>
        <w:sz w:val="24"/>
        <w:szCs w:val="24"/>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5C"/>
    <w:multiLevelType w:val="hybridMultilevel"/>
    <w:tmpl w:val="46F0C5A6"/>
    <w:lvl w:ilvl="0" w:tplc="FFFFFFFF">
      <w:start w:val="2"/>
      <w:numFmt w:val="lowerLetter"/>
      <w:lvlText w:val="%1."/>
      <w:lvlJc w:val="left"/>
    </w:lvl>
    <w:lvl w:ilvl="1" w:tplc="04090011">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160689A"/>
    <w:multiLevelType w:val="hybridMultilevel"/>
    <w:tmpl w:val="876CB74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AB2EAF32">
      <w:start w:val="2"/>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59B38AB"/>
    <w:multiLevelType w:val="hybridMultilevel"/>
    <w:tmpl w:val="18DE53C4"/>
    <w:lvl w:ilvl="0" w:tplc="484AD3FC">
      <w:start w:val="1"/>
      <w:numFmt w:val="lowerLetter"/>
      <w:lvlText w:val="%1."/>
      <w:lvlJc w:val="left"/>
      <w:pPr>
        <w:ind w:left="360" w:hanging="360"/>
      </w:pPr>
      <w:rPr>
        <w:rFonts w:hint="default"/>
        <w:b/>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5B75FAC"/>
    <w:multiLevelType w:val="hybridMultilevel"/>
    <w:tmpl w:val="123CF5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67E3DE8"/>
    <w:multiLevelType w:val="hybridMultilevel"/>
    <w:tmpl w:val="5FE8C7A6"/>
    <w:lvl w:ilvl="0" w:tplc="04090011">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9262FEF"/>
    <w:multiLevelType w:val="hybridMultilevel"/>
    <w:tmpl w:val="4904B4E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A616E76"/>
    <w:multiLevelType w:val="hybridMultilevel"/>
    <w:tmpl w:val="24F04FF4"/>
    <w:lvl w:ilvl="0" w:tplc="04090011">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4F7F8C"/>
    <w:multiLevelType w:val="multilevel"/>
    <w:tmpl w:val="63507B20"/>
    <w:lvl w:ilvl="0">
      <w:start w:val="1"/>
      <w:numFmt w:val="decimal"/>
      <w:lvlText w:val="%1)"/>
      <w:lvlJc w:val="left"/>
      <w:pPr>
        <w:ind w:left="720" w:hanging="360"/>
      </w:pPr>
    </w:lvl>
    <w:lvl w:ilvl="1">
      <w:start w:val="3"/>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C38055C"/>
    <w:multiLevelType w:val="hybridMultilevel"/>
    <w:tmpl w:val="F96AE9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5B5834"/>
    <w:multiLevelType w:val="hybridMultilevel"/>
    <w:tmpl w:val="35008A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F56250"/>
    <w:multiLevelType w:val="hybridMultilevel"/>
    <w:tmpl w:val="E6BC7480"/>
    <w:lvl w:ilvl="0" w:tplc="04090011">
      <w:start w:val="1"/>
      <w:numFmt w:val="decimal"/>
      <w:lvlText w:val="%1)"/>
      <w:lvlJc w:val="left"/>
      <w:pPr>
        <w:ind w:left="360" w:hanging="360"/>
      </w:pPr>
    </w:lvl>
    <w:lvl w:ilvl="1" w:tplc="0409000F">
      <w:start w:val="1"/>
      <w:numFmt w:val="decimal"/>
      <w:lvlText w:val="%2."/>
      <w:lvlJc w:val="left"/>
      <w:pPr>
        <w:ind w:left="1080" w:hanging="360"/>
      </w:pPr>
    </w:lvl>
    <w:lvl w:ilvl="2" w:tplc="DE0C005C">
      <w:start w:val="2"/>
      <w:numFmt w:val="lowerLetter"/>
      <w:lvlText w:val="%3."/>
      <w:lvlJc w:val="left"/>
      <w:pPr>
        <w:ind w:left="1980" w:hanging="360"/>
      </w:pPr>
      <w:rPr>
        <w:rFonts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0030530"/>
    <w:multiLevelType w:val="hybridMultilevel"/>
    <w:tmpl w:val="7EB0BF0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422166A"/>
    <w:multiLevelType w:val="hybridMultilevel"/>
    <w:tmpl w:val="884E9E00"/>
    <w:lvl w:ilvl="0" w:tplc="04090011">
      <w:start w:val="1"/>
      <w:numFmt w:val="decimal"/>
      <w:lvlText w:val="%1)"/>
      <w:lvlJc w:val="lef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7" w15:restartNumberingAfterBreak="0">
    <w:nsid w:val="14D320D1"/>
    <w:multiLevelType w:val="hybridMultilevel"/>
    <w:tmpl w:val="4C8620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56B6459"/>
    <w:multiLevelType w:val="hybridMultilevel"/>
    <w:tmpl w:val="898670F4"/>
    <w:lvl w:ilvl="0" w:tplc="04090011">
      <w:start w:val="1"/>
      <w:numFmt w:val="decimal"/>
      <w:lvlText w:val="%1)"/>
      <w:lvlJc w:val="left"/>
      <w:pPr>
        <w:ind w:left="720" w:hanging="360"/>
      </w:pPr>
      <w:rPr>
        <w:rFonts w:hint="default"/>
        <w:sz w:val="24"/>
      </w:rPr>
    </w:lvl>
    <w:lvl w:ilvl="1" w:tplc="5DAE70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CE22C6"/>
    <w:multiLevelType w:val="hybridMultilevel"/>
    <w:tmpl w:val="4D8083F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85B7D7C"/>
    <w:multiLevelType w:val="hybridMultilevel"/>
    <w:tmpl w:val="9E0A81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ACE0793"/>
    <w:multiLevelType w:val="hybridMultilevel"/>
    <w:tmpl w:val="A2EEEB7C"/>
    <w:lvl w:ilvl="0" w:tplc="BCD83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D21164"/>
    <w:multiLevelType w:val="hybridMultilevel"/>
    <w:tmpl w:val="7B142F6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D6314AF"/>
    <w:multiLevelType w:val="hybridMultilevel"/>
    <w:tmpl w:val="6A14E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98234C"/>
    <w:multiLevelType w:val="hybridMultilevel"/>
    <w:tmpl w:val="76923978"/>
    <w:lvl w:ilvl="0" w:tplc="041C0011">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15:restartNumberingAfterBreak="0">
    <w:nsid w:val="21D82596"/>
    <w:multiLevelType w:val="hybridMultilevel"/>
    <w:tmpl w:val="19067EE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3F064FA"/>
    <w:multiLevelType w:val="hybridMultilevel"/>
    <w:tmpl w:val="60BA4C66"/>
    <w:lvl w:ilvl="0" w:tplc="6402F95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5C47EA4"/>
    <w:multiLevelType w:val="hybridMultilevel"/>
    <w:tmpl w:val="43B86C2C"/>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27354970"/>
    <w:multiLevelType w:val="hybridMultilevel"/>
    <w:tmpl w:val="8FB8F976"/>
    <w:lvl w:ilvl="0" w:tplc="B694C34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7FD5E19"/>
    <w:multiLevelType w:val="hybridMultilevel"/>
    <w:tmpl w:val="FC2E257E"/>
    <w:lvl w:ilvl="0" w:tplc="04090011">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D45826"/>
    <w:multiLevelType w:val="hybridMultilevel"/>
    <w:tmpl w:val="6DC81D5A"/>
    <w:lvl w:ilvl="0" w:tplc="97DA1608">
      <w:start w:val="1"/>
      <w:numFmt w:val="decimal"/>
      <w:lvlText w:val="%1."/>
      <w:lvlJc w:val="left"/>
      <w:pPr>
        <w:ind w:left="2520" w:hanging="360"/>
      </w:pPr>
      <w:rPr>
        <w:rFonts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9FF5703"/>
    <w:multiLevelType w:val="hybridMultilevel"/>
    <w:tmpl w:val="623041A4"/>
    <w:lvl w:ilvl="0" w:tplc="04090011">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A955C23"/>
    <w:multiLevelType w:val="hybridMultilevel"/>
    <w:tmpl w:val="A2A88B6C"/>
    <w:lvl w:ilvl="0" w:tplc="3EEA2646">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33" w15:restartNumberingAfterBreak="0">
    <w:nsid w:val="2C06164B"/>
    <w:multiLevelType w:val="hybridMultilevel"/>
    <w:tmpl w:val="E89C2D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C0A47B6"/>
    <w:multiLevelType w:val="hybridMultilevel"/>
    <w:tmpl w:val="A3569C5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D537518"/>
    <w:multiLevelType w:val="hybridMultilevel"/>
    <w:tmpl w:val="5C94014E"/>
    <w:lvl w:ilvl="0" w:tplc="4656DC0C">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36" w15:restartNumberingAfterBreak="0">
    <w:nsid w:val="2D776A41"/>
    <w:multiLevelType w:val="hybridMultilevel"/>
    <w:tmpl w:val="536CB95E"/>
    <w:lvl w:ilvl="0" w:tplc="04090011">
      <w:start w:val="1"/>
      <w:numFmt w:val="decimal"/>
      <w:lvlText w:val="%1)"/>
      <w:lvlJc w:val="left"/>
      <w:pPr>
        <w:ind w:left="360" w:hanging="360"/>
      </w:pPr>
    </w:lvl>
    <w:lvl w:ilvl="1" w:tplc="0409000F">
      <w:start w:val="1"/>
      <w:numFmt w:val="decimal"/>
      <w:lvlText w:val="%2."/>
      <w:lvlJc w:val="left"/>
      <w:pPr>
        <w:ind w:left="1080" w:hanging="360"/>
      </w:pPr>
    </w:lvl>
    <w:lvl w:ilvl="2" w:tplc="1BF02CF8">
      <w:start w:val="1"/>
      <w:numFmt w:val="lowerLetter"/>
      <w:lvlText w:val="%3."/>
      <w:lvlJc w:val="left"/>
      <w:pPr>
        <w:ind w:left="1980" w:hanging="360"/>
      </w:pPr>
      <w:rPr>
        <w:rFonts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EBA6295"/>
    <w:multiLevelType w:val="hybridMultilevel"/>
    <w:tmpl w:val="8AC637B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0FC7F3E"/>
    <w:multiLevelType w:val="hybridMultilevel"/>
    <w:tmpl w:val="EE1A2246"/>
    <w:lvl w:ilvl="0" w:tplc="BCD83D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20E7297"/>
    <w:multiLevelType w:val="hybridMultilevel"/>
    <w:tmpl w:val="E83CF3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2A92B72"/>
    <w:multiLevelType w:val="multilevel"/>
    <w:tmpl w:val="E8187210"/>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336B5567"/>
    <w:multiLevelType w:val="hybridMultilevel"/>
    <w:tmpl w:val="46A6E646"/>
    <w:lvl w:ilvl="0" w:tplc="04090011">
      <w:start w:val="1"/>
      <w:numFmt w:val="decimal"/>
      <w:lvlText w:val="%1)"/>
      <w:lvlJc w:val="left"/>
      <w:pPr>
        <w:ind w:left="360" w:hanging="360"/>
      </w:pPr>
    </w:lvl>
    <w:lvl w:ilvl="1" w:tplc="0409000F">
      <w:start w:val="1"/>
      <w:numFmt w:val="decimal"/>
      <w:lvlText w:val="%2."/>
      <w:lvlJc w:val="left"/>
      <w:pPr>
        <w:ind w:left="1080" w:hanging="360"/>
      </w:pPr>
    </w:lvl>
    <w:lvl w:ilvl="2" w:tplc="DE0C005C">
      <w:start w:val="2"/>
      <w:numFmt w:val="lowerLetter"/>
      <w:lvlText w:val="%3."/>
      <w:lvlJc w:val="left"/>
      <w:pPr>
        <w:ind w:left="1980" w:hanging="360"/>
      </w:pPr>
      <w:rPr>
        <w:rFonts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4FD06D5"/>
    <w:multiLevelType w:val="hybridMultilevel"/>
    <w:tmpl w:val="77E62830"/>
    <w:lvl w:ilvl="0" w:tplc="04090011">
      <w:start w:val="1"/>
      <w:numFmt w:val="decimal"/>
      <w:lvlText w:val="%1)"/>
      <w:lvlJc w:val="left"/>
      <w:pPr>
        <w:ind w:left="720" w:hanging="720"/>
      </w:pPr>
      <w:rPr>
        <w:rFonts w:hint="default"/>
        <w:b w:val="0"/>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43" w15:restartNumberingAfterBreak="0">
    <w:nsid w:val="396D52BD"/>
    <w:multiLevelType w:val="hybridMultilevel"/>
    <w:tmpl w:val="E2EE45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45" w15:restartNumberingAfterBreak="0">
    <w:nsid w:val="3AF92A32"/>
    <w:multiLevelType w:val="hybridMultilevel"/>
    <w:tmpl w:val="72861DC2"/>
    <w:lvl w:ilvl="0" w:tplc="04090011">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CB40FC4"/>
    <w:multiLevelType w:val="hybridMultilevel"/>
    <w:tmpl w:val="2E64120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D4C5EB5"/>
    <w:multiLevelType w:val="hybridMultilevel"/>
    <w:tmpl w:val="3BCEBE7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05D005F"/>
    <w:multiLevelType w:val="hybridMultilevel"/>
    <w:tmpl w:val="F2A4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1436532"/>
    <w:multiLevelType w:val="hybridMultilevel"/>
    <w:tmpl w:val="EACAEFB8"/>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0" w15:restartNumberingAfterBreak="0">
    <w:nsid w:val="43223A59"/>
    <w:multiLevelType w:val="hybridMultilevel"/>
    <w:tmpl w:val="E0E66600"/>
    <w:lvl w:ilvl="0" w:tplc="04090011">
      <w:start w:val="1"/>
      <w:numFmt w:val="decimal"/>
      <w:lvlText w:val="%1)"/>
      <w:lvlJc w:val="left"/>
      <w:pPr>
        <w:ind w:left="360" w:hanging="360"/>
      </w:pPr>
    </w:lvl>
    <w:lvl w:ilvl="1" w:tplc="9A4617A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3392155"/>
    <w:multiLevelType w:val="hybridMultilevel"/>
    <w:tmpl w:val="05A6F072"/>
    <w:lvl w:ilvl="0" w:tplc="041C000F">
      <w:start w:val="1"/>
      <w:numFmt w:val="decimal"/>
      <w:lvlText w:val="%1."/>
      <w:lvlJc w:val="left"/>
      <w:pPr>
        <w:ind w:left="720" w:hanging="360"/>
      </w:pPr>
    </w:lvl>
    <w:lvl w:ilvl="1" w:tplc="0409000F">
      <w:start w:val="1"/>
      <w:numFmt w:val="decimal"/>
      <w:lvlText w:val="%2."/>
      <w:lvlJc w:val="left"/>
      <w:pPr>
        <w:ind w:left="1440" w:hanging="360"/>
      </w:pPr>
    </w:lvl>
    <w:lvl w:ilvl="2" w:tplc="DE0C005C">
      <w:start w:val="2"/>
      <w:numFmt w:val="lowerLetter"/>
      <w:lvlText w:val="%3."/>
      <w:lvlJc w:val="left"/>
      <w:pPr>
        <w:ind w:left="2340" w:hanging="360"/>
      </w:pPr>
      <w:rPr>
        <w:rFonts w:hint="default"/>
        <w:b/>
      </w:rPr>
    </w:lvl>
    <w:lvl w:ilvl="3" w:tplc="0A0CCF08">
      <w:start w:val="1"/>
      <w:numFmt w:val="bullet"/>
      <w:lvlText w:val="-"/>
      <w:lvlJc w:val="left"/>
      <w:pPr>
        <w:ind w:left="2880" w:hanging="360"/>
      </w:pPr>
      <w:rPr>
        <w:rFonts w:ascii="Times New Roman" w:eastAsia="Calibr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4606A58"/>
    <w:multiLevelType w:val="hybridMultilevel"/>
    <w:tmpl w:val="F96AE9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50F2253"/>
    <w:multiLevelType w:val="hybridMultilevel"/>
    <w:tmpl w:val="4FCE128C"/>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54" w15:restartNumberingAfterBreak="0">
    <w:nsid w:val="45865D64"/>
    <w:multiLevelType w:val="hybridMultilevel"/>
    <w:tmpl w:val="0E345994"/>
    <w:lvl w:ilvl="0" w:tplc="04090011">
      <w:start w:val="1"/>
      <w:numFmt w:val="decimal"/>
      <w:lvlText w:val="%1)"/>
      <w:lvlJc w:val="left"/>
      <w:pPr>
        <w:ind w:left="360" w:hanging="360"/>
      </w:pPr>
      <w:rPr>
        <w:rFonts w:hint="default"/>
        <w:b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5" w15:restartNumberingAfterBreak="0">
    <w:nsid w:val="45A04F33"/>
    <w:multiLevelType w:val="multilevel"/>
    <w:tmpl w:val="2A709566"/>
    <w:lvl w:ilvl="0">
      <w:start w:val="1"/>
      <w:numFmt w:val="decimal"/>
      <w:pStyle w:val="ERPL1"/>
      <w:lvlText w:val="%1."/>
      <w:lvlJc w:val="left"/>
      <w:pPr>
        <w:ind w:left="2970" w:hanging="360"/>
      </w:pPr>
      <w:rPr>
        <w:rFonts w:hint="default"/>
      </w:rPr>
    </w:lvl>
    <w:lvl w:ilvl="1">
      <w:start w:val="1"/>
      <w:numFmt w:val="decimal"/>
      <w:pStyle w:val="ERPL2"/>
      <w:isLgl/>
      <w:lvlText w:val="%1.%2."/>
      <w:lvlJc w:val="left"/>
      <w:pPr>
        <w:ind w:left="420" w:hanging="420"/>
      </w:pPr>
      <w:rPr>
        <w:rFonts w:ascii="Times New Roman" w:hAnsi="Times New Roman" w:cs="Times New Roman"/>
        <w:bCs w:val="0"/>
        <w:i w:val="0"/>
        <w:iCs w:val="0"/>
        <w: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RPL3"/>
      <w:isLgl/>
      <w:lvlText w:val="%1.%2.%3."/>
      <w:lvlJc w:val="left"/>
      <w:pPr>
        <w:ind w:left="81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997"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470A0A4F"/>
    <w:multiLevelType w:val="hybridMultilevel"/>
    <w:tmpl w:val="0F069A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75F599F"/>
    <w:multiLevelType w:val="hybridMultilevel"/>
    <w:tmpl w:val="056E996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4A70725A"/>
    <w:multiLevelType w:val="hybridMultilevel"/>
    <w:tmpl w:val="77F8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C0643D0"/>
    <w:multiLevelType w:val="hybridMultilevel"/>
    <w:tmpl w:val="2A928B9E"/>
    <w:lvl w:ilvl="0" w:tplc="AF34CC1C">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0506612"/>
    <w:multiLevelType w:val="hybridMultilevel"/>
    <w:tmpl w:val="43DCBE9E"/>
    <w:lvl w:ilvl="0" w:tplc="2AE4B4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AB70A7"/>
    <w:multiLevelType w:val="hybridMultilevel"/>
    <w:tmpl w:val="07E4165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45D3404"/>
    <w:multiLevelType w:val="hybridMultilevel"/>
    <w:tmpl w:val="54FEF5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67C0AF7"/>
    <w:multiLevelType w:val="hybridMultilevel"/>
    <w:tmpl w:val="F78A1706"/>
    <w:lvl w:ilvl="0" w:tplc="5E0EB3D8">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64" w15:restartNumberingAfterBreak="0">
    <w:nsid w:val="57C02BFD"/>
    <w:multiLevelType w:val="hybridMultilevel"/>
    <w:tmpl w:val="9738CA7E"/>
    <w:lvl w:ilvl="0" w:tplc="04090011">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8377DB1"/>
    <w:multiLevelType w:val="hybridMultilevel"/>
    <w:tmpl w:val="9214AAB6"/>
    <w:lvl w:ilvl="0" w:tplc="A08CA55C">
      <w:start w:val="1"/>
      <w:numFmt w:val="decimal"/>
      <w:lvlText w:val="%1)"/>
      <w:lvlJc w:val="left"/>
      <w:pPr>
        <w:ind w:left="1070" w:hanging="360"/>
      </w:pPr>
      <w:rPr>
        <w:rFonts w:hint="default"/>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6" w15:restartNumberingAfterBreak="0">
    <w:nsid w:val="590012E1"/>
    <w:multiLevelType w:val="hybridMultilevel"/>
    <w:tmpl w:val="5C382E6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5D1E004D"/>
    <w:multiLevelType w:val="hybridMultilevel"/>
    <w:tmpl w:val="75BAC3DC"/>
    <w:lvl w:ilvl="0" w:tplc="04090011">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20D5A52"/>
    <w:multiLevelType w:val="hybridMultilevel"/>
    <w:tmpl w:val="ADBE04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63626953"/>
    <w:multiLevelType w:val="hybridMultilevel"/>
    <w:tmpl w:val="B940516E"/>
    <w:lvl w:ilvl="0" w:tplc="04090011">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5ED0E71"/>
    <w:multiLevelType w:val="hybridMultilevel"/>
    <w:tmpl w:val="A1D298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6CD0171"/>
    <w:multiLevelType w:val="hybridMultilevel"/>
    <w:tmpl w:val="D4F8AB6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7283BAD"/>
    <w:multiLevelType w:val="hybridMultilevel"/>
    <w:tmpl w:val="F96AE9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734023A"/>
    <w:multiLevelType w:val="hybridMultilevel"/>
    <w:tmpl w:val="0BAE8F6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7DE71E4"/>
    <w:multiLevelType w:val="hybridMultilevel"/>
    <w:tmpl w:val="EC3A0184"/>
    <w:lvl w:ilvl="0" w:tplc="04090011">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682826E6"/>
    <w:multiLevelType w:val="hybridMultilevel"/>
    <w:tmpl w:val="FB00E7B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05A01C3"/>
    <w:multiLevelType w:val="hybridMultilevel"/>
    <w:tmpl w:val="1E2012A6"/>
    <w:lvl w:ilvl="0" w:tplc="268A001A">
      <w:start w:val="1"/>
      <w:numFmt w:val="decimal"/>
      <w:lvlText w:val="%1)"/>
      <w:lvlJc w:val="left"/>
      <w:pPr>
        <w:ind w:left="360" w:hanging="360"/>
      </w:pPr>
      <w:rPr>
        <w:rFonts w:eastAsia="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05A0823"/>
    <w:multiLevelType w:val="hybridMultilevel"/>
    <w:tmpl w:val="1374965C"/>
    <w:lvl w:ilvl="0" w:tplc="04090011">
      <w:start w:val="1"/>
      <w:numFmt w:val="decimal"/>
      <w:lvlText w:val="%1)"/>
      <w:lvlJc w:val="left"/>
      <w:pPr>
        <w:ind w:left="-45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1E408A8"/>
    <w:multiLevelType w:val="hybridMultilevel"/>
    <w:tmpl w:val="AD8E9264"/>
    <w:lvl w:ilvl="0" w:tplc="2976172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27E182F"/>
    <w:multiLevelType w:val="hybridMultilevel"/>
    <w:tmpl w:val="6B82DAF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46A472F"/>
    <w:multiLevelType w:val="hybridMultilevel"/>
    <w:tmpl w:val="154085B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BA12AEA"/>
    <w:multiLevelType w:val="hybridMultilevel"/>
    <w:tmpl w:val="2FA0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C8016DE"/>
    <w:multiLevelType w:val="hybridMultilevel"/>
    <w:tmpl w:val="328EF198"/>
    <w:lvl w:ilvl="0" w:tplc="F1B668D4">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7CA0690F"/>
    <w:multiLevelType w:val="hybridMultilevel"/>
    <w:tmpl w:val="4360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E4E4AD9"/>
    <w:multiLevelType w:val="hybridMultilevel"/>
    <w:tmpl w:val="F118D760"/>
    <w:lvl w:ilvl="0" w:tplc="298AEDE4">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FC62080"/>
    <w:multiLevelType w:val="hybridMultilevel"/>
    <w:tmpl w:val="9E884F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4"/>
  </w:num>
  <w:num w:numId="3">
    <w:abstractNumId w:val="55"/>
  </w:num>
  <w:num w:numId="4">
    <w:abstractNumId w:val="83"/>
  </w:num>
  <w:num w:numId="5">
    <w:abstractNumId w:val="58"/>
  </w:num>
  <w:num w:numId="6">
    <w:abstractNumId w:val="48"/>
  </w:num>
  <w:num w:numId="7">
    <w:abstractNumId w:val="68"/>
  </w:num>
  <w:num w:numId="8">
    <w:abstractNumId w:val="49"/>
  </w:num>
  <w:num w:numId="9">
    <w:abstractNumId w:val="23"/>
  </w:num>
  <w:num w:numId="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81"/>
  </w:num>
  <w:num w:numId="13">
    <w:abstractNumId w:val="84"/>
  </w:num>
  <w:num w:numId="14">
    <w:abstractNumId w:val="34"/>
  </w:num>
  <w:num w:numId="15">
    <w:abstractNumId w:val="70"/>
  </w:num>
  <w:num w:numId="16">
    <w:abstractNumId w:val="39"/>
  </w:num>
  <w:num w:numId="17">
    <w:abstractNumId w:val="61"/>
  </w:num>
  <w:num w:numId="18">
    <w:abstractNumId w:val="47"/>
  </w:num>
  <w:num w:numId="19">
    <w:abstractNumId w:val="33"/>
  </w:num>
  <w:num w:numId="20">
    <w:abstractNumId w:val="1"/>
  </w:num>
  <w:num w:numId="21">
    <w:abstractNumId w:val="2"/>
  </w:num>
  <w:num w:numId="22">
    <w:abstractNumId w:val="71"/>
  </w:num>
  <w:num w:numId="23">
    <w:abstractNumId w:val="56"/>
  </w:num>
  <w:num w:numId="24">
    <w:abstractNumId w:val="3"/>
  </w:num>
  <w:num w:numId="25">
    <w:abstractNumId w:val="4"/>
  </w:num>
  <w:num w:numId="26">
    <w:abstractNumId w:val="82"/>
  </w:num>
  <w:num w:numId="27">
    <w:abstractNumId w:val="62"/>
  </w:num>
  <w:num w:numId="28">
    <w:abstractNumId w:val="60"/>
  </w:num>
  <w:num w:numId="29">
    <w:abstractNumId w:val="79"/>
  </w:num>
  <w:num w:numId="30">
    <w:abstractNumId w:val="36"/>
  </w:num>
  <w:num w:numId="31">
    <w:abstractNumId w:val="51"/>
  </w:num>
  <w:num w:numId="32">
    <w:abstractNumId w:val="14"/>
  </w:num>
  <w:num w:numId="33">
    <w:abstractNumId w:val="9"/>
  </w:num>
  <w:num w:numId="34">
    <w:abstractNumId w:val="26"/>
  </w:num>
  <w:num w:numId="35">
    <w:abstractNumId w:val="41"/>
  </w:num>
  <w:num w:numId="36">
    <w:abstractNumId w:val="8"/>
  </w:num>
  <w:num w:numId="37">
    <w:abstractNumId w:val="54"/>
  </w:num>
  <w:num w:numId="38">
    <w:abstractNumId w:val="6"/>
  </w:num>
  <w:num w:numId="39">
    <w:abstractNumId w:val="5"/>
  </w:num>
  <w:num w:numId="40">
    <w:abstractNumId w:val="45"/>
  </w:num>
  <w:num w:numId="41">
    <w:abstractNumId w:val="64"/>
  </w:num>
  <w:num w:numId="42">
    <w:abstractNumId w:val="73"/>
  </w:num>
  <w:num w:numId="43">
    <w:abstractNumId w:val="53"/>
  </w:num>
  <w:num w:numId="44">
    <w:abstractNumId w:val="50"/>
  </w:num>
  <w:num w:numId="45">
    <w:abstractNumId w:val="74"/>
  </w:num>
  <w:num w:numId="46">
    <w:abstractNumId w:val="42"/>
  </w:num>
  <w:num w:numId="47">
    <w:abstractNumId w:val="19"/>
  </w:num>
  <w:num w:numId="48">
    <w:abstractNumId w:val="69"/>
  </w:num>
  <w:num w:numId="49">
    <w:abstractNumId w:val="66"/>
  </w:num>
  <w:num w:numId="50">
    <w:abstractNumId w:val="75"/>
  </w:num>
  <w:num w:numId="51">
    <w:abstractNumId w:val="85"/>
  </w:num>
  <w:num w:numId="52">
    <w:abstractNumId w:val="17"/>
  </w:num>
  <w:num w:numId="53">
    <w:abstractNumId w:val="46"/>
  </w:num>
  <w:num w:numId="54">
    <w:abstractNumId w:val="15"/>
  </w:num>
  <w:num w:numId="55">
    <w:abstractNumId w:val="37"/>
  </w:num>
  <w:num w:numId="56">
    <w:abstractNumId w:val="76"/>
  </w:num>
  <w:num w:numId="57">
    <w:abstractNumId w:val="78"/>
  </w:num>
  <w:num w:numId="58">
    <w:abstractNumId w:val="13"/>
  </w:num>
  <w:num w:numId="5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num>
  <w:num w:numId="63">
    <w:abstractNumId w:val="67"/>
  </w:num>
  <w:num w:numId="64">
    <w:abstractNumId w:val="27"/>
  </w:num>
  <w:num w:numId="65">
    <w:abstractNumId w:val="18"/>
  </w:num>
  <w:num w:numId="66">
    <w:abstractNumId w:val="57"/>
  </w:num>
  <w:num w:numId="67">
    <w:abstractNumId w:val="77"/>
  </w:num>
  <w:num w:numId="68">
    <w:abstractNumId w:val="16"/>
  </w:num>
  <w:num w:numId="69">
    <w:abstractNumId w:val="11"/>
  </w:num>
  <w:num w:numId="70">
    <w:abstractNumId w:val="43"/>
  </w:num>
  <w:num w:numId="71">
    <w:abstractNumId w:val="32"/>
  </w:num>
  <w:num w:numId="72">
    <w:abstractNumId w:val="38"/>
  </w:num>
  <w:num w:numId="73">
    <w:abstractNumId w:val="24"/>
  </w:num>
  <w:num w:numId="74">
    <w:abstractNumId w:val="21"/>
  </w:num>
  <w:num w:numId="75">
    <w:abstractNumId w:val="59"/>
  </w:num>
  <w:num w:numId="76">
    <w:abstractNumId w:val="22"/>
  </w:num>
  <w:num w:numId="77">
    <w:abstractNumId w:val="65"/>
  </w:num>
  <w:num w:numId="78">
    <w:abstractNumId w:val="35"/>
  </w:num>
  <w:num w:numId="79">
    <w:abstractNumId w:val="72"/>
  </w:num>
  <w:num w:numId="80">
    <w:abstractNumId w:val="52"/>
  </w:num>
  <w:num w:numId="81">
    <w:abstractNumId w:val="12"/>
  </w:num>
  <w:num w:numId="82">
    <w:abstractNumId w:val="63"/>
  </w:num>
  <w:num w:numId="83">
    <w:abstractNumId w:val="28"/>
  </w:num>
  <w:num w:numId="84">
    <w:abstractNumId w:val="10"/>
  </w:num>
  <w:num w:numId="85">
    <w:abstractNumId w:val="31"/>
  </w:num>
  <w:num w:numId="86">
    <w:abstractNumId w:val="29"/>
  </w:num>
  <w:num w:numId="87">
    <w:abstractNumId w:val="4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hideGrammaticalErrors/>
  <w:defaultTabStop w:val="720"/>
  <w:hyphenationZone w:val="425"/>
  <w:drawingGridHorizontalSpacing w:val="181"/>
  <w:drawingGridVerticalSpacing w:val="181"/>
  <w:doNotShadeFormData/>
  <w:characterSpacingControl w:val="compressPunctuation"/>
  <w:doNotValidateAgainstSchema/>
  <w:doNotDemarcateInvalidXml/>
  <w:hdrShapeDefaults>
    <o:shapedefaults v:ext="edit" spidmax="2084"/>
    <o:shapelayout v:ext="edit">
      <o:idmap v:ext="edit" data="2"/>
    </o:shapelayout>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A6B38"/>
    <w:rsid w:val="000004B3"/>
    <w:rsid w:val="000008D0"/>
    <w:rsid w:val="000010AF"/>
    <w:rsid w:val="000011EE"/>
    <w:rsid w:val="0000129C"/>
    <w:rsid w:val="000015EF"/>
    <w:rsid w:val="00001926"/>
    <w:rsid w:val="00001966"/>
    <w:rsid w:val="00001F06"/>
    <w:rsid w:val="00001F9D"/>
    <w:rsid w:val="00003380"/>
    <w:rsid w:val="00003664"/>
    <w:rsid w:val="000036DF"/>
    <w:rsid w:val="000037FD"/>
    <w:rsid w:val="00003F4B"/>
    <w:rsid w:val="000049FF"/>
    <w:rsid w:val="00004C19"/>
    <w:rsid w:val="0000529B"/>
    <w:rsid w:val="000053A6"/>
    <w:rsid w:val="00005BB3"/>
    <w:rsid w:val="00005F7C"/>
    <w:rsid w:val="00006026"/>
    <w:rsid w:val="000060C1"/>
    <w:rsid w:val="00006141"/>
    <w:rsid w:val="00010488"/>
    <w:rsid w:val="00010662"/>
    <w:rsid w:val="0001067C"/>
    <w:rsid w:val="000108D0"/>
    <w:rsid w:val="00010F45"/>
    <w:rsid w:val="00011262"/>
    <w:rsid w:val="00011650"/>
    <w:rsid w:val="0001179B"/>
    <w:rsid w:val="00011990"/>
    <w:rsid w:val="00011A09"/>
    <w:rsid w:val="00011A97"/>
    <w:rsid w:val="00011ABE"/>
    <w:rsid w:val="00011E8B"/>
    <w:rsid w:val="00013247"/>
    <w:rsid w:val="00013352"/>
    <w:rsid w:val="000134E3"/>
    <w:rsid w:val="00013694"/>
    <w:rsid w:val="00014929"/>
    <w:rsid w:val="00014E32"/>
    <w:rsid w:val="00014FAE"/>
    <w:rsid w:val="00015505"/>
    <w:rsid w:val="000155D4"/>
    <w:rsid w:val="00015B38"/>
    <w:rsid w:val="0001648D"/>
    <w:rsid w:val="00016499"/>
    <w:rsid w:val="00016C85"/>
    <w:rsid w:val="00016CAB"/>
    <w:rsid w:val="00016DC2"/>
    <w:rsid w:val="0001711B"/>
    <w:rsid w:val="00017771"/>
    <w:rsid w:val="0002013F"/>
    <w:rsid w:val="00020A09"/>
    <w:rsid w:val="00020AF4"/>
    <w:rsid w:val="00020E40"/>
    <w:rsid w:val="00021717"/>
    <w:rsid w:val="00021DEA"/>
    <w:rsid w:val="00021F30"/>
    <w:rsid w:val="000225AC"/>
    <w:rsid w:val="00022619"/>
    <w:rsid w:val="00022CC3"/>
    <w:rsid w:val="000240B8"/>
    <w:rsid w:val="000241A2"/>
    <w:rsid w:val="000242A5"/>
    <w:rsid w:val="00024320"/>
    <w:rsid w:val="00024463"/>
    <w:rsid w:val="000244FF"/>
    <w:rsid w:val="0002484A"/>
    <w:rsid w:val="00024ABB"/>
    <w:rsid w:val="00024C71"/>
    <w:rsid w:val="000254C4"/>
    <w:rsid w:val="000254CB"/>
    <w:rsid w:val="00025615"/>
    <w:rsid w:val="00025898"/>
    <w:rsid w:val="00025C20"/>
    <w:rsid w:val="00026145"/>
    <w:rsid w:val="00026663"/>
    <w:rsid w:val="00026993"/>
    <w:rsid w:val="00027002"/>
    <w:rsid w:val="0002716E"/>
    <w:rsid w:val="00027453"/>
    <w:rsid w:val="00030935"/>
    <w:rsid w:val="00030B23"/>
    <w:rsid w:val="00030C87"/>
    <w:rsid w:val="00030DD8"/>
    <w:rsid w:val="00030E42"/>
    <w:rsid w:val="00030ED7"/>
    <w:rsid w:val="00031025"/>
    <w:rsid w:val="000317DE"/>
    <w:rsid w:val="00031C05"/>
    <w:rsid w:val="00031F74"/>
    <w:rsid w:val="00032A8C"/>
    <w:rsid w:val="00032CCD"/>
    <w:rsid w:val="00033C52"/>
    <w:rsid w:val="00034131"/>
    <w:rsid w:val="00034F50"/>
    <w:rsid w:val="00035092"/>
    <w:rsid w:val="000356E4"/>
    <w:rsid w:val="00035ACB"/>
    <w:rsid w:val="00035D3C"/>
    <w:rsid w:val="0003660E"/>
    <w:rsid w:val="00036955"/>
    <w:rsid w:val="000371A4"/>
    <w:rsid w:val="00037429"/>
    <w:rsid w:val="00037C1F"/>
    <w:rsid w:val="000408B5"/>
    <w:rsid w:val="00040994"/>
    <w:rsid w:val="000411E3"/>
    <w:rsid w:val="00041691"/>
    <w:rsid w:val="00041B56"/>
    <w:rsid w:val="00041DBF"/>
    <w:rsid w:val="00042451"/>
    <w:rsid w:val="00042493"/>
    <w:rsid w:val="00042563"/>
    <w:rsid w:val="000436EA"/>
    <w:rsid w:val="00043721"/>
    <w:rsid w:val="00043870"/>
    <w:rsid w:val="00043977"/>
    <w:rsid w:val="00043B3C"/>
    <w:rsid w:val="00043D54"/>
    <w:rsid w:val="00043EBC"/>
    <w:rsid w:val="000444E7"/>
    <w:rsid w:val="0004472C"/>
    <w:rsid w:val="00045658"/>
    <w:rsid w:val="000458C7"/>
    <w:rsid w:val="00045A3D"/>
    <w:rsid w:val="00045CD4"/>
    <w:rsid w:val="00046026"/>
    <w:rsid w:val="000461FF"/>
    <w:rsid w:val="0004638F"/>
    <w:rsid w:val="00046B8C"/>
    <w:rsid w:val="00046C30"/>
    <w:rsid w:val="0004738A"/>
    <w:rsid w:val="000475EA"/>
    <w:rsid w:val="00047620"/>
    <w:rsid w:val="00047764"/>
    <w:rsid w:val="00047D11"/>
    <w:rsid w:val="00047F18"/>
    <w:rsid w:val="0005008E"/>
    <w:rsid w:val="0005016F"/>
    <w:rsid w:val="000503B3"/>
    <w:rsid w:val="00050A19"/>
    <w:rsid w:val="00051509"/>
    <w:rsid w:val="00051651"/>
    <w:rsid w:val="00052651"/>
    <w:rsid w:val="000526CB"/>
    <w:rsid w:val="000528A6"/>
    <w:rsid w:val="000528CC"/>
    <w:rsid w:val="000529A4"/>
    <w:rsid w:val="00052D4C"/>
    <w:rsid w:val="00052FBA"/>
    <w:rsid w:val="000534D7"/>
    <w:rsid w:val="0005375F"/>
    <w:rsid w:val="000538AA"/>
    <w:rsid w:val="000538E8"/>
    <w:rsid w:val="00053C9D"/>
    <w:rsid w:val="00053D4B"/>
    <w:rsid w:val="000540E9"/>
    <w:rsid w:val="00054170"/>
    <w:rsid w:val="0005450E"/>
    <w:rsid w:val="00055228"/>
    <w:rsid w:val="000556CC"/>
    <w:rsid w:val="00056180"/>
    <w:rsid w:val="000562E6"/>
    <w:rsid w:val="00056346"/>
    <w:rsid w:val="000568A9"/>
    <w:rsid w:val="00056C18"/>
    <w:rsid w:val="00056D80"/>
    <w:rsid w:val="000571B5"/>
    <w:rsid w:val="00057D2F"/>
    <w:rsid w:val="00060AB9"/>
    <w:rsid w:val="000611BE"/>
    <w:rsid w:val="00062835"/>
    <w:rsid w:val="00062B45"/>
    <w:rsid w:val="00062F6A"/>
    <w:rsid w:val="00062F7D"/>
    <w:rsid w:val="00063067"/>
    <w:rsid w:val="000631C1"/>
    <w:rsid w:val="000634C8"/>
    <w:rsid w:val="00063724"/>
    <w:rsid w:val="0006397A"/>
    <w:rsid w:val="000639E5"/>
    <w:rsid w:val="00064B7B"/>
    <w:rsid w:val="000653C2"/>
    <w:rsid w:val="000659DE"/>
    <w:rsid w:val="00065B35"/>
    <w:rsid w:val="00066670"/>
    <w:rsid w:val="0006675C"/>
    <w:rsid w:val="00066A7B"/>
    <w:rsid w:val="00066CDF"/>
    <w:rsid w:val="0006735D"/>
    <w:rsid w:val="0006739F"/>
    <w:rsid w:val="000677C3"/>
    <w:rsid w:val="000677D0"/>
    <w:rsid w:val="00067861"/>
    <w:rsid w:val="000678A7"/>
    <w:rsid w:val="00067A0C"/>
    <w:rsid w:val="00070623"/>
    <w:rsid w:val="00070B2E"/>
    <w:rsid w:val="00070B81"/>
    <w:rsid w:val="00070D69"/>
    <w:rsid w:val="00070E32"/>
    <w:rsid w:val="00071C69"/>
    <w:rsid w:val="00071F4F"/>
    <w:rsid w:val="0007219E"/>
    <w:rsid w:val="000722CA"/>
    <w:rsid w:val="0007240D"/>
    <w:rsid w:val="00072F61"/>
    <w:rsid w:val="00072F65"/>
    <w:rsid w:val="00073BD9"/>
    <w:rsid w:val="00073F19"/>
    <w:rsid w:val="00073F5B"/>
    <w:rsid w:val="00074346"/>
    <w:rsid w:val="00074827"/>
    <w:rsid w:val="00075B76"/>
    <w:rsid w:val="00076068"/>
    <w:rsid w:val="000762D9"/>
    <w:rsid w:val="00076807"/>
    <w:rsid w:val="00077344"/>
    <w:rsid w:val="00077754"/>
    <w:rsid w:val="00080174"/>
    <w:rsid w:val="0008054A"/>
    <w:rsid w:val="000808E5"/>
    <w:rsid w:val="00080EEB"/>
    <w:rsid w:val="000810BC"/>
    <w:rsid w:val="000816AF"/>
    <w:rsid w:val="00081850"/>
    <w:rsid w:val="00082625"/>
    <w:rsid w:val="0008268F"/>
    <w:rsid w:val="0008289D"/>
    <w:rsid w:val="00082D58"/>
    <w:rsid w:val="00082F05"/>
    <w:rsid w:val="00083038"/>
    <w:rsid w:val="00083492"/>
    <w:rsid w:val="00083678"/>
    <w:rsid w:val="00083AF8"/>
    <w:rsid w:val="00084516"/>
    <w:rsid w:val="00084AA6"/>
    <w:rsid w:val="0008505B"/>
    <w:rsid w:val="000855FE"/>
    <w:rsid w:val="00085A6A"/>
    <w:rsid w:val="00085B19"/>
    <w:rsid w:val="00086056"/>
    <w:rsid w:val="000861F0"/>
    <w:rsid w:val="0008626D"/>
    <w:rsid w:val="00086390"/>
    <w:rsid w:val="00086742"/>
    <w:rsid w:val="000868F6"/>
    <w:rsid w:val="0008710A"/>
    <w:rsid w:val="0008750F"/>
    <w:rsid w:val="000875D4"/>
    <w:rsid w:val="000877A6"/>
    <w:rsid w:val="000879BF"/>
    <w:rsid w:val="00087BFE"/>
    <w:rsid w:val="00087F12"/>
    <w:rsid w:val="000902F1"/>
    <w:rsid w:val="000905DF"/>
    <w:rsid w:val="000906C1"/>
    <w:rsid w:val="00090786"/>
    <w:rsid w:val="000909F9"/>
    <w:rsid w:val="000912CA"/>
    <w:rsid w:val="00091323"/>
    <w:rsid w:val="0009160F"/>
    <w:rsid w:val="00092203"/>
    <w:rsid w:val="0009220D"/>
    <w:rsid w:val="00092E79"/>
    <w:rsid w:val="00093464"/>
    <w:rsid w:val="00093588"/>
    <w:rsid w:val="0009364C"/>
    <w:rsid w:val="00093A3F"/>
    <w:rsid w:val="00093DCC"/>
    <w:rsid w:val="000943A7"/>
    <w:rsid w:val="0009482A"/>
    <w:rsid w:val="00095428"/>
    <w:rsid w:val="00095AE2"/>
    <w:rsid w:val="000964D9"/>
    <w:rsid w:val="00096B11"/>
    <w:rsid w:val="00096DA0"/>
    <w:rsid w:val="00097051"/>
    <w:rsid w:val="000974BF"/>
    <w:rsid w:val="00097665"/>
    <w:rsid w:val="00097BA9"/>
    <w:rsid w:val="00097F15"/>
    <w:rsid w:val="000A014D"/>
    <w:rsid w:val="000A16F0"/>
    <w:rsid w:val="000A16FC"/>
    <w:rsid w:val="000A1D4A"/>
    <w:rsid w:val="000A1F64"/>
    <w:rsid w:val="000A2B2F"/>
    <w:rsid w:val="000A2CDF"/>
    <w:rsid w:val="000A3123"/>
    <w:rsid w:val="000A4439"/>
    <w:rsid w:val="000A5ED2"/>
    <w:rsid w:val="000A6186"/>
    <w:rsid w:val="000A61FF"/>
    <w:rsid w:val="000A6759"/>
    <w:rsid w:val="000A696C"/>
    <w:rsid w:val="000A69DF"/>
    <w:rsid w:val="000A6C44"/>
    <w:rsid w:val="000A6DA4"/>
    <w:rsid w:val="000A6DE0"/>
    <w:rsid w:val="000A6FE0"/>
    <w:rsid w:val="000A700A"/>
    <w:rsid w:val="000A71CF"/>
    <w:rsid w:val="000A7564"/>
    <w:rsid w:val="000A784F"/>
    <w:rsid w:val="000B06F5"/>
    <w:rsid w:val="000B0791"/>
    <w:rsid w:val="000B092C"/>
    <w:rsid w:val="000B0D41"/>
    <w:rsid w:val="000B12DB"/>
    <w:rsid w:val="000B18BF"/>
    <w:rsid w:val="000B2E73"/>
    <w:rsid w:val="000B2F5C"/>
    <w:rsid w:val="000B336D"/>
    <w:rsid w:val="000B344B"/>
    <w:rsid w:val="000B3562"/>
    <w:rsid w:val="000B36E5"/>
    <w:rsid w:val="000B3CBB"/>
    <w:rsid w:val="000B4749"/>
    <w:rsid w:val="000B4A19"/>
    <w:rsid w:val="000B4CFC"/>
    <w:rsid w:val="000B4D80"/>
    <w:rsid w:val="000B4F35"/>
    <w:rsid w:val="000B5135"/>
    <w:rsid w:val="000B520A"/>
    <w:rsid w:val="000B5B08"/>
    <w:rsid w:val="000B606E"/>
    <w:rsid w:val="000B686D"/>
    <w:rsid w:val="000B6DA9"/>
    <w:rsid w:val="000B757E"/>
    <w:rsid w:val="000B78E7"/>
    <w:rsid w:val="000B7EBA"/>
    <w:rsid w:val="000B7FEB"/>
    <w:rsid w:val="000C0134"/>
    <w:rsid w:val="000C01A3"/>
    <w:rsid w:val="000C04EF"/>
    <w:rsid w:val="000C09D4"/>
    <w:rsid w:val="000C09EF"/>
    <w:rsid w:val="000C20B2"/>
    <w:rsid w:val="000C20B7"/>
    <w:rsid w:val="000C2376"/>
    <w:rsid w:val="000C25A3"/>
    <w:rsid w:val="000C2EBC"/>
    <w:rsid w:val="000C2FFF"/>
    <w:rsid w:val="000C325E"/>
    <w:rsid w:val="000C3A96"/>
    <w:rsid w:val="000C3B7E"/>
    <w:rsid w:val="000C425F"/>
    <w:rsid w:val="000C464C"/>
    <w:rsid w:val="000C4DD4"/>
    <w:rsid w:val="000C4FC7"/>
    <w:rsid w:val="000C4FE9"/>
    <w:rsid w:val="000C5317"/>
    <w:rsid w:val="000C5462"/>
    <w:rsid w:val="000C605D"/>
    <w:rsid w:val="000C68C1"/>
    <w:rsid w:val="000C6A79"/>
    <w:rsid w:val="000C6B3D"/>
    <w:rsid w:val="000C70BB"/>
    <w:rsid w:val="000C7176"/>
    <w:rsid w:val="000C71FD"/>
    <w:rsid w:val="000C74E2"/>
    <w:rsid w:val="000C79D1"/>
    <w:rsid w:val="000C7A78"/>
    <w:rsid w:val="000D0415"/>
    <w:rsid w:val="000D0C1A"/>
    <w:rsid w:val="000D1313"/>
    <w:rsid w:val="000D1C33"/>
    <w:rsid w:val="000D2932"/>
    <w:rsid w:val="000D29FF"/>
    <w:rsid w:val="000D2FAC"/>
    <w:rsid w:val="000D31D7"/>
    <w:rsid w:val="000D34B9"/>
    <w:rsid w:val="000D4E93"/>
    <w:rsid w:val="000D57C8"/>
    <w:rsid w:val="000D6698"/>
    <w:rsid w:val="000D684B"/>
    <w:rsid w:val="000D69F2"/>
    <w:rsid w:val="000D6F07"/>
    <w:rsid w:val="000D7251"/>
    <w:rsid w:val="000D785E"/>
    <w:rsid w:val="000D7E31"/>
    <w:rsid w:val="000D7EA3"/>
    <w:rsid w:val="000E008B"/>
    <w:rsid w:val="000E0484"/>
    <w:rsid w:val="000E0ADC"/>
    <w:rsid w:val="000E0B7B"/>
    <w:rsid w:val="000E1C82"/>
    <w:rsid w:val="000E2548"/>
    <w:rsid w:val="000E277F"/>
    <w:rsid w:val="000E2DC2"/>
    <w:rsid w:val="000E32E6"/>
    <w:rsid w:val="000E3A79"/>
    <w:rsid w:val="000E5282"/>
    <w:rsid w:val="000E5979"/>
    <w:rsid w:val="000E5A08"/>
    <w:rsid w:val="000E5DD4"/>
    <w:rsid w:val="000E6041"/>
    <w:rsid w:val="000E66C4"/>
    <w:rsid w:val="000E6BF1"/>
    <w:rsid w:val="000E6FD5"/>
    <w:rsid w:val="000E7C0E"/>
    <w:rsid w:val="000F0314"/>
    <w:rsid w:val="000F04AB"/>
    <w:rsid w:val="000F10F4"/>
    <w:rsid w:val="000F14D0"/>
    <w:rsid w:val="000F1641"/>
    <w:rsid w:val="000F192D"/>
    <w:rsid w:val="000F2191"/>
    <w:rsid w:val="000F21EE"/>
    <w:rsid w:val="000F23BD"/>
    <w:rsid w:val="000F2748"/>
    <w:rsid w:val="000F2C59"/>
    <w:rsid w:val="000F2C7A"/>
    <w:rsid w:val="000F3275"/>
    <w:rsid w:val="000F34C5"/>
    <w:rsid w:val="000F377F"/>
    <w:rsid w:val="000F4FC6"/>
    <w:rsid w:val="000F52AB"/>
    <w:rsid w:val="000F52BD"/>
    <w:rsid w:val="000F550C"/>
    <w:rsid w:val="000F5B4C"/>
    <w:rsid w:val="000F67E1"/>
    <w:rsid w:val="000F6B01"/>
    <w:rsid w:val="000F6D1F"/>
    <w:rsid w:val="000F7060"/>
    <w:rsid w:val="000F78F6"/>
    <w:rsid w:val="000F7F46"/>
    <w:rsid w:val="000F7FDD"/>
    <w:rsid w:val="0010002C"/>
    <w:rsid w:val="00100ABD"/>
    <w:rsid w:val="00100DFE"/>
    <w:rsid w:val="001015B0"/>
    <w:rsid w:val="00101B83"/>
    <w:rsid w:val="00101CA4"/>
    <w:rsid w:val="00102070"/>
    <w:rsid w:val="00102137"/>
    <w:rsid w:val="0010215E"/>
    <w:rsid w:val="00102623"/>
    <w:rsid w:val="00102D74"/>
    <w:rsid w:val="00103055"/>
    <w:rsid w:val="0010379E"/>
    <w:rsid w:val="00103AF0"/>
    <w:rsid w:val="00104483"/>
    <w:rsid w:val="00104BC6"/>
    <w:rsid w:val="00105333"/>
    <w:rsid w:val="001055B1"/>
    <w:rsid w:val="00105BE4"/>
    <w:rsid w:val="00106672"/>
    <w:rsid w:val="0010756E"/>
    <w:rsid w:val="00107A29"/>
    <w:rsid w:val="00107D83"/>
    <w:rsid w:val="00110B65"/>
    <w:rsid w:val="00110CE1"/>
    <w:rsid w:val="001115EF"/>
    <w:rsid w:val="00111745"/>
    <w:rsid w:val="00112168"/>
    <w:rsid w:val="0011225C"/>
    <w:rsid w:val="001123CF"/>
    <w:rsid w:val="00112445"/>
    <w:rsid w:val="00113536"/>
    <w:rsid w:val="00114BD8"/>
    <w:rsid w:val="00114EB1"/>
    <w:rsid w:val="00114EEF"/>
    <w:rsid w:val="0011582D"/>
    <w:rsid w:val="0011711D"/>
    <w:rsid w:val="00117222"/>
    <w:rsid w:val="001176F5"/>
    <w:rsid w:val="00117CAB"/>
    <w:rsid w:val="00117D9F"/>
    <w:rsid w:val="00120B0D"/>
    <w:rsid w:val="00120BED"/>
    <w:rsid w:val="00121282"/>
    <w:rsid w:val="001212A1"/>
    <w:rsid w:val="00121518"/>
    <w:rsid w:val="0012156A"/>
    <w:rsid w:val="001215B0"/>
    <w:rsid w:val="001217AD"/>
    <w:rsid w:val="0012195E"/>
    <w:rsid w:val="00121D57"/>
    <w:rsid w:val="00121F7B"/>
    <w:rsid w:val="001222F8"/>
    <w:rsid w:val="0012235A"/>
    <w:rsid w:val="00122425"/>
    <w:rsid w:val="00123870"/>
    <w:rsid w:val="00123D73"/>
    <w:rsid w:val="00124707"/>
    <w:rsid w:val="001248B6"/>
    <w:rsid w:val="001248BA"/>
    <w:rsid w:val="001250AA"/>
    <w:rsid w:val="001250BF"/>
    <w:rsid w:val="00125307"/>
    <w:rsid w:val="00125A38"/>
    <w:rsid w:val="00125B8C"/>
    <w:rsid w:val="0012667F"/>
    <w:rsid w:val="001269A3"/>
    <w:rsid w:val="00126B5D"/>
    <w:rsid w:val="00126E45"/>
    <w:rsid w:val="00127158"/>
    <w:rsid w:val="0012742E"/>
    <w:rsid w:val="001274CA"/>
    <w:rsid w:val="00127882"/>
    <w:rsid w:val="00127BAC"/>
    <w:rsid w:val="00127F3C"/>
    <w:rsid w:val="00130010"/>
    <w:rsid w:val="00130357"/>
    <w:rsid w:val="001306DD"/>
    <w:rsid w:val="001307F7"/>
    <w:rsid w:val="00130B9B"/>
    <w:rsid w:val="0013167F"/>
    <w:rsid w:val="00131E6A"/>
    <w:rsid w:val="00131EB8"/>
    <w:rsid w:val="00132731"/>
    <w:rsid w:val="001327DD"/>
    <w:rsid w:val="00132F80"/>
    <w:rsid w:val="001337A6"/>
    <w:rsid w:val="00133C02"/>
    <w:rsid w:val="00134111"/>
    <w:rsid w:val="001343B7"/>
    <w:rsid w:val="00134A8B"/>
    <w:rsid w:val="00135037"/>
    <w:rsid w:val="001352BC"/>
    <w:rsid w:val="00135464"/>
    <w:rsid w:val="001356CB"/>
    <w:rsid w:val="001356D5"/>
    <w:rsid w:val="00135B69"/>
    <w:rsid w:val="00135C39"/>
    <w:rsid w:val="00136769"/>
    <w:rsid w:val="00136FE1"/>
    <w:rsid w:val="001371EC"/>
    <w:rsid w:val="00137832"/>
    <w:rsid w:val="0013790C"/>
    <w:rsid w:val="001405D2"/>
    <w:rsid w:val="00140644"/>
    <w:rsid w:val="001407DA"/>
    <w:rsid w:val="00140B82"/>
    <w:rsid w:val="001410C1"/>
    <w:rsid w:val="001414BB"/>
    <w:rsid w:val="001415CF"/>
    <w:rsid w:val="0014166E"/>
    <w:rsid w:val="0014212E"/>
    <w:rsid w:val="0014273D"/>
    <w:rsid w:val="00142EA9"/>
    <w:rsid w:val="0014338F"/>
    <w:rsid w:val="00143B7D"/>
    <w:rsid w:val="00144403"/>
    <w:rsid w:val="001444BA"/>
    <w:rsid w:val="00144D95"/>
    <w:rsid w:val="00145BA3"/>
    <w:rsid w:val="00146040"/>
    <w:rsid w:val="00146E8D"/>
    <w:rsid w:val="00147446"/>
    <w:rsid w:val="00147468"/>
    <w:rsid w:val="00147589"/>
    <w:rsid w:val="0014759F"/>
    <w:rsid w:val="0015004C"/>
    <w:rsid w:val="001500E4"/>
    <w:rsid w:val="0015053C"/>
    <w:rsid w:val="00150D55"/>
    <w:rsid w:val="001513E8"/>
    <w:rsid w:val="001517F6"/>
    <w:rsid w:val="00152025"/>
    <w:rsid w:val="0015238E"/>
    <w:rsid w:val="0015244B"/>
    <w:rsid w:val="0015246B"/>
    <w:rsid w:val="0015249B"/>
    <w:rsid w:val="00152767"/>
    <w:rsid w:val="0015391D"/>
    <w:rsid w:val="001539AA"/>
    <w:rsid w:val="001542AC"/>
    <w:rsid w:val="001546FC"/>
    <w:rsid w:val="00154CF3"/>
    <w:rsid w:val="0015543A"/>
    <w:rsid w:val="0015550C"/>
    <w:rsid w:val="00155778"/>
    <w:rsid w:val="00155E17"/>
    <w:rsid w:val="00155E1F"/>
    <w:rsid w:val="00155E40"/>
    <w:rsid w:val="00156113"/>
    <w:rsid w:val="0015660C"/>
    <w:rsid w:val="001567EE"/>
    <w:rsid w:val="00156B22"/>
    <w:rsid w:val="001573DA"/>
    <w:rsid w:val="0015759E"/>
    <w:rsid w:val="00160690"/>
    <w:rsid w:val="00160801"/>
    <w:rsid w:val="001608A9"/>
    <w:rsid w:val="00160C22"/>
    <w:rsid w:val="00160C78"/>
    <w:rsid w:val="00160F82"/>
    <w:rsid w:val="00161027"/>
    <w:rsid w:val="0016181F"/>
    <w:rsid w:val="0016189C"/>
    <w:rsid w:val="00161DF9"/>
    <w:rsid w:val="0016242A"/>
    <w:rsid w:val="00162593"/>
    <w:rsid w:val="001629E8"/>
    <w:rsid w:val="00162B9D"/>
    <w:rsid w:val="00162EA4"/>
    <w:rsid w:val="00162EBE"/>
    <w:rsid w:val="00163C20"/>
    <w:rsid w:val="00163C41"/>
    <w:rsid w:val="00163FEF"/>
    <w:rsid w:val="0016412A"/>
    <w:rsid w:val="001643A7"/>
    <w:rsid w:val="00164A62"/>
    <w:rsid w:val="00164B0A"/>
    <w:rsid w:val="00164BA7"/>
    <w:rsid w:val="001655C2"/>
    <w:rsid w:val="001655EF"/>
    <w:rsid w:val="00165D0B"/>
    <w:rsid w:val="00165F85"/>
    <w:rsid w:val="001661C4"/>
    <w:rsid w:val="00166209"/>
    <w:rsid w:val="00166481"/>
    <w:rsid w:val="0016670D"/>
    <w:rsid w:val="00166AF4"/>
    <w:rsid w:val="001670BB"/>
    <w:rsid w:val="00167595"/>
    <w:rsid w:val="00170148"/>
    <w:rsid w:val="00170415"/>
    <w:rsid w:val="001709B6"/>
    <w:rsid w:val="00170D70"/>
    <w:rsid w:val="0017149B"/>
    <w:rsid w:val="00171E49"/>
    <w:rsid w:val="0017247A"/>
    <w:rsid w:val="00172EAB"/>
    <w:rsid w:val="0017326C"/>
    <w:rsid w:val="00174179"/>
    <w:rsid w:val="001742B1"/>
    <w:rsid w:val="001743B3"/>
    <w:rsid w:val="00174521"/>
    <w:rsid w:val="00174B73"/>
    <w:rsid w:val="00174FC9"/>
    <w:rsid w:val="0017516F"/>
    <w:rsid w:val="001755F4"/>
    <w:rsid w:val="0017619D"/>
    <w:rsid w:val="001766C3"/>
    <w:rsid w:val="00176B0C"/>
    <w:rsid w:val="00176DD1"/>
    <w:rsid w:val="001771DB"/>
    <w:rsid w:val="00177242"/>
    <w:rsid w:val="0017731E"/>
    <w:rsid w:val="00177344"/>
    <w:rsid w:val="00177395"/>
    <w:rsid w:val="001774B3"/>
    <w:rsid w:val="001800FF"/>
    <w:rsid w:val="00180212"/>
    <w:rsid w:val="001802B6"/>
    <w:rsid w:val="00180AF5"/>
    <w:rsid w:val="00181008"/>
    <w:rsid w:val="001815F9"/>
    <w:rsid w:val="00181A64"/>
    <w:rsid w:val="0018231F"/>
    <w:rsid w:val="001823A7"/>
    <w:rsid w:val="0018264B"/>
    <w:rsid w:val="001826B3"/>
    <w:rsid w:val="00182AB8"/>
    <w:rsid w:val="00182D87"/>
    <w:rsid w:val="00182E6C"/>
    <w:rsid w:val="00183501"/>
    <w:rsid w:val="0018387D"/>
    <w:rsid w:val="00183B7A"/>
    <w:rsid w:val="00183BCA"/>
    <w:rsid w:val="00183C7E"/>
    <w:rsid w:val="001847DF"/>
    <w:rsid w:val="00184C5F"/>
    <w:rsid w:val="00185354"/>
    <w:rsid w:val="00185D92"/>
    <w:rsid w:val="001865A2"/>
    <w:rsid w:val="001869F7"/>
    <w:rsid w:val="00186BD0"/>
    <w:rsid w:val="00187A13"/>
    <w:rsid w:val="00187BAF"/>
    <w:rsid w:val="0019008A"/>
    <w:rsid w:val="00190A2A"/>
    <w:rsid w:val="001915D4"/>
    <w:rsid w:val="00191E5A"/>
    <w:rsid w:val="001922A9"/>
    <w:rsid w:val="00192433"/>
    <w:rsid w:val="00192516"/>
    <w:rsid w:val="00192BC6"/>
    <w:rsid w:val="00192C6C"/>
    <w:rsid w:val="001932C4"/>
    <w:rsid w:val="00193735"/>
    <w:rsid w:val="00193804"/>
    <w:rsid w:val="00193A49"/>
    <w:rsid w:val="00193D48"/>
    <w:rsid w:val="00193F03"/>
    <w:rsid w:val="001944BD"/>
    <w:rsid w:val="0019455E"/>
    <w:rsid w:val="001946CB"/>
    <w:rsid w:val="00194938"/>
    <w:rsid w:val="00194D9D"/>
    <w:rsid w:val="00194DF3"/>
    <w:rsid w:val="00194F13"/>
    <w:rsid w:val="00195072"/>
    <w:rsid w:val="00195403"/>
    <w:rsid w:val="001959F6"/>
    <w:rsid w:val="00196DE1"/>
    <w:rsid w:val="00196F6F"/>
    <w:rsid w:val="00196FCC"/>
    <w:rsid w:val="00197629"/>
    <w:rsid w:val="00197FF3"/>
    <w:rsid w:val="001A0168"/>
    <w:rsid w:val="001A02A9"/>
    <w:rsid w:val="001A041C"/>
    <w:rsid w:val="001A066D"/>
    <w:rsid w:val="001A0711"/>
    <w:rsid w:val="001A1B0B"/>
    <w:rsid w:val="001A2002"/>
    <w:rsid w:val="001A25C8"/>
    <w:rsid w:val="001A2DA5"/>
    <w:rsid w:val="001A3820"/>
    <w:rsid w:val="001A389B"/>
    <w:rsid w:val="001A3B24"/>
    <w:rsid w:val="001A4878"/>
    <w:rsid w:val="001A4F21"/>
    <w:rsid w:val="001A4FF1"/>
    <w:rsid w:val="001A564C"/>
    <w:rsid w:val="001A592A"/>
    <w:rsid w:val="001A68FC"/>
    <w:rsid w:val="001A6989"/>
    <w:rsid w:val="001A6C38"/>
    <w:rsid w:val="001A715C"/>
    <w:rsid w:val="001A7547"/>
    <w:rsid w:val="001A7765"/>
    <w:rsid w:val="001A7887"/>
    <w:rsid w:val="001B018A"/>
    <w:rsid w:val="001B0A61"/>
    <w:rsid w:val="001B14D4"/>
    <w:rsid w:val="001B1B04"/>
    <w:rsid w:val="001B2827"/>
    <w:rsid w:val="001B3783"/>
    <w:rsid w:val="001B3ABA"/>
    <w:rsid w:val="001B40A1"/>
    <w:rsid w:val="001B40C3"/>
    <w:rsid w:val="001B4130"/>
    <w:rsid w:val="001B4636"/>
    <w:rsid w:val="001B4E33"/>
    <w:rsid w:val="001B5227"/>
    <w:rsid w:val="001B53FD"/>
    <w:rsid w:val="001B551C"/>
    <w:rsid w:val="001B61CA"/>
    <w:rsid w:val="001B6AD6"/>
    <w:rsid w:val="001B6ADA"/>
    <w:rsid w:val="001B7483"/>
    <w:rsid w:val="001B7B42"/>
    <w:rsid w:val="001B7DDD"/>
    <w:rsid w:val="001C0921"/>
    <w:rsid w:val="001C16CD"/>
    <w:rsid w:val="001C21EF"/>
    <w:rsid w:val="001C2395"/>
    <w:rsid w:val="001C264D"/>
    <w:rsid w:val="001C2A5C"/>
    <w:rsid w:val="001C31A8"/>
    <w:rsid w:val="001C31C7"/>
    <w:rsid w:val="001C32C9"/>
    <w:rsid w:val="001C3824"/>
    <w:rsid w:val="001C3891"/>
    <w:rsid w:val="001C3C0C"/>
    <w:rsid w:val="001C3C26"/>
    <w:rsid w:val="001C3DEF"/>
    <w:rsid w:val="001C3E0B"/>
    <w:rsid w:val="001C4551"/>
    <w:rsid w:val="001C58D1"/>
    <w:rsid w:val="001C5B7F"/>
    <w:rsid w:val="001C5E09"/>
    <w:rsid w:val="001C6417"/>
    <w:rsid w:val="001C6508"/>
    <w:rsid w:val="001C6B8B"/>
    <w:rsid w:val="001C6BB1"/>
    <w:rsid w:val="001C6D20"/>
    <w:rsid w:val="001C6E1E"/>
    <w:rsid w:val="001C75C9"/>
    <w:rsid w:val="001C7702"/>
    <w:rsid w:val="001C7937"/>
    <w:rsid w:val="001C7D9A"/>
    <w:rsid w:val="001D066B"/>
    <w:rsid w:val="001D08C9"/>
    <w:rsid w:val="001D0981"/>
    <w:rsid w:val="001D0A4F"/>
    <w:rsid w:val="001D0AA1"/>
    <w:rsid w:val="001D11EE"/>
    <w:rsid w:val="001D1407"/>
    <w:rsid w:val="001D184C"/>
    <w:rsid w:val="001D24A8"/>
    <w:rsid w:val="001D2EBA"/>
    <w:rsid w:val="001D3240"/>
    <w:rsid w:val="001D3534"/>
    <w:rsid w:val="001D3CB1"/>
    <w:rsid w:val="001D3CFE"/>
    <w:rsid w:val="001D3D7E"/>
    <w:rsid w:val="001D443F"/>
    <w:rsid w:val="001D4F3C"/>
    <w:rsid w:val="001D5543"/>
    <w:rsid w:val="001D56A6"/>
    <w:rsid w:val="001D5747"/>
    <w:rsid w:val="001D5891"/>
    <w:rsid w:val="001D5E38"/>
    <w:rsid w:val="001D6074"/>
    <w:rsid w:val="001D6357"/>
    <w:rsid w:val="001D639E"/>
    <w:rsid w:val="001D6DE6"/>
    <w:rsid w:val="001D6E42"/>
    <w:rsid w:val="001D70B8"/>
    <w:rsid w:val="001D792F"/>
    <w:rsid w:val="001D7B18"/>
    <w:rsid w:val="001D7BC0"/>
    <w:rsid w:val="001D7C22"/>
    <w:rsid w:val="001D7DBB"/>
    <w:rsid w:val="001E03AB"/>
    <w:rsid w:val="001E11D3"/>
    <w:rsid w:val="001E16F5"/>
    <w:rsid w:val="001E1F52"/>
    <w:rsid w:val="001E26E8"/>
    <w:rsid w:val="001E29FA"/>
    <w:rsid w:val="001E2AA4"/>
    <w:rsid w:val="001E2CD9"/>
    <w:rsid w:val="001E30F8"/>
    <w:rsid w:val="001E31ED"/>
    <w:rsid w:val="001E3A0B"/>
    <w:rsid w:val="001E3C3F"/>
    <w:rsid w:val="001E4011"/>
    <w:rsid w:val="001E41EF"/>
    <w:rsid w:val="001E48EA"/>
    <w:rsid w:val="001E4EC8"/>
    <w:rsid w:val="001E4F5A"/>
    <w:rsid w:val="001E4F9A"/>
    <w:rsid w:val="001E5DC9"/>
    <w:rsid w:val="001E5F44"/>
    <w:rsid w:val="001E66B2"/>
    <w:rsid w:val="001E679C"/>
    <w:rsid w:val="001E67E2"/>
    <w:rsid w:val="001E6BED"/>
    <w:rsid w:val="001E6EED"/>
    <w:rsid w:val="001E7398"/>
    <w:rsid w:val="001E769B"/>
    <w:rsid w:val="001E79A6"/>
    <w:rsid w:val="001E7ED4"/>
    <w:rsid w:val="001F049F"/>
    <w:rsid w:val="001F07DF"/>
    <w:rsid w:val="001F080C"/>
    <w:rsid w:val="001F0841"/>
    <w:rsid w:val="001F0F18"/>
    <w:rsid w:val="001F15B8"/>
    <w:rsid w:val="001F1BBE"/>
    <w:rsid w:val="001F1D42"/>
    <w:rsid w:val="001F2CE0"/>
    <w:rsid w:val="001F3375"/>
    <w:rsid w:val="001F35BB"/>
    <w:rsid w:val="001F3942"/>
    <w:rsid w:val="001F3C7D"/>
    <w:rsid w:val="001F3E68"/>
    <w:rsid w:val="001F43DC"/>
    <w:rsid w:val="001F4CD4"/>
    <w:rsid w:val="001F4F3E"/>
    <w:rsid w:val="001F513C"/>
    <w:rsid w:val="001F562F"/>
    <w:rsid w:val="001F5633"/>
    <w:rsid w:val="001F5825"/>
    <w:rsid w:val="001F5B0C"/>
    <w:rsid w:val="001F5B46"/>
    <w:rsid w:val="001F5D0B"/>
    <w:rsid w:val="001F658B"/>
    <w:rsid w:val="001F662C"/>
    <w:rsid w:val="001F6A99"/>
    <w:rsid w:val="001F6AF0"/>
    <w:rsid w:val="001F6B0E"/>
    <w:rsid w:val="001F73CC"/>
    <w:rsid w:val="001F7938"/>
    <w:rsid w:val="001F7CF7"/>
    <w:rsid w:val="0020031A"/>
    <w:rsid w:val="002003DF"/>
    <w:rsid w:val="0020051A"/>
    <w:rsid w:val="00200561"/>
    <w:rsid w:val="00200FF4"/>
    <w:rsid w:val="0020171D"/>
    <w:rsid w:val="002018D6"/>
    <w:rsid w:val="00201DDC"/>
    <w:rsid w:val="0020233A"/>
    <w:rsid w:val="00202D0F"/>
    <w:rsid w:val="00202DA9"/>
    <w:rsid w:val="00203236"/>
    <w:rsid w:val="00203287"/>
    <w:rsid w:val="0020366D"/>
    <w:rsid w:val="00203D42"/>
    <w:rsid w:val="002040E4"/>
    <w:rsid w:val="00204105"/>
    <w:rsid w:val="00204590"/>
    <w:rsid w:val="00204F31"/>
    <w:rsid w:val="00205142"/>
    <w:rsid w:val="002053B6"/>
    <w:rsid w:val="00205C50"/>
    <w:rsid w:val="00205C56"/>
    <w:rsid w:val="00205DE8"/>
    <w:rsid w:val="00205ED8"/>
    <w:rsid w:val="0020604A"/>
    <w:rsid w:val="002060E1"/>
    <w:rsid w:val="00206650"/>
    <w:rsid w:val="0020686F"/>
    <w:rsid w:val="00206C59"/>
    <w:rsid w:val="00210089"/>
    <w:rsid w:val="00210189"/>
    <w:rsid w:val="0021035D"/>
    <w:rsid w:val="002103B6"/>
    <w:rsid w:val="00210679"/>
    <w:rsid w:val="00210C0A"/>
    <w:rsid w:val="00210C15"/>
    <w:rsid w:val="00210C62"/>
    <w:rsid w:val="00210C81"/>
    <w:rsid w:val="00210CA3"/>
    <w:rsid w:val="00210D76"/>
    <w:rsid w:val="00210E26"/>
    <w:rsid w:val="00211228"/>
    <w:rsid w:val="002116CC"/>
    <w:rsid w:val="002116FC"/>
    <w:rsid w:val="0021192B"/>
    <w:rsid w:val="0021228B"/>
    <w:rsid w:val="00212AA6"/>
    <w:rsid w:val="00212BBF"/>
    <w:rsid w:val="00213BE0"/>
    <w:rsid w:val="00214907"/>
    <w:rsid w:val="00215D2A"/>
    <w:rsid w:val="00215D70"/>
    <w:rsid w:val="00215F48"/>
    <w:rsid w:val="0021612D"/>
    <w:rsid w:val="002163B5"/>
    <w:rsid w:val="002164ED"/>
    <w:rsid w:val="00216785"/>
    <w:rsid w:val="00217553"/>
    <w:rsid w:val="0021786C"/>
    <w:rsid w:val="002178B0"/>
    <w:rsid w:val="00217D3E"/>
    <w:rsid w:val="00217DCC"/>
    <w:rsid w:val="00220E45"/>
    <w:rsid w:val="0022165C"/>
    <w:rsid w:val="002216F7"/>
    <w:rsid w:val="002218E0"/>
    <w:rsid w:val="002219D6"/>
    <w:rsid w:val="00221ADB"/>
    <w:rsid w:val="002222AA"/>
    <w:rsid w:val="0022278D"/>
    <w:rsid w:val="0022302C"/>
    <w:rsid w:val="002236AD"/>
    <w:rsid w:val="002236B6"/>
    <w:rsid w:val="0022405F"/>
    <w:rsid w:val="00224744"/>
    <w:rsid w:val="00224D0D"/>
    <w:rsid w:val="00224E55"/>
    <w:rsid w:val="00225B3B"/>
    <w:rsid w:val="00225EEC"/>
    <w:rsid w:val="00225F14"/>
    <w:rsid w:val="002265AB"/>
    <w:rsid w:val="00226A38"/>
    <w:rsid w:val="0022746E"/>
    <w:rsid w:val="00227CC9"/>
    <w:rsid w:val="002309BB"/>
    <w:rsid w:val="002311F1"/>
    <w:rsid w:val="00232A87"/>
    <w:rsid w:val="00233716"/>
    <w:rsid w:val="00233BC4"/>
    <w:rsid w:val="00233D40"/>
    <w:rsid w:val="00234A56"/>
    <w:rsid w:val="00234B7C"/>
    <w:rsid w:val="00235019"/>
    <w:rsid w:val="002350E5"/>
    <w:rsid w:val="002351F1"/>
    <w:rsid w:val="0023536E"/>
    <w:rsid w:val="00235485"/>
    <w:rsid w:val="00235846"/>
    <w:rsid w:val="00235C17"/>
    <w:rsid w:val="00235FAB"/>
    <w:rsid w:val="002368D0"/>
    <w:rsid w:val="00236CFF"/>
    <w:rsid w:val="00236E28"/>
    <w:rsid w:val="002374D1"/>
    <w:rsid w:val="002378B9"/>
    <w:rsid w:val="00237A16"/>
    <w:rsid w:val="00237F46"/>
    <w:rsid w:val="002403FC"/>
    <w:rsid w:val="002405BE"/>
    <w:rsid w:val="002407B2"/>
    <w:rsid w:val="00240E36"/>
    <w:rsid w:val="00241A2F"/>
    <w:rsid w:val="00241EC4"/>
    <w:rsid w:val="002420BA"/>
    <w:rsid w:val="002421F5"/>
    <w:rsid w:val="00242211"/>
    <w:rsid w:val="00242574"/>
    <w:rsid w:val="00243136"/>
    <w:rsid w:val="0024336F"/>
    <w:rsid w:val="002433F1"/>
    <w:rsid w:val="0024368D"/>
    <w:rsid w:val="0024378E"/>
    <w:rsid w:val="002438EB"/>
    <w:rsid w:val="00243963"/>
    <w:rsid w:val="0024497B"/>
    <w:rsid w:val="00244F90"/>
    <w:rsid w:val="0024509E"/>
    <w:rsid w:val="00245D4B"/>
    <w:rsid w:val="002460CF"/>
    <w:rsid w:val="00246DEB"/>
    <w:rsid w:val="00247A1A"/>
    <w:rsid w:val="002505B3"/>
    <w:rsid w:val="002508CA"/>
    <w:rsid w:val="00251392"/>
    <w:rsid w:val="002519B7"/>
    <w:rsid w:val="002519D1"/>
    <w:rsid w:val="002520FB"/>
    <w:rsid w:val="00252819"/>
    <w:rsid w:val="00252947"/>
    <w:rsid w:val="00252C62"/>
    <w:rsid w:val="00252D04"/>
    <w:rsid w:val="00252D41"/>
    <w:rsid w:val="00252E2F"/>
    <w:rsid w:val="00252E6D"/>
    <w:rsid w:val="002531E5"/>
    <w:rsid w:val="00253267"/>
    <w:rsid w:val="002536A7"/>
    <w:rsid w:val="00253C5C"/>
    <w:rsid w:val="002546F2"/>
    <w:rsid w:val="002548FF"/>
    <w:rsid w:val="00254FE9"/>
    <w:rsid w:val="002550A2"/>
    <w:rsid w:val="00255172"/>
    <w:rsid w:val="00255654"/>
    <w:rsid w:val="00255C11"/>
    <w:rsid w:val="00255E8E"/>
    <w:rsid w:val="00256A43"/>
    <w:rsid w:val="00256D3C"/>
    <w:rsid w:val="00256DAB"/>
    <w:rsid w:val="0025767B"/>
    <w:rsid w:val="0026038D"/>
    <w:rsid w:val="00260894"/>
    <w:rsid w:val="00260DD1"/>
    <w:rsid w:val="002610C0"/>
    <w:rsid w:val="00261D18"/>
    <w:rsid w:val="00261DEC"/>
    <w:rsid w:val="00261E5D"/>
    <w:rsid w:val="00262131"/>
    <w:rsid w:val="00263117"/>
    <w:rsid w:val="00263E46"/>
    <w:rsid w:val="0026408D"/>
    <w:rsid w:val="0026456C"/>
    <w:rsid w:val="00264642"/>
    <w:rsid w:val="0026556C"/>
    <w:rsid w:val="00265739"/>
    <w:rsid w:val="00265D33"/>
    <w:rsid w:val="00265ECC"/>
    <w:rsid w:val="00266080"/>
    <w:rsid w:val="0026674F"/>
    <w:rsid w:val="00266925"/>
    <w:rsid w:val="002669DA"/>
    <w:rsid w:val="00266B38"/>
    <w:rsid w:val="002670B4"/>
    <w:rsid w:val="00267262"/>
    <w:rsid w:val="00267616"/>
    <w:rsid w:val="00267828"/>
    <w:rsid w:val="0026794C"/>
    <w:rsid w:val="00267A84"/>
    <w:rsid w:val="00267F5A"/>
    <w:rsid w:val="0027016E"/>
    <w:rsid w:val="00270A39"/>
    <w:rsid w:val="002716D3"/>
    <w:rsid w:val="00271EAE"/>
    <w:rsid w:val="0027203D"/>
    <w:rsid w:val="0027320D"/>
    <w:rsid w:val="00273F14"/>
    <w:rsid w:val="0027409E"/>
    <w:rsid w:val="00274167"/>
    <w:rsid w:val="0027419E"/>
    <w:rsid w:val="002741AC"/>
    <w:rsid w:val="00274A00"/>
    <w:rsid w:val="00274F5E"/>
    <w:rsid w:val="00275452"/>
    <w:rsid w:val="00275A4A"/>
    <w:rsid w:val="00275DEF"/>
    <w:rsid w:val="00276262"/>
    <w:rsid w:val="00276307"/>
    <w:rsid w:val="00276791"/>
    <w:rsid w:val="00276890"/>
    <w:rsid w:val="00276916"/>
    <w:rsid w:val="002771E6"/>
    <w:rsid w:val="0027728A"/>
    <w:rsid w:val="0027794C"/>
    <w:rsid w:val="00277DC7"/>
    <w:rsid w:val="00280655"/>
    <w:rsid w:val="00280847"/>
    <w:rsid w:val="00280AD8"/>
    <w:rsid w:val="00280E3B"/>
    <w:rsid w:val="00280F90"/>
    <w:rsid w:val="002810BB"/>
    <w:rsid w:val="00281C65"/>
    <w:rsid w:val="002824C9"/>
    <w:rsid w:val="002824F8"/>
    <w:rsid w:val="0028250E"/>
    <w:rsid w:val="002825BB"/>
    <w:rsid w:val="00282707"/>
    <w:rsid w:val="002828A5"/>
    <w:rsid w:val="002830C4"/>
    <w:rsid w:val="00283184"/>
    <w:rsid w:val="0028325B"/>
    <w:rsid w:val="0028343F"/>
    <w:rsid w:val="00283AAF"/>
    <w:rsid w:val="00284AFF"/>
    <w:rsid w:val="00284F1E"/>
    <w:rsid w:val="00284F81"/>
    <w:rsid w:val="00285BCA"/>
    <w:rsid w:val="002860A7"/>
    <w:rsid w:val="00286786"/>
    <w:rsid w:val="00286AC0"/>
    <w:rsid w:val="00287015"/>
    <w:rsid w:val="002871D4"/>
    <w:rsid w:val="00287C40"/>
    <w:rsid w:val="00287D8A"/>
    <w:rsid w:val="00290259"/>
    <w:rsid w:val="0029031F"/>
    <w:rsid w:val="002906BF"/>
    <w:rsid w:val="00290E54"/>
    <w:rsid w:val="00291022"/>
    <w:rsid w:val="00291381"/>
    <w:rsid w:val="00291AD5"/>
    <w:rsid w:val="00291ADE"/>
    <w:rsid w:val="002920D1"/>
    <w:rsid w:val="00292755"/>
    <w:rsid w:val="002929D8"/>
    <w:rsid w:val="002929E7"/>
    <w:rsid w:val="002932C6"/>
    <w:rsid w:val="0029355B"/>
    <w:rsid w:val="00293945"/>
    <w:rsid w:val="00294372"/>
    <w:rsid w:val="00294882"/>
    <w:rsid w:val="002949DE"/>
    <w:rsid w:val="00295367"/>
    <w:rsid w:val="00295965"/>
    <w:rsid w:val="00295E03"/>
    <w:rsid w:val="002962AE"/>
    <w:rsid w:val="0029631B"/>
    <w:rsid w:val="0029668D"/>
    <w:rsid w:val="0029683F"/>
    <w:rsid w:val="00297005"/>
    <w:rsid w:val="00297055"/>
    <w:rsid w:val="0029707C"/>
    <w:rsid w:val="00297122"/>
    <w:rsid w:val="0029747D"/>
    <w:rsid w:val="00297795"/>
    <w:rsid w:val="00297ED9"/>
    <w:rsid w:val="002A051A"/>
    <w:rsid w:val="002A0CAD"/>
    <w:rsid w:val="002A1077"/>
    <w:rsid w:val="002A12E8"/>
    <w:rsid w:val="002A13D4"/>
    <w:rsid w:val="002A1A65"/>
    <w:rsid w:val="002A1CDF"/>
    <w:rsid w:val="002A20DE"/>
    <w:rsid w:val="002A3080"/>
    <w:rsid w:val="002A32D0"/>
    <w:rsid w:val="002A33AE"/>
    <w:rsid w:val="002A3EF7"/>
    <w:rsid w:val="002A497B"/>
    <w:rsid w:val="002A4F1C"/>
    <w:rsid w:val="002A4F3B"/>
    <w:rsid w:val="002A5FD8"/>
    <w:rsid w:val="002A68A8"/>
    <w:rsid w:val="002A6CC2"/>
    <w:rsid w:val="002A75E8"/>
    <w:rsid w:val="002A7787"/>
    <w:rsid w:val="002B0168"/>
    <w:rsid w:val="002B0766"/>
    <w:rsid w:val="002B0BB6"/>
    <w:rsid w:val="002B108D"/>
    <w:rsid w:val="002B1B7F"/>
    <w:rsid w:val="002B2000"/>
    <w:rsid w:val="002B2408"/>
    <w:rsid w:val="002B24E4"/>
    <w:rsid w:val="002B280E"/>
    <w:rsid w:val="002B40C5"/>
    <w:rsid w:val="002B41BB"/>
    <w:rsid w:val="002B459F"/>
    <w:rsid w:val="002B4938"/>
    <w:rsid w:val="002B4B99"/>
    <w:rsid w:val="002B53C6"/>
    <w:rsid w:val="002B5401"/>
    <w:rsid w:val="002B59C8"/>
    <w:rsid w:val="002B5C0E"/>
    <w:rsid w:val="002B60E7"/>
    <w:rsid w:val="002B610B"/>
    <w:rsid w:val="002B62BB"/>
    <w:rsid w:val="002B63C7"/>
    <w:rsid w:val="002B6ABF"/>
    <w:rsid w:val="002B6CE2"/>
    <w:rsid w:val="002B79B8"/>
    <w:rsid w:val="002B7A15"/>
    <w:rsid w:val="002B7BDC"/>
    <w:rsid w:val="002C0B05"/>
    <w:rsid w:val="002C1005"/>
    <w:rsid w:val="002C1835"/>
    <w:rsid w:val="002C20C1"/>
    <w:rsid w:val="002C34C8"/>
    <w:rsid w:val="002C3827"/>
    <w:rsid w:val="002C3839"/>
    <w:rsid w:val="002C3BEB"/>
    <w:rsid w:val="002C3DC2"/>
    <w:rsid w:val="002C4CF4"/>
    <w:rsid w:val="002C521C"/>
    <w:rsid w:val="002C541B"/>
    <w:rsid w:val="002C5875"/>
    <w:rsid w:val="002C592A"/>
    <w:rsid w:val="002C5BEB"/>
    <w:rsid w:val="002C5EF4"/>
    <w:rsid w:val="002C6048"/>
    <w:rsid w:val="002C60A1"/>
    <w:rsid w:val="002C62B5"/>
    <w:rsid w:val="002C6443"/>
    <w:rsid w:val="002C66EA"/>
    <w:rsid w:val="002C68A9"/>
    <w:rsid w:val="002C6AD7"/>
    <w:rsid w:val="002C72D0"/>
    <w:rsid w:val="002C72FE"/>
    <w:rsid w:val="002C7576"/>
    <w:rsid w:val="002D0480"/>
    <w:rsid w:val="002D06CB"/>
    <w:rsid w:val="002D06F8"/>
    <w:rsid w:val="002D104B"/>
    <w:rsid w:val="002D1BB6"/>
    <w:rsid w:val="002D1C0E"/>
    <w:rsid w:val="002D1C18"/>
    <w:rsid w:val="002D20BE"/>
    <w:rsid w:val="002D20D3"/>
    <w:rsid w:val="002D28DE"/>
    <w:rsid w:val="002D2AE5"/>
    <w:rsid w:val="002D2B2C"/>
    <w:rsid w:val="002D2B3E"/>
    <w:rsid w:val="002D2D2E"/>
    <w:rsid w:val="002D300B"/>
    <w:rsid w:val="002D3916"/>
    <w:rsid w:val="002D3E72"/>
    <w:rsid w:val="002D3FFB"/>
    <w:rsid w:val="002D40A8"/>
    <w:rsid w:val="002D530D"/>
    <w:rsid w:val="002D5324"/>
    <w:rsid w:val="002D5A79"/>
    <w:rsid w:val="002D5B58"/>
    <w:rsid w:val="002D5FE3"/>
    <w:rsid w:val="002D608F"/>
    <w:rsid w:val="002D63B2"/>
    <w:rsid w:val="002D669E"/>
    <w:rsid w:val="002D7DFB"/>
    <w:rsid w:val="002D7F3D"/>
    <w:rsid w:val="002E133B"/>
    <w:rsid w:val="002E1CB4"/>
    <w:rsid w:val="002E2E9E"/>
    <w:rsid w:val="002E2F8D"/>
    <w:rsid w:val="002E303C"/>
    <w:rsid w:val="002E3120"/>
    <w:rsid w:val="002E37EE"/>
    <w:rsid w:val="002E3A0A"/>
    <w:rsid w:val="002E4056"/>
    <w:rsid w:val="002E4362"/>
    <w:rsid w:val="002E4547"/>
    <w:rsid w:val="002E481E"/>
    <w:rsid w:val="002E4B8F"/>
    <w:rsid w:val="002E4D20"/>
    <w:rsid w:val="002E4E6B"/>
    <w:rsid w:val="002E4FBF"/>
    <w:rsid w:val="002E5020"/>
    <w:rsid w:val="002E60C2"/>
    <w:rsid w:val="002E62FD"/>
    <w:rsid w:val="002E663D"/>
    <w:rsid w:val="002E69AC"/>
    <w:rsid w:val="002E6EB8"/>
    <w:rsid w:val="002E7AB0"/>
    <w:rsid w:val="002E7E56"/>
    <w:rsid w:val="002E7EE8"/>
    <w:rsid w:val="002E7FDD"/>
    <w:rsid w:val="002F0134"/>
    <w:rsid w:val="002F016A"/>
    <w:rsid w:val="002F01B2"/>
    <w:rsid w:val="002F0664"/>
    <w:rsid w:val="002F06ED"/>
    <w:rsid w:val="002F0830"/>
    <w:rsid w:val="002F0887"/>
    <w:rsid w:val="002F0AAB"/>
    <w:rsid w:val="002F0E68"/>
    <w:rsid w:val="002F1174"/>
    <w:rsid w:val="002F1C2D"/>
    <w:rsid w:val="002F1F48"/>
    <w:rsid w:val="002F2629"/>
    <w:rsid w:val="002F2647"/>
    <w:rsid w:val="002F26F6"/>
    <w:rsid w:val="002F3089"/>
    <w:rsid w:val="002F32E3"/>
    <w:rsid w:val="002F3CDB"/>
    <w:rsid w:val="002F3E74"/>
    <w:rsid w:val="002F40A2"/>
    <w:rsid w:val="002F4486"/>
    <w:rsid w:val="002F49A9"/>
    <w:rsid w:val="002F4A30"/>
    <w:rsid w:val="002F4A88"/>
    <w:rsid w:val="002F4B27"/>
    <w:rsid w:val="002F4B34"/>
    <w:rsid w:val="002F4C78"/>
    <w:rsid w:val="002F4EAF"/>
    <w:rsid w:val="002F5F8E"/>
    <w:rsid w:val="002F62FB"/>
    <w:rsid w:val="002F675A"/>
    <w:rsid w:val="002F6784"/>
    <w:rsid w:val="002F67CB"/>
    <w:rsid w:val="002F67DA"/>
    <w:rsid w:val="002F6BAB"/>
    <w:rsid w:val="002F7898"/>
    <w:rsid w:val="002F7EAE"/>
    <w:rsid w:val="002F7EEC"/>
    <w:rsid w:val="002F7F95"/>
    <w:rsid w:val="0030005C"/>
    <w:rsid w:val="00300B99"/>
    <w:rsid w:val="0030135B"/>
    <w:rsid w:val="00301822"/>
    <w:rsid w:val="00301958"/>
    <w:rsid w:val="00301DE7"/>
    <w:rsid w:val="0030204F"/>
    <w:rsid w:val="00302444"/>
    <w:rsid w:val="0030248B"/>
    <w:rsid w:val="00302893"/>
    <w:rsid w:val="00302E43"/>
    <w:rsid w:val="00302F66"/>
    <w:rsid w:val="0030341C"/>
    <w:rsid w:val="003037EC"/>
    <w:rsid w:val="0030384D"/>
    <w:rsid w:val="00303884"/>
    <w:rsid w:val="00303A19"/>
    <w:rsid w:val="00303CE3"/>
    <w:rsid w:val="003040F6"/>
    <w:rsid w:val="00304239"/>
    <w:rsid w:val="003043AE"/>
    <w:rsid w:val="00304FC8"/>
    <w:rsid w:val="003067E4"/>
    <w:rsid w:val="00306AEC"/>
    <w:rsid w:val="00306E91"/>
    <w:rsid w:val="00307338"/>
    <w:rsid w:val="00307B5E"/>
    <w:rsid w:val="00307E30"/>
    <w:rsid w:val="00310D3C"/>
    <w:rsid w:val="00310D93"/>
    <w:rsid w:val="00310DD9"/>
    <w:rsid w:val="00310F38"/>
    <w:rsid w:val="003112D6"/>
    <w:rsid w:val="00311432"/>
    <w:rsid w:val="00311513"/>
    <w:rsid w:val="00311A8C"/>
    <w:rsid w:val="00312390"/>
    <w:rsid w:val="00312A5B"/>
    <w:rsid w:val="00312E4C"/>
    <w:rsid w:val="00313266"/>
    <w:rsid w:val="00313346"/>
    <w:rsid w:val="003135FD"/>
    <w:rsid w:val="00313706"/>
    <w:rsid w:val="0031376F"/>
    <w:rsid w:val="00313ABF"/>
    <w:rsid w:val="00314E80"/>
    <w:rsid w:val="0031504D"/>
    <w:rsid w:val="003151FC"/>
    <w:rsid w:val="003153B5"/>
    <w:rsid w:val="0031593F"/>
    <w:rsid w:val="00315CD2"/>
    <w:rsid w:val="00315DA2"/>
    <w:rsid w:val="0031616A"/>
    <w:rsid w:val="0031644D"/>
    <w:rsid w:val="003168AA"/>
    <w:rsid w:val="00316982"/>
    <w:rsid w:val="00316B6B"/>
    <w:rsid w:val="00316EC3"/>
    <w:rsid w:val="003172A4"/>
    <w:rsid w:val="0031740D"/>
    <w:rsid w:val="003175EB"/>
    <w:rsid w:val="00317912"/>
    <w:rsid w:val="00317D44"/>
    <w:rsid w:val="00320160"/>
    <w:rsid w:val="00320B67"/>
    <w:rsid w:val="003219A8"/>
    <w:rsid w:val="003219E0"/>
    <w:rsid w:val="00321A6A"/>
    <w:rsid w:val="00321A8B"/>
    <w:rsid w:val="00321D03"/>
    <w:rsid w:val="00323166"/>
    <w:rsid w:val="003234DA"/>
    <w:rsid w:val="0032398F"/>
    <w:rsid w:val="0032470C"/>
    <w:rsid w:val="00324E1C"/>
    <w:rsid w:val="00324E91"/>
    <w:rsid w:val="00324EAC"/>
    <w:rsid w:val="0032549A"/>
    <w:rsid w:val="00325CFD"/>
    <w:rsid w:val="00326A05"/>
    <w:rsid w:val="00326CB8"/>
    <w:rsid w:val="0032715C"/>
    <w:rsid w:val="00327525"/>
    <w:rsid w:val="0032754D"/>
    <w:rsid w:val="00327E28"/>
    <w:rsid w:val="0033071D"/>
    <w:rsid w:val="003307CC"/>
    <w:rsid w:val="00331348"/>
    <w:rsid w:val="00332A9B"/>
    <w:rsid w:val="003343B3"/>
    <w:rsid w:val="003344B0"/>
    <w:rsid w:val="00334E19"/>
    <w:rsid w:val="00335071"/>
    <w:rsid w:val="00335410"/>
    <w:rsid w:val="00335616"/>
    <w:rsid w:val="00335622"/>
    <w:rsid w:val="0033669A"/>
    <w:rsid w:val="003369E9"/>
    <w:rsid w:val="00337074"/>
    <w:rsid w:val="0033714B"/>
    <w:rsid w:val="003400BB"/>
    <w:rsid w:val="003402A0"/>
    <w:rsid w:val="0034084A"/>
    <w:rsid w:val="003416D6"/>
    <w:rsid w:val="00341941"/>
    <w:rsid w:val="00341C0D"/>
    <w:rsid w:val="00342644"/>
    <w:rsid w:val="00342763"/>
    <w:rsid w:val="0034287C"/>
    <w:rsid w:val="00342AC1"/>
    <w:rsid w:val="003436B9"/>
    <w:rsid w:val="00343AF4"/>
    <w:rsid w:val="003442E2"/>
    <w:rsid w:val="0034462B"/>
    <w:rsid w:val="00344E36"/>
    <w:rsid w:val="0034620F"/>
    <w:rsid w:val="00346643"/>
    <w:rsid w:val="0034686A"/>
    <w:rsid w:val="003468AB"/>
    <w:rsid w:val="00347191"/>
    <w:rsid w:val="003471EA"/>
    <w:rsid w:val="0035053B"/>
    <w:rsid w:val="00350927"/>
    <w:rsid w:val="00351138"/>
    <w:rsid w:val="003521F5"/>
    <w:rsid w:val="003522AD"/>
    <w:rsid w:val="00352835"/>
    <w:rsid w:val="003530A4"/>
    <w:rsid w:val="003530C4"/>
    <w:rsid w:val="00353198"/>
    <w:rsid w:val="00353484"/>
    <w:rsid w:val="00353581"/>
    <w:rsid w:val="003535B3"/>
    <w:rsid w:val="00353D0D"/>
    <w:rsid w:val="003557BF"/>
    <w:rsid w:val="003558B1"/>
    <w:rsid w:val="003563F2"/>
    <w:rsid w:val="00356C7E"/>
    <w:rsid w:val="00356FF7"/>
    <w:rsid w:val="003573DD"/>
    <w:rsid w:val="00357CE7"/>
    <w:rsid w:val="00360837"/>
    <w:rsid w:val="003609C9"/>
    <w:rsid w:val="00360A70"/>
    <w:rsid w:val="00360A86"/>
    <w:rsid w:val="00360B05"/>
    <w:rsid w:val="00360E77"/>
    <w:rsid w:val="003611F2"/>
    <w:rsid w:val="003618A6"/>
    <w:rsid w:val="0036202B"/>
    <w:rsid w:val="0036205F"/>
    <w:rsid w:val="00362617"/>
    <w:rsid w:val="00362B7A"/>
    <w:rsid w:val="0036301A"/>
    <w:rsid w:val="00363776"/>
    <w:rsid w:val="00363891"/>
    <w:rsid w:val="00363A2B"/>
    <w:rsid w:val="003644AB"/>
    <w:rsid w:val="003644F7"/>
    <w:rsid w:val="00364632"/>
    <w:rsid w:val="003649AC"/>
    <w:rsid w:val="00366240"/>
    <w:rsid w:val="0036635B"/>
    <w:rsid w:val="00366BF3"/>
    <w:rsid w:val="00366CB1"/>
    <w:rsid w:val="003675D7"/>
    <w:rsid w:val="00367C7B"/>
    <w:rsid w:val="00367D8A"/>
    <w:rsid w:val="00367DBB"/>
    <w:rsid w:val="003701E1"/>
    <w:rsid w:val="003708BC"/>
    <w:rsid w:val="00370B3A"/>
    <w:rsid w:val="00370D6B"/>
    <w:rsid w:val="00371326"/>
    <w:rsid w:val="003714B2"/>
    <w:rsid w:val="0037196E"/>
    <w:rsid w:val="00372205"/>
    <w:rsid w:val="003723CD"/>
    <w:rsid w:val="003725AD"/>
    <w:rsid w:val="00372735"/>
    <w:rsid w:val="00372D43"/>
    <w:rsid w:val="00372ED2"/>
    <w:rsid w:val="003731CD"/>
    <w:rsid w:val="003733E3"/>
    <w:rsid w:val="00373755"/>
    <w:rsid w:val="00373E78"/>
    <w:rsid w:val="003746BD"/>
    <w:rsid w:val="00374A6A"/>
    <w:rsid w:val="00374ED3"/>
    <w:rsid w:val="003755FB"/>
    <w:rsid w:val="003758A8"/>
    <w:rsid w:val="00375E10"/>
    <w:rsid w:val="003762B1"/>
    <w:rsid w:val="003769EE"/>
    <w:rsid w:val="00376A39"/>
    <w:rsid w:val="00376A3F"/>
    <w:rsid w:val="00376E4A"/>
    <w:rsid w:val="0037710E"/>
    <w:rsid w:val="003778B3"/>
    <w:rsid w:val="003779B2"/>
    <w:rsid w:val="00377BA0"/>
    <w:rsid w:val="0038077C"/>
    <w:rsid w:val="00380829"/>
    <w:rsid w:val="00380CDC"/>
    <w:rsid w:val="00380DA6"/>
    <w:rsid w:val="003814AC"/>
    <w:rsid w:val="00381BBA"/>
    <w:rsid w:val="00381CD5"/>
    <w:rsid w:val="0038264D"/>
    <w:rsid w:val="00382C5F"/>
    <w:rsid w:val="00382EE2"/>
    <w:rsid w:val="003833C4"/>
    <w:rsid w:val="003833E6"/>
    <w:rsid w:val="003837D0"/>
    <w:rsid w:val="00383E84"/>
    <w:rsid w:val="00383F6D"/>
    <w:rsid w:val="00384386"/>
    <w:rsid w:val="003843B8"/>
    <w:rsid w:val="0038469E"/>
    <w:rsid w:val="00384B66"/>
    <w:rsid w:val="00384C8C"/>
    <w:rsid w:val="00384FB4"/>
    <w:rsid w:val="00385128"/>
    <w:rsid w:val="00385201"/>
    <w:rsid w:val="00385255"/>
    <w:rsid w:val="00385E5A"/>
    <w:rsid w:val="003868EB"/>
    <w:rsid w:val="00386BBF"/>
    <w:rsid w:val="00387138"/>
    <w:rsid w:val="0038738A"/>
    <w:rsid w:val="003873D0"/>
    <w:rsid w:val="0038740D"/>
    <w:rsid w:val="00387EA9"/>
    <w:rsid w:val="003900B2"/>
    <w:rsid w:val="00390369"/>
    <w:rsid w:val="003912D2"/>
    <w:rsid w:val="00392111"/>
    <w:rsid w:val="00392903"/>
    <w:rsid w:val="00392D78"/>
    <w:rsid w:val="0039318B"/>
    <w:rsid w:val="003932C2"/>
    <w:rsid w:val="00393A02"/>
    <w:rsid w:val="00393CE0"/>
    <w:rsid w:val="00394B9D"/>
    <w:rsid w:val="00395794"/>
    <w:rsid w:val="00395976"/>
    <w:rsid w:val="00395FCE"/>
    <w:rsid w:val="00396215"/>
    <w:rsid w:val="003969C1"/>
    <w:rsid w:val="00396E64"/>
    <w:rsid w:val="0039746B"/>
    <w:rsid w:val="00397873"/>
    <w:rsid w:val="00397B2F"/>
    <w:rsid w:val="003A00A4"/>
    <w:rsid w:val="003A057F"/>
    <w:rsid w:val="003A07B7"/>
    <w:rsid w:val="003A0ED6"/>
    <w:rsid w:val="003A14E9"/>
    <w:rsid w:val="003A1673"/>
    <w:rsid w:val="003A2A41"/>
    <w:rsid w:val="003A2DD1"/>
    <w:rsid w:val="003A2DEF"/>
    <w:rsid w:val="003A32D7"/>
    <w:rsid w:val="003A3C64"/>
    <w:rsid w:val="003A3CD3"/>
    <w:rsid w:val="003A3EAE"/>
    <w:rsid w:val="003A47D2"/>
    <w:rsid w:val="003A48E7"/>
    <w:rsid w:val="003A4DE1"/>
    <w:rsid w:val="003A517F"/>
    <w:rsid w:val="003A5184"/>
    <w:rsid w:val="003A53D4"/>
    <w:rsid w:val="003A54AC"/>
    <w:rsid w:val="003A57FD"/>
    <w:rsid w:val="003A58F0"/>
    <w:rsid w:val="003A5DC3"/>
    <w:rsid w:val="003A61E5"/>
    <w:rsid w:val="003A64D9"/>
    <w:rsid w:val="003A6D29"/>
    <w:rsid w:val="003A6D96"/>
    <w:rsid w:val="003A78D7"/>
    <w:rsid w:val="003A7F37"/>
    <w:rsid w:val="003B04B0"/>
    <w:rsid w:val="003B07B6"/>
    <w:rsid w:val="003B09B4"/>
    <w:rsid w:val="003B0CD9"/>
    <w:rsid w:val="003B0CEE"/>
    <w:rsid w:val="003B1275"/>
    <w:rsid w:val="003B1FD7"/>
    <w:rsid w:val="003B2540"/>
    <w:rsid w:val="003B2F8B"/>
    <w:rsid w:val="003B3804"/>
    <w:rsid w:val="003B3817"/>
    <w:rsid w:val="003B435A"/>
    <w:rsid w:val="003B46D1"/>
    <w:rsid w:val="003B47C9"/>
    <w:rsid w:val="003B4948"/>
    <w:rsid w:val="003B5177"/>
    <w:rsid w:val="003B5C6F"/>
    <w:rsid w:val="003B5E76"/>
    <w:rsid w:val="003B5E88"/>
    <w:rsid w:val="003B685D"/>
    <w:rsid w:val="003B7144"/>
    <w:rsid w:val="003B71FE"/>
    <w:rsid w:val="003B787B"/>
    <w:rsid w:val="003B797D"/>
    <w:rsid w:val="003C00AF"/>
    <w:rsid w:val="003C060B"/>
    <w:rsid w:val="003C0862"/>
    <w:rsid w:val="003C091A"/>
    <w:rsid w:val="003C0945"/>
    <w:rsid w:val="003C1604"/>
    <w:rsid w:val="003C16A0"/>
    <w:rsid w:val="003C22F0"/>
    <w:rsid w:val="003C258E"/>
    <w:rsid w:val="003C2645"/>
    <w:rsid w:val="003C27B0"/>
    <w:rsid w:val="003C2AD7"/>
    <w:rsid w:val="003C334D"/>
    <w:rsid w:val="003C3565"/>
    <w:rsid w:val="003C3666"/>
    <w:rsid w:val="003C4083"/>
    <w:rsid w:val="003C4992"/>
    <w:rsid w:val="003C4C24"/>
    <w:rsid w:val="003C52B4"/>
    <w:rsid w:val="003C52C9"/>
    <w:rsid w:val="003C5BCB"/>
    <w:rsid w:val="003C5BCC"/>
    <w:rsid w:val="003C5E24"/>
    <w:rsid w:val="003C5F4C"/>
    <w:rsid w:val="003C61B8"/>
    <w:rsid w:val="003C644B"/>
    <w:rsid w:val="003C69D3"/>
    <w:rsid w:val="003C6ADB"/>
    <w:rsid w:val="003C701E"/>
    <w:rsid w:val="003C706B"/>
    <w:rsid w:val="003C73CD"/>
    <w:rsid w:val="003C7569"/>
    <w:rsid w:val="003C75C6"/>
    <w:rsid w:val="003C7F60"/>
    <w:rsid w:val="003D0137"/>
    <w:rsid w:val="003D015F"/>
    <w:rsid w:val="003D022A"/>
    <w:rsid w:val="003D044F"/>
    <w:rsid w:val="003D04E9"/>
    <w:rsid w:val="003D0B69"/>
    <w:rsid w:val="003D1D8B"/>
    <w:rsid w:val="003D1FB7"/>
    <w:rsid w:val="003D22DE"/>
    <w:rsid w:val="003D25CF"/>
    <w:rsid w:val="003D26F3"/>
    <w:rsid w:val="003D28AD"/>
    <w:rsid w:val="003D2A41"/>
    <w:rsid w:val="003D4294"/>
    <w:rsid w:val="003D48CA"/>
    <w:rsid w:val="003D5446"/>
    <w:rsid w:val="003D5509"/>
    <w:rsid w:val="003D56F3"/>
    <w:rsid w:val="003D5AAB"/>
    <w:rsid w:val="003D627B"/>
    <w:rsid w:val="003D6683"/>
    <w:rsid w:val="003D67D0"/>
    <w:rsid w:val="003D6CA7"/>
    <w:rsid w:val="003D6F20"/>
    <w:rsid w:val="003D72E4"/>
    <w:rsid w:val="003D7823"/>
    <w:rsid w:val="003E0189"/>
    <w:rsid w:val="003E042B"/>
    <w:rsid w:val="003E1177"/>
    <w:rsid w:val="003E176C"/>
    <w:rsid w:val="003E1A1F"/>
    <w:rsid w:val="003E1BD4"/>
    <w:rsid w:val="003E1FFC"/>
    <w:rsid w:val="003E2159"/>
    <w:rsid w:val="003E241F"/>
    <w:rsid w:val="003E26F8"/>
    <w:rsid w:val="003E2705"/>
    <w:rsid w:val="003E2AC7"/>
    <w:rsid w:val="003E344E"/>
    <w:rsid w:val="003E3736"/>
    <w:rsid w:val="003E3ABC"/>
    <w:rsid w:val="003E3E8C"/>
    <w:rsid w:val="003E3FD7"/>
    <w:rsid w:val="003E49A3"/>
    <w:rsid w:val="003E4A40"/>
    <w:rsid w:val="003E4E9A"/>
    <w:rsid w:val="003E5119"/>
    <w:rsid w:val="003E53CC"/>
    <w:rsid w:val="003E55DE"/>
    <w:rsid w:val="003E563B"/>
    <w:rsid w:val="003E5934"/>
    <w:rsid w:val="003E6011"/>
    <w:rsid w:val="003E6EB6"/>
    <w:rsid w:val="003E6F90"/>
    <w:rsid w:val="003E711A"/>
    <w:rsid w:val="003E723A"/>
    <w:rsid w:val="003F02C0"/>
    <w:rsid w:val="003F0780"/>
    <w:rsid w:val="003F0A47"/>
    <w:rsid w:val="003F146F"/>
    <w:rsid w:val="003F1B98"/>
    <w:rsid w:val="003F1BA4"/>
    <w:rsid w:val="003F1FE8"/>
    <w:rsid w:val="003F20F3"/>
    <w:rsid w:val="003F2346"/>
    <w:rsid w:val="003F23D4"/>
    <w:rsid w:val="003F30AB"/>
    <w:rsid w:val="003F35F6"/>
    <w:rsid w:val="003F3650"/>
    <w:rsid w:val="003F3B26"/>
    <w:rsid w:val="003F419C"/>
    <w:rsid w:val="003F42FA"/>
    <w:rsid w:val="003F4BCA"/>
    <w:rsid w:val="003F4CBD"/>
    <w:rsid w:val="003F5665"/>
    <w:rsid w:val="003F58E8"/>
    <w:rsid w:val="003F58F9"/>
    <w:rsid w:val="003F5C2D"/>
    <w:rsid w:val="003F5CE8"/>
    <w:rsid w:val="003F6AC7"/>
    <w:rsid w:val="003F6F03"/>
    <w:rsid w:val="003F7454"/>
    <w:rsid w:val="003F778A"/>
    <w:rsid w:val="003F7B3E"/>
    <w:rsid w:val="004000DB"/>
    <w:rsid w:val="0040061C"/>
    <w:rsid w:val="004007BE"/>
    <w:rsid w:val="004007CD"/>
    <w:rsid w:val="00400938"/>
    <w:rsid w:val="00400F38"/>
    <w:rsid w:val="004010A2"/>
    <w:rsid w:val="0040132A"/>
    <w:rsid w:val="00401741"/>
    <w:rsid w:val="004018E5"/>
    <w:rsid w:val="00401DAD"/>
    <w:rsid w:val="00401ED5"/>
    <w:rsid w:val="00401EE0"/>
    <w:rsid w:val="00402913"/>
    <w:rsid w:val="00403084"/>
    <w:rsid w:val="00403160"/>
    <w:rsid w:val="00403354"/>
    <w:rsid w:val="00403890"/>
    <w:rsid w:val="00403896"/>
    <w:rsid w:val="00403C4C"/>
    <w:rsid w:val="00403CC2"/>
    <w:rsid w:val="004040E0"/>
    <w:rsid w:val="00404483"/>
    <w:rsid w:val="004047C6"/>
    <w:rsid w:val="00404F45"/>
    <w:rsid w:val="00405631"/>
    <w:rsid w:val="00405C08"/>
    <w:rsid w:val="00405D2A"/>
    <w:rsid w:val="0040621C"/>
    <w:rsid w:val="004062CA"/>
    <w:rsid w:val="004065CC"/>
    <w:rsid w:val="00407262"/>
    <w:rsid w:val="004075A3"/>
    <w:rsid w:val="00407CE3"/>
    <w:rsid w:val="004104E8"/>
    <w:rsid w:val="00410805"/>
    <w:rsid w:val="00410A09"/>
    <w:rsid w:val="00411142"/>
    <w:rsid w:val="00411264"/>
    <w:rsid w:val="004112E6"/>
    <w:rsid w:val="004116EF"/>
    <w:rsid w:val="004121F1"/>
    <w:rsid w:val="0041274B"/>
    <w:rsid w:val="004131C5"/>
    <w:rsid w:val="00413696"/>
    <w:rsid w:val="00413932"/>
    <w:rsid w:val="00413C7C"/>
    <w:rsid w:val="004140E7"/>
    <w:rsid w:val="00414A67"/>
    <w:rsid w:val="00414AF3"/>
    <w:rsid w:val="00414AFA"/>
    <w:rsid w:val="00414BE0"/>
    <w:rsid w:val="00414E11"/>
    <w:rsid w:val="0041597F"/>
    <w:rsid w:val="00415D1D"/>
    <w:rsid w:val="00415F85"/>
    <w:rsid w:val="00416179"/>
    <w:rsid w:val="004161EF"/>
    <w:rsid w:val="0041672E"/>
    <w:rsid w:val="00417041"/>
    <w:rsid w:val="0041750F"/>
    <w:rsid w:val="004177B7"/>
    <w:rsid w:val="00417B65"/>
    <w:rsid w:val="00417E80"/>
    <w:rsid w:val="004201A7"/>
    <w:rsid w:val="0042046D"/>
    <w:rsid w:val="004206E6"/>
    <w:rsid w:val="00420BA6"/>
    <w:rsid w:val="00420DCB"/>
    <w:rsid w:val="004222CE"/>
    <w:rsid w:val="00422E21"/>
    <w:rsid w:val="00424AFA"/>
    <w:rsid w:val="00424E04"/>
    <w:rsid w:val="00425066"/>
    <w:rsid w:val="00425520"/>
    <w:rsid w:val="00426268"/>
    <w:rsid w:val="00426804"/>
    <w:rsid w:val="00426C12"/>
    <w:rsid w:val="00427058"/>
    <w:rsid w:val="004271A3"/>
    <w:rsid w:val="00427D9C"/>
    <w:rsid w:val="00427DB4"/>
    <w:rsid w:val="00427DE8"/>
    <w:rsid w:val="00430654"/>
    <w:rsid w:val="0043067D"/>
    <w:rsid w:val="00430811"/>
    <w:rsid w:val="0043145A"/>
    <w:rsid w:val="00431570"/>
    <w:rsid w:val="00431A67"/>
    <w:rsid w:val="00431BCA"/>
    <w:rsid w:val="00432070"/>
    <w:rsid w:val="004328E2"/>
    <w:rsid w:val="00432B81"/>
    <w:rsid w:val="00433108"/>
    <w:rsid w:val="00433433"/>
    <w:rsid w:val="00433BDF"/>
    <w:rsid w:val="00434065"/>
    <w:rsid w:val="00434285"/>
    <w:rsid w:val="00434A60"/>
    <w:rsid w:val="00434CBC"/>
    <w:rsid w:val="004357FB"/>
    <w:rsid w:val="00435E13"/>
    <w:rsid w:val="00436628"/>
    <w:rsid w:val="0043699B"/>
    <w:rsid w:val="00436B87"/>
    <w:rsid w:val="0043706A"/>
    <w:rsid w:val="00437D43"/>
    <w:rsid w:val="00437EB9"/>
    <w:rsid w:val="00440283"/>
    <w:rsid w:val="004404FF"/>
    <w:rsid w:val="00440D23"/>
    <w:rsid w:val="0044134A"/>
    <w:rsid w:val="00441412"/>
    <w:rsid w:val="004419D4"/>
    <w:rsid w:val="00441BB3"/>
    <w:rsid w:val="00441C67"/>
    <w:rsid w:val="00441EFB"/>
    <w:rsid w:val="00441F49"/>
    <w:rsid w:val="004421BC"/>
    <w:rsid w:val="00442620"/>
    <w:rsid w:val="004426D1"/>
    <w:rsid w:val="00442995"/>
    <w:rsid w:val="004431A8"/>
    <w:rsid w:val="0044362D"/>
    <w:rsid w:val="00443776"/>
    <w:rsid w:val="00443C7E"/>
    <w:rsid w:val="00443DCA"/>
    <w:rsid w:val="00444344"/>
    <w:rsid w:val="00444F21"/>
    <w:rsid w:val="0044502A"/>
    <w:rsid w:val="004452C5"/>
    <w:rsid w:val="00445328"/>
    <w:rsid w:val="00445335"/>
    <w:rsid w:val="00445BEB"/>
    <w:rsid w:val="00445CFE"/>
    <w:rsid w:val="00445FCB"/>
    <w:rsid w:val="00446115"/>
    <w:rsid w:val="004463A6"/>
    <w:rsid w:val="004466B4"/>
    <w:rsid w:val="0044748F"/>
    <w:rsid w:val="00450A68"/>
    <w:rsid w:val="00450FA1"/>
    <w:rsid w:val="00451087"/>
    <w:rsid w:val="004512B9"/>
    <w:rsid w:val="00451463"/>
    <w:rsid w:val="00451717"/>
    <w:rsid w:val="004518D9"/>
    <w:rsid w:val="00452C29"/>
    <w:rsid w:val="00452CE1"/>
    <w:rsid w:val="004534CF"/>
    <w:rsid w:val="0045396E"/>
    <w:rsid w:val="00453DE1"/>
    <w:rsid w:val="0045410B"/>
    <w:rsid w:val="00454454"/>
    <w:rsid w:val="0045454F"/>
    <w:rsid w:val="00454557"/>
    <w:rsid w:val="0045480B"/>
    <w:rsid w:val="00454AD8"/>
    <w:rsid w:val="0045564C"/>
    <w:rsid w:val="00456630"/>
    <w:rsid w:val="004569ED"/>
    <w:rsid w:val="00456EF5"/>
    <w:rsid w:val="00457241"/>
    <w:rsid w:val="0045736C"/>
    <w:rsid w:val="00457B45"/>
    <w:rsid w:val="004605C8"/>
    <w:rsid w:val="004605C9"/>
    <w:rsid w:val="004605DB"/>
    <w:rsid w:val="004606DF"/>
    <w:rsid w:val="004608BB"/>
    <w:rsid w:val="00460B24"/>
    <w:rsid w:val="00460F7E"/>
    <w:rsid w:val="004624AD"/>
    <w:rsid w:val="00462D4D"/>
    <w:rsid w:val="00462ED0"/>
    <w:rsid w:val="0046317E"/>
    <w:rsid w:val="004631F8"/>
    <w:rsid w:val="00463FD7"/>
    <w:rsid w:val="004649ED"/>
    <w:rsid w:val="00464D4C"/>
    <w:rsid w:val="0046578E"/>
    <w:rsid w:val="004667F2"/>
    <w:rsid w:val="004668E9"/>
    <w:rsid w:val="004669AF"/>
    <w:rsid w:val="00466A17"/>
    <w:rsid w:val="00466EAB"/>
    <w:rsid w:val="004671B2"/>
    <w:rsid w:val="00467696"/>
    <w:rsid w:val="00467F07"/>
    <w:rsid w:val="00467F59"/>
    <w:rsid w:val="00470634"/>
    <w:rsid w:val="004707D9"/>
    <w:rsid w:val="00470D05"/>
    <w:rsid w:val="004712F7"/>
    <w:rsid w:val="00471D7C"/>
    <w:rsid w:val="00472715"/>
    <w:rsid w:val="00472C38"/>
    <w:rsid w:val="00472F1B"/>
    <w:rsid w:val="00473213"/>
    <w:rsid w:val="004733D2"/>
    <w:rsid w:val="00473C19"/>
    <w:rsid w:val="00473ED2"/>
    <w:rsid w:val="00473F12"/>
    <w:rsid w:val="004743B7"/>
    <w:rsid w:val="00474664"/>
    <w:rsid w:val="00474C59"/>
    <w:rsid w:val="00474C97"/>
    <w:rsid w:val="00474E3F"/>
    <w:rsid w:val="004755F7"/>
    <w:rsid w:val="00476480"/>
    <w:rsid w:val="00476FEE"/>
    <w:rsid w:val="00477CD3"/>
    <w:rsid w:val="00480059"/>
    <w:rsid w:val="004803E1"/>
    <w:rsid w:val="004804E7"/>
    <w:rsid w:val="004810FF"/>
    <w:rsid w:val="00481279"/>
    <w:rsid w:val="004812A9"/>
    <w:rsid w:val="00481CB9"/>
    <w:rsid w:val="00482512"/>
    <w:rsid w:val="00482641"/>
    <w:rsid w:val="004830DD"/>
    <w:rsid w:val="004833DD"/>
    <w:rsid w:val="0048384A"/>
    <w:rsid w:val="0048398D"/>
    <w:rsid w:val="00483BBC"/>
    <w:rsid w:val="00483E13"/>
    <w:rsid w:val="00484711"/>
    <w:rsid w:val="00484B40"/>
    <w:rsid w:val="004852A4"/>
    <w:rsid w:val="00486365"/>
    <w:rsid w:val="004863CB"/>
    <w:rsid w:val="004864E0"/>
    <w:rsid w:val="004866DC"/>
    <w:rsid w:val="00486DCC"/>
    <w:rsid w:val="00486E92"/>
    <w:rsid w:val="0048782A"/>
    <w:rsid w:val="00490390"/>
    <w:rsid w:val="00490719"/>
    <w:rsid w:val="004907FC"/>
    <w:rsid w:val="00490F5E"/>
    <w:rsid w:val="00491E85"/>
    <w:rsid w:val="004923C2"/>
    <w:rsid w:val="004927A7"/>
    <w:rsid w:val="004928BF"/>
    <w:rsid w:val="00492D18"/>
    <w:rsid w:val="004932B1"/>
    <w:rsid w:val="004934D2"/>
    <w:rsid w:val="00493A2C"/>
    <w:rsid w:val="00493DF4"/>
    <w:rsid w:val="00494172"/>
    <w:rsid w:val="00494463"/>
    <w:rsid w:val="004949A2"/>
    <w:rsid w:val="00495C5E"/>
    <w:rsid w:val="0049635A"/>
    <w:rsid w:val="00497299"/>
    <w:rsid w:val="004976CC"/>
    <w:rsid w:val="00497874"/>
    <w:rsid w:val="004978C9"/>
    <w:rsid w:val="00497A18"/>
    <w:rsid w:val="004A06D9"/>
    <w:rsid w:val="004A085C"/>
    <w:rsid w:val="004A12B5"/>
    <w:rsid w:val="004A130D"/>
    <w:rsid w:val="004A1883"/>
    <w:rsid w:val="004A2088"/>
    <w:rsid w:val="004A2388"/>
    <w:rsid w:val="004A2A03"/>
    <w:rsid w:val="004A2CDE"/>
    <w:rsid w:val="004A2D8A"/>
    <w:rsid w:val="004A31AF"/>
    <w:rsid w:val="004A32FE"/>
    <w:rsid w:val="004A3490"/>
    <w:rsid w:val="004A3768"/>
    <w:rsid w:val="004A3A39"/>
    <w:rsid w:val="004A4C82"/>
    <w:rsid w:val="004A4E54"/>
    <w:rsid w:val="004A4EDF"/>
    <w:rsid w:val="004A5693"/>
    <w:rsid w:val="004A5775"/>
    <w:rsid w:val="004A58A4"/>
    <w:rsid w:val="004A5A1D"/>
    <w:rsid w:val="004A5BB1"/>
    <w:rsid w:val="004A5C00"/>
    <w:rsid w:val="004A5D2E"/>
    <w:rsid w:val="004A6429"/>
    <w:rsid w:val="004A698C"/>
    <w:rsid w:val="004A6A22"/>
    <w:rsid w:val="004A6CE1"/>
    <w:rsid w:val="004A6D35"/>
    <w:rsid w:val="004A74D8"/>
    <w:rsid w:val="004A76EF"/>
    <w:rsid w:val="004A7A3D"/>
    <w:rsid w:val="004B01BD"/>
    <w:rsid w:val="004B0312"/>
    <w:rsid w:val="004B09C8"/>
    <w:rsid w:val="004B0BB4"/>
    <w:rsid w:val="004B10DF"/>
    <w:rsid w:val="004B1142"/>
    <w:rsid w:val="004B13C7"/>
    <w:rsid w:val="004B1900"/>
    <w:rsid w:val="004B1B9A"/>
    <w:rsid w:val="004B238C"/>
    <w:rsid w:val="004B24E6"/>
    <w:rsid w:val="004B2CD8"/>
    <w:rsid w:val="004B2E9D"/>
    <w:rsid w:val="004B3029"/>
    <w:rsid w:val="004B3938"/>
    <w:rsid w:val="004B3F4B"/>
    <w:rsid w:val="004B3F7E"/>
    <w:rsid w:val="004B428E"/>
    <w:rsid w:val="004B4842"/>
    <w:rsid w:val="004B4EB8"/>
    <w:rsid w:val="004B5242"/>
    <w:rsid w:val="004B5FFD"/>
    <w:rsid w:val="004B6102"/>
    <w:rsid w:val="004B6801"/>
    <w:rsid w:val="004B7006"/>
    <w:rsid w:val="004B7402"/>
    <w:rsid w:val="004B742C"/>
    <w:rsid w:val="004B7877"/>
    <w:rsid w:val="004B7AC8"/>
    <w:rsid w:val="004C063D"/>
    <w:rsid w:val="004C0703"/>
    <w:rsid w:val="004C0F09"/>
    <w:rsid w:val="004C11C7"/>
    <w:rsid w:val="004C15CD"/>
    <w:rsid w:val="004C1B5D"/>
    <w:rsid w:val="004C1F4F"/>
    <w:rsid w:val="004C216F"/>
    <w:rsid w:val="004C2320"/>
    <w:rsid w:val="004C2356"/>
    <w:rsid w:val="004C32F5"/>
    <w:rsid w:val="004C483E"/>
    <w:rsid w:val="004C4926"/>
    <w:rsid w:val="004C4ED9"/>
    <w:rsid w:val="004C5C6C"/>
    <w:rsid w:val="004C5E73"/>
    <w:rsid w:val="004C616E"/>
    <w:rsid w:val="004C6206"/>
    <w:rsid w:val="004C6464"/>
    <w:rsid w:val="004C6983"/>
    <w:rsid w:val="004C6AB7"/>
    <w:rsid w:val="004C7991"/>
    <w:rsid w:val="004C7E94"/>
    <w:rsid w:val="004C7EAC"/>
    <w:rsid w:val="004D0647"/>
    <w:rsid w:val="004D1712"/>
    <w:rsid w:val="004D1A37"/>
    <w:rsid w:val="004D2397"/>
    <w:rsid w:val="004D2507"/>
    <w:rsid w:val="004D2974"/>
    <w:rsid w:val="004D2B1A"/>
    <w:rsid w:val="004D365B"/>
    <w:rsid w:val="004D36E1"/>
    <w:rsid w:val="004D37BF"/>
    <w:rsid w:val="004D3D05"/>
    <w:rsid w:val="004D3FB1"/>
    <w:rsid w:val="004D4220"/>
    <w:rsid w:val="004D453A"/>
    <w:rsid w:val="004D4C61"/>
    <w:rsid w:val="004D4D22"/>
    <w:rsid w:val="004D4E2B"/>
    <w:rsid w:val="004D4F41"/>
    <w:rsid w:val="004D51FA"/>
    <w:rsid w:val="004D5334"/>
    <w:rsid w:val="004D54DF"/>
    <w:rsid w:val="004D579B"/>
    <w:rsid w:val="004D66AD"/>
    <w:rsid w:val="004D7116"/>
    <w:rsid w:val="004D7227"/>
    <w:rsid w:val="004D75FC"/>
    <w:rsid w:val="004D7935"/>
    <w:rsid w:val="004D7BF3"/>
    <w:rsid w:val="004D7C15"/>
    <w:rsid w:val="004D7C62"/>
    <w:rsid w:val="004E0373"/>
    <w:rsid w:val="004E043F"/>
    <w:rsid w:val="004E0466"/>
    <w:rsid w:val="004E139A"/>
    <w:rsid w:val="004E140D"/>
    <w:rsid w:val="004E1A37"/>
    <w:rsid w:val="004E1B29"/>
    <w:rsid w:val="004E1F8D"/>
    <w:rsid w:val="004E246A"/>
    <w:rsid w:val="004E24BC"/>
    <w:rsid w:val="004E266B"/>
    <w:rsid w:val="004E28DF"/>
    <w:rsid w:val="004E2A37"/>
    <w:rsid w:val="004E2F7E"/>
    <w:rsid w:val="004E37D5"/>
    <w:rsid w:val="004E3A18"/>
    <w:rsid w:val="004E3A1D"/>
    <w:rsid w:val="004E3A28"/>
    <w:rsid w:val="004E3E6A"/>
    <w:rsid w:val="004E42C8"/>
    <w:rsid w:val="004E4502"/>
    <w:rsid w:val="004E45E8"/>
    <w:rsid w:val="004E5222"/>
    <w:rsid w:val="004E5A6E"/>
    <w:rsid w:val="004E5DF4"/>
    <w:rsid w:val="004E62A7"/>
    <w:rsid w:val="004E6588"/>
    <w:rsid w:val="004E672F"/>
    <w:rsid w:val="004E6A7F"/>
    <w:rsid w:val="004E72C9"/>
    <w:rsid w:val="004E752D"/>
    <w:rsid w:val="004E7B22"/>
    <w:rsid w:val="004F0561"/>
    <w:rsid w:val="004F0693"/>
    <w:rsid w:val="004F1161"/>
    <w:rsid w:val="004F124F"/>
    <w:rsid w:val="004F15C5"/>
    <w:rsid w:val="004F161A"/>
    <w:rsid w:val="004F1A73"/>
    <w:rsid w:val="004F1BA5"/>
    <w:rsid w:val="004F2A70"/>
    <w:rsid w:val="004F2D52"/>
    <w:rsid w:val="004F315A"/>
    <w:rsid w:val="004F3365"/>
    <w:rsid w:val="004F4329"/>
    <w:rsid w:val="004F46C8"/>
    <w:rsid w:val="004F4D45"/>
    <w:rsid w:val="004F5731"/>
    <w:rsid w:val="004F5818"/>
    <w:rsid w:val="004F5EBC"/>
    <w:rsid w:val="004F60AB"/>
    <w:rsid w:val="004F6565"/>
    <w:rsid w:val="004F682C"/>
    <w:rsid w:val="004F7218"/>
    <w:rsid w:val="004F73AB"/>
    <w:rsid w:val="004F75DD"/>
    <w:rsid w:val="004F77FC"/>
    <w:rsid w:val="004F7A1F"/>
    <w:rsid w:val="004F7CD8"/>
    <w:rsid w:val="004F7F24"/>
    <w:rsid w:val="004F7F99"/>
    <w:rsid w:val="0050024B"/>
    <w:rsid w:val="00500285"/>
    <w:rsid w:val="005003D0"/>
    <w:rsid w:val="00500744"/>
    <w:rsid w:val="00500CCA"/>
    <w:rsid w:val="0050119C"/>
    <w:rsid w:val="005011F4"/>
    <w:rsid w:val="0050146B"/>
    <w:rsid w:val="00501A71"/>
    <w:rsid w:val="00501ED0"/>
    <w:rsid w:val="005021CB"/>
    <w:rsid w:val="005026E2"/>
    <w:rsid w:val="0050270A"/>
    <w:rsid w:val="00502C89"/>
    <w:rsid w:val="00502CE6"/>
    <w:rsid w:val="00503234"/>
    <w:rsid w:val="005048B1"/>
    <w:rsid w:val="00504A84"/>
    <w:rsid w:val="005054AF"/>
    <w:rsid w:val="00505656"/>
    <w:rsid w:val="00505931"/>
    <w:rsid w:val="00505A49"/>
    <w:rsid w:val="00505D33"/>
    <w:rsid w:val="00505E0C"/>
    <w:rsid w:val="005062CE"/>
    <w:rsid w:val="005064B0"/>
    <w:rsid w:val="00506BAD"/>
    <w:rsid w:val="00507145"/>
    <w:rsid w:val="005071B5"/>
    <w:rsid w:val="00507672"/>
    <w:rsid w:val="0050773E"/>
    <w:rsid w:val="00507C3D"/>
    <w:rsid w:val="0051105A"/>
    <w:rsid w:val="00511592"/>
    <w:rsid w:val="005116BD"/>
    <w:rsid w:val="00512172"/>
    <w:rsid w:val="00512ACC"/>
    <w:rsid w:val="00512CAD"/>
    <w:rsid w:val="00512D4F"/>
    <w:rsid w:val="00512EE5"/>
    <w:rsid w:val="0051370A"/>
    <w:rsid w:val="0051395D"/>
    <w:rsid w:val="00513AF3"/>
    <w:rsid w:val="00513F33"/>
    <w:rsid w:val="00514176"/>
    <w:rsid w:val="0051487A"/>
    <w:rsid w:val="005148BF"/>
    <w:rsid w:val="00514BC2"/>
    <w:rsid w:val="00515461"/>
    <w:rsid w:val="0051571E"/>
    <w:rsid w:val="005165AC"/>
    <w:rsid w:val="0051667C"/>
    <w:rsid w:val="005169A6"/>
    <w:rsid w:val="00516B36"/>
    <w:rsid w:val="00516B83"/>
    <w:rsid w:val="005174E8"/>
    <w:rsid w:val="005178D4"/>
    <w:rsid w:val="00517CCE"/>
    <w:rsid w:val="00520775"/>
    <w:rsid w:val="00520848"/>
    <w:rsid w:val="00520A95"/>
    <w:rsid w:val="00520C1F"/>
    <w:rsid w:val="00520F3C"/>
    <w:rsid w:val="00521524"/>
    <w:rsid w:val="005219D6"/>
    <w:rsid w:val="00521A5F"/>
    <w:rsid w:val="00521EAC"/>
    <w:rsid w:val="005222DE"/>
    <w:rsid w:val="00522325"/>
    <w:rsid w:val="00522969"/>
    <w:rsid w:val="005229EF"/>
    <w:rsid w:val="00522D7C"/>
    <w:rsid w:val="00523894"/>
    <w:rsid w:val="00524654"/>
    <w:rsid w:val="00524758"/>
    <w:rsid w:val="00524915"/>
    <w:rsid w:val="00524D9C"/>
    <w:rsid w:val="00524EB1"/>
    <w:rsid w:val="005254A8"/>
    <w:rsid w:val="00525515"/>
    <w:rsid w:val="00525591"/>
    <w:rsid w:val="0052584D"/>
    <w:rsid w:val="00525C38"/>
    <w:rsid w:val="00525EF1"/>
    <w:rsid w:val="005260F7"/>
    <w:rsid w:val="00526402"/>
    <w:rsid w:val="00526AE0"/>
    <w:rsid w:val="00527943"/>
    <w:rsid w:val="00527C94"/>
    <w:rsid w:val="0053108C"/>
    <w:rsid w:val="005315E0"/>
    <w:rsid w:val="0053185E"/>
    <w:rsid w:val="0053199A"/>
    <w:rsid w:val="00531DFE"/>
    <w:rsid w:val="0053216D"/>
    <w:rsid w:val="00532436"/>
    <w:rsid w:val="00532483"/>
    <w:rsid w:val="005328F9"/>
    <w:rsid w:val="00533461"/>
    <w:rsid w:val="005334CA"/>
    <w:rsid w:val="00533547"/>
    <w:rsid w:val="00533F04"/>
    <w:rsid w:val="005340D8"/>
    <w:rsid w:val="00534571"/>
    <w:rsid w:val="00534ABB"/>
    <w:rsid w:val="00534B55"/>
    <w:rsid w:val="00535CE6"/>
    <w:rsid w:val="00535E75"/>
    <w:rsid w:val="00536424"/>
    <w:rsid w:val="00536EFD"/>
    <w:rsid w:val="005370B4"/>
    <w:rsid w:val="005372E1"/>
    <w:rsid w:val="0053787C"/>
    <w:rsid w:val="00537893"/>
    <w:rsid w:val="00537DC4"/>
    <w:rsid w:val="00540C79"/>
    <w:rsid w:val="00540F9B"/>
    <w:rsid w:val="00542003"/>
    <w:rsid w:val="00542173"/>
    <w:rsid w:val="00542EB1"/>
    <w:rsid w:val="00543ABD"/>
    <w:rsid w:val="0054417B"/>
    <w:rsid w:val="0054469B"/>
    <w:rsid w:val="00544A33"/>
    <w:rsid w:val="005451FD"/>
    <w:rsid w:val="005459DE"/>
    <w:rsid w:val="00546E1D"/>
    <w:rsid w:val="00546FBA"/>
    <w:rsid w:val="00547212"/>
    <w:rsid w:val="005473F2"/>
    <w:rsid w:val="00547EE6"/>
    <w:rsid w:val="0055016E"/>
    <w:rsid w:val="00550901"/>
    <w:rsid w:val="00550F65"/>
    <w:rsid w:val="00551014"/>
    <w:rsid w:val="005510C8"/>
    <w:rsid w:val="00552241"/>
    <w:rsid w:val="005522F4"/>
    <w:rsid w:val="00552917"/>
    <w:rsid w:val="00552998"/>
    <w:rsid w:val="00553489"/>
    <w:rsid w:val="005541BA"/>
    <w:rsid w:val="00554207"/>
    <w:rsid w:val="0055506D"/>
    <w:rsid w:val="0055524A"/>
    <w:rsid w:val="005553B6"/>
    <w:rsid w:val="00555879"/>
    <w:rsid w:val="0055607A"/>
    <w:rsid w:val="00556269"/>
    <w:rsid w:val="0055653F"/>
    <w:rsid w:val="00556701"/>
    <w:rsid w:val="00556819"/>
    <w:rsid w:val="00556BD4"/>
    <w:rsid w:val="00556CCD"/>
    <w:rsid w:val="00557459"/>
    <w:rsid w:val="00557493"/>
    <w:rsid w:val="00557648"/>
    <w:rsid w:val="005577F6"/>
    <w:rsid w:val="00557A3B"/>
    <w:rsid w:val="00557D35"/>
    <w:rsid w:val="00560219"/>
    <w:rsid w:val="005609E9"/>
    <w:rsid w:val="00561698"/>
    <w:rsid w:val="00561BF2"/>
    <w:rsid w:val="005620A7"/>
    <w:rsid w:val="005625A7"/>
    <w:rsid w:val="005627A7"/>
    <w:rsid w:val="00562806"/>
    <w:rsid w:val="00562977"/>
    <w:rsid w:val="00563951"/>
    <w:rsid w:val="00563FB9"/>
    <w:rsid w:val="00563FCB"/>
    <w:rsid w:val="0056463D"/>
    <w:rsid w:val="00564B1F"/>
    <w:rsid w:val="00564D74"/>
    <w:rsid w:val="00564FD6"/>
    <w:rsid w:val="00565560"/>
    <w:rsid w:val="005657A1"/>
    <w:rsid w:val="00565D5C"/>
    <w:rsid w:val="00565FDE"/>
    <w:rsid w:val="00566497"/>
    <w:rsid w:val="00566846"/>
    <w:rsid w:val="0056684A"/>
    <w:rsid w:val="00566A4E"/>
    <w:rsid w:val="00566B3A"/>
    <w:rsid w:val="0056795D"/>
    <w:rsid w:val="00567B4F"/>
    <w:rsid w:val="0057014B"/>
    <w:rsid w:val="00570704"/>
    <w:rsid w:val="005714E1"/>
    <w:rsid w:val="00571EF8"/>
    <w:rsid w:val="005722AA"/>
    <w:rsid w:val="00572839"/>
    <w:rsid w:val="005731A7"/>
    <w:rsid w:val="0057329E"/>
    <w:rsid w:val="00574191"/>
    <w:rsid w:val="00574238"/>
    <w:rsid w:val="005742C3"/>
    <w:rsid w:val="00575310"/>
    <w:rsid w:val="005755B7"/>
    <w:rsid w:val="005767AB"/>
    <w:rsid w:val="005769E6"/>
    <w:rsid w:val="00576D2A"/>
    <w:rsid w:val="005770A3"/>
    <w:rsid w:val="005772EB"/>
    <w:rsid w:val="0057730B"/>
    <w:rsid w:val="0057755A"/>
    <w:rsid w:val="005776CB"/>
    <w:rsid w:val="00577F4C"/>
    <w:rsid w:val="00580509"/>
    <w:rsid w:val="0058077E"/>
    <w:rsid w:val="0058079B"/>
    <w:rsid w:val="00580C98"/>
    <w:rsid w:val="005811F5"/>
    <w:rsid w:val="0058158A"/>
    <w:rsid w:val="00581877"/>
    <w:rsid w:val="005820E5"/>
    <w:rsid w:val="00582620"/>
    <w:rsid w:val="005826D3"/>
    <w:rsid w:val="0058278C"/>
    <w:rsid w:val="005828A4"/>
    <w:rsid w:val="00582D0B"/>
    <w:rsid w:val="00582E04"/>
    <w:rsid w:val="00583285"/>
    <w:rsid w:val="005838B7"/>
    <w:rsid w:val="00583B6A"/>
    <w:rsid w:val="00583E6E"/>
    <w:rsid w:val="00584C83"/>
    <w:rsid w:val="005853AF"/>
    <w:rsid w:val="0058554F"/>
    <w:rsid w:val="00585758"/>
    <w:rsid w:val="005858EF"/>
    <w:rsid w:val="00585D6B"/>
    <w:rsid w:val="0058662B"/>
    <w:rsid w:val="00586817"/>
    <w:rsid w:val="00586D48"/>
    <w:rsid w:val="00586FAB"/>
    <w:rsid w:val="00587098"/>
    <w:rsid w:val="005877D3"/>
    <w:rsid w:val="00587B6B"/>
    <w:rsid w:val="00587F7F"/>
    <w:rsid w:val="00590174"/>
    <w:rsid w:val="005903B3"/>
    <w:rsid w:val="0059098C"/>
    <w:rsid w:val="00590B99"/>
    <w:rsid w:val="00590E9F"/>
    <w:rsid w:val="0059101B"/>
    <w:rsid w:val="0059134E"/>
    <w:rsid w:val="005913A8"/>
    <w:rsid w:val="00591640"/>
    <w:rsid w:val="00591A6B"/>
    <w:rsid w:val="00591EC8"/>
    <w:rsid w:val="005921FD"/>
    <w:rsid w:val="00592210"/>
    <w:rsid w:val="00592490"/>
    <w:rsid w:val="0059259A"/>
    <w:rsid w:val="0059264A"/>
    <w:rsid w:val="005926AA"/>
    <w:rsid w:val="005927B0"/>
    <w:rsid w:val="00593545"/>
    <w:rsid w:val="0059356E"/>
    <w:rsid w:val="00593A85"/>
    <w:rsid w:val="00594085"/>
    <w:rsid w:val="005941FE"/>
    <w:rsid w:val="00594301"/>
    <w:rsid w:val="00594930"/>
    <w:rsid w:val="00595C91"/>
    <w:rsid w:val="00595D07"/>
    <w:rsid w:val="005960D2"/>
    <w:rsid w:val="00596603"/>
    <w:rsid w:val="005969A9"/>
    <w:rsid w:val="00596B41"/>
    <w:rsid w:val="00596FD3"/>
    <w:rsid w:val="005973DD"/>
    <w:rsid w:val="0059749F"/>
    <w:rsid w:val="00597C03"/>
    <w:rsid w:val="00597F20"/>
    <w:rsid w:val="00597FBA"/>
    <w:rsid w:val="005A0598"/>
    <w:rsid w:val="005A0A71"/>
    <w:rsid w:val="005A11F0"/>
    <w:rsid w:val="005A16B9"/>
    <w:rsid w:val="005A1B8B"/>
    <w:rsid w:val="005A21E0"/>
    <w:rsid w:val="005A2237"/>
    <w:rsid w:val="005A2395"/>
    <w:rsid w:val="005A23B8"/>
    <w:rsid w:val="005A27A5"/>
    <w:rsid w:val="005A2847"/>
    <w:rsid w:val="005A2E90"/>
    <w:rsid w:val="005A34BA"/>
    <w:rsid w:val="005A3582"/>
    <w:rsid w:val="005A377C"/>
    <w:rsid w:val="005A41E6"/>
    <w:rsid w:val="005A41EC"/>
    <w:rsid w:val="005A47A8"/>
    <w:rsid w:val="005A650C"/>
    <w:rsid w:val="005A6F78"/>
    <w:rsid w:val="005A73B6"/>
    <w:rsid w:val="005B042F"/>
    <w:rsid w:val="005B20DF"/>
    <w:rsid w:val="005B2866"/>
    <w:rsid w:val="005B2CD6"/>
    <w:rsid w:val="005B2E88"/>
    <w:rsid w:val="005B39CF"/>
    <w:rsid w:val="005B3C53"/>
    <w:rsid w:val="005B3D19"/>
    <w:rsid w:val="005B3F61"/>
    <w:rsid w:val="005B4113"/>
    <w:rsid w:val="005B41B4"/>
    <w:rsid w:val="005B46F5"/>
    <w:rsid w:val="005B4773"/>
    <w:rsid w:val="005B4AF8"/>
    <w:rsid w:val="005B51AA"/>
    <w:rsid w:val="005B5260"/>
    <w:rsid w:val="005B52CD"/>
    <w:rsid w:val="005B589E"/>
    <w:rsid w:val="005B5A78"/>
    <w:rsid w:val="005B5E07"/>
    <w:rsid w:val="005B6099"/>
    <w:rsid w:val="005B620A"/>
    <w:rsid w:val="005B652D"/>
    <w:rsid w:val="005B666A"/>
    <w:rsid w:val="005B6F2F"/>
    <w:rsid w:val="005B76A6"/>
    <w:rsid w:val="005B7D10"/>
    <w:rsid w:val="005B7E32"/>
    <w:rsid w:val="005C0105"/>
    <w:rsid w:val="005C05D0"/>
    <w:rsid w:val="005C06B8"/>
    <w:rsid w:val="005C1460"/>
    <w:rsid w:val="005C19C0"/>
    <w:rsid w:val="005C1B22"/>
    <w:rsid w:val="005C1B63"/>
    <w:rsid w:val="005C20D4"/>
    <w:rsid w:val="005C27CD"/>
    <w:rsid w:val="005C2B5D"/>
    <w:rsid w:val="005C33B6"/>
    <w:rsid w:val="005C366A"/>
    <w:rsid w:val="005C3993"/>
    <w:rsid w:val="005C3B49"/>
    <w:rsid w:val="005C3C3E"/>
    <w:rsid w:val="005C3F2E"/>
    <w:rsid w:val="005C404A"/>
    <w:rsid w:val="005C4184"/>
    <w:rsid w:val="005C440B"/>
    <w:rsid w:val="005C4731"/>
    <w:rsid w:val="005C48CD"/>
    <w:rsid w:val="005C491C"/>
    <w:rsid w:val="005C4A53"/>
    <w:rsid w:val="005C4F60"/>
    <w:rsid w:val="005C505A"/>
    <w:rsid w:val="005C5D9A"/>
    <w:rsid w:val="005C5FE0"/>
    <w:rsid w:val="005C61F0"/>
    <w:rsid w:val="005C63B3"/>
    <w:rsid w:val="005C6543"/>
    <w:rsid w:val="005C662C"/>
    <w:rsid w:val="005C6FD7"/>
    <w:rsid w:val="005C7526"/>
    <w:rsid w:val="005C7BA0"/>
    <w:rsid w:val="005C7FCA"/>
    <w:rsid w:val="005D0341"/>
    <w:rsid w:val="005D03AB"/>
    <w:rsid w:val="005D04B0"/>
    <w:rsid w:val="005D07A8"/>
    <w:rsid w:val="005D090A"/>
    <w:rsid w:val="005D0C2D"/>
    <w:rsid w:val="005D0F85"/>
    <w:rsid w:val="005D10D2"/>
    <w:rsid w:val="005D13C7"/>
    <w:rsid w:val="005D1A71"/>
    <w:rsid w:val="005D1F45"/>
    <w:rsid w:val="005D26C7"/>
    <w:rsid w:val="005D2E6E"/>
    <w:rsid w:val="005D2EA6"/>
    <w:rsid w:val="005D30B7"/>
    <w:rsid w:val="005D3352"/>
    <w:rsid w:val="005D3866"/>
    <w:rsid w:val="005D38E3"/>
    <w:rsid w:val="005D4401"/>
    <w:rsid w:val="005D474B"/>
    <w:rsid w:val="005D4F6D"/>
    <w:rsid w:val="005D4F7D"/>
    <w:rsid w:val="005D50E5"/>
    <w:rsid w:val="005D5265"/>
    <w:rsid w:val="005D546C"/>
    <w:rsid w:val="005D5602"/>
    <w:rsid w:val="005D5CE0"/>
    <w:rsid w:val="005D5CE4"/>
    <w:rsid w:val="005D5E04"/>
    <w:rsid w:val="005D6D60"/>
    <w:rsid w:val="005D6E22"/>
    <w:rsid w:val="005D7218"/>
    <w:rsid w:val="005D740B"/>
    <w:rsid w:val="005D7F3D"/>
    <w:rsid w:val="005E005D"/>
    <w:rsid w:val="005E0BFC"/>
    <w:rsid w:val="005E1193"/>
    <w:rsid w:val="005E1467"/>
    <w:rsid w:val="005E19A8"/>
    <w:rsid w:val="005E1DFF"/>
    <w:rsid w:val="005E1F5F"/>
    <w:rsid w:val="005E200B"/>
    <w:rsid w:val="005E24C9"/>
    <w:rsid w:val="005E277F"/>
    <w:rsid w:val="005E4339"/>
    <w:rsid w:val="005E43FB"/>
    <w:rsid w:val="005E47B4"/>
    <w:rsid w:val="005E4A19"/>
    <w:rsid w:val="005E4AE7"/>
    <w:rsid w:val="005E57F7"/>
    <w:rsid w:val="005E644D"/>
    <w:rsid w:val="005E6B29"/>
    <w:rsid w:val="005E7C32"/>
    <w:rsid w:val="005E7D8F"/>
    <w:rsid w:val="005F00A1"/>
    <w:rsid w:val="005F04E5"/>
    <w:rsid w:val="005F0687"/>
    <w:rsid w:val="005F0983"/>
    <w:rsid w:val="005F0B6D"/>
    <w:rsid w:val="005F0CFF"/>
    <w:rsid w:val="005F0F54"/>
    <w:rsid w:val="005F12FD"/>
    <w:rsid w:val="005F146E"/>
    <w:rsid w:val="005F1587"/>
    <w:rsid w:val="005F173C"/>
    <w:rsid w:val="005F1859"/>
    <w:rsid w:val="005F1C20"/>
    <w:rsid w:val="005F25F5"/>
    <w:rsid w:val="005F2608"/>
    <w:rsid w:val="005F280A"/>
    <w:rsid w:val="005F2C06"/>
    <w:rsid w:val="005F32CC"/>
    <w:rsid w:val="005F34F0"/>
    <w:rsid w:val="005F4352"/>
    <w:rsid w:val="005F4D14"/>
    <w:rsid w:val="005F4F04"/>
    <w:rsid w:val="005F50ED"/>
    <w:rsid w:val="005F56AB"/>
    <w:rsid w:val="005F5A0F"/>
    <w:rsid w:val="005F5B65"/>
    <w:rsid w:val="005F621C"/>
    <w:rsid w:val="005F6FAF"/>
    <w:rsid w:val="005F7C24"/>
    <w:rsid w:val="005F7D81"/>
    <w:rsid w:val="00600656"/>
    <w:rsid w:val="006006A9"/>
    <w:rsid w:val="0060075F"/>
    <w:rsid w:val="00600DE6"/>
    <w:rsid w:val="00600E48"/>
    <w:rsid w:val="0060123E"/>
    <w:rsid w:val="00601633"/>
    <w:rsid w:val="00601C40"/>
    <w:rsid w:val="00602495"/>
    <w:rsid w:val="00602BF6"/>
    <w:rsid w:val="00602D4C"/>
    <w:rsid w:val="006030E2"/>
    <w:rsid w:val="00603BA1"/>
    <w:rsid w:val="00603BF5"/>
    <w:rsid w:val="00603F04"/>
    <w:rsid w:val="00603F5D"/>
    <w:rsid w:val="00604283"/>
    <w:rsid w:val="00604DD0"/>
    <w:rsid w:val="00604EA9"/>
    <w:rsid w:val="00605855"/>
    <w:rsid w:val="006062A8"/>
    <w:rsid w:val="00606526"/>
    <w:rsid w:val="00606538"/>
    <w:rsid w:val="00606B8E"/>
    <w:rsid w:val="0060711E"/>
    <w:rsid w:val="0060734C"/>
    <w:rsid w:val="00607AB8"/>
    <w:rsid w:val="00610144"/>
    <w:rsid w:val="006101F8"/>
    <w:rsid w:val="00610771"/>
    <w:rsid w:val="00611F5D"/>
    <w:rsid w:val="00612A76"/>
    <w:rsid w:val="00612AF8"/>
    <w:rsid w:val="00612B6C"/>
    <w:rsid w:val="00613887"/>
    <w:rsid w:val="00613A0F"/>
    <w:rsid w:val="006145C3"/>
    <w:rsid w:val="006145C7"/>
    <w:rsid w:val="006147A4"/>
    <w:rsid w:val="00614D35"/>
    <w:rsid w:val="00614FB9"/>
    <w:rsid w:val="0061593E"/>
    <w:rsid w:val="00615D07"/>
    <w:rsid w:val="00616256"/>
    <w:rsid w:val="00616305"/>
    <w:rsid w:val="00616AA6"/>
    <w:rsid w:val="00616E66"/>
    <w:rsid w:val="00617079"/>
    <w:rsid w:val="0061739E"/>
    <w:rsid w:val="006176EA"/>
    <w:rsid w:val="006177E6"/>
    <w:rsid w:val="00617A7F"/>
    <w:rsid w:val="00617BC1"/>
    <w:rsid w:val="00617ED5"/>
    <w:rsid w:val="0062057E"/>
    <w:rsid w:val="006205DE"/>
    <w:rsid w:val="00621074"/>
    <w:rsid w:val="00621212"/>
    <w:rsid w:val="00621524"/>
    <w:rsid w:val="00622047"/>
    <w:rsid w:val="00622C3A"/>
    <w:rsid w:val="00623561"/>
    <w:rsid w:val="00623B0A"/>
    <w:rsid w:val="00624D2C"/>
    <w:rsid w:val="00624EDF"/>
    <w:rsid w:val="00624FC8"/>
    <w:rsid w:val="00625F28"/>
    <w:rsid w:val="00626A62"/>
    <w:rsid w:val="00626FB2"/>
    <w:rsid w:val="00627312"/>
    <w:rsid w:val="006274CA"/>
    <w:rsid w:val="00627B37"/>
    <w:rsid w:val="00627E8E"/>
    <w:rsid w:val="00627F04"/>
    <w:rsid w:val="00627F0C"/>
    <w:rsid w:val="0063008E"/>
    <w:rsid w:val="0063009C"/>
    <w:rsid w:val="006302AE"/>
    <w:rsid w:val="006305DB"/>
    <w:rsid w:val="006306D7"/>
    <w:rsid w:val="00630C51"/>
    <w:rsid w:val="0063110F"/>
    <w:rsid w:val="0063125A"/>
    <w:rsid w:val="00631C65"/>
    <w:rsid w:val="00631C67"/>
    <w:rsid w:val="00631F19"/>
    <w:rsid w:val="0063280C"/>
    <w:rsid w:val="00632827"/>
    <w:rsid w:val="00633974"/>
    <w:rsid w:val="00633CD6"/>
    <w:rsid w:val="006340DC"/>
    <w:rsid w:val="0063428F"/>
    <w:rsid w:val="0063447C"/>
    <w:rsid w:val="00635211"/>
    <w:rsid w:val="006352C7"/>
    <w:rsid w:val="006353AA"/>
    <w:rsid w:val="00635588"/>
    <w:rsid w:val="00635EFE"/>
    <w:rsid w:val="00636188"/>
    <w:rsid w:val="0063639A"/>
    <w:rsid w:val="006365C3"/>
    <w:rsid w:val="00636DC1"/>
    <w:rsid w:val="00636DDE"/>
    <w:rsid w:val="00637938"/>
    <w:rsid w:val="00637A0A"/>
    <w:rsid w:val="00637DE9"/>
    <w:rsid w:val="006403C3"/>
    <w:rsid w:val="006406D0"/>
    <w:rsid w:val="00640F8F"/>
    <w:rsid w:val="00641187"/>
    <w:rsid w:val="006411D8"/>
    <w:rsid w:val="00641975"/>
    <w:rsid w:val="006427F7"/>
    <w:rsid w:val="006429B9"/>
    <w:rsid w:val="006432DD"/>
    <w:rsid w:val="006433DB"/>
    <w:rsid w:val="006436CD"/>
    <w:rsid w:val="006439B6"/>
    <w:rsid w:val="00643BE8"/>
    <w:rsid w:val="00644441"/>
    <w:rsid w:val="00644687"/>
    <w:rsid w:val="00645FF2"/>
    <w:rsid w:val="0064633D"/>
    <w:rsid w:val="00646D8B"/>
    <w:rsid w:val="00646EE7"/>
    <w:rsid w:val="00647604"/>
    <w:rsid w:val="00647BA4"/>
    <w:rsid w:val="00647D70"/>
    <w:rsid w:val="00650081"/>
    <w:rsid w:val="006501D8"/>
    <w:rsid w:val="00650337"/>
    <w:rsid w:val="0065094D"/>
    <w:rsid w:val="00650F05"/>
    <w:rsid w:val="0065104C"/>
    <w:rsid w:val="006511C1"/>
    <w:rsid w:val="00651B49"/>
    <w:rsid w:val="00652134"/>
    <w:rsid w:val="00652C74"/>
    <w:rsid w:val="00652F91"/>
    <w:rsid w:val="006533F6"/>
    <w:rsid w:val="00653558"/>
    <w:rsid w:val="00653599"/>
    <w:rsid w:val="00653604"/>
    <w:rsid w:val="00653711"/>
    <w:rsid w:val="00653B18"/>
    <w:rsid w:val="00653EF2"/>
    <w:rsid w:val="00653F6B"/>
    <w:rsid w:val="00654B4F"/>
    <w:rsid w:val="00655430"/>
    <w:rsid w:val="00656175"/>
    <w:rsid w:val="00656A4C"/>
    <w:rsid w:val="00656E69"/>
    <w:rsid w:val="0065733E"/>
    <w:rsid w:val="006605C3"/>
    <w:rsid w:val="0066063F"/>
    <w:rsid w:val="006606D3"/>
    <w:rsid w:val="006607DB"/>
    <w:rsid w:val="00660AFF"/>
    <w:rsid w:val="00661295"/>
    <w:rsid w:val="006616C4"/>
    <w:rsid w:val="00661BC6"/>
    <w:rsid w:val="00662145"/>
    <w:rsid w:val="00662855"/>
    <w:rsid w:val="00662960"/>
    <w:rsid w:val="006630A8"/>
    <w:rsid w:val="006630E8"/>
    <w:rsid w:val="00663413"/>
    <w:rsid w:val="006635A0"/>
    <w:rsid w:val="00663CE0"/>
    <w:rsid w:val="00663FDE"/>
    <w:rsid w:val="0066472A"/>
    <w:rsid w:val="00664857"/>
    <w:rsid w:val="00665411"/>
    <w:rsid w:val="006659B8"/>
    <w:rsid w:val="00665B73"/>
    <w:rsid w:val="00665E3F"/>
    <w:rsid w:val="006663EB"/>
    <w:rsid w:val="0066643A"/>
    <w:rsid w:val="0066672A"/>
    <w:rsid w:val="00666B7A"/>
    <w:rsid w:val="00666C0D"/>
    <w:rsid w:val="0066738A"/>
    <w:rsid w:val="00667A77"/>
    <w:rsid w:val="00667DA8"/>
    <w:rsid w:val="00667FB6"/>
    <w:rsid w:val="00670489"/>
    <w:rsid w:val="00670C39"/>
    <w:rsid w:val="006714C0"/>
    <w:rsid w:val="006714CB"/>
    <w:rsid w:val="00671D81"/>
    <w:rsid w:val="00672472"/>
    <w:rsid w:val="006724AC"/>
    <w:rsid w:val="006727EB"/>
    <w:rsid w:val="00672A81"/>
    <w:rsid w:val="00672CD9"/>
    <w:rsid w:val="00672D3A"/>
    <w:rsid w:val="00673107"/>
    <w:rsid w:val="0067367E"/>
    <w:rsid w:val="00673C60"/>
    <w:rsid w:val="00673F5E"/>
    <w:rsid w:val="0067409E"/>
    <w:rsid w:val="006744D9"/>
    <w:rsid w:val="006746DE"/>
    <w:rsid w:val="006748CC"/>
    <w:rsid w:val="00674C62"/>
    <w:rsid w:val="00674D08"/>
    <w:rsid w:val="00674EE2"/>
    <w:rsid w:val="006759BA"/>
    <w:rsid w:val="0067620B"/>
    <w:rsid w:val="0067685A"/>
    <w:rsid w:val="00677044"/>
    <w:rsid w:val="006773C8"/>
    <w:rsid w:val="00677FAB"/>
    <w:rsid w:val="006801EE"/>
    <w:rsid w:val="00680446"/>
    <w:rsid w:val="006804F1"/>
    <w:rsid w:val="006805A1"/>
    <w:rsid w:val="00680A72"/>
    <w:rsid w:val="00680A90"/>
    <w:rsid w:val="00680B27"/>
    <w:rsid w:val="00680B68"/>
    <w:rsid w:val="00680DEE"/>
    <w:rsid w:val="00681065"/>
    <w:rsid w:val="006810AC"/>
    <w:rsid w:val="0068169B"/>
    <w:rsid w:val="0068198D"/>
    <w:rsid w:val="00681E62"/>
    <w:rsid w:val="006823A5"/>
    <w:rsid w:val="00682D1F"/>
    <w:rsid w:val="006833E4"/>
    <w:rsid w:val="006838C0"/>
    <w:rsid w:val="00683B67"/>
    <w:rsid w:val="00683EEA"/>
    <w:rsid w:val="00683F4F"/>
    <w:rsid w:val="00683FDC"/>
    <w:rsid w:val="00684050"/>
    <w:rsid w:val="00684312"/>
    <w:rsid w:val="0068474A"/>
    <w:rsid w:val="00686206"/>
    <w:rsid w:val="00686357"/>
    <w:rsid w:val="006864DF"/>
    <w:rsid w:val="006867A5"/>
    <w:rsid w:val="00686902"/>
    <w:rsid w:val="00686E8B"/>
    <w:rsid w:val="00686EE8"/>
    <w:rsid w:val="0068706C"/>
    <w:rsid w:val="00687C08"/>
    <w:rsid w:val="006900CA"/>
    <w:rsid w:val="006900DC"/>
    <w:rsid w:val="00690262"/>
    <w:rsid w:val="0069034B"/>
    <w:rsid w:val="00690946"/>
    <w:rsid w:val="00690C28"/>
    <w:rsid w:val="00690C48"/>
    <w:rsid w:val="00690F37"/>
    <w:rsid w:val="00690F9C"/>
    <w:rsid w:val="00691A88"/>
    <w:rsid w:val="00691C5F"/>
    <w:rsid w:val="00692304"/>
    <w:rsid w:val="0069278C"/>
    <w:rsid w:val="00693071"/>
    <w:rsid w:val="00693151"/>
    <w:rsid w:val="00693417"/>
    <w:rsid w:val="00693B07"/>
    <w:rsid w:val="00693B3E"/>
    <w:rsid w:val="00693F7E"/>
    <w:rsid w:val="0069496B"/>
    <w:rsid w:val="00694A56"/>
    <w:rsid w:val="00694E90"/>
    <w:rsid w:val="006953EA"/>
    <w:rsid w:val="006958A4"/>
    <w:rsid w:val="00695960"/>
    <w:rsid w:val="00696193"/>
    <w:rsid w:val="00696511"/>
    <w:rsid w:val="00696998"/>
    <w:rsid w:val="00696D2F"/>
    <w:rsid w:val="006973C2"/>
    <w:rsid w:val="0069755A"/>
    <w:rsid w:val="00697F10"/>
    <w:rsid w:val="006A0445"/>
    <w:rsid w:val="006A1069"/>
    <w:rsid w:val="006A14BF"/>
    <w:rsid w:val="006A2074"/>
    <w:rsid w:val="006A2217"/>
    <w:rsid w:val="006A2F38"/>
    <w:rsid w:val="006A2FA3"/>
    <w:rsid w:val="006A349C"/>
    <w:rsid w:val="006A4BB1"/>
    <w:rsid w:val="006A4C91"/>
    <w:rsid w:val="006A5493"/>
    <w:rsid w:val="006A58C9"/>
    <w:rsid w:val="006A59E7"/>
    <w:rsid w:val="006A6840"/>
    <w:rsid w:val="006A6B38"/>
    <w:rsid w:val="006A718F"/>
    <w:rsid w:val="006A74A5"/>
    <w:rsid w:val="006A79AF"/>
    <w:rsid w:val="006B0BE7"/>
    <w:rsid w:val="006B132F"/>
    <w:rsid w:val="006B15D2"/>
    <w:rsid w:val="006B1610"/>
    <w:rsid w:val="006B2340"/>
    <w:rsid w:val="006B33FB"/>
    <w:rsid w:val="006B3734"/>
    <w:rsid w:val="006B3AE6"/>
    <w:rsid w:val="006B41EE"/>
    <w:rsid w:val="006B49AD"/>
    <w:rsid w:val="006B5496"/>
    <w:rsid w:val="006B5BA2"/>
    <w:rsid w:val="006B5EFE"/>
    <w:rsid w:val="006B6285"/>
    <w:rsid w:val="006B64CE"/>
    <w:rsid w:val="006B69EB"/>
    <w:rsid w:val="006B6A28"/>
    <w:rsid w:val="006B777E"/>
    <w:rsid w:val="006B77C4"/>
    <w:rsid w:val="006B796D"/>
    <w:rsid w:val="006B7CE8"/>
    <w:rsid w:val="006B7F2B"/>
    <w:rsid w:val="006B7F71"/>
    <w:rsid w:val="006C077D"/>
    <w:rsid w:val="006C1D1A"/>
    <w:rsid w:val="006C20AF"/>
    <w:rsid w:val="006C25C6"/>
    <w:rsid w:val="006C26BF"/>
    <w:rsid w:val="006C39DF"/>
    <w:rsid w:val="006C3B0B"/>
    <w:rsid w:val="006C4F82"/>
    <w:rsid w:val="006C56C5"/>
    <w:rsid w:val="006C5DB4"/>
    <w:rsid w:val="006C5F2C"/>
    <w:rsid w:val="006C6487"/>
    <w:rsid w:val="006D07F5"/>
    <w:rsid w:val="006D0AA4"/>
    <w:rsid w:val="006D0BF9"/>
    <w:rsid w:val="006D0FA5"/>
    <w:rsid w:val="006D10A6"/>
    <w:rsid w:val="006D143E"/>
    <w:rsid w:val="006D167B"/>
    <w:rsid w:val="006D183E"/>
    <w:rsid w:val="006D2B4A"/>
    <w:rsid w:val="006D2B6A"/>
    <w:rsid w:val="006D3277"/>
    <w:rsid w:val="006D329A"/>
    <w:rsid w:val="006D33A1"/>
    <w:rsid w:val="006D41FC"/>
    <w:rsid w:val="006D4A38"/>
    <w:rsid w:val="006D4C79"/>
    <w:rsid w:val="006D4CBC"/>
    <w:rsid w:val="006D4CEA"/>
    <w:rsid w:val="006D5E3F"/>
    <w:rsid w:val="006D6663"/>
    <w:rsid w:val="006D6829"/>
    <w:rsid w:val="006D68A1"/>
    <w:rsid w:val="006D6D51"/>
    <w:rsid w:val="006D6FE4"/>
    <w:rsid w:val="006D71E2"/>
    <w:rsid w:val="006D7887"/>
    <w:rsid w:val="006D7A19"/>
    <w:rsid w:val="006D7F07"/>
    <w:rsid w:val="006D7F10"/>
    <w:rsid w:val="006E057D"/>
    <w:rsid w:val="006E0844"/>
    <w:rsid w:val="006E09F2"/>
    <w:rsid w:val="006E0FF5"/>
    <w:rsid w:val="006E1547"/>
    <w:rsid w:val="006E23FB"/>
    <w:rsid w:val="006E2608"/>
    <w:rsid w:val="006E26A2"/>
    <w:rsid w:val="006E2B76"/>
    <w:rsid w:val="006E31D8"/>
    <w:rsid w:val="006E3229"/>
    <w:rsid w:val="006E328B"/>
    <w:rsid w:val="006E391A"/>
    <w:rsid w:val="006E40D7"/>
    <w:rsid w:val="006E4D0A"/>
    <w:rsid w:val="006E4ED0"/>
    <w:rsid w:val="006E5464"/>
    <w:rsid w:val="006E5B2D"/>
    <w:rsid w:val="006E5F7A"/>
    <w:rsid w:val="006E680A"/>
    <w:rsid w:val="006E6FE9"/>
    <w:rsid w:val="006E73D9"/>
    <w:rsid w:val="006E75C9"/>
    <w:rsid w:val="006E7719"/>
    <w:rsid w:val="006E773E"/>
    <w:rsid w:val="006E7A91"/>
    <w:rsid w:val="006E7F82"/>
    <w:rsid w:val="006F0426"/>
    <w:rsid w:val="006F04E8"/>
    <w:rsid w:val="006F0D3F"/>
    <w:rsid w:val="006F15B4"/>
    <w:rsid w:val="006F1C19"/>
    <w:rsid w:val="006F240C"/>
    <w:rsid w:val="006F243B"/>
    <w:rsid w:val="006F2CEA"/>
    <w:rsid w:val="006F2F14"/>
    <w:rsid w:val="006F37E9"/>
    <w:rsid w:val="006F388A"/>
    <w:rsid w:val="006F3D36"/>
    <w:rsid w:val="006F4099"/>
    <w:rsid w:val="006F40DC"/>
    <w:rsid w:val="006F4306"/>
    <w:rsid w:val="006F4435"/>
    <w:rsid w:val="006F4EC5"/>
    <w:rsid w:val="006F4FE8"/>
    <w:rsid w:val="006F503C"/>
    <w:rsid w:val="006F5882"/>
    <w:rsid w:val="006F5D0D"/>
    <w:rsid w:val="006F644C"/>
    <w:rsid w:val="006F6688"/>
    <w:rsid w:val="006F6EF0"/>
    <w:rsid w:val="006F7037"/>
    <w:rsid w:val="006F726A"/>
    <w:rsid w:val="006F7373"/>
    <w:rsid w:val="006F7515"/>
    <w:rsid w:val="006F7861"/>
    <w:rsid w:val="006F78AE"/>
    <w:rsid w:val="006F78F8"/>
    <w:rsid w:val="006F7A44"/>
    <w:rsid w:val="007005A2"/>
    <w:rsid w:val="00700604"/>
    <w:rsid w:val="00700F95"/>
    <w:rsid w:val="00702687"/>
    <w:rsid w:val="00702A01"/>
    <w:rsid w:val="00703B30"/>
    <w:rsid w:val="00703EAB"/>
    <w:rsid w:val="0070459A"/>
    <w:rsid w:val="00704A16"/>
    <w:rsid w:val="00704F7B"/>
    <w:rsid w:val="0070541C"/>
    <w:rsid w:val="007055B1"/>
    <w:rsid w:val="00705967"/>
    <w:rsid w:val="00705B60"/>
    <w:rsid w:val="00705EA8"/>
    <w:rsid w:val="00706946"/>
    <w:rsid w:val="00706A68"/>
    <w:rsid w:val="0070775E"/>
    <w:rsid w:val="00707A65"/>
    <w:rsid w:val="00710054"/>
    <w:rsid w:val="00710E2D"/>
    <w:rsid w:val="00710EE4"/>
    <w:rsid w:val="00710F90"/>
    <w:rsid w:val="00710FD7"/>
    <w:rsid w:val="007113FF"/>
    <w:rsid w:val="0071198A"/>
    <w:rsid w:val="00711DF1"/>
    <w:rsid w:val="00711EA3"/>
    <w:rsid w:val="0071207B"/>
    <w:rsid w:val="007124A8"/>
    <w:rsid w:val="007126F1"/>
    <w:rsid w:val="0071271C"/>
    <w:rsid w:val="0071299D"/>
    <w:rsid w:val="00712FD7"/>
    <w:rsid w:val="0071364D"/>
    <w:rsid w:val="007137AF"/>
    <w:rsid w:val="0071385F"/>
    <w:rsid w:val="0071396C"/>
    <w:rsid w:val="00713DEA"/>
    <w:rsid w:val="00713DFD"/>
    <w:rsid w:val="007142FA"/>
    <w:rsid w:val="007146C7"/>
    <w:rsid w:val="007155C0"/>
    <w:rsid w:val="007160A8"/>
    <w:rsid w:val="007163CA"/>
    <w:rsid w:val="0071657C"/>
    <w:rsid w:val="007165D4"/>
    <w:rsid w:val="007166E9"/>
    <w:rsid w:val="007168F1"/>
    <w:rsid w:val="00716BCA"/>
    <w:rsid w:val="00716F81"/>
    <w:rsid w:val="007175D7"/>
    <w:rsid w:val="00717D62"/>
    <w:rsid w:val="00717FF1"/>
    <w:rsid w:val="00720306"/>
    <w:rsid w:val="007203C9"/>
    <w:rsid w:val="00720C1D"/>
    <w:rsid w:val="00720F27"/>
    <w:rsid w:val="007212DB"/>
    <w:rsid w:val="00721E99"/>
    <w:rsid w:val="00721F03"/>
    <w:rsid w:val="00722359"/>
    <w:rsid w:val="007223D2"/>
    <w:rsid w:val="00723229"/>
    <w:rsid w:val="007238D7"/>
    <w:rsid w:val="007238E0"/>
    <w:rsid w:val="00723A2E"/>
    <w:rsid w:val="0072422A"/>
    <w:rsid w:val="00724EC4"/>
    <w:rsid w:val="00725538"/>
    <w:rsid w:val="00725560"/>
    <w:rsid w:val="00726D21"/>
    <w:rsid w:val="00726E8D"/>
    <w:rsid w:val="00727015"/>
    <w:rsid w:val="007274D4"/>
    <w:rsid w:val="007274E4"/>
    <w:rsid w:val="00727E3F"/>
    <w:rsid w:val="00727FF0"/>
    <w:rsid w:val="00730106"/>
    <w:rsid w:val="0073074F"/>
    <w:rsid w:val="007309A1"/>
    <w:rsid w:val="00731B2A"/>
    <w:rsid w:val="00731CB6"/>
    <w:rsid w:val="007323B7"/>
    <w:rsid w:val="00732EF0"/>
    <w:rsid w:val="00733346"/>
    <w:rsid w:val="0073386F"/>
    <w:rsid w:val="00733922"/>
    <w:rsid w:val="00733FEE"/>
    <w:rsid w:val="007348B1"/>
    <w:rsid w:val="0073493D"/>
    <w:rsid w:val="00734B24"/>
    <w:rsid w:val="00734CC6"/>
    <w:rsid w:val="00734FBF"/>
    <w:rsid w:val="00735235"/>
    <w:rsid w:val="00735AF7"/>
    <w:rsid w:val="007362BD"/>
    <w:rsid w:val="00736841"/>
    <w:rsid w:val="00736B7C"/>
    <w:rsid w:val="00736D93"/>
    <w:rsid w:val="007370BA"/>
    <w:rsid w:val="00737387"/>
    <w:rsid w:val="00737D7B"/>
    <w:rsid w:val="00737E3D"/>
    <w:rsid w:val="00737EF0"/>
    <w:rsid w:val="007400DE"/>
    <w:rsid w:val="007401A8"/>
    <w:rsid w:val="0074023F"/>
    <w:rsid w:val="00740C52"/>
    <w:rsid w:val="00740E85"/>
    <w:rsid w:val="007410C7"/>
    <w:rsid w:val="00741844"/>
    <w:rsid w:val="00741EEC"/>
    <w:rsid w:val="00743407"/>
    <w:rsid w:val="007434F4"/>
    <w:rsid w:val="00743692"/>
    <w:rsid w:val="00743F7F"/>
    <w:rsid w:val="00744341"/>
    <w:rsid w:val="00744530"/>
    <w:rsid w:val="00744994"/>
    <w:rsid w:val="00745171"/>
    <w:rsid w:val="0074574C"/>
    <w:rsid w:val="00745870"/>
    <w:rsid w:val="007459C7"/>
    <w:rsid w:val="00745AEB"/>
    <w:rsid w:val="0074686E"/>
    <w:rsid w:val="0074743D"/>
    <w:rsid w:val="00747A9D"/>
    <w:rsid w:val="00747F46"/>
    <w:rsid w:val="007502BF"/>
    <w:rsid w:val="0075061E"/>
    <w:rsid w:val="00750887"/>
    <w:rsid w:val="007509CC"/>
    <w:rsid w:val="007511D8"/>
    <w:rsid w:val="00751306"/>
    <w:rsid w:val="0075130E"/>
    <w:rsid w:val="007518FA"/>
    <w:rsid w:val="00751C34"/>
    <w:rsid w:val="00751F37"/>
    <w:rsid w:val="00752D6D"/>
    <w:rsid w:val="007532E6"/>
    <w:rsid w:val="007533D7"/>
    <w:rsid w:val="007537F9"/>
    <w:rsid w:val="007538A7"/>
    <w:rsid w:val="00753A04"/>
    <w:rsid w:val="00753E4F"/>
    <w:rsid w:val="007544DE"/>
    <w:rsid w:val="00754721"/>
    <w:rsid w:val="00754CCF"/>
    <w:rsid w:val="007551B3"/>
    <w:rsid w:val="0075566B"/>
    <w:rsid w:val="0075588E"/>
    <w:rsid w:val="007559FD"/>
    <w:rsid w:val="00756199"/>
    <w:rsid w:val="0075651B"/>
    <w:rsid w:val="00756C45"/>
    <w:rsid w:val="00757275"/>
    <w:rsid w:val="00757E92"/>
    <w:rsid w:val="00760AB3"/>
    <w:rsid w:val="00760E9D"/>
    <w:rsid w:val="00760F1B"/>
    <w:rsid w:val="007623DB"/>
    <w:rsid w:val="007633AA"/>
    <w:rsid w:val="00763678"/>
    <w:rsid w:val="00763EC6"/>
    <w:rsid w:val="007655C2"/>
    <w:rsid w:val="00765631"/>
    <w:rsid w:val="007656CE"/>
    <w:rsid w:val="007659F2"/>
    <w:rsid w:val="00765AB7"/>
    <w:rsid w:val="00765E36"/>
    <w:rsid w:val="0076605A"/>
    <w:rsid w:val="0076667E"/>
    <w:rsid w:val="007667B2"/>
    <w:rsid w:val="0076764A"/>
    <w:rsid w:val="00767B47"/>
    <w:rsid w:val="00767D13"/>
    <w:rsid w:val="00767F15"/>
    <w:rsid w:val="007705B2"/>
    <w:rsid w:val="00770C78"/>
    <w:rsid w:val="00770D0A"/>
    <w:rsid w:val="00770F7A"/>
    <w:rsid w:val="0077134F"/>
    <w:rsid w:val="007714F3"/>
    <w:rsid w:val="00772086"/>
    <w:rsid w:val="007720DE"/>
    <w:rsid w:val="00772D59"/>
    <w:rsid w:val="007730A7"/>
    <w:rsid w:val="007737AC"/>
    <w:rsid w:val="00773A83"/>
    <w:rsid w:val="00773B90"/>
    <w:rsid w:val="007742BA"/>
    <w:rsid w:val="00774877"/>
    <w:rsid w:val="00774A47"/>
    <w:rsid w:val="00774D7B"/>
    <w:rsid w:val="00774F88"/>
    <w:rsid w:val="00775145"/>
    <w:rsid w:val="00775263"/>
    <w:rsid w:val="007756D4"/>
    <w:rsid w:val="00775AAE"/>
    <w:rsid w:val="00775C66"/>
    <w:rsid w:val="00775E7C"/>
    <w:rsid w:val="00776004"/>
    <w:rsid w:val="0077624D"/>
    <w:rsid w:val="0077665E"/>
    <w:rsid w:val="00776916"/>
    <w:rsid w:val="00776D42"/>
    <w:rsid w:val="00776F02"/>
    <w:rsid w:val="007778E4"/>
    <w:rsid w:val="00777A2F"/>
    <w:rsid w:val="00777A3E"/>
    <w:rsid w:val="00777B00"/>
    <w:rsid w:val="00781578"/>
    <w:rsid w:val="0078165F"/>
    <w:rsid w:val="00781CFA"/>
    <w:rsid w:val="00781DB8"/>
    <w:rsid w:val="00781F30"/>
    <w:rsid w:val="0078217A"/>
    <w:rsid w:val="007826CE"/>
    <w:rsid w:val="00783211"/>
    <w:rsid w:val="007835A9"/>
    <w:rsid w:val="00783B0A"/>
    <w:rsid w:val="00783D87"/>
    <w:rsid w:val="00784D9C"/>
    <w:rsid w:val="00785269"/>
    <w:rsid w:val="00785657"/>
    <w:rsid w:val="00785793"/>
    <w:rsid w:val="0078685F"/>
    <w:rsid w:val="00786ADA"/>
    <w:rsid w:val="00787282"/>
    <w:rsid w:val="00787E5A"/>
    <w:rsid w:val="007900B6"/>
    <w:rsid w:val="007902C9"/>
    <w:rsid w:val="0079030F"/>
    <w:rsid w:val="007903B4"/>
    <w:rsid w:val="0079058B"/>
    <w:rsid w:val="007907C6"/>
    <w:rsid w:val="00790847"/>
    <w:rsid w:val="00791342"/>
    <w:rsid w:val="0079156D"/>
    <w:rsid w:val="007916C7"/>
    <w:rsid w:val="007926D0"/>
    <w:rsid w:val="007927BA"/>
    <w:rsid w:val="007928FB"/>
    <w:rsid w:val="00792DF4"/>
    <w:rsid w:val="00793BAF"/>
    <w:rsid w:val="00794609"/>
    <w:rsid w:val="007951FA"/>
    <w:rsid w:val="00795B66"/>
    <w:rsid w:val="00795EA7"/>
    <w:rsid w:val="007966DB"/>
    <w:rsid w:val="00796803"/>
    <w:rsid w:val="00796DA5"/>
    <w:rsid w:val="00797048"/>
    <w:rsid w:val="007970C4"/>
    <w:rsid w:val="0079726C"/>
    <w:rsid w:val="00797373"/>
    <w:rsid w:val="00797F78"/>
    <w:rsid w:val="007A01DA"/>
    <w:rsid w:val="007A0E66"/>
    <w:rsid w:val="007A1018"/>
    <w:rsid w:val="007A13B3"/>
    <w:rsid w:val="007A165B"/>
    <w:rsid w:val="007A2508"/>
    <w:rsid w:val="007A2723"/>
    <w:rsid w:val="007A2E6E"/>
    <w:rsid w:val="007A37BD"/>
    <w:rsid w:val="007A3AA1"/>
    <w:rsid w:val="007A41FE"/>
    <w:rsid w:val="007A45F6"/>
    <w:rsid w:val="007A4966"/>
    <w:rsid w:val="007A4C34"/>
    <w:rsid w:val="007A5088"/>
    <w:rsid w:val="007A5F54"/>
    <w:rsid w:val="007A5F5F"/>
    <w:rsid w:val="007A78FF"/>
    <w:rsid w:val="007A79DF"/>
    <w:rsid w:val="007A7AD6"/>
    <w:rsid w:val="007A7DF9"/>
    <w:rsid w:val="007B00CD"/>
    <w:rsid w:val="007B04DF"/>
    <w:rsid w:val="007B06CE"/>
    <w:rsid w:val="007B10D4"/>
    <w:rsid w:val="007B121C"/>
    <w:rsid w:val="007B16B9"/>
    <w:rsid w:val="007B1827"/>
    <w:rsid w:val="007B1841"/>
    <w:rsid w:val="007B1851"/>
    <w:rsid w:val="007B1D72"/>
    <w:rsid w:val="007B1F4D"/>
    <w:rsid w:val="007B26A4"/>
    <w:rsid w:val="007B32B7"/>
    <w:rsid w:val="007B3573"/>
    <w:rsid w:val="007B35E4"/>
    <w:rsid w:val="007B370A"/>
    <w:rsid w:val="007B4208"/>
    <w:rsid w:val="007B4535"/>
    <w:rsid w:val="007B4D45"/>
    <w:rsid w:val="007B4F51"/>
    <w:rsid w:val="007B5414"/>
    <w:rsid w:val="007B57A8"/>
    <w:rsid w:val="007B5D00"/>
    <w:rsid w:val="007B5EB6"/>
    <w:rsid w:val="007B6146"/>
    <w:rsid w:val="007B63E5"/>
    <w:rsid w:val="007B64F5"/>
    <w:rsid w:val="007B6888"/>
    <w:rsid w:val="007B6C59"/>
    <w:rsid w:val="007B6EE8"/>
    <w:rsid w:val="007B6FAA"/>
    <w:rsid w:val="007B7327"/>
    <w:rsid w:val="007B77DB"/>
    <w:rsid w:val="007B7C7E"/>
    <w:rsid w:val="007B7D96"/>
    <w:rsid w:val="007C030B"/>
    <w:rsid w:val="007C07B8"/>
    <w:rsid w:val="007C08BB"/>
    <w:rsid w:val="007C0EC4"/>
    <w:rsid w:val="007C11AC"/>
    <w:rsid w:val="007C161D"/>
    <w:rsid w:val="007C222C"/>
    <w:rsid w:val="007C2387"/>
    <w:rsid w:val="007C286C"/>
    <w:rsid w:val="007C2D28"/>
    <w:rsid w:val="007C31A0"/>
    <w:rsid w:val="007C3394"/>
    <w:rsid w:val="007C350E"/>
    <w:rsid w:val="007C4999"/>
    <w:rsid w:val="007C4F90"/>
    <w:rsid w:val="007C5770"/>
    <w:rsid w:val="007C5AE7"/>
    <w:rsid w:val="007C607C"/>
    <w:rsid w:val="007C613C"/>
    <w:rsid w:val="007C6482"/>
    <w:rsid w:val="007C64C9"/>
    <w:rsid w:val="007C6BC0"/>
    <w:rsid w:val="007C6DB8"/>
    <w:rsid w:val="007C6ED4"/>
    <w:rsid w:val="007C6F0F"/>
    <w:rsid w:val="007C763D"/>
    <w:rsid w:val="007C76B8"/>
    <w:rsid w:val="007D0162"/>
    <w:rsid w:val="007D01B5"/>
    <w:rsid w:val="007D061D"/>
    <w:rsid w:val="007D06BF"/>
    <w:rsid w:val="007D078C"/>
    <w:rsid w:val="007D17A0"/>
    <w:rsid w:val="007D23E3"/>
    <w:rsid w:val="007D244A"/>
    <w:rsid w:val="007D24C8"/>
    <w:rsid w:val="007D2A67"/>
    <w:rsid w:val="007D2ABB"/>
    <w:rsid w:val="007D2D02"/>
    <w:rsid w:val="007D3524"/>
    <w:rsid w:val="007D3945"/>
    <w:rsid w:val="007D3BAD"/>
    <w:rsid w:val="007D409B"/>
    <w:rsid w:val="007D44AB"/>
    <w:rsid w:val="007D4602"/>
    <w:rsid w:val="007D46CA"/>
    <w:rsid w:val="007D4723"/>
    <w:rsid w:val="007D5738"/>
    <w:rsid w:val="007D5F97"/>
    <w:rsid w:val="007D62F0"/>
    <w:rsid w:val="007D6AD9"/>
    <w:rsid w:val="007D6B48"/>
    <w:rsid w:val="007D6FBF"/>
    <w:rsid w:val="007D7DA1"/>
    <w:rsid w:val="007D7DBB"/>
    <w:rsid w:val="007E03E9"/>
    <w:rsid w:val="007E1257"/>
    <w:rsid w:val="007E1455"/>
    <w:rsid w:val="007E146D"/>
    <w:rsid w:val="007E18A7"/>
    <w:rsid w:val="007E1EB3"/>
    <w:rsid w:val="007E2820"/>
    <w:rsid w:val="007E3765"/>
    <w:rsid w:val="007E3989"/>
    <w:rsid w:val="007E4221"/>
    <w:rsid w:val="007E47FA"/>
    <w:rsid w:val="007E4C3A"/>
    <w:rsid w:val="007E4D1E"/>
    <w:rsid w:val="007E4EBC"/>
    <w:rsid w:val="007E4EFA"/>
    <w:rsid w:val="007E522B"/>
    <w:rsid w:val="007E555C"/>
    <w:rsid w:val="007E5B72"/>
    <w:rsid w:val="007E5C31"/>
    <w:rsid w:val="007E5D34"/>
    <w:rsid w:val="007E6059"/>
    <w:rsid w:val="007E641E"/>
    <w:rsid w:val="007E6BC0"/>
    <w:rsid w:val="007E7119"/>
    <w:rsid w:val="007E7E89"/>
    <w:rsid w:val="007F01E9"/>
    <w:rsid w:val="007F092E"/>
    <w:rsid w:val="007F0B16"/>
    <w:rsid w:val="007F0D01"/>
    <w:rsid w:val="007F11D6"/>
    <w:rsid w:val="007F15EC"/>
    <w:rsid w:val="007F184C"/>
    <w:rsid w:val="007F1B43"/>
    <w:rsid w:val="007F1CD3"/>
    <w:rsid w:val="007F3F1C"/>
    <w:rsid w:val="007F447C"/>
    <w:rsid w:val="007F4D62"/>
    <w:rsid w:val="007F504D"/>
    <w:rsid w:val="007F58F5"/>
    <w:rsid w:val="007F5D2F"/>
    <w:rsid w:val="007F5FE7"/>
    <w:rsid w:val="007F604E"/>
    <w:rsid w:val="007F6318"/>
    <w:rsid w:val="007F6679"/>
    <w:rsid w:val="007F7013"/>
    <w:rsid w:val="007F7748"/>
    <w:rsid w:val="007F77B8"/>
    <w:rsid w:val="007F7F37"/>
    <w:rsid w:val="007F7F45"/>
    <w:rsid w:val="0080076E"/>
    <w:rsid w:val="00800841"/>
    <w:rsid w:val="00800EFD"/>
    <w:rsid w:val="008010F9"/>
    <w:rsid w:val="008018FE"/>
    <w:rsid w:val="008019EB"/>
    <w:rsid w:val="0080230C"/>
    <w:rsid w:val="00802506"/>
    <w:rsid w:val="0080255D"/>
    <w:rsid w:val="0080289D"/>
    <w:rsid w:val="008028D9"/>
    <w:rsid w:val="00802CBB"/>
    <w:rsid w:val="00802D5F"/>
    <w:rsid w:val="0080313A"/>
    <w:rsid w:val="0080331C"/>
    <w:rsid w:val="00803342"/>
    <w:rsid w:val="008035CC"/>
    <w:rsid w:val="008036F8"/>
    <w:rsid w:val="0080416D"/>
    <w:rsid w:val="00804B54"/>
    <w:rsid w:val="00805254"/>
    <w:rsid w:val="0080563F"/>
    <w:rsid w:val="008059F8"/>
    <w:rsid w:val="00805D09"/>
    <w:rsid w:val="008063B6"/>
    <w:rsid w:val="00806E92"/>
    <w:rsid w:val="0080706D"/>
    <w:rsid w:val="00807EDA"/>
    <w:rsid w:val="00807FF8"/>
    <w:rsid w:val="00810207"/>
    <w:rsid w:val="0081072A"/>
    <w:rsid w:val="008107A0"/>
    <w:rsid w:val="00810853"/>
    <w:rsid w:val="00810B73"/>
    <w:rsid w:val="00810EEB"/>
    <w:rsid w:val="00811079"/>
    <w:rsid w:val="00811C1D"/>
    <w:rsid w:val="00812044"/>
    <w:rsid w:val="00812231"/>
    <w:rsid w:val="00812748"/>
    <w:rsid w:val="00813216"/>
    <w:rsid w:val="00813BE2"/>
    <w:rsid w:val="00814110"/>
    <w:rsid w:val="00814206"/>
    <w:rsid w:val="00814461"/>
    <w:rsid w:val="00814541"/>
    <w:rsid w:val="008145A9"/>
    <w:rsid w:val="00814807"/>
    <w:rsid w:val="00814AC0"/>
    <w:rsid w:val="00814FC0"/>
    <w:rsid w:val="008150DC"/>
    <w:rsid w:val="008152FC"/>
    <w:rsid w:val="008156D9"/>
    <w:rsid w:val="00815744"/>
    <w:rsid w:val="00815B89"/>
    <w:rsid w:val="00815F96"/>
    <w:rsid w:val="00815FA9"/>
    <w:rsid w:val="00816186"/>
    <w:rsid w:val="008167E6"/>
    <w:rsid w:val="00816EE3"/>
    <w:rsid w:val="00816FD2"/>
    <w:rsid w:val="008172A1"/>
    <w:rsid w:val="00817BB5"/>
    <w:rsid w:val="0082162B"/>
    <w:rsid w:val="00821792"/>
    <w:rsid w:val="00821CD6"/>
    <w:rsid w:val="008224D9"/>
    <w:rsid w:val="00822838"/>
    <w:rsid w:val="008228CA"/>
    <w:rsid w:val="00822DEC"/>
    <w:rsid w:val="0082348A"/>
    <w:rsid w:val="008234A5"/>
    <w:rsid w:val="008235FC"/>
    <w:rsid w:val="00823C13"/>
    <w:rsid w:val="00823C92"/>
    <w:rsid w:val="00823CAA"/>
    <w:rsid w:val="00823DCC"/>
    <w:rsid w:val="008244B7"/>
    <w:rsid w:val="00824849"/>
    <w:rsid w:val="00824A9E"/>
    <w:rsid w:val="00824BBA"/>
    <w:rsid w:val="00824BF3"/>
    <w:rsid w:val="00825508"/>
    <w:rsid w:val="0082599D"/>
    <w:rsid w:val="00825BCB"/>
    <w:rsid w:val="0082646A"/>
    <w:rsid w:val="008266D8"/>
    <w:rsid w:val="008271B5"/>
    <w:rsid w:val="00827674"/>
    <w:rsid w:val="008278AB"/>
    <w:rsid w:val="00827A2B"/>
    <w:rsid w:val="00827B09"/>
    <w:rsid w:val="00830096"/>
    <w:rsid w:val="008308A9"/>
    <w:rsid w:val="0083103F"/>
    <w:rsid w:val="00831053"/>
    <w:rsid w:val="00831121"/>
    <w:rsid w:val="00831D49"/>
    <w:rsid w:val="008327AC"/>
    <w:rsid w:val="008328CE"/>
    <w:rsid w:val="008336C6"/>
    <w:rsid w:val="0083397F"/>
    <w:rsid w:val="00833F0E"/>
    <w:rsid w:val="0083458C"/>
    <w:rsid w:val="00834981"/>
    <w:rsid w:val="00834C52"/>
    <w:rsid w:val="00834DAD"/>
    <w:rsid w:val="00834E9E"/>
    <w:rsid w:val="00835663"/>
    <w:rsid w:val="008361EC"/>
    <w:rsid w:val="00836446"/>
    <w:rsid w:val="00836919"/>
    <w:rsid w:val="00836C74"/>
    <w:rsid w:val="008413E3"/>
    <w:rsid w:val="0084187A"/>
    <w:rsid w:val="008419F6"/>
    <w:rsid w:val="00842036"/>
    <w:rsid w:val="0084269B"/>
    <w:rsid w:val="00842E3C"/>
    <w:rsid w:val="0084306C"/>
    <w:rsid w:val="008443C8"/>
    <w:rsid w:val="0084442B"/>
    <w:rsid w:val="008444DE"/>
    <w:rsid w:val="00844696"/>
    <w:rsid w:val="0084472E"/>
    <w:rsid w:val="00844C87"/>
    <w:rsid w:val="00844E25"/>
    <w:rsid w:val="00844EDD"/>
    <w:rsid w:val="00844FC6"/>
    <w:rsid w:val="00845079"/>
    <w:rsid w:val="00845803"/>
    <w:rsid w:val="00845A35"/>
    <w:rsid w:val="00845DC0"/>
    <w:rsid w:val="00846CF5"/>
    <w:rsid w:val="0084789A"/>
    <w:rsid w:val="00847D35"/>
    <w:rsid w:val="008502F1"/>
    <w:rsid w:val="0085036B"/>
    <w:rsid w:val="00850395"/>
    <w:rsid w:val="00850A5E"/>
    <w:rsid w:val="00850ABA"/>
    <w:rsid w:val="00850D50"/>
    <w:rsid w:val="00850F1F"/>
    <w:rsid w:val="00850F9E"/>
    <w:rsid w:val="008510E7"/>
    <w:rsid w:val="008511D0"/>
    <w:rsid w:val="00851A3D"/>
    <w:rsid w:val="0085211B"/>
    <w:rsid w:val="008522BF"/>
    <w:rsid w:val="00852626"/>
    <w:rsid w:val="00852645"/>
    <w:rsid w:val="00852C89"/>
    <w:rsid w:val="00852DDF"/>
    <w:rsid w:val="00852E58"/>
    <w:rsid w:val="00853317"/>
    <w:rsid w:val="00853515"/>
    <w:rsid w:val="00853770"/>
    <w:rsid w:val="00853948"/>
    <w:rsid w:val="00854178"/>
    <w:rsid w:val="008541BF"/>
    <w:rsid w:val="0085438D"/>
    <w:rsid w:val="008557B2"/>
    <w:rsid w:val="00855E72"/>
    <w:rsid w:val="0085642B"/>
    <w:rsid w:val="008566CE"/>
    <w:rsid w:val="008566E3"/>
    <w:rsid w:val="00856822"/>
    <w:rsid w:val="008569BD"/>
    <w:rsid w:val="00856A73"/>
    <w:rsid w:val="008570C2"/>
    <w:rsid w:val="00857BCF"/>
    <w:rsid w:val="0086038D"/>
    <w:rsid w:val="00860458"/>
    <w:rsid w:val="00860913"/>
    <w:rsid w:val="00860BC8"/>
    <w:rsid w:val="00860EDF"/>
    <w:rsid w:val="0086167B"/>
    <w:rsid w:val="00861A58"/>
    <w:rsid w:val="00862217"/>
    <w:rsid w:val="00862219"/>
    <w:rsid w:val="0086231B"/>
    <w:rsid w:val="008623E9"/>
    <w:rsid w:val="00862A66"/>
    <w:rsid w:val="00862E7F"/>
    <w:rsid w:val="00862F2D"/>
    <w:rsid w:val="0086329E"/>
    <w:rsid w:val="00863B8A"/>
    <w:rsid w:val="00863BF7"/>
    <w:rsid w:val="00863F7B"/>
    <w:rsid w:val="00864465"/>
    <w:rsid w:val="00864915"/>
    <w:rsid w:val="00864C19"/>
    <w:rsid w:val="00864C55"/>
    <w:rsid w:val="00864D00"/>
    <w:rsid w:val="0086571C"/>
    <w:rsid w:val="00865823"/>
    <w:rsid w:val="008658B6"/>
    <w:rsid w:val="0086592E"/>
    <w:rsid w:val="00865FDC"/>
    <w:rsid w:val="00866CC4"/>
    <w:rsid w:val="00867038"/>
    <w:rsid w:val="008672C2"/>
    <w:rsid w:val="008672F5"/>
    <w:rsid w:val="0086738F"/>
    <w:rsid w:val="0086768D"/>
    <w:rsid w:val="00870957"/>
    <w:rsid w:val="008709E7"/>
    <w:rsid w:val="00871077"/>
    <w:rsid w:val="008716BB"/>
    <w:rsid w:val="0087173B"/>
    <w:rsid w:val="00871A55"/>
    <w:rsid w:val="008723D8"/>
    <w:rsid w:val="00872D4E"/>
    <w:rsid w:val="00872F90"/>
    <w:rsid w:val="00873220"/>
    <w:rsid w:val="00873C8D"/>
    <w:rsid w:val="0087450B"/>
    <w:rsid w:val="00874D7F"/>
    <w:rsid w:val="00874F33"/>
    <w:rsid w:val="00875846"/>
    <w:rsid w:val="00875959"/>
    <w:rsid w:val="00875A19"/>
    <w:rsid w:val="00875C08"/>
    <w:rsid w:val="0087629E"/>
    <w:rsid w:val="00876B5C"/>
    <w:rsid w:val="00876F6C"/>
    <w:rsid w:val="00876FA2"/>
    <w:rsid w:val="0087739C"/>
    <w:rsid w:val="00877C43"/>
    <w:rsid w:val="00877EFD"/>
    <w:rsid w:val="008803DF"/>
    <w:rsid w:val="008805A5"/>
    <w:rsid w:val="00880975"/>
    <w:rsid w:val="00880CF2"/>
    <w:rsid w:val="00880DC4"/>
    <w:rsid w:val="00881CC8"/>
    <w:rsid w:val="0088217A"/>
    <w:rsid w:val="0088235C"/>
    <w:rsid w:val="0088251C"/>
    <w:rsid w:val="00882672"/>
    <w:rsid w:val="008827F8"/>
    <w:rsid w:val="00882981"/>
    <w:rsid w:val="00882F5C"/>
    <w:rsid w:val="00883230"/>
    <w:rsid w:val="00883502"/>
    <w:rsid w:val="00883E4E"/>
    <w:rsid w:val="00884717"/>
    <w:rsid w:val="00884A75"/>
    <w:rsid w:val="00884EA3"/>
    <w:rsid w:val="00885403"/>
    <w:rsid w:val="008855E4"/>
    <w:rsid w:val="008857F6"/>
    <w:rsid w:val="008866E8"/>
    <w:rsid w:val="00886C1A"/>
    <w:rsid w:val="00886F2E"/>
    <w:rsid w:val="008871D3"/>
    <w:rsid w:val="0088724F"/>
    <w:rsid w:val="00887366"/>
    <w:rsid w:val="008875DC"/>
    <w:rsid w:val="0088775D"/>
    <w:rsid w:val="00890118"/>
    <w:rsid w:val="00890B1B"/>
    <w:rsid w:val="00890B44"/>
    <w:rsid w:val="008910E0"/>
    <w:rsid w:val="008924B7"/>
    <w:rsid w:val="00892724"/>
    <w:rsid w:val="00892989"/>
    <w:rsid w:val="00892C29"/>
    <w:rsid w:val="00892D9E"/>
    <w:rsid w:val="00892EDC"/>
    <w:rsid w:val="00893229"/>
    <w:rsid w:val="0089327E"/>
    <w:rsid w:val="008933A3"/>
    <w:rsid w:val="008935B3"/>
    <w:rsid w:val="0089367C"/>
    <w:rsid w:val="0089376B"/>
    <w:rsid w:val="008937AF"/>
    <w:rsid w:val="00894574"/>
    <w:rsid w:val="00894794"/>
    <w:rsid w:val="008948C4"/>
    <w:rsid w:val="00894BCC"/>
    <w:rsid w:val="00894C42"/>
    <w:rsid w:val="00895431"/>
    <w:rsid w:val="008957C3"/>
    <w:rsid w:val="00895DCF"/>
    <w:rsid w:val="00895E73"/>
    <w:rsid w:val="00896C0B"/>
    <w:rsid w:val="00896D46"/>
    <w:rsid w:val="00896E2D"/>
    <w:rsid w:val="00896E66"/>
    <w:rsid w:val="008972E1"/>
    <w:rsid w:val="00897762"/>
    <w:rsid w:val="00897851"/>
    <w:rsid w:val="00897A1B"/>
    <w:rsid w:val="00897CE2"/>
    <w:rsid w:val="00897D44"/>
    <w:rsid w:val="008A0027"/>
    <w:rsid w:val="008A022D"/>
    <w:rsid w:val="008A035B"/>
    <w:rsid w:val="008A0518"/>
    <w:rsid w:val="008A0EC5"/>
    <w:rsid w:val="008A13CB"/>
    <w:rsid w:val="008A1470"/>
    <w:rsid w:val="008A1584"/>
    <w:rsid w:val="008A1D02"/>
    <w:rsid w:val="008A1E63"/>
    <w:rsid w:val="008A1EC4"/>
    <w:rsid w:val="008A2124"/>
    <w:rsid w:val="008A248A"/>
    <w:rsid w:val="008A2603"/>
    <w:rsid w:val="008A26A4"/>
    <w:rsid w:val="008A28C5"/>
    <w:rsid w:val="008A2B4A"/>
    <w:rsid w:val="008A30C1"/>
    <w:rsid w:val="008A32FF"/>
    <w:rsid w:val="008A35D4"/>
    <w:rsid w:val="008A398C"/>
    <w:rsid w:val="008A3EE3"/>
    <w:rsid w:val="008A4185"/>
    <w:rsid w:val="008A4915"/>
    <w:rsid w:val="008A4EA3"/>
    <w:rsid w:val="008A53AE"/>
    <w:rsid w:val="008A5425"/>
    <w:rsid w:val="008A595F"/>
    <w:rsid w:val="008A5A2B"/>
    <w:rsid w:val="008A5B99"/>
    <w:rsid w:val="008A5C58"/>
    <w:rsid w:val="008A5C73"/>
    <w:rsid w:val="008A5F83"/>
    <w:rsid w:val="008A6388"/>
    <w:rsid w:val="008A63CE"/>
    <w:rsid w:val="008A6C5E"/>
    <w:rsid w:val="008A6C68"/>
    <w:rsid w:val="008A7296"/>
    <w:rsid w:val="008A7416"/>
    <w:rsid w:val="008A7A40"/>
    <w:rsid w:val="008B019B"/>
    <w:rsid w:val="008B0605"/>
    <w:rsid w:val="008B0641"/>
    <w:rsid w:val="008B076F"/>
    <w:rsid w:val="008B0EAD"/>
    <w:rsid w:val="008B10A7"/>
    <w:rsid w:val="008B1405"/>
    <w:rsid w:val="008B18D8"/>
    <w:rsid w:val="008B1DE6"/>
    <w:rsid w:val="008B1F17"/>
    <w:rsid w:val="008B27E3"/>
    <w:rsid w:val="008B2CD1"/>
    <w:rsid w:val="008B3386"/>
    <w:rsid w:val="008B354B"/>
    <w:rsid w:val="008B3DD2"/>
    <w:rsid w:val="008B42D0"/>
    <w:rsid w:val="008B56CE"/>
    <w:rsid w:val="008B5876"/>
    <w:rsid w:val="008B5978"/>
    <w:rsid w:val="008B5B6D"/>
    <w:rsid w:val="008B6297"/>
    <w:rsid w:val="008B653D"/>
    <w:rsid w:val="008B6888"/>
    <w:rsid w:val="008B6AB2"/>
    <w:rsid w:val="008B7482"/>
    <w:rsid w:val="008B79E4"/>
    <w:rsid w:val="008B7C51"/>
    <w:rsid w:val="008C0516"/>
    <w:rsid w:val="008C09DE"/>
    <w:rsid w:val="008C0BF4"/>
    <w:rsid w:val="008C0CED"/>
    <w:rsid w:val="008C1D9D"/>
    <w:rsid w:val="008C1F86"/>
    <w:rsid w:val="008C23E4"/>
    <w:rsid w:val="008C245E"/>
    <w:rsid w:val="008C2952"/>
    <w:rsid w:val="008C2D0B"/>
    <w:rsid w:val="008C3231"/>
    <w:rsid w:val="008C3243"/>
    <w:rsid w:val="008C3569"/>
    <w:rsid w:val="008C390D"/>
    <w:rsid w:val="008C3CFC"/>
    <w:rsid w:val="008C5BBE"/>
    <w:rsid w:val="008C5BCF"/>
    <w:rsid w:val="008C5F2F"/>
    <w:rsid w:val="008C6667"/>
    <w:rsid w:val="008C6856"/>
    <w:rsid w:val="008C69B5"/>
    <w:rsid w:val="008C6BE2"/>
    <w:rsid w:val="008C6E5C"/>
    <w:rsid w:val="008C6F03"/>
    <w:rsid w:val="008C6F37"/>
    <w:rsid w:val="008C70D7"/>
    <w:rsid w:val="008C7A42"/>
    <w:rsid w:val="008C7A63"/>
    <w:rsid w:val="008D0036"/>
    <w:rsid w:val="008D02F5"/>
    <w:rsid w:val="008D0FFE"/>
    <w:rsid w:val="008D156F"/>
    <w:rsid w:val="008D1BE1"/>
    <w:rsid w:val="008D1DE8"/>
    <w:rsid w:val="008D21E3"/>
    <w:rsid w:val="008D23EA"/>
    <w:rsid w:val="008D2861"/>
    <w:rsid w:val="008D29CC"/>
    <w:rsid w:val="008D2C83"/>
    <w:rsid w:val="008D39C3"/>
    <w:rsid w:val="008D3C2F"/>
    <w:rsid w:val="008D3DEA"/>
    <w:rsid w:val="008D3EB0"/>
    <w:rsid w:val="008D4028"/>
    <w:rsid w:val="008D4680"/>
    <w:rsid w:val="008D514A"/>
    <w:rsid w:val="008D58EB"/>
    <w:rsid w:val="008D5C18"/>
    <w:rsid w:val="008D6037"/>
    <w:rsid w:val="008D6E91"/>
    <w:rsid w:val="008D6F20"/>
    <w:rsid w:val="008D6FC9"/>
    <w:rsid w:val="008D746E"/>
    <w:rsid w:val="008D75D4"/>
    <w:rsid w:val="008D7ED4"/>
    <w:rsid w:val="008E033B"/>
    <w:rsid w:val="008E03EB"/>
    <w:rsid w:val="008E076D"/>
    <w:rsid w:val="008E0816"/>
    <w:rsid w:val="008E0BC3"/>
    <w:rsid w:val="008E0FC9"/>
    <w:rsid w:val="008E10B7"/>
    <w:rsid w:val="008E1A0C"/>
    <w:rsid w:val="008E1B69"/>
    <w:rsid w:val="008E1FAA"/>
    <w:rsid w:val="008E2023"/>
    <w:rsid w:val="008E236D"/>
    <w:rsid w:val="008E24CF"/>
    <w:rsid w:val="008E2E02"/>
    <w:rsid w:val="008E2FFC"/>
    <w:rsid w:val="008E314E"/>
    <w:rsid w:val="008E31DD"/>
    <w:rsid w:val="008E39EA"/>
    <w:rsid w:val="008E3A06"/>
    <w:rsid w:val="008E3C20"/>
    <w:rsid w:val="008E4249"/>
    <w:rsid w:val="008E459E"/>
    <w:rsid w:val="008E46ED"/>
    <w:rsid w:val="008E4742"/>
    <w:rsid w:val="008E4852"/>
    <w:rsid w:val="008E5C2A"/>
    <w:rsid w:val="008E5C86"/>
    <w:rsid w:val="008E5D41"/>
    <w:rsid w:val="008E63D2"/>
    <w:rsid w:val="008E64D1"/>
    <w:rsid w:val="008E6D9A"/>
    <w:rsid w:val="008E6EEA"/>
    <w:rsid w:val="008E6FFB"/>
    <w:rsid w:val="008E704D"/>
    <w:rsid w:val="008E7169"/>
    <w:rsid w:val="008E7336"/>
    <w:rsid w:val="008E752D"/>
    <w:rsid w:val="008F040E"/>
    <w:rsid w:val="008F11D0"/>
    <w:rsid w:val="008F14DD"/>
    <w:rsid w:val="008F1D72"/>
    <w:rsid w:val="008F203C"/>
    <w:rsid w:val="008F2620"/>
    <w:rsid w:val="008F2801"/>
    <w:rsid w:val="008F2A26"/>
    <w:rsid w:val="008F2BE7"/>
    <w:rsid w:val="008F3DD0"/>
    <w:rsid w:val="008F3FFA"/>
    <w:rsid w:val="008F48EE"/>
    <w:rsid w:val="008F5190"/>
    <w:rsid w:val="008F54CA"/>
    <w:rsid w:val="008F55EA"/>
    <w:rsid w:val="008F5F7B"/>
    <w:rsid w:val="008F6208"/>
    <w:rsid w:val="008F678B"/>
    <w:rsid w:val="008F6CA3"/>
    <w:rsid w:val="008F6DDF"/>
    <w:rsid w:val="008F6E63"/>
    <w:rsid w:val="008F6FF4"/>
    <w:rsid w:val="008F74D2"/>
    <w:rsid w:val="008F74F0"/>
    <w:rsid w:val="008F74F6"/>
    <w:rsid w:val="008F7B77"/>
    <w:rsid w:val="008F7F11"/>
    <w:rsid w:val="00900303"/>
    <w:rsid w:val="0090061F"/>
    <w:rsid w:val="00900768"/>
    <w:rsid w:val="00900A7F"/>
    <w:rsid w:val="00900CB6"/>
    <w:rsid w:val="00901158"/>
    <w:rsid w:val="00901E21"/>
    <w:rsid w:val="009021AB"/>
    <w:rsid w:val="009033AD"/>
    <w:rsid w:val="00903488"/>
    <w:rsid w:val="009034B6"/>
    <w:rsid w:val="00903771"/>
    <w:rsid w:val="00903A14"/>
    <w:rsid w:val="009051C6"/>
    <w:rsid w:val="00905C46"/>
    <w:rsid w:val="00906875"/>
    <w:rsid w:val="00906E1B"/>
    <w:rsid w:val="009071F4"/>
    <w:rsid w:val="00907BEB"/>
    <w:rsid w:val="00910151"/>
    <w:rsid w:val="0091072F"/>
    <w:rsid w:val="00910EDB"/>
    <w:rsid w:val="00910FA1"/>
    <w:rsid w:val="00911392"/>
    <w:rsid w:val="00911A61"/>
    <w:rsid w:val="00912B91"/>
    <w:rsid w:val="00912FA0"/>
    <w:rsid w:val="009131A1"/>
    <w:rsid w:val="009131D2"/>
    <w:rsid w:val="009138D6"/>
    <w:rsid w:val="009144C4"/>
    <w:rsid w:val="00914C94"/>
    <w:rsid w:val="00915147"/>
    <w:rsid w:val="0091584D"/>
    <w:rsid w:val="00915929"/>
    <w:rsid w:val="009159D3"/>
    <w:rsid w:val="00915E6C"/>
    <w:rsid w:val="009160BC"/>
    <w:rsid w:val="0091654B"/>
    <w:rsid w:val="009165F0"/>
    <w:rsid w:val="00916837"/>
    <w:rsid w:val="00916996"/>
    <w:rsid w:val="00916CF2"/>
    <w:rsid w:val="00916F81"/>
    <w:rsid w:val="0091725D"/>
    <w:rsid w:val="00917A6A"/>
    <w:rsid w:val="00920144"/>
    <w:rsid w:val="00920B8E"/>
    <w:rsid w:val="00920CF3"/>
    <w:rsid w:val="00920FD7"/>
    <w:rsid w:val="009212E3"/>
    <w:rsid w:val="0092170A"/>
    <w:rsid w:val="00921782"/>
    <w:rsid w:val="009219EC"/>
    <w:rsid w:val="009225B4"/>
    <w:rsid w:val="0092284B"/>
    <w:rsid w:val="009229CA"/>
    <w:rsid w:val="00923326"/>
    <w:rsid w:val="009242E0"/>
    <w:rsid w:val="00924433"/>
    <w:rsid w:val="00924602"/>
    <w:rsid w:val="0092490B"/>
    <w:rsid w:val="00924D45"/>
    <w:rsid w:val="00925077"/>
    <w:rsid w:val="0092568D"/>
    <w:rsid w:val="00925DC3"/>
    <w:rsid w:val="009269C1"/>
    <w:rsid w:val="00927447"/>
    <w:rsid w:val="0092749E"/>
    <w:rsid w:val="009276E2"/>
    <w:rsid w:val="00927B7A"/>
    <w:rsid w:val="00930599"/>
    <w:rsid w:val="00931981"/>
    <w:rsid w:val="00931C48"/>
    <w:rsid w:val="00932491"/>
    <w:rsid w:val="00932802"/>
    <w:rsid w:val="0093287A"/>
    <w:rsid w:val="0093295A"/>
    <w:rsid w:val="00932A7D"/>
    <w:rsid w:val="00933946"/>
    <w:rsid w:val="00933FD6"/>
    <w:rsid w:val="00934AAB"/>
    <w:rsid w:val="00934B61"/>
    <w:rsid w:val="00934D5D"/>
    <w:rsid w:val="0093540A"/>
    <w:rsid w:val="0093582E"/>
    <w:rsid w:val="0093597A"/>
    <w:rsid w:val="00935BD7"/>
    <w:rsid w:val="009360C7"/>
    <w:rsid w:val="009361F5"/>
    <w:rsid w:val="00936499"/>
    <w:rsid w:val="00936518"/>
    <w:rsid w:val="00936932"/>
    <w:rsid w:val="00936D9F"/>
    <w:rsid w:val="0093700F"/>
    <w:rsid w:val="009373E9"/>
    <w:rsid w:val="00937CFA"/>
    <w:rsid w:val="00937E16"/>
    <w:rsid w:val="00940046"/>
    <w:rsid w:val="009404EB"/>
    <w:rsid w:val="009406B4"/>
    <w:rsid w:val="00940D51"/>
    <w:rsid w:val="009411C0"/>
    <w:rsid w:val="009412FE"/>
    <w:rsid w:val="00941846"/>
    <w:rsid w:val="00941A1E"/>
    <w:rsid w:val="00941F45"/>
    <w:rsid w:val="00941FD7"/>
    <w:rsid w:val="009423CF"/>
    <w:rsid w:val="00942439"/>
    <w:rsid w:val="00942456"/>
    <w:rsid w:val="0094258F"/>
    <w:rsid w:val="00943209"/>
    <w:rsid w:val="0094327F"/>
    <w:rsid w:val="0094343E"/>
    <w:rsid w:val="00943A64"/>
    <w:rsid w:val="00943B03"/>
    <w:rsid w:val="0094446D"/>
    <w:rsid w:val="00944ABE"/>
    <w:rsid w:val="0094514B"/>
    <w:rsid w:val="009456B3"/>
    <w:rsid w:val="00945E17"/>
    <w:rsid w:val="00947362"/>
    <w:rsid w:val="00947385"/>
    <w:rsid w:val="00947621"/>
    <w:rsid w:val="0094774B"/>
    <w:rsid w:val="0094780F"/>
    <w:rsid w:val="0094799A"/>
    <w:rsid w:val="00947A12"/>
    <w:rsid w:val="00950F07"/>
    <w:rsid w:val="0095163D"/>
    <w:rsid w:val="009516D4"/>
    <w:rsid w:val="0095178E"/>
    <w:rsid w:val="00951D24"/>
    <w:rsid w:val="00952129"/>
    <w:rsid w:val="00952CDC"/>
    <w:rsid w:val="009531C9"/>
    <w:rsid w:val="009536BE"/>
    <w:rsid w:val="00953B3C"/>
    <w:rsid w:val="00953DDE"/>
    <w:rsid w:val="00954ACB"/>
    <w:rsid w:val="00954F60"/>
    <w:rsid w:val="00955206"/>
    <w:rsid w:val="009552A4"/>
    <w:rsid w:val="00956FF1"/>
    <w:rsid w:val="009570B5"/>
    <w:rsid w:val="0095746B"/>
    <w:rsid w:val="00957B57"/>
    <w:rsid w:val="00960064"/>
    <w:rsid w:val="00960737"/>
    <w:rsid w:val="00960B31"/>
    <w:rsid w:val="00960B73"/>
    <w:rsid w:val="00960D90"/>
    <w:rsid w:val="00961253"/>
    <w:rsid w:val="0096183A"/>
    <w:rsid w:val="00962042"/>
    <w:rsid w:val="0096249A"/>
    <w:rsid w:val="009625B7"/>
    <w:rsid w:val="00962CA2"/>
    <w:rsid w:val="00962D27"/>
    <w:rsid w:val="00962FD9"/>
    <w:rsid w:val="009634D0"/>
    <w:rsid w:val="00963684"/>
    <w:rsid w:val="00964248"/>
    <w:rsid w:val="0096454E"/>
    <w:rsid w:val="00964AF4"/>
    <w:rsid w:val="00964B00"/>
    <w:rsid w:val="00964CA3"/>
    <w:rsid w:val="00964ED6"/>
    <w:rsid w:val="00965A40"/>
    <w:rsid w:val="00965B6F"/>
    <w:rsid w:val="009661DE"/>
    <w:rsid w:val="0096625C"/>
    <w:rsid w:val="009663AE"/>
    <w:rsid w:val="009664D2"/>
    <w:rsid w:val="009666EB"/>
    <w:rsid w:val="0096679E"/>
    <w:rsid w:val="009668C7"/>
    <w:rsid w:val="00966950"/>
    <w:rsid w:val="00967020"/>
    <w:rsid w:val="00967C9D"/>
    <w:rsid w:val="00967D44"/>
    <w:rsid w:val="0097048D"/>
    <w:rsid w:val="0097076B"/>
    <w:rsid w:val="00970838"/>
    <w:rsid w:val="00970921"/>
    <w:rsid w:val="0097144E"/>
    <w:rsid w:val="00971722"/>
    <w:rsid w:val="00971B83"/>
    <w:rsid w:val="00971BC9"/>
    <w:rsid w:val="00971D27"/>
    <w:rsid w:val="00972BD1"/>
    <w:rsid w:val="00972C79"/>
    <w:rsid w:val="009736D2"/>
    <w:rsid w:val="009739CD"/>
    <w:rsid w:val="00973EF9"/>
    <w:rsid w:val="009740B6"/>
    <w:rsid w:val="00974261"/>
    <w:rsid w:val="00974905"/>
    <w:rsid w:val="00974CBF"/>
    <w:rsid w:val="00974DED"/>
    <w:rsid w:val="00974E79"/>
    <w:rsid w:val="00975588"/>
    <w:rsid w:val="00975612"/>
    <w:rsid w:val="00975803"/>
    <w:rsid w:val="00975CD5"/>
    <w:rsid w:val="009765F2"/>
    <w:rsid w:val="00976AC7"/>
    <w:rsid w:val="009776E8"/>
    <w:rsid w:val="00977B87"/>
    <w:rsid w:val="009801B4"/>
    <w:rsid w:val="00980B91"/>
    <w:rsid w:val="0098163F"/>
    <w:rsid w:val="009818FD"/>
    <w:rsid w:val="0098196F"/>
    <w:rsid w:val="0098197C"/>
    <w:rsid w:val="00981F15"/>
    <w:rsid w:val="00981F90"/>
    <w:rsid w:val="009823D4"/>
    <w:rsid w:val="00982819"/>
    <w:rsid w:val="0098294A"/>
    <w:rsid w:val="00982EEE"/>
    <w:rsid w:val="00983504"/>
    <w:rsid w:val="0098388E"/>
    <w:rsid w:val="00983ABB"/>
    <w:rsid w:val="00983D64"/>
    <w:rsid w:val="00984120"/>
    <w:rsid w:val="00984750"/>
    <w:rsid w:val="00984B2E"/>
    <w:rsid w:val="00984B49"/>
    <w:rsid w:val="00984F36"/>
    <w:rsid w:val="009855E2"/>
    <w:rsid w:val="009860E7"/>
    <w:rsid w:val="00986253"/>
    <w:rsid w:val="0098630C"/>
    <w:rsid w:val="00986682"/>
    <w:rsid w:val="00986F55"/>
    <w:rsid w:val="0098709D"/>
    <w:rsid w:val="009874BE"/>
    <w:rsid w:val="009877D8"/>
    <w:rsid w:val="0099025F"/>
    <w:rsid w:val="00990263"/>
    <w:rsid w:val="0099045E"/>
    <w:rsid w:val="00990DB7"/>
    <w:rsid w:val="0099173E"/>
    <w:rsid w:val="009922B7"/>
    <w:rsid w:val="009923FC"/>
    <w:rsid w:val="009925DA"/>
    <w:rsid w:val="00992BC7"/>
    <w:rsid w:val="00992D34"/>
    <w:rsid w:val="00992E7C"/>
    <w:rsid w:val="00993000"/>
    <w:rsid w:val="00993222"/>
    <w:rsid w:val="00994305"/>
    <w:rsid w:val="009943B5"/>
    <w:rsid w:val="009948E6"/>
    <w:rsid w:val="00994AC5"/>
    <w:rsid w:val="00994E95"/>
    <w:rsid w:val="00994EE3"/>
    <w:rsid w:val="00994EE6"/>
    <w:rsid w:val="00994F21"/>
    <w:rsid w:val="00994F2A"/>
    <w:rsid w:val="00994FF7"/>
    <w:rsid w:val="00995776"/>
    <w:rsid w:val="00995782"/>
    <w:rsid w:val="00995B05"/>
    <w:rsid w:val="0099676B"/>
    <w:rsid w:val="009968EF"/>
    <w:rsid w:val="00997507"/>
    <w:rsid w:val="00997ED2"/>
    <w:rsid w:val="009A045C"/>
    <w:rsid w:val="009A06FC"/>
    <w:rsid w:val="009A08B0"/>
    <w:rsid w:val="009A090B"/>
    <w:rsid w:val="009A09A8"/>
    <w:rsid w:val="009A0B6D"/>
    <w:rsid w:val="009A0BB2"/>
    <w:rsid w:val="009A107B"/>
    <w:rsid w:val="009A15A8"/>
    <w:rsid w:val="009A1615"/>
    <w:rsid w:val="009A1710"/>
    <w:rsid w:val="009A1DEE"/>
    <w:rsid w:val="009A2341"/>
    <w:rsid w:val="009A2426"/>
    <w:rsid w:val="009A243E"/>
    <w:rsid w:val="009A2A1E"/>
    <w:rsid w:val="009A2E85"/>
    <w:rsid w:val="009A32AF"/>
    <w:rsid w:val="009A3C2B"/>
    <w:rsid w:val="009A3DF1"/>
    <w:rsid w:val="009A47DB"/>
    <w:rsid w:val="009A498D"/>
    <w:rsid w:val="009A4CF7"/>
    <w:rsid w:val="009A5CCC"/>
    <w:rsid w:val="009A6080"/>
    <w:rsid w:val="009A643B"/>
    <w:rsid w:val="009A6873"/>
    <w:rsid w:val="009A6948"/>
    <w:rsid w:val="009A71BE"/>
    <w:rsid w:val="009A7608"/>
    <w:rsid w:val="009A77EF"/>
    <w:rsid w:val="009A7DA0"/>
    <w:rsid w:val="009B00C6"/>
    <w:rsid w:val="009B0126"/>
    <w:rsid w:val="009B09D6"/>
    <w:rsid w:val="009B0EF2"/>
    <w:rsid w:val="009B1DA5"/>
    <w:rsid w:val="009B1DAA"/>
    <w:rsid w:val="009B23D2"/>
    <w:rsid w:val="009B31D2"/>
    <w:rsid w:val="009B37BB"/>
    <w:rsid w:val="009B45F4"/>
    <w:rsid w:val="009B4ADD"/>
    <w:rsid w:val="009B4D1D"/>
    <w:rsid w:val="009B4EAF"/>
    <w:rsid w:val="009B5ABD"/>
    <w:rsid w:val="009B63B9"/>
    <w:rsid w:val="009B63F7"/>
    <w:rsid w:val="009B6515"/>
    <w:rsid w:val="009B721E"/>
    <w:rsid w:val="009B726E"/>
    <w:rsid w:val="009B7756"/>
    <w:rsid w:val="009B7B51"/>
    <w:rsid w:val="009C0E3B"/>
    <w:rsid w:val="009C10F0"/>
    <w:rsid w:val="009C15E7"/>
    <w:rsid w:val="009C1619"/>
    <w:rsid w:val="009C1CA6"/>
    <w:rsid w:val="009C2186"/>
    <w:rsid w:val="009C2401"/>
    <w:rsid w:val="009C24F8"/>
    <w:rsid w:val="009C25E3"/>
    <w:rsid w:val="009C27FC"/>
    <w:rsid w:val="009C2CF7"/>
    <w:rsid w:val="009C2FF4"/>
    <w:rsid w:val="009C3188"/>
    <w:rsid w:val="009C3228"/>
    <w:rsid w:val="009C3990"/>
    <w:rsid w:val="009C39C6"/>
    <w:rsid w:val="009C4086"/>
    <w:rsid w:val="009C4DAA"/>
    <w:rsid w:val="009C5C0C"/>
    <w:rsid w:val="009C624E"/>
    <w:rsid w:val="009C6566"/>
    <w:rsid w:val="009C6AA1"/>
    <w:rsid w:val="009C7786"/>
    <w:rsid w:val="009D0C5B"/>
    <w:rsid w:val="009D0F06"/>
    <w:rsid w:val="009D0F58"/>
    <w:rsid w:val="009D1891"/>
    <w:rsid w:val="009D1988"/>
    <w:rsid w:val="009D1A31"/>
    <w:rsid w:val="009D2206"/>
    <w:rsid w:val="009D23BC"/>
    <w:rsid w:val="009D251A"/>
    <w:rsid w:val="009D2590"/>
    <w:rsid w:val="009D29E6"/>
    <w:rsid w:val="009D3E59"/>
    <w:rsid w:val="009D3F7D"/>
    <w:rsid w:val="009D4206"/>
    <w:rsid w:val="009D43E6"/>
    <w:rsid w:val="009D4640"/>
    <w:rsid w:val="009D4693"/>
    <w:rsid w:val="009D4697"/>
    <w:rsid w:val="009D4957"/>
    <w:rsid w:val="009D4AE2"/>
    <w:rsid w:val="009D5B0E"/>
    <w:rsid w:val="009D5B7B"/>
    <w:rsid w:val="009D5F3C"/>
    <w:rsid w:val="009D5FF9"/>
    <w:rsid w:val="009D6773"/>
    <w:rsid w:val="009D690E"/>
    <w:rsid w:val="009D710E"/>
    <w:rsid w:val="009D7673"/>
    <w:rsid w:val="009D7BB0"/>
    <w:rsid w:val="009D7D1D"/>
    <w:rsid w:val="009E04A1"/>
    <w:rsid w:val="009E097D"/>
    <w:rsid w:val="009E09E3"/>
    <w:rsid w:val="009E141B"/>
    <w:rsid w:val="009E180E"/>
    <w:rsid w:val="009E1C62"/>
    <w:rsid w:val="009E1D75"/>
    <w:rsid w:val="009E1F2C"/>
    <w:rsid w:val="009E2D61"/>
    <w:rsid w:val="009E350E"/>
    <w:rsid w:val="009E3F5F"/>
    <w:rsid w:val="009E43F4"/>
    <w:rsid w:val="009E458A"/>
    <w:rsid w:val="009E5221"/>
    <w:rsid w:val="009E570E"/>
    <w:rsid w:val="009E58E3"/>
    <w:rsid w:val="009E5DD9"/>
    <w:rsid w:val="009E623F"/>
    <w:rsid w:val="009E7039"/>
    <w:rsid w:val="009E7BBE"/>
    <w:rsid w:val="009F079A"/>
    <w:rsid w:val="009F0EC6"/>
    <w:rsid w:val="009F1D8D"/>
    <w:rsid w:val="009F2766"/>
    <w:rsid w:val="009F28D5"/>
    <w:rsid w:val="009F2F88"/>
    <w:rsid w:val="009F3502"/>
    <w:rsid w:val="009F35B8"/>
    <w:rsid w:val="009F375D"/>
    <w:rsid w:val="009F3FC5"/>
    <w:rsid w:val="009F4289"/>
    <w:rsid w:val="009F4501"/>
    <w:rsid w:val="009F4644"/>
    <w:rsid w:val="009F5143"/>
    <w:rsid w:val="009F573B"/>
    <w:rsid w:val="009F57E8"/>
    <w:rsid w:val="009F76E7"/>
    <w:rsid w:val="009F796C"/>
    <w:rsid w:val="009F7B7F"/>
    <w:rsid w:val="009F7CA9"/>
    <w:rsid w:val="009F7F06"/>
    <w:rsid w:val="00A0027A"/>
    <w:rsid w:val="00A0027F"/>
    <w:rsid w:val="00A007DA"/>
    <w:rsid w:val="00A00A28"/>
    <w:rsid w:val="00A00C62"/>
    <w:rsid w:val="00A00E53"/>
    <w:rsid w:val="00A01546"/>
    <w:rsid w:val="00A02711"/>
    <w:rsid w:val="00A028BE"/>
    <w:rsid w:val="00A028C6"/>
    <w:rsid w:val="00A02993"/>
    <w:rsid w:val="00A02AB5"/>
    <w:rsid w:val="00A02C5D"/>
    <w:rsid w:val="00A03810"/>
    <w:rsid w:val="00A03EF4"/>
    <w:rsid w:val="00A044CE"/>
    <w:rsid w:val="00A04521"/>
    <w:rsid w:val="00A04940"/>
    <w:rsid w:val="00A05169"/>
    <w:rsid w:val="00A053AE"/>
    <w:rsid w:val="00A0575E"/>
    <w:rsid w:val="00A0590A"/>
    <w:rsid w:val="00A062E4"/>
    <w:rsid w:val="00A06DF9"/>
    <w:rsid w:val="00A06F8F"/>
    <w:rsid w:val="00A071D2"/>
    <w:rsid w:val="00A07207"/>
    <w:rsid w:val="00A0774B"/>
    <w:rsid w:val="00A079E2"/>
    <w:rsid w:val="00A1040E"/>
    <w:rsid w:val="00A10770"/>
    <w:rsid w:val="00A10773"/>
    <w:rsid w:val="00A10F79"/>
    <w:rsid w:val="00A111FC"/>
    <w:rsid w:val="00A11616"/>
    <w:rsid w:val="00A11679"/>
    <w:rsid w:val="00A11ADB"/>
    <w:rsid w:val="00A11BF9"/>
    <w:rsid w:val="00A11CE2"/>
    <w:rsid w:val="00A1271D"/>
    <w:rsid w:val="00A12EC5"/>
    <w:rsid w:val="00A1391D"/>
    <w:rsid w:val="00A13D2D"/>
    <w:rsid w:val="00A14B35"/>
    <w:rsid w:val="00A14BA0"/>
    <w:rsid w:val="00A14E22"/>
    <w:rsid w:val="00A14EE4"/>
    <w:rsid w:val="00A1547C"/>
    <w:rsid w:val="00A15488"/>
    <w:rsid w:val="00A161DD"/>
    <w:rsid w:val="00A16CB5"/>
    <w:rsid w:val="00A16ED8"/>
    <w:rsid w:val="00A178C5"/>
    <w:rsid w:val="00A17DB4"/>
    <w:rsid w:val="00A17FB5"/>
    <w:rsid w:val="00A2034F"/>
    <w:rsid w:val="00A20775"/>
    <w:rsid w:val="00A20A7F"/>
    <w:rsid w:val="00A20C1B"/>
    <w:rsid w:val="00A22865"/>
    <w:rsid w:val="00A235B4"/>
    <w:rsid w:val="00A236B4"/>
    <w:rsid w:val="00A23BC6"/>
    <w:rsid w:val="00A23C0B"/>
    <w:rsid w:val="00A23F08"/>
    <w:rsid w:val="00A24620"/>
    <w:rsid w:val="00A24679"/>
    <w:rsid w:val="00A24BF6"/>
    <w:rsid w:val="00A25AD7"/>
    <w:rsid w:val="00A25B1C"/>
    <w:rsid w:val="00A26631"/>
    <w:rsid w:val="00A26DC8"/>
    <w:rsid w:val="00A26E41"/>
    <w:rsid w:val="00A2755D"/>
    <w:rsid w:val="00A2788B"/>
    <w:rsid w:val="00A27CB0"/>
    <w:rsid w:val="00A27CC4"/>
    <w:rsid w:val="00A3059B"/>
    <w:rsid w:val="00A306D7"/>
    <w:rsid w:val="00A30920"/>
    <w:rsid w:val="00A30962"/>
    <w:rsid w:val="00A30CCB"/>
    <w:rsid w:val="00A31074"/>
    <w:rsid w:val="00A31518"/>
    <w:rsid w:val="00A3162A"/>
    <w:rsid w:val="00A3174B"/>
    <w:rsid w:val="00A318CA"/>
    <w:rsid w:val="00A32F03"/>
    <w:rsid w:val="00A3318A"/>
    <w:rsid w:val="00A33F9E"/>
    <w:rsid w:val="00A34007"/>
    <w:rsid w:val="00A346EF"/>
    <w:rsid w:val="00A34862"/>
    <w:rsid w:val="00A34B9B"/>
    <w:rsid w:val="00A34D40"/>
    <w:rsid w:val="00A350A7"/>
    <w:rsid w:val="00A351BF"/>
    <w:rsid w:val="00A35DFE"/>
    <w:rsid w:val="00A3608C"/>
    <w:rsid w:val="00A36885"/>
    <w:rsid w:val="00A37262"/>
    <w:rsid w:val="00A375A2"/>
    <w:rsid w:val="00A377A7"/>
    <w:rsid w:val="00A377AB"/>
    <w:rsid w:val="00A37AC1"/>
    <w:rsid w:val="00A37E97"/>
    <w:rsid w:val="00A403F7"/>
    <w:rsid w:val="00A4049E"/>
    <w:rsid w:val="00A404C7"/>
    <w:rsid w:val="00A40660"/>
    <w:rsid w:val="00A40787"/>
    <w:rsid w:val="00A40A3D"/>
    <w:rsid w:val="00A40E81"/>
    <w:rsid w:val="00A413C5"/>
    <w:rsid w:val="00A41F62"/>
    <w:rsid w:val="00A43412"/>
    <w:rsid w:val="00A43570"/>
    <w:rsid w:val="00A4380E"/>
    <w:rsid w:val="00A43B7C"/>
    <w:rsid w:val="00A43D6F"/>
    <w:rsid w:val="00A43D8E"/>
    <w:rsid w:val="00A44EB6"/>
    <w:rsid w:val="00A45319"/>
    <w:rsid w:val="00A453BA"/>
    <w:rsid w:val="00A455A9"/>
    <w:rsid w:val="00A4595A"/>
    <w:rsid w:val="00A46176"/>
    <w:rsid w:val="00A46C42"/>
    <w:rsid w:val="00A47076"/>
    <w:rsid w:val="00A4723C"/>
    <w:rsid w:val="00A473D2"/>
    <w:rsid w:val="00A47675"/>
    <w:rsid w:val="00A47C13"/>
    <w:rsid w:val="00A502A8"/>
    <w:rsid w:val="00A50428"/>
    <w:rsid w:val="00A50655"/>
    <w:rsid w:val="00A5070B"/>
    <w:rsid w:val="00A50782"/>
    <w:rsid w:val="00A50995"/>
    <w:rsid w:val="00A50BEB"/>
    <w:rsid w:val="00A50FD8"/>
    <w:rsid w:val="00A5113D"/>
    <w:rsid w:val="00A5163B"/>
    <w:rsid w:val="00A51858"/>
    <w:rsid w:val="00A51876"/>
    <w:rsid w:val="00A51B42"/>
    <w:rsid w:val="00A52A3A"/>
    <w:rsid w:val="00A52F83"/>
    <w:rsid w:val="00A530C9"/>
    <w:rsid w:val="00A539E5"/>
    <w:rsid w:val="00A5455E"/>
    <w:rsid w:val="00A54811"/>
    <w:rsid w:val="00A54B0B"/>
    <w:rsid w:val="00A54CF0"/>
    <w:rsid w:val="00A54DCA"/>
    <w:rsid w:val="00A54FA2"/>
    <w:rsid w:val="00A550E5"/>
    <w:rsid w:val="00A551BA"/>
    <w:rsid w:val="00A559B0"/>
    <w:rsid w:val="00A55E35"/>
    <w:rsid w:val="00A5620E"/>
    <w:rsid w:val="00A563DA"/>
    <w:rsid w:val="00A5685A"/>
    <w:rsid w:val="00A571C0"/>
    <w:rsid w:val="00A577A3"/>
    <w:rsid w:val="00A578E8"/>
    <w:rsid w:val="00A57C6A"/>
    <w:rsid w:val="00A60FBA"/>
    <w:rsid w:val="00A61364"/>
    <w:rsid w:val="00A61648"/>
    <w:rsid w:val="00A6195B"/>
    <w:rsid w:val="00A61B7F"/>
    <w:rsid w:val="00A61F1E"/>
    <w:rsid w:val="00A62045"/>
    <w:rsid w:val="00A6222E"/>
    <w:rsid w:val="00A62352"/>
    <w:rsid w:val="00A62955"/>
    <w:rsid w:val="00A62A70"/>
    <w:rsid w:val="00A63343"/>
    <w:rsid w:val="00A636B2"/>
    <w:rsid w:val="00A63F48"/>
    <w:rsid w:val="00A6491C"/>
    <w:rsid w:val="00A65099"/>
    <w:rsid w:val="00A651FA"/>
    <w:rsid w:val="00A655C8"/>
    <w:rsid w:val="00A65BFE"/>
    <w:rsid w:val="00A66552"/>
    <w:rsid w:val="00A6681B"/>
    <w:rsid w:val="00A672C8"/>
    <w:rsid w:val="00A67700"/>
    <w:rsid w:val="00A67773"/>
    <w:rsid w:val="00A67A64"/>
    <w:rsid w:val="00A67DD8"/>
    <w:rsid w:val="00A70132"/>
    <w:rsid w:val="00A703C6"/>
    <w:rsid w:val="00A705D8"/>
    <w:rsid w:val="00A70662"/>
    <w:rsid w:val="00A7066C"/>
    <w:rsid w:val="00A7085F"/>
    <w:rsid w:val="00A70C3A"/>
    <w:rsid w:val="00A70F0A"/>
    <w:rsid w:val="00A7133F"/>
    <w:rsid w:val="00A71678"/>
    <w:rsid w:val="00A718E8"/>
    <w:rsid w:val="00A72163"/>
    <w:rsid w:val="00A722A6"/>
    <w:rsid w:val="00A7259B"/>
    <w:rsid w:val="00A727B2"/>
    <w:rsid w:val="00A72916"/>
    <w:rsid w:val="00A72F4E"/>
    <w:rsid w:val="00A73B1D"/>
    <w:rsid w:val="00A73C81"/>
    <w:rsid w:val="00A73CB2"/>
    <w:rsid w:val="00A73EAB"/>
    <w:rsid w:val="00A748B7"/>
    <w:rsid w:val="00A74E3D"/>
    <w:rsid w:val="00A74E86"/>
    <w:rsid w:val="00A75532"/>
    <w:rsid w:val="00A75979"/>
    <w:rsid w:val="00A75FAB"/>
    <w:rsid w:val="00A75FE0"/>
    <w:rsid w:val="00A76051"/>
    <w:rsid w:val="00A761BC"/>
    <w:rsid w:val="00A76210"/>
    <w:rsid w:val="00A76657"/>
    <w:rsid w:val="00A772FB"/>
    <w:rsid w:val="00A775BE"/>
    <w:rsid w:val="00A77A63"/>
    <w:rsid w:val="00A77E4F"/>
    <w:rsid w:val="00A77E70"/>
    <w:rsid w:val="00A77F7F"/>
    <w:rsid w:val="00A800E8"/>
    <w:rsid w:val="00A80303"/>
    <w:rsid w:val="00A81F80"/>
    <w:rsid w:val="00A820A6"/>
    <w:rsid w:val="00A82123"/>
    <w:rsid w:val="00A821AA"/>
    <w:rsid w:val="00A82912"/>
    <w:rsid w:val="00A829E8"/>
    <w:rsid w:val="00A82F68"/>
    <w:rsid w:val="00A83086"/>
    <w:rsid w:val="00A83222"/>
    <w:rsid w:val="00A834B5"/>
    <w:rsid w:val="00A8354B"/>
    <w:rsid w:val="00A83B5B"/>
    <w:rsid w:val="00A83CAB"/>
    <w:rsid w:val="00A83D0D"/>
    <w:rsid w:val="00A83E7B"/>
    <w:rsid w:val="00A83E89"/>
    <w:rsid w:val="00A84059"/>
    <w:rsid w:val="00A84071"/>
    <w:rsid w:val="00A84514"/>
    <w:rsid w:val="00A8467B"/>
    <w:rsid w:val="00A84ABB"/>
    <w:rsid w:val="00A85C77"/>
    <w:rsid w:val="00A85E89"/>
    <w:rsid w:val="00A86433"/>
    <w:rsid w:val="00A86450"/>
    <w:rsid w:val="00A865A4"/>
    <w:rsid w:val="00A875AC"/>
    <w:rsid w:val="00A9019A"/>
    <w:rsid w:val="00A908FE"/>
    <w:rsid w:val="00A909B5"/>
    <w:rsid w:val="00A90CD1"/>
    <w:rsid w:val="00A90D83"/>
    <w:rsid w:val="00A911C0"/>
    <w:rsid w:val="00A9140B"/>
    <w:rsid w:val="00A9156B"/>
    <w:rsid w:val="00A91FA2"/>
    <w:rsid w:val="00A92DA6"/>
    <w:rsid w:val="00A930FF"/>
    <w:rsid w:val="00A93C9D"/>
    <w:rsid w:val="00A944BD"/>
    <w:rsid w:val="00A94662"/>
    <w:rsid w:val="00A94D63"/>
    <w:rsid w:val="00A9635E"/>
    <w:rsid w:val="00A96444"/>
    <w:rsid w:val="00A9649A"/>
    <w:rsid w:val="00A96680"/>
    <w:rsid w:val="00A96E87"/>
    <w:rsid w:val="00A97295"/>
    <w:rsid w:val="00A97562"/>
    <w:rsid w:val="00A9760B"/>
    <w:rsid w:val="00A978C3"/>
    <w:rsid w:val="00A9797E"/>
    <w:rsid w:val="00A979BD"/>
    <w:rsid w:val="00A97C4C"/>
    <w:rsid w:val="00AA0099"/>
    <w:rsid w:val="00AA0838"/>
    <w:rsid w:val="00AA091E"/>
    <w:rsid w:val="00AA0E97"/>
    <w:rsid w:val="00AA10A5"/>
    <w:rsid w:val="00AA1A40"/>
    <w:rsid w:val="00AA28BD"/>
    <w:rsid w:val="00AA2FD7"/>
    <w:rsid w:val="00AA31B3"/>
    <w:rsid w:val="00AA33E5"/>
    <w:rsid w:val="00AA35DD"/>
    <w:rsid w:val="00AA39F4"/>
    <w:rsid w:val="00AA4919"/>
    <w:rsid w:val="00AA4A0F"/>
    <w:rsid w:val="00AA4BA8"/>
    <w:rsid w:val="00AA5068"/>
    <w:rsid w:val="00AA53C4"/>
    <w:rsid w:val="00AA549F"/>
    <w:rsid w:val="00AA5605"/>
    <w:rsid w:val="00AA56F0"/>
    <w:rsid w:val="00AA5849"/>
    <w:rsid w:val="00AA6287"/>
    <w:rsid w:val="00AA6472"/>
    <w:rsid w:val="00AA69A2"/>
    <w:rsid w:val="00AA729F"/>
    <w:rsid w:val="00AA73A6"/>
    <w:rsid w:val="00AA7A15"/>
    <w:rsid w:val="00AB00E4"/>
    <w:rsid w:val="00AB06CA"/>
    <w:rsid w:val="00AB0A5B"/>
    <w:rsid w:val="00AB0A72"/>
    <w:rsid w:val="00AB0EB7"/>
    <w:rsid w:val="00AB1256"/>
    <w:rsid w:val="00AB12C7"/>
    <w:rsid w:val="00AB18CB"/>
    <w:rsid w:val="00AB1D08"/>
    <w:rsid w:val="00AB1F15"/>
    <w:rsid w:val="00AB1F44"/>
    <w:rsid w:val="00AB267A"/>
    <w:rsid w:val="00AB26C3"/>
    <w:rsid w:val="00AB2868"/>
    <w:rsid w:val="00AB2AE6"/>
    <w:rsid w:val="00AB2D5D"/>
    <w:rsid w:val="00AB2FB7"/>
    <w:rsid w:val="00AB4893"/>
    <w:rsid w:val="00AB4C33"/>
    <w:rsid w:val="00AB4C46"/>
    <w:rsid w:val="00AB4FB1"/>
    <w:rsid w:val="00AB5236"/>
    <w:rsid w:val="00AB639F"/>
    <w:rsid w:val="00AB687C"/>
    <w:rsid w:val="00AB699E"/>
    <w:rsid w:val="00AB6B27"/>
    <w:rsid w:val="00AB6D7F"/>
    <w:rsid w:val="00AB6F1E"/>
    <w:rsid w:val="00AB70E6"/>
    <w:rsid w:val="00AB726E"/>
    <w:rsid w:val="00AB73D4"/>
    <w:rsid w:val="00AB76C3"/>
    <w:rsid w:val="00AB7E79"/>
    <w:rsid w:val="00AB7FBB"/>
    <w:rsid w:val="00AB7FD0"/>
    <w:rsid w:val="00AB7FE8"/>
    <w:rsid w:val="00AC01AE"/>
    <w:rsid w:val="00AC093E"/>
    <w:rsid w:val="00AC09A6"/>
    <w:rsid w:val="00AC09D9"/>
    <w:rsid w:val="00AC0CEB"/>
    <w:rsid w:val="00AC112F"/>
    <w:rsid w:val="00AC1C07"/>
    <w:rsid w:val="00AC2D72"/>
    <w:rsid w:val="00AC2FB3"/>
    <w:rsid w:val="00AC3C07"/>
    <w:rsid w:val="00AC3C9C"/>
    <w:rsid w:val="00AC4271"/>
    <w:rsid w:val="00AC4A3D"/>
    <w:rsid w:val="00AC4C30"/>
    <w:rsid w:val="00AC4C95"/>
    <w:rsid w:val="00AC501F"/>
    <w:rsid w:val="00AC52DB"/>
    <w:rsid w:val="00AC5B77"/>
    <w:rsid w:val="00AC5CDA"/>
    <w:rsid w:val="00AC5F83"/>
    <w:rsid w:val="00AC6106"/>
    <w:rsid w:val="00AC67E9"/>
    <w:rsid w:val="00AC6948"/>
    <w:rsid w:val="00AC6AE2"/>
    <w:rsid w:val="00AC6AE7"/>
    <w:rsid w:val="00AC7400"/>
    <w:rsid w:val="00AC74D8"/>
    <w:rsid w:val="00AC756C"/>
    <w:rsid w:val="00AC7942"/>
    <w:rsid w:val="00AC7BFD"/>
    <w:rsid w:val="00AC7CF5"/>
    <w:rsid w:val="00AD044F"/>
    <w:rsid w:val="00AD0D1F"/>
    <w:rsid w:val="00AD1A57"/>
    <w:rsid w:val="00AD1DE5"/>
    <w:rsid w:val="00AD1FA0"/>
    <w:rsid w:val="00AD24C6"/>
    <w:rsid w:val="00AD26BC"/>
    <w:rsid w:val="00AD29E2"/>
    <w:rsid w:val="00AD2A8E"/>
    <w:rsid w:val="00AD328A"/>
    <w:rsid w:val="00AD336D"/>
    <w:rsid w:val="00AD3D17"/>
    <w:rsid w:val="00AD3FED"/>
    <w:rsid w:val="00AD431A"/>
    <w:rsid w:val="00AD44C6"/>
    <w:rsid w:val="00AD458E"/>
    <w:rsid w:val="00AD4989"/>
    <w:rsid w:val="00AD49EB"/>
    <w:rsid w:val="00AD4D10"/>
    <w:rsid w:val="00AD52A8"/>
    <w:rsid w:val="00AD58BF"/>
    <w:rsid w:val="00AD594C"/>
    <w:rsid w:val="00AD5F48"/>
    <w:rsid w:val="00AD605B"/>
    <w:rsid w:val="00AD6DBD"/>
    <w:rsid w:val="00AD73CE"/>
    <w:rsid w:val="00AD777C"/>
    <w:rsid w:val="00AD7934"/>
    <w:rsid w:val="00AD7C9D"/>
    <w:rsid w:val="00AE01AB"/>
    <w:rsid w:val="00AE0C62"/>
    <w:rsid w:val="00AE11CB"/>
    <w:rsid w:val="00AE149D"/>
    <w:rsid w:val="00AE181B"/>
    <w:rsid w:val="00AE1CF4"/>
    <w:rsid w:val="00AE1E3B"/>
    <w:rsid w:val="00AE1ED8"/>
    <w:rsid w:val="00AE1EFA"/>
    <w:rsid w:val="00AE2088"/>
    <w:rsid w:val="00AE2AA4"/>
    <w:rsid w:val="00AE2BF5"/>
    <w:rsid w:val="00AE3125"/>
    <w:rsid w:val="00AE3851"/>
    <w:rsid w:val="00AE456B"/>
    <w:rsid w:val="00AE52E7"/>
    <w:rsid w:val="00AE5481"/>
    <w:rsid w:val="00AE5A02"/>
    <w:rsid w:val="00AE61E8"/>
    <w:rsid w:val="00AE67FE"/>
    <w:rsid w:val="00AE7D6E"/>
    <w:rsid w:val="00AE7FCE"/>
    <w:rsid w:val="00AF040F"/>
    <w:rsid w:val="00AF04F5"/>
    <w:rsid w:val="00AF05C7"/>
    <w:rsid w:val="00AF0FDB"/>
    <w:rsid w:val="00AF11F0"/>
    <w:rsid w:val="00AF15CD"/>
    <w:rsid w:val="00AF176F"/>
    <w:rsid w:val="00AF1850"/>
    <w:rsid w:val="00AF1A46"/>
    <w:rsid w:val="00AF1C30"/>
    <w:rsid w:val="00AF273C"/>
    <w:rsid w:val="00AF2E5A"/>
    <w:rsid w:val="00AF300F"/>
    <w:rsid w:val="00AF33EB"/>
    <w:rsid w:val="00AF35AD"/>
    <w:rsid w:val="00AF3770"/>
    <w:rsid w:val="00AF3D2D"/>
    <w:rsid w:val="00AF491D"/>
    <w:rsid w:val="00AF4E63"/>
    <w:rsid w:val="00AF5DE7"/>
    <w:rsid w:val="00AF5ECE"/>
    <w:rsid w:val="00AF5F40"/>
    <w:rsid w:val="00AF626C"/>
    <w:rsid w:val="00AF62BE"/>
    <w:rsid w:val="00AF6332"/>
    <w:rsid w:val="00AF6624"/>
    <w:rsid w:val="00AF6ADA"/>
    <w:rsid w:val="00AF6E44"/>
    <w:rsid w:val="00AF6EE2"/>
    <w:rsid w:val="00AF6F26"/>
    <w:rsid w:val="00AF7137"/>
    <w:rsid w:val="00AF76C6"/>
    <w:rsid w:val="00B00015"/>
    <w:rsid w:val="00B0047A"/>
    <w:rsid w:val="00B00A3E"/>
    <w:rsid w:val="00B0120A"/>
    <w:rsid w:val="00B01438"/>
    <w:rsid w:val="00B0149B"/>
    <w:rsid w:val="00B0150E"/>
    <w:rsid w:val="00B01582"/>
    <w:rsid w:val="00B015F8"/>
    <w:rsid w:val="00B01C15"/>
    <w:rsid w:val="00B01D9F"/>
    <w:rsid w:val="00B020C9"/>
    <w:rsid w:val="00B024FD"/>
    <w:rsid w:val="00B0258C"/>
    <w:rsid w:val="00B027A8"/>
    <w:rsid w:val="00B02849"/>
    <w:rsid w:val="00B02948"/>
    <w:rsid w:val="00B02C88"/>
    <w:rsid w:val="00B03224"/>
    <w:rsid w:val="00B032AC"/>
    <w:rsid w:val="00B03B5C"/>
    <w:rsid w:val="00B04068"/>
    <w:rsid w:val="00B04178"/>
    <w:rsid w:val="00B043A5"/>
    <w:rsid w:val="00B04F03"/>
    <w:rsid w:val="00B04F5D"/>
    <w:rsid w:val="00B05E0C"/>
    <w:rsid w:val="00B06375"/>
    <w:rsid w:val="00B0640B"/>
    <w:rsid w:val="00B0673C"/>
    <w:rsid w:val="00B06CC6"/>
    <w:rsid w:val="00B074AD"/>
    <w:rsid w:val="00B079D1"/>
    <w:rsid w:val="00B07A20"/>
    <w:rsid w:val="00B07D40"/>
    <w:rsid w:val="00B105F7"/>
    <w:rsid w:val="00B113D5"/>
    <w:rsid w:val="00B11510"/>
    <w:rsid w:val="00B11A53"/>
    <w:rsid w:val="00B11D19"/>
    <w:rsid w:val="00B11E3F"/>
    <w:rsid w:val="00B11F7C"/>
    <w:rsid w:val="00B12B3F"/>
    <w:rsid w:val="00B12EA4"/>
    <w:rsid w:val="00B131C3"/>
    <w:rsid w:val="00B131F8"/>
    <w:rsid w:val="00B13539"/>
    <w:rsid w:val="00B1422A"/>
    <w:rsid w:val="00B143F5"/>
    <w:rsid w:val="00B14A85"/>
    <w:rsid w:val="00B14CA6"/>
    <w:rsid w:val="00B14FBC"/>
    <w:rsid w:val="00B1503C"/>
    <w:rsid w:val="00B150FC"/>
    <w:rsid w:val="00B15A1A"/>
    <w:rsid w:val="00B1635C"/>
    <w:rsid w:val="00B165F9"/>
    <w:rsid w:val="00B1679D"/>
    <w:rsid w:val="00B16AFF"/>
    <w:rsid w:val="00B16B91"/>
    <w:rsid w:val="00B171FE"/>
    <w:rsid w:val="00B17A1C"/>
    <w:rsid w:val="00B17E26"/>
    <w:rsid w:val="00B2002F"/>
    <w:rsid w:val="00B206B8"/>
    <w:rsid w:val="00B2071B"/>
    <w:rsid w:val="00B2084C"/>
    <w:rsid w:val="00B2118F"/>
    <w:rsid w:val="00B2124B"/>
    <w:rsid w:val="00B2129B"/>
    <w:rsid w:val="00B21567"/>
    <w:rsid w:val="00B21B14"/>
    <w:rsid w:val="00B21EB4"/>
    <w:rsid w:val="00B2214A"/>
    <w:rsid w:val="00B22EA4"/>
    <w:rsid w:val="00B230E4"/>
    <w:rsid w:val="00B233A2"/>
    <w:rsid w:val="00B233E0"/>
    <w:rsid w:val="00B23D21"/>
    <w:rsid w:val="00B23E7D"/>
    <w:rsid w:val="00B24372"/>
    <w:rsid w:val="00B243A6"/>
    <w:rsid w:val="00B24544"/>
    <w:rsid w:val="00B2464D"/>
    <w:rsid w:val="00B24C1A"/>
    <w:rsid w:val="00B252B6"/>
    <w:rsid w:val="00B257F5"/>
    <w:rsid w:val="00B2594F"/>
    <w:rsid w:val="00B25A5F"/>
    <w:rsid w:val="00B25BF0"/>
    <w:rsid w:val="00B26046"/>
    <w:rsid w:val="00B26057"/>
    <w:rsid w:val="00B265A3"/>
    <w:rsid w:val="00B2695F"/>
    <w:rsid w:val="00B26CDA"/>
    <w:rsid w:val="00B26D68"/>
    <w:rsid w:val="00B2724B"/>
    <w:rsid w:val="00B273BD"/>
    <w:rsid w:val="00B273F5"/>
    <w:rsid w:val="00B27666"/>
    <w:rsid w:val="00B27C4E"/>
    <w:rsid w:val="00B300CA"/>
    <w:rsid w:val="00B302D4"/>
    <w:rsid w:val="00B3080E"/>
    <w:rsid w:val="00B309A2"/>
    <w:rsid w:val="00B30F3A"/>
    <w:rsid w:val="00B311EC"/>
    <w:rsid w:val="00B3233A"/>
    <w:rsid w:val="00B3244D"/>
    <w:rsid w:val="00B32960"/>
    <w:rsid w:val="00B329BC"/>
    <w:rsid w:val="00B32B77"/>
    <w:rsid w:val="00B32F76"/>
    <w:rsid w:val="00B33823"/>
    <w:rsid w:val="00B3392C"/>
    <w:rsid w:val="00B33BE9"/>
    <w:rsid w:val="00B34038"/>
    <w:rsid w:val="00B34FE1"/>
    <w:rsid w:val="00B356C1"/>
    <w:rsid w:val="00B35A38"/>
    <w:rsid w:val="00B36796"/>
    <w:rsid w:val="00B367C5"/>
    <w:rsid w:val="00B36D69"/>
    <w:rsid w:val="00B36F61"/>
    <w:rsid w:val="00B3751C"/>
    <w:rsid w:val="00B3767D"/>
    <w:rsid w:val="00B37B4A"/>
    <w:rsid w:val="00B40C06"/>
    <w:rsid w:val="00B40FE4"/>
    <w:rsid w:val="00B4134C"/>
    <w:rsid w:val="00B414AE"/>
    <w:rsid w:val="00B4152F"/>
    <w:rsid w:val="00B422D6"/>
    <w:rsid w:val="00B425CE"/>
    <w:rsid w:val="00B42AEF"/>
    <w:rsid w:val="00B42F89"/>
    <w:rsid w:val="00B43931"/>
    <w:rsid w:val="00B43E0E"/>
    <w:rsid w:val="00B43EAF"/>
    <w:rsid w:val="00B448F1"/>
    <w:rsid w:val="00B449CD"/>
    <w:rsid w:val="00B44D51"/>
    <w:rsid w:val="00B45512"/>
    <w:rsid w:val="00B45D0E"/>
    <w:rsid w:val="00B4610E"/>
    <w:rsid w:val="00B4632A"/>
    <w:rsid w:val="00B46727"/>
    <w:rsid w:val="00B46AC2"/>
    <w:rsid w:val="00B46CB0"/>
    <w:rsid w:val="00B470E3"/>
    <w:rsid w:val="00B4762C"/>
    <w:rsid w:val="00B47DF2"/>
    <w:rsid w:val="00B50752"/>
    <w:rsid w:val="00B50F0D"/>
    <w:rsid w:val="00B5103E"/>
    <w:rsid w:val="00B514F6"/>
    <w:rsid w:val="00B518CF"/>
    <w:rsid w:val="00B52240"/>
    <w:rsid w:val="00B522EE"/>
    <w:rsid w:val="00B523AA"/>
    <w:rsid w:val="00B52593"/>
    <w:rsid w:val="00B52C92"/>
    <w:rsid w:val="00B5334D"/>
    <w:rsid w:val="00B533A4"/>
    <w:rsid w:val="00B53870"/>
    <w:rsid w:val="00B5455F"/>
    <w:rsid w:val="00B54626"/>
    <w:rsid w:val="00B54C82"/>
    <w:rsid w:val="00B54D43"/>
    <w:rsid w:val="00B54E4F"/>
    <w:rsid w:val="00B551D3"/>
    <w:rsid w:val="00B55215"/>
    <w:rsid w:val="00B55450"/>
    <w:rsid w:val="00B56850"/>
    <w:rsid w:val="00B57968"/>
    <w:rsid w:val="00B57E66"/>
    <w:rsid w:val="00B600AE"/>
    <w:rsid w:val="00B606EB"/>
    <w:rsid w:val="00B60832"/>
    <w:rsid w:val="00B608F7"/>
    <w:rsid w:val="00B60FD6"/>
    <w:rsid w:val="00B61E3F"/>
    <w:rsid w:val="00B61F92"/>
    <w:rsid w:val="00B6259B"/>
    <w:rsid w:val="00B62C84"/>
    <w:rsid w:val="00B63265"/>
    <w:rsid w:val="00B636AA"/>
    <w:rsid w:val="00B64109"/>
    <w:rsid w:val="00B64632"/>
    <w:rsid w:val="00B646E0"/>
    <w:rsid w:val="00B647C6"/>
    <w:rsid w:val="00B6484C"/>
    <w:rsid w:val="00B64D99"/>
    <w:rsid w:val="00B64DEE"/>
    <w:rsid w:val="00B65B30"/>
    <w:rsid w:val="00B65BD2"/>
    <w:rsid w:val="00B660D2"/>
    <w:rsid w:val="00B66334"/>
    <w:rsid w:val="00B66A0C"/>
    <w:rsid w:val="00B674C0"/>
    <w:rsid w:val="00B6763F"/>
    <w:rsid w:val="00B6766B"/>
    <w:rsid w:val="00B678C7"/>
    <w:rsid w:val="00B67957"/>
    <w:rsid w:val="00B67A41"/>
    <w:rsid w:val="00B67CE8"/>
    <w:rsid w:val="00B709A1"/>
    <w:rsid w:val="00B70AA0"/>
    <w:rsid w:val="00B70AFF"/>
    <w:rsid w:val="00B715E5"/>
    <w:rsid w:val="00B716AE"/>
    <w:rsid w:val="00B71BEF"/>
    <w:rsid w:val="00B71F6E"/>
    <w:rsid w:val="00B7208A"/>
    <w:rsid w:val="00B7220F"/>
    <w:rsid w:val="00B72A92"/>
    <w:rsid w:val="00B72AE5"/>
    <w:rsid w:val="00B73001"/>
    <w:rsid w:val="00B73073"/>
    <w:rsid w:val="00B731AC"/>
    <w:rsid w:val="00B7344F"/>
    <w:rsid w:val="00B73828"/>
    <w:rsid w:val="00B73A36"/>
    <w:rsid w:val="00B73BD2"/>
    <w:rsid w:val="00B73CCC"/>
    <w:rsid w:val="00B73CEF"/>
    <w:rsid w:val="00B73E18"/>
    <w:rsid w:val="00B73F57"/>
    <w:rsid w:val="00B740F5"/>
    <w:rsid w:val="00B74240"/>
    <w:rsid w:val="00B74F7C"/>
    <w:rsid w:val="00B75FBC"/>
    <w:rsid w:val="00B760EE"/>
    <w:rsid w:val="00B76864"/>
    <w:rsid w:val="00B76A86"/>
    <w:rsid w:val="00B76CE3"/>
    <w:rsid w:val="00B77196"/>
    <w:rsid w:val="00B7744C"/>
    <w:rsid w:val="00B80A8E"/>
    <w:rsid w:val="00B80CEC"/>
    <w:rsid w:val="00B81557"/>
    <w:rsid w:val="00B8240D"/>
    <w:rsid w:val="00B82773"/>
    <w:rsid w:val="00B83B95"/>
    <w:rsid w:val="00B83F05"/>
    <w:rsid w:val="00B84348"/>
    <w:rsid w:val="00B8487C"/>
    <w:rsid w:val="00B85722"/>
    <w:rsid w:val="00B85F26"/>
    <w:rsid w:val="00B8601C"/>
    <w:rsid w:val="00B864B6"/>
    <w:rsid w:val="00B86B9A"/>
    <w:rsid w:val="00B87200"/>
    <w:rsid w:val="00B8731D"/>
    <w:rsid w:val="00B87AC2"/>
    <w:rsid w:val="00B87DA2"/>
    <w:rsid w:val="00B87E68"/>
    <w:rsid w:val="00B90C9F"/>
    <w:rsid w:val="00B91301"/>
    <w:rsid w:val="00B91375"/>
    <w:rsid w:val="00B9163A"/>
    <w:rsid w:val="00B91ABD"/>
    <w:rsid w:val="00B91F64"/>
    <w:rsid w:val="00B92F9D"/>
    <w:rsid w:val="00B93934"/>
    <w:rsid w:val="00B939AE"/>
    <w:rsid w:val="00B93ABB"/>
    <w:rsid w:val="00B9426A"/>
    <w:rsid w:val="00B94A47"/>
    <w:rsid w:val="00B94B1C"/>
    <w:rsid w:val="00B94BA5"/>
    <w:rsid w:val="00B94C99"/>
    <w:rsid w:val="00B9586A"/>
    <w:rsid w:val="00B95E5B"/>
    <w:rsid w:val="00B96229"/>
    <w:rsid w:val="00B9643A"/>
    <w:rsid w:val="00B9676E"/>
    <w:rsid w:val="00B969B0"/>
    <w:rsid w:val="00B96A6B"/>
    <w:rsid w:val="00B96D43"/>
    <w:rsid w:val="00B97280"/>
    <w:rsid w:val="00B97C5C"/>
    <w:rsid w:val="00B97E32"/>
    <w:rsid w:val="00BA0BC7"/>
    <w:rsid w:val="00BA0F9C"/>
    <w:rsid w:val="00BA1151"/>
    <w:rsid w:val="00BA14B6"/>
    <w:rsid w:val="00BA196A"/>
    <w:rsid w:val="00BA1A36"/>
    <w:rsid w:val="00BA211F"/>
    <w:rsid w:val="00BA2326"/>
    <w:rsid w:val="00BA25B7"/>
    <w:rsid w:val="00BA2707"/>
    <w:rsid w:val="00BA2B4F"/>
    <w:rsid w:val="00BA30CC"/>
    <w:rsid w:val="00BA3827"/>
    <w:rsid w:val="00BA400E"/>
    <w:rsid w:val="00BA41B7"/>
    <w:rsid w:val="00BA4648"/>
    <w:rsid w:val="00BA4A6E"/>
    <w:rsid w:val="00BA4A87"/>
    <w:rsid w:val="00BA4FED"/>
    <w:rsid w:val="00BA54A1"/>
    <w:rsid w:val="00BA6009"/>
    <w:rsid w:val="00BA6306"/>
    <w:rsid w:val="00BA6594"/>
    <w:rsid w:val="00BA65E5"/>
    <w:rsid w:val="00BA6BD2"/>
    <w:rsid w:val="00BA6CCD"/>
    <w:rsid w:val="00BA7419"/>
    <w:rsid w:val="00BA772C"/>
    <w:rsid w:val="00BB0B3A"/>
    <w:rsid w:val="00BB0CB8"/>
    <w:rsid w:val="00BB1083"/>
    <w:rsid w:val="00BB174A"/>
    <w:rsid w:val="00BB17AA"/>
    <w:rsid w:val="00BB182B"/>
    <w:rsid w:val="00BB21FC"/>
    <w:rsid w:val="00BB2718"/>
    <w:rsid w:val="00BB28B7"/>
    <w:rsid w:val="00BB2BB6"/>
    <w:rsid w:val="00BB2D60"/>
    <w:rsid w:val="00BB55B2"/>
    <w:rsid w:val="00BB56AF"/>
    <w:rsid w:val="00BB681B"/>
    <w:rsid w:val="00BB6917"/>
    <w:rsid w:val="00BB7034"/>
    <w:rsid w:val="00BB73AC"/>
    <w:rsid w:val="00BB77E4"/>
    <w:rsid w:val="00BB7BF7"/>
    <w:rsid w:val="00BB7D77"/>
    <w:rsid w:val="00BC0037"/>
    <w:rsid w:val="00BC0870"/>
    <w:rsid w:val="00BC0E28"/>
    <w:rsid w:val="00BC1172"/>
    <w:rsid w:val="00BC1314"/>
    <w:rsid w:val="00BC1649"/>
    <w:rsid w:val="00BC1F9C"/>
    <w:rsid w:val="00BC204E"/>
    <w:rsid w:val="00BC2228"/>
    <w:rsid w:val="00BC230E"/>
    <w:rsid w:val="00BC24BA"/>
    <w:rsid w:val="00BC2683"/>
    <w:rsid w:val="00BC2FD0"/>
    <w:rsid w:val="00BC3EDC"/>
    <w:rsid w:val="00BC3F9C"/>
    <w:rsid w:val="00BC40A9"/>
    <w:rsid w:val="00BC463E"/>
    <w:rsid w:val="00BC4776"/>
    <w:rsid w:val="00BC4791"/>
    <w:rsid w:val="00BC4AA7"/>
    <w:rsid w:val="00BC4F57"/>
    <w:rsid w:val="00BC522B"/>
    <w:rsid w:val="00BC5BA9"/>
    <w:rsid w:val="00BC6FA7"/>
    <w:rsid w:val="00BC75D7"/>
    <w:rsid w:val="00BD12BD"/>
    <w:rsid w:val="00BD180D"/>
    <w:rsid w:val="00BD2261"/>
    <w:rsid w:val="00BD24B4"/>
    <w:rsid w:val="00BD2977"/>
    <w:rsid w:val="00BD2A40"/>
    <w:rsid w:val="00BD390D"/>
    <w:rsid w:val="00BD3BAD"/>
    <w:rsid w:val="00BD3C2D"/>
    <w:rsid w:val="00BD3E01"/>
    <w:rsid w:val="00BD4521"/>
    <w:rsid w:val="00BD4849"/>
    <w:rsid w:val="00BD4B1D"/>
    <w:rsid w:val="00BD4C25"/>
    <w:rsid w:val="00BD4F31"/>
    <w:rsid w:val="00BD63AC"/>
    <w:rsid w:val="00BD67D0"/>
    <w:rsid w:val="00BD6B07"/>
    <w:rsid w:val="00BD6B9C"/>
    <w:rsid w:val="00BD724E"/>
    <w:rsid w:val="00BD747D"/>
    <w:rsid w:val="00BD7740"/>
    <w:rsid w:val="00BD791C"/>
    <w:rsid w:val="00BD7B1A"/>
    <w:rsid w:val="00BD7D5E"/>
    <w:rsid w:val="00BE04EB"/>
    <w:rsid w:val="00BE17C7"/>
    <w:rsid w:val="00BE1C22"/>
    <w:rsid w:val="00BE249E"/>
    <w:rsid w:val="00BE25BF"/>
    <w:rsid w:val="00BE2B84"/>
    <w:rsid w:val="00BE3588"/>
    <w:rsid w:val="00BE38BC"/>
    <w:rsid w:val="00BE39F6"/>
    <w:rsid w:val="00BE41DB"/>
    <w:rsid w:val="00BE4307"/>
    <w:rsid w:val="00BE44FE"/>
    <w:rsid w:val="00BE49F6"/>
    <w:rsid w:val="00BE4E8D"/>
    <w:rsid w:val="00BE5597"/>
    <w:rsid w:val="00BE5619"/>
    <w:rsid w:val="00BE581B"/>
    <w:rsid w:val="00BE58D2"/>
    <w:rsid w:val="00BE5AA6"/>
    <w:rsid w:val="00BE6B50"/>
    <w:rsid w:val="00BE6D62"/>
    <w:rsid w:val="00BE75DE"/>
    <w:rsid w:val="00BF0674"/>
    <w:rsid w:val="00BF0913"/>
    <w:rsid w:val="00BF1107"/>
    <w:rsid w:val="00BF142B"/>
    <w:rsid w:val="00BF2184"/>
    <w:rsid w:val="00BF22A7"/>
    <w:rsid w:val="00BF238F"/>
    <w:rsid w:val="00BF2C22"/>
    <w:rsid w:val="00BF30F9"/>
    <w:rsid w:val="00BF3325"/>
    <w:rsid w:val="00BF344E"/>
    <w:rsid w:val="00BF3688"/>
    <w:rsid w:val="00BF3716"/>
    <w:rsid w:val="00BF3737"/>
    <w:rsid w:val="00BF3AE6"/>
    <w:rsid w:val="00BF3B97"/>
    <w:rsid w:val="00BF3DF3"/>
    <w:rsid w:val="00BF3E56"/>
    <w:rsid w:val="00BF4359"/>
    <w:rsid w:val="00BF49DC"/>
    <w:rsid w:val="00BF4A46"/>
    <w:rsid w:val="00BF4C4F"/>
    <w:rsid w:val="00BF525D"/>
    <w:rsid w:val="00BF581A"/>
    <w:rsid w:val="00BF5E58"/>
    <w:rsid w:val="00BF5F6C"/>
    <w:rsid w:val="00BF6D35"/>
    <w:rsid w:val="00BF6DA6"/>
    <w:rsid w:val="00BF7041"/>
    <w:rsid w:val="00BF75EA"/>
    <w:rsid w:val="00BF76A5"/>
    <w:rsid w:val="00BF7BD6"/>
    <w:rsid w:val="00C0008B"/>
    <w:rsid w:val="00C00978"/>
    <w:rsid w:val="00C00AD3"/>
    <w:rsid w:val="00C00CA6"/>
    <w:rsid w:val="00C00FA4"/>
    <w:rsid w:val="00C0113E"/>
    <w:rsid w:val="00C01569"/>
    <w:rsid w:val="00C015DE"/>
    <w:rsid w:val="00C0169E"/>
    <w:rsid w:val="00C01BF3"/>
    <w:rsid w:val="00C01C09"/>
    <w:rsid w:val="00C01C61"/>
    <w:rsid w:val="00C02162"/>
    <w:rsid w:val="00C0265F"/>
    <w:rsid w:val="00C02D33"/>
    <w:rsid w:val="00C02D90"/>
    <w:rsid w:val="00C0332C"/>
    <w:rsid w:val="00C036BA"/>
    <w:rsid w:val="00C04673"/>
    <w:rsid w:val="00C046B0"/>
    <w:rsid w:val="00C04760"/>
    <w:rsid w:val="00C04ECA"/>
    <w:rsid w:val="00C0588F"/>
    <w:rsid w:val="00C05A3C"/>
    <w:rsid w:val="00C05DD2"/>
    <w:rsid w:val="00C060F3"/>
    <w:rsid w:val="00C060FE"/>
    <w:rsid w:val="00C062A2"/>
    <w:rsid w:val="00C065BF"/>
    <w:rsid w:val="00C0665B"/>
    <w:rsid w:val="00C07079"/>
    <w:rsid w:val="00C0709E"/>
    <w:rsid w:val="00C071D2"/>
    <w:rsid w:val="00C0754F"/>
    <w:rsid w:val="00C0780B"/>
    <w:rsid w:val="00C07B62"/>
    <w:rsid w:val="00C07CF9"/>
    <w:rsid w:val="00C07F3E"/>
    <w:rsid w:val="00C07F42"/>
    <w:rsid w:val="00C10516"/>
    <w:rsid w:val="00C105E0"/>
    <w:rsid w:val="00C10ED3"/>
    <w:rsid w:val="00C10F0D"/>
    <w:rsid w:val="00C11647"/>
    <w:rsid w:val="00C11E30"/>
    <w:rsid w:val="00C11E54"/>
    <w:rsid w:val="00C11ED5"/>
    <w:rsid w:val="00C12695"/>
    <w:rsid w:val="00C12BA7"/>
    <w:rsid w:val="00C133A4"/>
    <w:rsid w:val="00C13C82"/>
    <w:rsid w:val="00C1458E"/>
    <w:rsid w:val="00C14CAC"/>
    <w:rsid w:val="00C14E34"/>
    <w:rsid w:val="00C1536B"/>
    <w:rsid w:val="00C157BE"/>
    <w:rsid w:val="00C15936"/>
    <w:rsid w:val="00C159B6"/>
    <w:rsid w:val="00C15A3F"/>
    <w:rsid w:val="00C15CA3"/>
    <w:rsid w:val="00C15EED"/>
    <w:rsid w:val="00C16425"/>
    <w:rsid w:val="00C166CB"/>
    <w:rsid w:val="00C16BBC"/>
    <w:rsid w:val="00C17513"/>
    <w:rsid w:val="00C20298"/>
    <w:rsid w:val="00C20CE8"/>
    <w:rsid w:val="00C212E7"/>
    <w:rsid w:val="00C21693"/>
    <w:rsid w:val="00C216E1"/>
    <w:rsid w:val="00C21E84"/>
    <w:rsid w:val="00C22427"/>
    <w:rsid w:val="00C22817"/>
    <w:rsid w:val="00C229AC"/>
    <w:rsid w:val="00C22CA9"/>
    <w:rsid w:val="00C233E0"/>
    <w:rsid w:val="00C2369E"/>
    <w:rsid w:val="00C2391C"/>
    <w:rsid w:val="00C23DCE"/>
    <w:rsid w:val="00C241F3"/>
    <w:rsid w:val="00C2441B"/>
    <w:rsid w:val="00C2496A"/>
    <w:rsid w:val="00C2541F"/>
    <w:rsid w:val="00C265AE"/>
    <w:rsid w:val="00C26662"/>
    <w:rsid w:val="00C26E35"/>
    <w:rsid w:val="00C27057"/>
    <w:rsid w:val="00C274A6"/>
    <w:rsid w:val="00C27C88"/>
    <w:rsid w:val="00C27CD0"/>
    <w:rsid w:val="00C27DA0"/>
    <w:rsid w:val="00C3022F"/>
    <w:rsid w:val="00C30533"/>
    <w:rsid w:val="00C30597"/>
    <w:rsid w:val="00C30A9C"/>
    <w:rsid w:val="00C310DD"/>
    <w:rsid w:val="00C31332"/>
    <w:rsid w:val="00C31913"/>
    <w:rsid w:val="00C33B62"/>
    <w:rsid w:val="00C33C57"/>
    <w:rsid w:val="00C342A1"/>
    <w:rsid w:val="00C344A2"/>
    <w:rsid w:val="00C3460C"/>
    <w:rsid w:val="00C34747"/>
    <w:rsid w:val="00C347BF"/>
    <w:rsid w:val="00C34D8A"/>
    <w:rsid w:val="00C350D6"/>
    <w:rsid w:val="00C35941"/>
    <w:rsid w:val="00C35C98"/>
    <w:rsid w:val="00C3658F"/>
    <w:rsid w:val="00C3695B"/>
    <w:rsid w:val="00C36D54"/>
    <w:rsid w:val="00C37088"/>
    <w:rsid w:val="00C3714C"/>
    <w:rsid w:val="00C37738"/>
    <w:rsid w:val="00C37868"/>
    <w:rsid w:val="00C379D8"/>
    <w:rsid w:val="00C37B73"/>
    <w:rsid w:val="00C37F5B"/>
    <w:rsid w:val="00C40923"/>
    <w:rsid w:val="00C415FF"/>
    <w:rsid w:val="00C41ED1"/>
    <w:rsid w:val="00C422E9"/>
    <w:rsid w:val="00C435B5"/>
    <w:rsid w:val="00C444DC"/>
    <w:rsid w:val="00C461B5"/>
    <w:rsid w:val="00C4676B"/>
    <w:rsid w:val="00C46E38"/>
    <w:rsid w:val="00C4775F"/>
    <w:rsid w:val="00C47A19"/>
    <w:rsid w:val="00C50367"/>
    <w:rsid w:val="00C50498"/>
    <w:rsid w:val="00C50932"/>
    <w:rsid w:val="00C50FA3"/>
    <w:rsid w:val="00C5143C"/>
    <w:rsid w:val="00C52C05"/>
    <w:rsid w:val="00C52EFC"/>
    <w:rsid w:val="00C53326"/>
    <w:rsid w:val="00C535CE"/>
    <w:rsid w:val="00C5387F"/>
    <w:rsid w:val="00C53882"/>
    <w:rsid w:val="00C53E89"/>
    <w:rsid w:val="00C542AB"/>
    <w:rsid w:val="00C54B40"/>
    <w:rsid w:val="00C552E1"/>
    <w:rsid w:val="00C55427"/>
    <w:rsid w:val="00C55D29"/>
    <w:rsid w:val="00C55E15"/>
    <w:rsid w:val="00C55EF9"/>
    <w:rsid w:val="00C56110"/>
    <w:rsid w:val="00C56CEB"/>
    <w:rsid w:val="00C57549"/>
    <w:rsid w:val="00C576ED"/>
    <w:rsid w:val="00C57C42"/>
    <w:rsid w:val="00C6080C"/>
    <w:rsid w:val="00C60816"/>
    <w:rsid w:val="00C60D95"/>
    <w:rsid w:val="00C613A9"/>
    <w:rsid w:val="00C61536"/>
    <w:rsid w:val="00C62003"/>
    <w:rsid w:val="00C622BB"/>
    <w:rsid w:val="00C6243C"/>
    <w:rsid w:val="00C6274E"/>
    <w:rsid w:val="00C62958"/>
    <w:rsid w:val="00C62A17"/>
    <w:rsid w:val="00C62AE2"/>
    <w:rsid w:val="00C63104"/>
    <w:rsid w:val="00C6344F"/>
    <w:rsid w:val="00C635B3"/>
    <w:rsid w:val="00C635D3"/>
    <w:rsid w:val="00C63852"/>
    <w:rsid w:val="00C63965"/>
    <w:rsid w:val="00C6409F"/>
    <w:rsid w:val="00C6412A"/>
    <w:rsid w:val="00C6510E"/>
    <w:rsid w:val="00C653E8"/>
    <w:rsid w:val="00C65A43"/>
    <w:rsid w:val="00C65B2F"/>
    <w:rsid w:val="00C65C94"/>
    <w:rsid w:val="00C66935"/>
    <w:rsid w:val="00C66A2D"/>
    <w:rsid w:val="00C66ABD"/>
    <w:rsid w:val="00C66C1A"/>
    <w:rsid w:val="00C66E61"/>
    <w:rsid w:val="00C672CD"/>
    <w:rsid w:val="00C67A8B"/>
    <w:rsid w:val="00C70041"/>
    <w:rsid w:val="00C70176"/>
    <w:rsid w:val="00C70429"/>
    <w:rsid w:val="00C70564"/>
    <w:rsid w:val="00C70E80"/>
    <w:rsid w:val="00C71101"/>
    <w:rsid w:val="00C7132A"/>
    <w:rsid w:val="00C71BCF"/>
    <w:rsid w:val="00C71FC1"/>
    <w:rsid w:val="00C726A2"/>
    <w:rsid w:val="00C72A5D"/>
    <w:rsid w:val="00C72F21"/>
    <w:rsid w:val="00C72F4A"/>
    <w:rsid w:val="00C73578"/>
    <w:rsid w:val="00C739B6"/>
    <w:rsid w:val="00C73D6E"/>
    <w:rsid w:val="00C73EA2"/>
    <w:rsid w:val="00C7433B"/>
    <w:rsid w:val="00C744E3"/>
    <w:rsid w:val="00C75234"/>
    <w:rsid w:val="00C75413"/>
    <w:rsid w:val="00C7555F"/>
    <w:rsid w:val="00C755D4"/>
    <w:rsid w:val="00C7675E"/>
    <w:rsid w:val="00C76F9C"/>
    <w:rsid w:val="00C77141"/>
    <w:rsid w:val="00C8023E"/>
    <w:rsid w:val="00C8037E"/>
    <w:rsid w:val="00C80D51"/>
    <w:rsid w:val="00C80E7D"/>
    <w:rsid w:val="00C818C7"/>
    <w:rsid w:val="00C81AD4"/>
    <w:rsid w:val="00C81B53"/>
    <w:rsid w:val="00C81CFE"/>
    <w:rsid w:val="00C81E06"/>
    <w:rsid w:val="00C81FC8"/>
    <w:rsid w:val="00C82768"/>
    <w:rsid w:val="00C82BB1"/>
    <w:rsid w:val="00C82C5A"/>
    <w:rsid w:val="00C82EF2"/>
    <w:rsid w:val="00C8323B"/>
    <w:rsid w:val="00C8387C"/>
    <w:rsid w:val="00C839B8"/>
    <w:rsid w:val="00C83A46"/>
    <w:rsid w:val="00C83ABC"/>
    <w:rsid w:val="00C83D2F"/>
    <w:rsid w:val="00C842AB"/>
    <w:rsid w:val="00C8443E"/>
    <w:rsid w:val="00C84474"/>
    <w:rsid w:val="00C851DE"/>
    <w:rsid w:val="00C8547D"/>
    <w:rsid w:val="00C858A9"/>
    <w:rsid w:val="00C85D1D"/>
    <w:rsid w:val="00C85F0C"/>
    <w:rsid w:val="00C86034"/>
    <w:rsid w:val="00C86075"/>
    <w:rsid w:val="00C86845"/>
    <w:rsid w:val="00C8693F"/>
    <w:rsid w:val="00C87455"/>
    <w:rsid w:val="00C87468"/>
    <w:rsid w:val="00C87CCB"/>
    <w:rsid w:val="00C87FBB"/>
    <w:rsid w:val="00C901CB"/>
    <w:rsid w:val="00C907BC"/>
    <w:rsid w:val="00C909C5"/>
    <w:rsid w:val="00C90A68"/>
    <w:rsid w:val="00C90DB6"/>
    <w:rsid w:val="00C90F61"/>
    <w:rsid w:val="00C9182D"/>
    <w:rsid w:val="00C91840"/>
    <w:rsid w:val="00C91D84"/>
    <w:rsid w:val="00C9203B"/>
    <w:rsid w:val="00C926B6"/>
    <w:rsid w:val="00C9293C"/>
    <w:rsid w:val="00C92B20"/>
    <w:rsid w:val="00C92F17"/>
    <w:rsid w:val="00C93260"/>
    <w:rsid w:val="00C946BF"/>
    <w:rsid w:val="00C9470F"/>
    <w:rsid w:val="00C947CC"/>
    <w:rsid w:val="00C948F7"/>
    <w:rsid w:val="00C94935"/>
    <w:rsid w:val="00C94B26"/>
    <w:rsid w:val="00C94D97"/>
    <w:rsid w:val="00C95138"/>
    <w:rsid w:val="00C95964"/>
    <w:rsid w:val="00C95EC5"/>
    <w:rsid w:val="00C96497"/>
    <w:rsid w:val="00C9691B"/>
    <w:rsid w:val="00C96D36"/>
    <w:rsid w:val="00C96E8B"/>
    <w:rsid w:val="00C97000"/>
    <w:rsid w:val="00C9793A"/>
    <w:rsid w:val="00C97DE8"/>
    <w:rsid w:val="00C97EB7"/>
    <w:rsid w:val="00CA0AD4"/>
    <w:rsid w:val="00CA0B5C"/>
    <w:rsid w:val="00CA0E66"/>
    <w:rsid w:val="00CA223C"/>
    <w:rsid w:val="00CA293D"/>
    <w:rsid w:val="00CA3434"/>
    <w:rsid w:val="00CA3939"/>
    <w:rsid w:val="00CA3C13"/>
    <w:rsid w:val="00CA3E2A"/>
    <w:rsid w:val="00CA445A"/>
    <w:rsid w:val="00CA4AF7"/>
    <w:rsid w:val="00CA4DFF"/>
    <w:rsid w:val="00CA51E9"/>
    <w:rsid w:val="00CA52FC"/>
    <w:rsid w:val="00CA58A4"/>
    <w:rsid w:val="00CA5A9A"/>
    <w:rsid w:val="00CA5C99"/>
    <w:rsid w:val="00CA6085"/>
    <w:rsid w:val="00CA63A1"/>
    <w:rsid w:val="00CA6491"/>
    <w:rsid w:val="00CA6868"/>
    <w:rsid w:val="00CA7360"/>
    <w:rsid w:val="00CA75F6"/>
    <w:rsid w:val="00CA7C73"/>
    <w:rsid w:val="00CA7D9B"/>
    <w:rsid w:val="00CA7E59"/>
    <w:rsid w:val="00CA7F82"/>
    <w:rsid w:val="00CB0068"/>
    <w:rsid w:val="00CB013A"/>
    <w:rsid w:val="00CB0A0E"/>
    <w:rsid w:val="00CB200A"/>
    <w:rsid w:val="00CB2AEB"/>
    <w:rsid w:val="00CB2D14"/>
    <w:rsid w:val="00CB31FD"/>
    <w:rsid w:val="00CB33F8"/>
    <w:rsid w:val="00CB3798"/>
    <w:rsid w:val="00CB3D43"/>
    <w:rsid w:val="00CB4AD4"/>
    <w:rsid w:val="00CB531F"/>
    <w:rsid w:val="00CB5339"/>
    <w:rsid w:val="00CB5AF3"/>
    <w:rsid w:val="00CB5BB5"/>
    <w:rsid w:val="00CB5EAB"/>
    <w:rsid w:val="00CB5F0B"/>
    <w:rsid w:val="00CB7107"/>
    <w:rsid w:val="00CB76F6"/>
    <w:rsid w:val="00CB77DF"/>
    <w:rsid w:val="00CC00E0"/>
    <w:rsid w:val="00CC0241"/>
    <w:rsid w:val="00CC0BB7"/>
    <w:rsid w:val="00CC16D0"/>
    <w:rsid w:val="00CC1CFA"/>
    <w:rsid w:val="00CC1D19"/>
    <w:rsid w:val="00CC1EC4"/>
    <w:rsid w:val="00CC2577"/>
    <w:rsid w:val="00CC25DB"/>
    <w:rsid w:val="00CC2878"/>
    <w:rsid w:val="00CC2AE8"/>
    <w:rsid w:val="00CC2D1A"/>
    <w:rsid w:val="00CC2D30"/>
    <w:rsid w:val="00CC2DC5"/>
    <w:rsid w:val="00CC374A"/>
    <w:rsid w:val="00CC3B25"/>
    <w:rsid w:val="00CC40EE"/>
    <w:rsid w:val="00CC4BF6"/>
    <w:rsid w:val="00CC4FBD"/>
    <w:rsid w:val="00CC5164"/>
    <w:rsid w:val="00CC5F08"/>
    <w:rsid w:val="00CC60A5"/>
    <w:rsid w:val="00CC610B"/>
    <w:rsid w:val="00CC6B0D"/>
    <w:rsid w:val="00CC6D8D"/>
    <w:rsid w:val="00CC7C25"/>
    <w:rsid w:val="00CC7E25"/>
    <w:rsid w:val="00CC7E9C"/>
    <w:rsid w:val="00CD0836"/>
    <w:rsid w:val="00CD09E2"/>
    <w:rsid w:val="00CD0CBF"/>
    <w:rsid w:val="00CD0FBE"/>
    <w:rsid w:val="00CD135E"/>
    <w:rsid w:val="00CD18EE"/>
    <w:rsid w:val="00CD1968"/>
    <w:rsid w:val="00CD1BB3"/>
    <w:rsid w:val="00CD1E48"/>
    <w:rsid w:val="00CD1F2E"/>
    <w:rsid w:val="00CD25F0"/>
    <w:rsid w:val="00CD2A53"/>
    <w:rsid w:val="00CD2CB7"/>
    <w:rsid w:val="00CD3092"/>
    <w:rsid w:val="00CD31C1"/>
    <w:rsid w:val="00CD344F"/>
    <w:rsid w:val="00CD3A88"/>
    <w:rsid w:val="00CD3CE8"/>
    <w:rsid w:val="00CD3D3E"/>
    <w:rsid w:val="00CD4350"/>
    <w:rsid w:val="00CD43DA"/>
    <w:rsid w:val="00CD485C"/>
    <w:rsid w:val="00CD4D78"/>
    <w:rsid w:val="00CD60C9"/>
    <w:rsid w:val="00CD6348"/>
    <w:rsid w:val="00CD6440"/>
    <w:rsid w:val="00CD70A1"/>
    <w:rsid w:val="00CD72E3"/>
    <w:rsid w:val="00CD73BA"/>
    <w:rsid w:val="00CD7428"/>
    <w:rsid w:val="00CD74D6"/>
    <w:rsid w:val="00CE0145"/>
    <w:rsid w:val="00CE0345"/>
    <w:rsid w:val="00CE0FBC"/>
    <w:rsid w:val="00CE1267"/>
    <w:rsid w:val="00CE1F9E"/>
    <w:rsid w:val="00CE22BE"/>
    <w:rsid w:val="00CE2648"/>
    <w:rsid w:val="00CE285D"/>
    <w:rsid w:val="00CE29B8"/>
    <w:rsid w:val="00CE2B6A"/>
    <w:rsid w:val="00CE2D70"/>
    <w:rsid w:val="00CE2F7E"/>
    <w:rsid w:val="00CE4035"/>
    <w:rsid w:val="00CE4189"/>
    <w:rsid w:val="00CE46D6"/>
    <w:rsid w:val="00CE4918"/>
    <w:rsid w:val="00CE4B2B"/>
    <w:rsid w:val="00CE4B94"/>
    <w:rsid w:val="00CE531B"/>
    <w:rsid w:val="00CE53BC"/>
    <w:rsid w:val="00CE54A1"/>
    <w:rsid w:val="00CE57D7"/>
    <w:rsid w:val="00CE5B5B"/>
    <w:rsid w:val="00CE6208"/>
    <w:rsid w:val="00CE67EE"/>
    <w:rsid w:val="00CE685A"/>
    <w:rsid w:val="00CE6A49"/>
    <w:rsid w:val="00CE6B76"/>
    <w:rsid w:val="00CE6CB3"/>
    <w:rsid w:val="00CE7829"/>
    <w:rsid w:val="00CE78C1"/>
    <w:rsid w:val="00CE7EC6"/>
    <w:rsid w:val="00CE7F52"/>
    <w:rsid w:val="00CF07BA"/>
    <w:rsid w:val="00CF0B4D"/>
    <w:rsid w:val="00CF0C8A"/>
    <w:rsid w:val="00CF0F38"/>
    <w:rsid w:val="00CF1507"/>
    <w:rsid w:val="00CF16F1"/>
    <w:rsid w:val="00CF1EC0"/>
    <w:rsid w:val="00CF243C"/>
    <w:rsid w:val="00CF26FC"/>
    <w:rsid w:val="00CF28E2"/>
    <w:rsid w:val="00CF29AD"/>
    <w:rsid w:val="00CF2BC0"/>
    <w:rsid w:val="00CF3E30"/>
    <w:rsid w:val="00CF4423"/>
    <w:rsid w:val="00CF44EB"/>
    <w:rsid w:val="00CF46E4"/>
    <w:rsid w:val="00CF4974"/>
    <w:rsid w:val="00CF4BEE"/>
    <w:rsid w:val="00CF500E"/>
    <w:rsid w:val="00CF565F"/>
    <w:rsid w:val="00CF57A9"/>
    <w:rsid w:val="00CF5871"/>
    <w:rsid w:val="00CF683C"/>
    <w:rsid w:val="00CF685F"/>
    <w:rsid w:val="00CF6E00"/>
    <w:rsid w:val="00CF7110"/>
    <w:rsid w:val="00CF71C0"/>
    <w:rsid w:val="00CF73FE"/>
    <w:rsid w:val="00D00650"/>
    <w:rsid w:val="00D00FDB"/>
    <w:rsid w:val="00D01049"/>
    <w:rsid w:val="00D01688"/>
    <w:rsid w:val="00D01CBB"/>
    <w:rsid w:val="00D02260"/>
    <w:rsid w:val="00D023DF"/>
    <w:rsid w:val="00D02D6E"/>
    <w:rsid w:val="00D02E08"/>
    <w:rsid w:val="00D02E99"/>
    <w:rsid w:val="00D02FBF"/>
    <w:rsid w:val="00D03417"/>
    <w:rsid w:val="00D03696"/>
    <w:rsid w:val="00D03984"/>
    <w:rsid w:val="00D03E20"/>
    <w:rsid w:val="00D03E2B"/>
    <w:rsid w:val="00D0400E"/>
    <w:rsid w:val="00D049CD"/>
    <w:rsid w:val="00D04B7E"/>
    <w:rsid w:val="00D04C68"/>
    <w:rsid w:val="00D0578A"/>
    <w:rsid w:val="00D05E71"/>
    <w:rsid w:val="00D06656"/>
    <w:rsid w:val="00D06A27"/>
    <w:rsid w:val="00D07177"/>
    <w:rsid w:val="00D07A43"/>
    <w:rsid w:val="00D1094D"/>
    <w:rsid w:val="00D10ACA"/>
    <w:rsid w:val="00D10B24"/>
    <w:rsid w:val="00D118AF"/>
    <w:rsid w:val="00D1190A"/>
    <w:rsid w:val="00D11917"/>
    <w:rsid w:val="00D123A4"/>
    <w:rsid w:val="00D124CE"/>
    <w:rsid w:val="00D12518"/>
    <w:rsid w:val="00D12C3F"/>
    <w:rsid w:val="00D13385"/>
    <w:rsid w:val="00D1341E"/>
    <w:rsid w:val="00D13B4B"/>
    <w:rsid w:val="00D1440F"/>
    <w:rsid w:val="00D1445C"/>
    <w:rsid w:val="00D14D77"/>
    <w:rsid w:val="00D14E00"/>
    <w:rsid w:val="00D15014"/>
    <w:rsid w:val="00D1527D"/>
    <w:rsid w:val="00D1536F"/>
    <w:rsid w:val="00D1545D"/>
    <w:rsid w:val="00D1596A"/>
    <w:rsid w:val="00D15A6C"/>
    <w:rsid w:val="00D15D12"/>
    <w:rsid w:val="00D163CD"/>
    <w:rsid w:val="00D166E6"/>
    <w:rsid w:val="00D17086"/>
    <w:rsid w:val="00D17370"/>
    <w:rsid w:val="00D178F2"/>
    <w:rsid w:val="00D17E32"/>
    <w:rsid w:val="00D20011"/>
    <w:rsid w:val="00D20512"/>
    <w:rsid w:val="00D20922"/>
    <w:rsid w:val="00D20D05"/>
    <w:rsid w:val="00D2148B"/>
    <w:rsid w:val="00D217C6"/>
    <w:rsid w:val="00D21A92"/>
    <w:rsid w:val="00D21AE2"/>
    <w:rsid w:val="00D21C5A"/>
    <w:rsid w:val="00D227AF"/>
    <w:rsid w:val="00D22881"/>
    <w:rsid w:val="00D22EBD"/>
    <w:rsid w:val="00D22F17"/>
    <w:rsid w:val="00D2331D"/>
    <w:rsid w:val="00D23463"/>
    <w:rsid w:val="00D23612"/>
    <w:rsid w:val="00D23651"/>
    <w:rsid w:val="00D238FB"/>
    <w:rsid w:val="00D23CD7"/>
    <w:rsid w:val="00D244C6"/>
    <w:rsid w:val="00D24513"/>
    <w:rsid w:val="00D2557B"/>
    <w:rsid w:val="00D256D9"/>
    <w:rsid w:val="00D25B4E"/>
    <w:rsid w:val="00D25B83"/>
    <w:rsid w:val="00D26AAA"/>
    <w:rsid w:val="00D26B6B"/>
    <w:rsid w:val="00D26CC0"/>
    <w:rsid w:val="00D273D6"/>
    <w:rsid w:val="00D273FB"/>
    <w:rsid w:val="00D303B9"/>
    <w:rsid w:val="00D3042B"/>
    <w:rsid w:val="00D30CEC"/>
    <w:rsid w:val="00D3150C"/>
    <w:rsid w:val="00D31665"/>
    <w:rsid w:val="00D3171F"/>
    <w:rsid w:val="00D31CF0"/>
    <w:rsid w:val="00D32055"/>
    <w:rsid w:val="00D3240C"/>
    <w:rsid w:val="00D3267E"/>
    <w:rsid w:val="00D327E5"/>
    <w:rsid w:val="00D32B67"/>
    <w:rsid w:val="00D32DEC"/>
    <w:rsid w:val="00D3320C"/>
    <w:rsid w:val="00D33874"/>
    <w:rsid w:val="00D33CC6"/>
    <w:rsid w:val="00D34375"/>
    <w:rsid w:val="00D344FB"/>
    <w:rsid w:val="00D347EA"/>
    <w:rsid w:val="00D34DA2"/>
    <w:rsid w:val="00D35534"/>
    <w:rsid w:val="00D35559"/>
    <w:rsid w:val="00D35845"/>
    <w:rsid w:val="00D35AED"/>
    <w:rsid w:val="00D35B6A"/>
    <w:rsid w:val="00D35D51"/>
    <w:rsid w:val="00D37393"/>
    <w:rsid w:val="00D379DC"/>
    <w:rsid w:val="00D37A38"/>
    <w:rsid w:val="00D37D89"/>
    <w:rsid w:val="00D37D97"/>
    <w:rsid w:val="00D40D72"/>
    <w:rsid w:val="00D40EB5"/>
    <w:rsid w:val="00D413EE"/>
    <w:rsid w:val="00D41674"/>
    <w:rsid w:val="00D416D1"/>
    <w:rsid w:val="00D41858"/>
    <w:rsid w:val="00D418C8"/>
    <w:rsid w:val="00D41A45"/>
    <w:rsid w:val="00D423FA"/>
    <w:rsid w:val="00D42D40"/>
    <w:rsid w:val="00D42F66"/>
    <w:rsid w:val="00D433A9"/>
    <w:rsid w:val="00D433E0"/>
    <w:rsid w:val="00D434B0"/>
    <w:rsid w:val="00D43846"/>
    <w:rsid w:val="00D439AE"/>
    <w:rsid w:val="00D43ADC"/>
    <w:rsid w:val="00D43C45"/>
    <w:rsid w:val="00D44862"/>
    <w:rsid w:val="00D44A86"/>
    <w:rsid w:val="00D44A9C"/>
    <w:rsid w:val="00D44BCA"/>
    <w:rsid w:val="00D44C0B"/>
    <w:rsid w:val="00D45C3D"/>
    <w:rsid w:val="00D4604D"/>
    <w:rsid w:val="00D46441"/>
    <w:rsid w:val="00D4669B"/>
    <w:rsid w:val="00D46BE0"/>
    <w:rsid w:val="00D46DA0"/>
    <w:rsid w:val="00D46E78"/>
    <w:rsid w:val="00D47134"/>
    <w:rsid w:val="00D472E4"/>
    <w:rsid w:val="00D47423"/>
    <w:rsid w:val="00D4751A"/>
    <w:rsid w:val="00D475FF"/>
    <w:rsid w:val="00D47DF6"/>
    <w:rsid w:val="00D5088D"/>
    <w:rsid w:val="00D50BF1"/>
    <w:rsid w:val="00D50C19"/>
    <w:rsid w:val="00D50D58"/>
    <w:rsid w:val="00D51D0B"/>
    <w:rsid w:val="00D5290F"/>
    <w:rsid w:val="00D52B01"/>
    <w:rsid w:val="00D53764"/>
    <w:rsid w:val="00D542C2"/>
    <w:rsid w:val="00D5440A"/>
    <w:rsid w:val="00D54609"/>
    <w:rsid w:val="00D546E4"/>
    <w:rsid w:val="00D54763"/>
    <w:rsid w:val="00D54E66"/>
    <w:rsid w:val="00D5570C"/>
    <w:rsid w:val="00D5580F"/>
    <w:rsid w:val="00D5594B"/>
    <w:rsid w:val="00D55E5E"/>
    <w:rsid w:val="00D5604A"/>
    <w:rsid w:val="00D56121"/>
    <w:rsid w:val="00D5617E"/>
    <w:rsid w:val="00D562BB"/>
    <w:rsid w:val="00D56699"/>
    <w:rsid w:val="00D567E4"/>
    <w:rsid w:val="00D5744E"/>
    <w:rsid w:val="00D577AA"/>
    <w:rsid w:val="00D57F42"/>
    <w:rsid w:val="00D6003B"/>
    <w:rsid w:val="00D6018B"/>
    <w:rsid w:val="00D6027C"/>
    <w:rsid w:val="00D603C5"/>
    <w:rsid w:val="00D618A6"/>
    <w:rsid w:val="00D61EBE"/>
    <w:rsid w:val="00D6251F"/>
    <w:rsid w:val="00D627AE"/>
    <w:rsid w:val="00D62871"/>
    <w:rsid w:val="00D6295F"/>
    <w:rsid w:val="00D62EBF"/>
    <w:rsid w:val="00D635E1"/>
    <w:rsid w:val="00D64183"/>
    <w:rsid w:val="00D646C4"/>
    <w:rsid w:val="00D648B8"/>
    <w:rsid w:val="00D653CE"/>
    <w:rsid w:val="00D6582A"/>
    <w:rsid w:val="00D65ED0"/>
    <w:rsid w:val="00D65F39"/>
    <w:rsid w:val="00D66229"/>
    <w:rsid w:val="00D664BF"/>
    <w:rsid w:val="00D66CAD"/>
    <w:rsid w:val="00D66D75"/>
    <w:rsid w:val="00D677BB"/>
    <w:rsid w:val="00D677F3"/>
    <w:rsid w:val="00D67C88"/>
    <w:rsid w:val="00D705A4"/>
    <w:rsid w:val="00D71108"/>
    <w:rsid w:val="00D71259"/>
    <w:rsid w:val="00D71AD4"/>
    <w:rsid w:val="00D71ECA"/>
    <w:rsid w:val="00D72098"/>
    <w:rsid w:val="00D72785"/>
    <w:rsid w:val="00D729E9"/>
    <w:rsid w:val="00D72BA5"/>
    <w:rsid w:val="00D72BFF"/>
    <w:rsid w:val="00D73A57"/>
    <w:rsid w:val="00D74133"/>
    <w:rsid w:val="00D75E36"/>
    <w:rsid w:val="00D7623A"/>
    <w:rsid w:val="00D765EF"/>
    <w:rsid w:val="00D76A2F"/>
    <w:rsid w:val="00D76B6E"/>
    <w:rsid w:val="00D76C97"/>
    <w:rsid w:val="00D77201"/>
    <w:rsid w:val="00D77540"/>
    <w:rsid w:val="00D775C3"/>
    <w:rsid w:val="00D8034F"/>
    <w:rsid w:val="00D822EE"/>
    <w:rsid w:val="00D82566"/>
    <w:rsid w:val="00D83356"/>
    <w:rsid w:val="00D83B16"/>
    <w:rsid w:val="00D83CCC"/>
    <w:rsid w:val="00D8471A"/>
    <w:rsid w:val="00D84DAC"/>
    <w:rsid w:val="00D85041"/>
    <w:rsid w:val="00D857A0"/>
    <w:rsid w:val="00D864F2"/>
    <w:rsid w:val="00D8703C"/>
    <w:rsid w:val="00D8708A"/>
    <w:rsid w:val="00D87207"/>
    <w:rsid w:val="00D87B8B"/>
    <w:rsid w:val="00D90351"/>
    <w:rsid w:val="00D903E7"/>
    <w:rsid w:val="00D90B27"/>
    <w:rsid w:val="00D90EA9"/>
    <w:rsid w:val="00D912EA"/>
    <w:rsid w:val="00D915B3"/>
    <w:rsid w:val="00D9178A"/>
    <w:rsid w:val="00D91FF2"/>
    <w:rsid w:val="00D92F7B"/>
    <w:rsid w:val="00D93563"/>
    <w:rsid w:val="00D936E4"/>
    <w:rsid w:val="00D93B19"/>
    <w:rsid w:val="00D93E8D"/>
    <w:rsid w:val="00D93F4B"/>
    <w:rsid w:val="00D93FBE"/>
    <w:rsid w:val="00D94708"/>
    <w:rsid w:val="00D94A29"/>
    <w:rsid w:val="00D94CE1"/>
    <w:rsid w:val="00D94E9F"/>
    <w:rsid w:val="00D952D6"/>
    <w:rsid w:val="00D95370"/>
    <w:rsid w:val="00D95A39"/>
    <w:rsid w:val="00D96044"/>
    <w:rsid w:val="00D96380"/>
    <w:rsid w:val="00D963D2"/>
    <w:rsid w:val="00D9651B"/>
    <w:rsid w:val="00D967C3"/>
    <w:rsid w:val="00D96D32"/>
    <w:rsid w:val="00D96D93"/>
    <w:rsid w:val="00D96F10"/>
    <w:rsid w:val="00D96FF5"/>
    <w:rsid w:val="00D974EE"/>
    <w:rsid w:val="00D97666"/>
    <w:rsid w:val="00D97E09"/>
    <w:rsid w:val="00D97F59"/>
    <w:rsid w:val="00DA0B16"/>
    <w:rsid w:val="00DA0DAD"/>
    <w:rsid w:val="00DA145C"/>
    <w:rsid w:val="00DA1622"/>
    <w:rsid w:val="00DA166F"/>
    <w:rsid w:val="00DA1F1D"/>
    <w:rsid w:val="00DA2366"/>
    <w:rsid w:val="00DA2905"/>
    <w:rsid w:val="00DA3522"/>
    <w:rsid w:val="00DA362E"/>
    <w:rsid w:val="00DA3B2B"/>
    <w:rsid w:val="00DA3B7A"/>
    <w:rsid w:val="00DA410F"/>
    <w:rsid w:val="00DA4316"/>
    <w:rsid w:val="00DA46E7"/>
    <w:rsid w:val="00DA46FF"/>
    <w:rsid w:val="00DA47BD"/>
    <w:rsid w:val="00DA4B07"/>
    <w:rsid w:val="00DA5631"/>
    <w:rsid w:val="00DA5E32"/>
    <w:rsid w:val="00DA6218"/>
    <w:rsid w:val="00DA6290"/>
    <w:rsid w:val="00DA63A2"/>
    <w:rsid w:val="00DA6B0F"/>
    <w:rsid w:val="00DA6C37"/>
    <w:rsid w:val="00DA704B"/>
    <w:rsid w:val="00DA74CF"/>
    <w:rsid w:val="00DA7BEC"/>
    <w:rsid w:val="00DA7C26"/>
    <w:rsid w:val="00DB09E4"/>
    <w:rsid w:val="00DB0A6B"/>
    <w:rsid w:val="00DB0BB8"/>
    <w:rsid w:val="00DB0BC9"/>
    <w:rsid w:val="00DB0C53"/>
    <w:rsid w:val="00DB134E"/>
    <w:rsid w:val="00DB1442"/>
    <w:rsid w:val="00DB18FE"/>
    <w:rsid w:val="00DB19AA"/>
    <w:rsid w:val="00DB1E5F"/>
    <w:rsid w:val="00DB20E0"/>
    <w:rsid w:val="00DB22FB"/>
    <w:rsid w:val="00DB2497"/>
    <w:rsid w:val="00DB2CB8"/>
    <w:rsid w:val="00DB31AD"/>
    <w:rsid w:val="00DB3E1F"/>
    <w:rsid w:val="00DB3ED7"/>
    <w:rsid w:val="00DB44DA"/>
    <w:rsid w:val="00DB451E"/>
    <w:rsid w:val="00DB4865"/>
    <w:rsid w:val="00DB4A5A"/>
    <w:rsid w:val="00DB4EB6"/>
    <w:rsid w:val="00DB57BF"/>
    <w:rsid w:val="00DB5CDB"/>
    <w:rsid w:val="00DB60E1"/>
    <w:rsid w:val="00DB696F"/>
    <w:rsid w:val="00DB6CD9"/>
    <w:rsid w:val="00DB6F07"/>
    <w:rsid w:val="00DB71F7"/>
    <w:rsid w:val="00DB7503"/>
    <w:rsid w:val="00DB7EC9"/>
    <w:rsid w:val="00DB7F96"/>
    <w:rsid w:val="00DB7FE4"/>
    <w:rsid w:val="00DC05FC"/>
    <w:rsid w:val="00DC063F"/>
    <w:rsid w:val="00DC0754"/>
    <w:rsid w:val="00DC0AC8"/>
    <w:rsid w:val="00DC0B9F"/>
    <w:rsid w:val="00DC11C0"/>
    <w:rsid w:val="00DC1599"/>
    <w:rsid w:val="00DC1659"/>
    <w:rsid w:val="00DC1AC1"/>
    <w:rsid w:val="00DC2048"/>
    <w:rsid w:val="00DC208C"/>
    <w:rsid w:val="00DC2221"/>
    <w:rsid w:val="00DC228F"/>
    <w:rsid w:val="00DC30D0"/>
    <w:rsid w:val="00DC315C"/>
    <w:rsid w:val="00DC3BEB"/>
    <w:rsid w:val="00DC4268"/>
    <w:rsid w:val="00DC4370"/>
    <w:rsid w:val="00DC43AC"/>
    <w:rsid w:val="00DC43D4"/>
    <w:rsid w:val="00DC4518"/>
    <w:rsid w:val="00DC457E"/>
    <w:rsid w:val="00DC48EB"/>
    <w:rsid w:val="00DC5334"/>
    <w:rsid w:val="00DC53DF"/>
    <w:rsid w:val="00DC5BAD"/>
    <w:rsid w:val="00DC61D3"/>
    <w:rsid w:val="00DC6BF8"/>
    <w:rsid w:val="00DC70FF"/>
    <w:rsid w:val="00DC754C"/>
    <w:rsid w:val="00DC7636"/>
    <w:rsid w:val="00DC7987"/>
    <w:rsid w:val="00DD016A"/>
    <w:rsid w:val="00DD13EB"/>
    <w:rsid w:val="00DD1618"/>
    <w:rsid w:val="00DD1869"/>
    <w:rsid w:val="00DD1B20"/>
    <w:rsid w:val="00DD1C8A"/>
    <w:rsid w:val="00DD1E14"/>
    <w:rsid w:val="00DD213E"/>
    <w:rsid w:val="00DD2A13"/>
    <w:rsid w:val="00DD2B75"/>
    <w:rsid w:val="00DD2B9C"/>
    <w:rsid w:val="00DD2C29"/>
    <w:rsid w:val="00DD2C3B"/>
    <w:rsid w:val="00DD2D86"/>
    <w:rsid w:val="00DD2E4C"/>
    <w:rsid w:val="00DD3838"/>
    <w:rsid w:val="00DD3D5E"/>
    <w:rsid w:val="00DD472A"/>
    <w:rsid w:val="00DD4764"/>
    <w:rsid w:val="00DD48BB"/>
    <w:rsid w:val="00DD4958"/>
    <w:rsid w:val="00DD4B81"/>
    <w:rsid w:val="00DD5199"/>
    <w:rsid w:val="00DD551A"/>
    <w:rsid w:val="00DD5775"/>
    <w:rsid w:val="00DD5AB4"/>
    <w:rsid w:val="00DD5DD5"/>
    <w:rsid w:val="00DD61A5"/>
    <w:rsid w:val="00DD6B3D"/>
    <w:rsid w:val="00DD6F3D"/>
    <w:rsid w:val="00DD705D"/>
    <w:rsid w:val="00DD7068"/>
    <w:rsid w:val="00DD7704"/>
    <w:rsid w:val="00DE0083"/>
    <w:rsid w:val="00DE009D"/>
    <w:rsid w:val="00DE0578"/>
    <w:rsid w:val="00DE0BB0"/>
    <w:rsid w:val="00DE0DA1"/>
    <w:rsid w:val="00DE0FF6"/>
    <w:rsid w:val="00DE1011"/>
    <w:rsid w:val="00DE1199"/>
    <w:rsid w:val="00DE141E"/>
    <w:rsid w:val="00DE154B"/>
    <w:rsid w:val="00DE1E84"/>
    <w:rsid w:val="00DE1E8A"/>
    <w:rsid w:val="00DE2063"/>
    <w:rsid w:val="00DE249E"/>
    <w:rsid w:val="00DE2695"/>
    <w:rsid w:val="00DE2D42"/>
    <w:rsid w:val="00DE35D5"/>
    <w:rsid w:val="00DE3768"/>
    <w:rsid w:val="00DE390A"/>
    <w:rsid w:val="00DE3AA3"/>
    <w:rsid w:val="00DE3CCF"/>
    <w:rsid w:val="00DE41B1"/>
    <w:rsid w:val="00DE43B5"/>
    <w:rsid w:val="00DE490E"/>
    <w:rsid w:val="00DE4BDF"/>
    <w:rsid w:val="00DE4E10"/>
    <w:rsid w:val="00DE5E0C"/>
    <w:rsid w:val="00DE6187"/>
    <w:rsid w:val="00DE62AE"/>
    <w:rsid w:val="00DE62CA"/>
    <w:rsid w:val="00DE6760"/>
    <w:rsid w:val="00DE69F8"/>
    <w:rsid w:val="00DE6ABC"/>
    <w:rsid w:val="00DE6C5E"/>
    <w:rsid w:val="00DE6DB2"/>
    <w:rsid w:val="00DE6F9D"/>
    <w:rsid w:val="00DE7014"/>
    <w:rsid w:val="00DE7740"/>
    <w:rsid w:val="00DE77AB"/>
    <w:rsid w:val="00DF0393"/>
    <w:rsid w:val="00DF04E8"/>
    <w:rsid w:val="00DF081C"/>
    <w:rsid w:val="00DF11EA"/>
    <w:rsid w:val="00DF120C"/>
    <w:rsid w:val="00DF1AC5"/>
    <w:rsid w:val="00DF1E6E"/>
    <w:rsid w:val="00DF21CD"/>
    <w:rsid w:val="00DF25BD"/>
    <w:rsid w:val="00DF25C6"/>
    <w:rsid w:val="00DF2AAA"/>
    <w:rsid w:val="00DF2B53"/>
    <w:rsid w:val="00DF2C36"/>
    <w:rsid w:val="00DF2DA5"/>
    <w:rsid w:val="00DF2EA4"/>
    <w:rsid w:val="00DF31CD"/>
    <w:rsid w:val="00DF3634"/>
    <w:rsid w:val="00DF448D"/>
    <w:rsid w:val="00DF4D38"/>
    <w:rsid w:val="00DF4D83"/>
    <w:rsid w:val="00DF5BE2"/>
    <w:rsid w:val="00DF618E"/>
    <w:rsid w:val="00DF65D6"/>
    <w:rsid w:val="00DF6D64"/>
    <w:rsid w:val="00DF71AD"/>
    <w:rsid w:val="00DF76DB"/>
    <w:rsid w:val="00DF7CA3"/>
    <w:rsid w:val="00E00731"/>
    <w:rsid w:val="00E00C11"/>
    <w:rsid w:val="00E0141E"/>
    <w:rsid w:val="00E01C0E"/>
    <w:rsid w:val="00E0221B"/>
    <w:rsid w:val="00E03475"/>
    <w:rsid w:val="00E034CF"/>
    <w:rsid w:val="00E039A7"/>
    <w:rsid w:val="00E03C34"/>
    <w:rsid w:val="00E03C80"/>
    <w:rsid w:val="00E040E0"/>
    <w:rsid w:val="00E04552"/>
    <w:rsid w:val="00E04918"/>
    <w:rsid w:val="00E0496F"/>
    <w:rsid w:val="00E04F6D"/>
    <w:rsid w:val="00E06053"/>
    <w:rsid w:val="00E06443"/>
    <w:rsid w:val="00E065F0"/>
    <w:rsid w:val="00E0676E"/>
    <w:rsid w:val="00E06D46"/>
    <w:rsid w:val="00E07F36"/>
    <w:rsid w:val="00E10557"/>
    <w:rsid w:val="00E1089E"/>
    <w:rsid w:val="00E1110E"/>
    <w:rsid w:val="00E11258"/>
    <w:rsid w:val="00E1147A"/>
    <w:rsid w:val="00E114B0"/>
    <w:rsid w:val="00E114E5"/>
    <w:rsid w:val="00E11539"/>
    <w:rsid w:val="00E1179A"/>
    <w:rsid w:val="00E12305"/>
    <w:rsid w:val="00E1238D"/>
    <w:rsid w:val="00E128DC"/>
    <w:rsid w:val="00E129AC"/>
    <w:rsid w:val="00E129B6"/>
    <w:rsid w:val="00E1314A"/>
    <w:rsid w:val="00E137B7"/>
    <w:rsid w:val="00E139E5"/>
    <w:rsid w:val="00E13C0B"/>
    <w:rsid w:val="00E1464B"/>
    <w:rsid w:val="00E1508D"/>
    <w:rsid w:val="00E15122"/>
    <w:rsid w:val="00E16C2D"/>
    <w:rsid w:val="00E16CBB"/>
    <w:rsid w:val="00E173BB"/>
    <w:rsid w:val="00E201DD"/>
    <w:rsid w:val="00E202CC"/>
    <w:rsid w:val="00E20546"/>
    <w:rsid w:val="00E206CC"/>
    <w:rsid w:val="00E2072D"/>
    <w:rsid w:val="00E208AE"/>
    <w:rsid w:val="00E21CD8"/>
    <w:rsid w:val="00E223DC"/>
    <w:rsid w:val="00E230AD"/>
    <w:rsid w:val="00E2387E"/>
    <w:rsid w:val="00E23BE5"/>
    <w:rsid w:val="00E23FF3"/>
    <w:rsid w:val="00E2464F"/>
    <w:rsid w:val="00E248A5"/>
    <w:rsid w:val="00E24E1F"/>
    <w:rsid w:val="00E24ED6"/>
    <w:rsid w:val="00E2502D"/>
    <w:rsid w:val="00E253FB"/>
    <w:rsid w:val="00E25448"/>
    <w:rsid w:val="00E2563A"/>
    <w:rsid w:val="00E256B6"/>
    <w:rsid w:val="00E25F9B"/>
    <w:rsid w:val="00E26AFF"/>
    <w:rsid w:val="00E27031"/>
    <w:rsid w:val="00E273B9"/>
    <w:rsid w:val="00E277D5"/>
    <w:rsid w:val="00E277E5"/>
    <w:rsid w:val="00E301BA"/>
    <w:rsid w:val="00E30326"/>
    <w:rsid w:val="00E30410"/>
    <w:rsid w:val="00E307D1"/>
    <w:rsid w:val="00E30C27"/>
    <w:rsid w:val="00E30CB0"/>
    <w:rsid w:val="00E311A5"/>
    <w:rsid w:val="00E318CC"/>
    <w:rsid w:val="00E3190F"/>
    <w:rsid w:val="00E33728"/>
    <w:rsid w:val="00E33956"/>
    <w:rsid w:val="00E33989"/>
    <w:rsid w:val="00E34703"/>
    <w:rsid w:val="00E34854"/>
    <w:rsid w:val="00E350AE"/>
    <w:rsid w:val="00E3568F"/>
    <w:rsid w:val="00E35940"/>
    <w:rsid w:val="00E35A88"/>
    <w:rsid w:val="00E36845"/>
    <w:rsid w:val="00E36AE5"/>
    <w:rsid w:val="00E37119"/>
    <w:rsid w:val="00E372BC"/>
    <w:rsid w:val="00E37AFA"/>
    <w:rsid w:val="00E4082D"/>
    <w:rsid w:val="00E40F07"/>
    <w:rsid w:val="00E41397"/>
    <w:rsid w:val="00E416A7"/>
    <w:rsid w:val="00E41C61"/>
    <w:rsid w:val="00E42250"/>
    <w:rsid w:val="00E42457"/>
    <w:rsid w:val="00E43FBC"/>
    <w:rsid w:val="00E444A7"/>
    <w:rsid w:val="00E4470F"/>
    <w:rsid w:val="00E4489B"/>
    <w:rsid w:val="00E448B4"/>
    <w:rsid w:val="00E44EE5"/>
    <w:rsid w:val="00E451C2"/>
    <w:rsid w:val="00E45B2A"/>
    <w:rsid w:val="00E45EAF"/>
    <w:rsid w:val="00E46147"/>
    <w:rsid w:val="00E465A3"/>
    <w:rsid w:val="00E467F4"/>
    <w:rsid w:val="00E47E8B"/>
    <w:rsid w:val="00E515BF"/>
    <w:rsid w:val="00E52AF5"/>
    <w:rsid w:val="00E52DF2"/>
    <w:rsid w:val="00E530BE"/>
    <w:rsid w:val="00E53692"/>
    <w:rsid w:val="00E54CD7"/>
    <w:rsid w:val="00E54E1A"/>
    <w:rsid w:val="00E55029"/>
    <w:rsid w:val="00E5553D"/>
    <w:rsid w:val="00E555FA"/>
    <w:rsid w:val="00E556F3"/>
    <w:rsid w:val="00E5571A"/>
    <w:rsid w:val="00E56DBB"/>
    <w:rsid w:val="00E5701C"/>
    <w:rsid w:val="00E57A8E"/>
    <w:rsid w:val="00E57CF5"/>
    <w:rsid w:val="00E6005A"/>
    <w:rsid w:val="00E6039D"/>
    <w:rsid w:val="00E60948"/>
    <w:rsid w:val="00E609B7"/>
    <w:rsid w:val="00E60DCE"/>
    <w:rsid w:val="00E61050"/>
    <w:rsid w:val="00E61CD9"/>
    <w:rsid w:val="00E62148"/>
    <w:rsid w:val="00E623EB"/>
    <w:rsid w:val="00E625A3"/>
    <w:rsid w:val="00E6286B"/>
    <w:rsid w:val="00E62956"/>
    <w:rsid w:val="00E62A1F"/>
    <w:rsid w:val="00E62B87"/>
    <w:rsid w:val="00E63E1F"/>
    <w:rsid w:val="00E64343"/>
    <w:rsid w:val="00E645A3"/>
    <w:rsid w:val="00E649A0"/>
    <w:rsid w:val="00E64B31"/>
    <w:rsid w:val="00E64F9C"/>
    <w:rsid w:val="00E654E4"/>
    <w:rsid w:val="00E6663C"/>
    <w:rsid w:val="00E66967"/>
    <w:rsid w:val="00E67028"/>
    <w:rsid w:val="00E6783C"/>
    <w:rsid w:val="00E6796E"/>
    <w:rsid w:val="00E67A16"/>
    <w:rsid w:val="00E67AC5"/>
    <w:rsid w:val="00E67ACD"/>
    <w:rsid w:val="00E67B02"/>
    <w:rsid w:val="00E67FDA"/>
    <w:rsid w:val="00E70098"/>
    <w:rsid w:val="00E706A9"/>
    <w:rsid w:val="00E70B05"/>
    <w:rsid w:val="00E70E85"/>
    <w:rsid w:val="00E70FD1"/>
    <w:rsid w:val="00E71034"/>
    <w:rsid w:val="00E710A1"/>
    <w:rsid w:val="00E71D48"/>
    <w:rsid w:val="00E738B7"/>
    <w:rsid w:val="00E741EB"/>
    <w:rsid w:val="00E74EFD"/>
    <w:rsid w:val="00E75BA3"/>
    <w:rsid w:val="00E75BD1"/>
    <w:rsid w:val="00E75CD0"/>
    <w:rsid w:val="00E764C4"/>
    <w:rsid w:val="00E765B4"/>
    <w:rsid w:val="00E7673B"/>
    <w:rsid w:val="00E771E0"/>
    <w:rsid w:val="00E772DD"/>
    <w:rsid w:val="00E7740C"/>
    <w:rsid w:val="00E77C7F"/>
    <w:rsid w:val="00E8002C"/>
    <w:rsid w:val="00E801EA"/>
    <w:rsid w:val="00E80338"/>
    <w:rsid w:val="00E8051C"/>
    <w:rsid w:val="00E80633"/>
    <w:rsid w:val="00E80823"/>
    <w:rsid w:val="00E80989"/>
    <w:rsid w:val="00E80AB2"/>
    <w:rsid w:val="00E80B2D"/>
    <w:rsid w:val="00E80BBC"/>
    <w:rsid w:val="00E80E94"/>
    <w:rsid w:val="00E810F0"/>
    <w:rsid w:val="00E8127E"/>
    <w:rsid w:val="00E814C4"/>
    <w:rsid w:val="00E81501"/>
    <w:rsid w:val="00E81CB0"/>
    <w:rsid w:val="00E82331"/>
    <w:rsid w:val="00E824C0"/>
    <w:rsid w:val="00E82DDB"/>
    <w:rsid w:val="00E830FB"/>
    <w:rsid w:val="00E83156"/>
    <w:rsid w:val="00E834F8"/>
    <w:rsid w:val="00E83799"/>
    <w:rsid w:val="00E83A48"/>
    <w:rsid w:val="00E8409F"/>
    <w:rsid w:val="00E8423C"/>
    <w:rsid w:val="00E84256"/>
    <w:rsid w:val="00E8493D"/>
    <w:rsid w:val="00E84B15"/>
    <w:rsid w:val="00E84B73"/>
    <w:rsid w:val="00E84B79"/>
    <w:rsid w:val="00E84BCF"/>
    <w:rsid w:val="00E85514"/>
    <w:rsid w:val="00E855F5"/>
    <w:rsid w:val="00E856D1"/>
    <w:rsid w:val="00E85F28"/>
    <w:rsid w:val="00E8602F"/>
    <w:rsid w:val="00E861B3"/>
    <w:rsid w:val="00E871ED"/>
    <w:rsid w:val="00E8731E"/>
    <w:rsid w:val="00E87A6F"/>
    <w:rsid w:val="00E87DEF"/>
    <w:rsid w:val="00E902EF"/>
    <w:rsid w:val="00E90342"/>
    <w:rsid w:val="00E903CB"/>
    <w:rsid w:val="00E908D8"/>
    <w:rsid w:val="00E9099C"/>
    <w:rsid w:val="00E9134A"/>
    <w:rsid w:val="00E91C5A"/>
    <w:rsid w:val="00E9291E"/>
    <w:rsid w:val="00E92C90"/>
    <w:rsid w:val="00E93139"/>
    <w:rsid w:val="00E938F2"/>
    <w:rsid w:val="00E93CD9"/>
    <w:rsid w:val="00E943B5"/>
    <w:rsid w:val="00E9519A"/>
    <w:rsid w:val="00E9578B"/>
    <w:rsid w:val="00E95A69"/>
    <w:rsid w:val="00E95E3E"/>
    <w:rsid w:val="00E95EBD"/>
    <w:rsid w:val="00E9602A"/>
    <w:rsid w:val="00E9639C"/>
    <w:rsid w:val="00E96752"/>
    <w:rsid w:val="00E97926"/>
    <w:rsid w:val="00EA0637"/>
    <w:rsid w:val="00EA0B86"/>
    <w:rsid w:val="00EA106B"/>
    <w:rsid w:val="00EA15CD"/>
    <w:rsid w:val="00EA176A"/>
    <w:rsid w:val="00EA1827"/>
    <w:rsid w:val="00EA1C32"/>
    <w:rsid w:val="00EA1EB4"/>
    <w:rsid w:val="00EA2035"/>
    <w:rsid w:val="00EA2237"/>
    <w:rsid w:val="00EA2930"/>
    <w:rsid w:val="00EA3066"/>
    <w:rsid w:val="00EA32DC"/>
    <w:rsid w:val="00EA3409"/>
    <w:rsid w:val="00EA481C"/>
    <w:rsid w:val="00EA4B8F"/>
    <w:rsid w:val="00EA4C2B"/>
    <w:rsid w:val="00EA4F56"/>
    <w:rsid w:val="00EA58AE"/>
    <w:rsid w:val="00EA5955"/>
    <w:rsid w:val="00EA6EE1"/>
    <w:rsid w:val="00EA75A5"/>
    <w:rsid w:val="00EA760A"/>
    <w:rsid w:val="00EA77F0"/>
    <w:rsid w:val="00EA795F"/>
    <w:rsid w:val="00EA7AE9"/>
    <w:rsid w:val="00EA7F4D"/>
    <w:rsid w:val="00EB0609"/>
    <w:rsid w:val="00EB0651"/>
    <w:rsid w:val="00EB067B"/>
    <w:rsid w:val="00EB06D8"/>
    <w:rsid w:val="00EB0A3E"/>
    <w:rsid w:val="00EB0AB4"/>
    <w:rsid w:val="00EB0FA8"/>
    <w:rsid w:val="00EB139B"/>
    <w:rsid w:val="00EB1558"/>
    <w:rsid w:val="00EB1883"/>
    <w:rsid w:val="00EB2252"/>
    <w:rsid w:val="00EB318D"/>
    <w:rsid w:val="00EB388A"/>
    <w:rsid w:val="00EB3C73"/>
    <w:rsid w:val="00EB3E90"/>
    <w:rsid w:val="00EB4097"/>
    <w:rsid w:val="00EB41C4"/>
    <w:rsid w:val="00EB4738"/>
    <w:rsid w:val="00EB486B"/>
    <w:rsid w:val="00EB4AA1"/>
    <w:rsid w:val="00EB4DC7"/>
    <w:rsid w:val="00EB5099"/>
    <w:rsid w:val="00EB5758"/>
    <w:rsid w:val="00EB5DB3"/>
    <w:rsid w:val="00EB6112"/>
    <w:rsid w:val="00EB66F6"/>
    <w:rsid w:val="00EB703B"/>
    <w:rsid w:val="00EB724E"/>
    <w:rsid w:val="00EB746B"/>
    <w:rsid w:val="00EB787B"/>
    <w:rsid w:val="00EB7C09"/>
    <w:rsid w:val="00EB7D8D"/>
    <w:rsid w:val="00EC118C"/>
    <w:rsid w:val="00EC1294"/>
    <w:rsid w:val="00EC177C"/>
    <w:rsid w:val="00EC2330"/>
    <w:rsid w:val="00EC2908"/>
    <w:rsid w:val="00EC3107"/>
    <w:rsid w:val="00EC3118"/>
    <w:rsid w:val="00EC3222"/>
    <w:rsid w:val="00EC3587"/>
    <w:rsid w:val="00EC3B06"/>
    <w:rsid w:val="00EC4033"/>
    <w:rsid w:val="00EC41AA"/>
    <w:rsid w:val="00EC440C"/>
    <w:rsid w:val="00EC4A78"/>
    <w:rsid w:val="00EC538D"/>
    <w:rsid w:val="00EC5544"/>
    <w:rsid w:val="00EC57C3"/>
    <w:rsid w:val="00EC5831"/>
    <w:rsid w:val="00EC59B8"/>
    <w:rsid w:val="00EC5BD5"/>
    <w:rsid w:val="00EC5D9D"/>
    <w:rsid w:val="00EC5F52"/>
    <w:rsid w:val="00EC6020"/>
    <w:rsid w:val="00EC630D"/>
    <w:rsid w:val="00EC63B2"/>
    <w:rsid w:val="00EC63F0"/>
    <w:rsid w:val="00EC6C2F"/>
    <w:rsid w:val="00EC6D1C"/>
    <w:rsid w:val="00EC6D4A"/>
    <w:rsid w:val="00EC7539"/>
    <w:rsid w:val="00EC773A"/>
    <w:rsid w:val="00EC78B3"/>
    <w:rsid w:val="00EC792E"/>
    <w:rsid w:val="00EC7D76"/>
    <w:rsid w:val="00ED03AA"/>
    <w:rsid w:val="00ED07F0"/>
    <w:rsid w:val="00ED0A61"/>
    <w:rsid w:val="00ED0B51"/>
    <w:rsid w:val="00ED0C82"/>
    <w:rsid w:val="00ED0DF4"/>
    <w:rsid w:val="00ED114C"/>
    <w:rsid w:val="00ED1EBC"/>
    <w:rsid w:val="00ED28B5"/>
    <w:rsid w:val="00ED305B"/>
    <w:rsid w:val="00ED3899"/>
    <w:rsid w:val="00ED3929"/>
    <w:rsid w:val="00ED3AD0"/>
    <w:rsid w:val="00ED3BB6"/>
    <w:rsid w:val="00ED3E09"/>
    <w:rsid w:val="00ED3EE7"/>
    <w:rsid w:val="00ED40A6"/>
    <w:rsid w:val="00ED47FF"/>
    <w:rsid w:val="00ED4FF9"/>
    <w:rsid w:val="00ED58EA"/>
    <w:rsid w:val="00ED5BBB"/>
    <w:rsid w:val="00ED5C01"/>
    <w:rsid w:val="00ED66C5"/>
    <w:rsid w:val="00ED6A9C"/>
    <w:rsid w:val="00ED6E19"/>
    <w:rsid w:val="00ED70F6"/>
    <w:rsid w:val="00ED742E"/>
    <w:rsid w:val="00ED7AD7"/>
    <w:rsid w:val="00ED7BC4"/>
    <w:rsid w:val="00ED7DAA"/>
    <w:rsid w:val="00EE02B8"/>
    <w:rsid w:val="00EE044E"/>
    <w:rsid w:val="00EE0767"/>
    <w:rsid w:val="00EE0809"/>
    <w:rsid w:val="00EE0E0B"/>
    <w:rsid w:val="00EE0E43"/>
    <w:rsid w:val="00EE12CD"/>
    <w:rsid w:val="00EE154D"/>
    <w:rsid w:val="00EE1CD3"/>
    <w:rsid w:val="00EE2009"/>
    <w:rsid w:val="00EE2088"/>
    <w:rsid w:val="00EE24DF"/>
    <w:rsid w:val="00EE28C5"/>
    <w:rsid w:val="00EE30E9"/>
    <w:rsid w:val="00EE313F"/>
    <w:rsid w:val="00EE32BD"/>
    <w:rsid w:val="00EE353B"/>
    <w:rsid w:val="00EE3553"/>
    <w:rsid w:val="00EE362D"/>
    <w:rsid w:val="00EE37A9"/>
    <w:rsid w:val="00EE3977"/>
    <w:rsid w:val="00EE3FD7"/>
    <w:rsid w:val="00EE4C76"/>
    <w:rsid w:val="00EE5FA2"/>
    <w:rsid w:val="00EE72A7"/>
    <w:rsid w:val="00EE7447"/>
    <w:rsid w:val="00EE796A"/>
    <w:rsid w:val="00EF18D5"/>
    <w:rsid w:val="00EF1977"/>
    <w:rsid w:val="00EF1DC6"/>
    <w:rsid w:val="00EF20FB"/>
    <w:rsid w:val="00EF2539"/>
    <w:rsid w:val="00EF2A39"/>
    <w:rsid w:val="00EF2A9E"/>
    <w:rsid w:val="00EF3087"/>
    <w:rsid w:val="00EF30CA"/>
    <w:rsid w:val="00EF38D2"/>
    <w:rsid w:val="00EF3E05"/>
    <w:rsid w:val="00EF4025"/>
    <w:rsid w:val="00EF4183"/>
    <w:rsid w:val="00EF47FB"/>
    <w:rsid w:val="00EF4A85"/>
    <w:rsid w:val="00EF4D73"/>
    <w:rsid w:val="00EF4DCC"/>
    <w:rsid w:val="00EF4E60"/>
    <w:rsid w:val="00EF5DB1"/>
    <w:rsid w:val="00EF63BB"/>
    <w:rsid w:val="00EF6A00"/>
    <w:rsid w:val="00EF6BD7"/>
    <w:rsid w:val="00EF6DB8"/>
    <w:rsid w:val="00EF73C2"/>
    <w:rsid w:val="00EF758B"/>
    <w:rsid w:val="00EF7733"/>
    <w:rsid w:val="00EF77EA"/>
    <w:rsid w:val="00EF7C82"/>
    <w:rsid w:val="00EF7F7F"/>
    <w:rsid w:val="00F000DF"/>
    <w:rsid w:val="00F00108"/>
    <w:rsid w:val="00F00119"/>
    <w:rsid w:val="00F0069A"/>
    <w:rsid w:val="00F007A5"/>
    <w:rsid w:val="00F00F5F"/>
    <w:rsid w:val="00F010B4"/>
    <w:rsid w:val="00F01D87"/>
    <w:rsid w:val="00F01F36"/>
    <w:rsid w:val="00F023D0"/>
    <w:rsid w:val="00F02759"/>
    <w:rsid w:val="00F02A8E"/>
    <w:rsid w:val="00F02CF5"/>
    <w:rsid w:val="00F02F97"/>
    <w:rsid w:val="00F032D4"/>
    <w:rsid w:val="00F032D6"/>
    <w:rsid w:val="00F0336A"/>
    <w:rsid w:val="00F034D0"/>
    <w:rsid w:val="00F03A7D"/>
    <w:rsid w:val="00F043F1"/>
    <w:rsid w:val="00F04BED"/>
    <w:rsid w:val="00F04C75"/>
    <w:rsid w:val="00F04F40"/>
    <w:rsid w:val="00F050E7"/>
    <w:rsid w:val="00F050F9"/>
    <w:rsid w:val="00F0543F"/>
    <w:rsid w:val="00F05E30"/>
    <w:rsid w:val="00F0600B"/>
    <w:rsid w:val="00F064F1"/>
    <w:rsid w:val="00F065AF"/>
    <w:rsid w:val="00F06A5B"/>
    <w:rsid w:val="00F06CDC"/>
    <w:rsid w:val="00F07578"/>
    <w:rsid w:val="00F079FB"/>
    <w:rsid w:val="00F1085B"/>
    <w:rsid w:val="00F10991"/>
    <w:rsid w:val="00F10FFE"/>
    <w:rsid w:val="00F11305"/>
    <w:rsid w:val="00F114FF"/>
    <w:rsid w:val="00F11F0B"/>
    <w:rsid w:val="00F11F66"/>
    <w:rsid w:val="00F11FBB"/>
    <w:rsid w:val="00F12663"/>
    <w:rsid w:val="00F12A1B"/>
    <w:rsid w:val="00F12BC0"/>
    <w:rsid w:val="00F12DB9"/>
    <w:rsid w:val="00F13098"/>
    <w:rsid w:val="00F13272"/>
    <w:rsid w:val="00F133AD"/>
    <w:rsid w:val="00F13968"/>
    <w:rsid w:val="00F13C19"/>
    <w:rsid w:val="00F14719"/>
    <w:rsid w:val="00F14CBF"/>
    <w:rsid w:val="00F14E6A"/>
    <w:rsid w:val="00F151C4"/>
    <w:rsid w:val="00F15301"/>
    <w:rsid w:val="00F15563"/>
    <w:rsid w:val="00F1599D"/>
    <w:rsid w:val="00F159C0"/>
    <w:rsid w:val="00F15E37"/>
    <w:rsid w:val="00F16845"/>
    <w:rsid w:val="00F17275"/>
    <w:rsid w:val="00F17412"/>
    <w:rsid w:val="00F1764A"/>
    <w:rsid w:val="00F179B9"/>
    <w:rsid w:val="00F17AF5"/>
    <w:rsid w:val="00F2005E"/>
    <w:rsid w:val="00F20347"/>
    <w:rsid w:val="00F20446"/>
    <w:rsid w:val="00F20697"/>
    <w:rsid w:val="00F20BC6"/>
    <w:rsid w:val="00F20EB7"/>
    <w:rsid w:val="00F20F02"/>
    <w:rsid w:val="00F2153D"/>
    <w:rsid w:val="00F218AB"/>
    <w:rsid w:val="00F218BA"/>
    <w:rsid w:val="00F220AC"/>
    <w:rsid w:val="00F222B2"/>
    <w:rsid w:val="00F22B35"/>
    <w:rsid w:val="00F2323E"/>
    <w:rsid w:val="00F2434D"/>
    <w:rsid w:val="00F247B1"/>
    <w:rsid w:val="00F24C6F"/>
    <w:rsid w:val="00F24F43"/>
    <w:rsid w:val="00F2514B"/>
    <w:rsid w:val="00F25293"/>
    <w:rsid w:val="00F254C7"/>
    <w:rsid w:val="00F25833"/>
    <w:rsid w:val="00F25900"/>
    <w:rsid w:val="00F25FC5"/>
    <w:rsid w:val="00F26107"/>
    <w:rsid w:val="00F273DA"/>
    <w:rsid w:val="00F274BF"/>
    <w:rsid w:val="00F2771D"/>
    <w:rsid w:val="00F27B1A"/>
    <w:rsid w:val="00F3123A"/>
    <w:rsid w:val="00F32207"/>
    <w:rsid w:val="00F329AF"/>
    <w:rsid w:val="00F32AEB"/>
    <w:rsid w:val="00F32DC4"/>
    <w:rsid w:val="00F32DCA"/>
    <w:rsid w:val="00F32E7D"/>
    <w:rsid w:val="00F32FE1"/>
    <w:rsid w:val="00F33199"/>
    <w:rsid w:val="00F33214"/>
    <w:rsid w:val="00F336A7"/>
    <w:rsid w:val="00F33AC6"/>
    <w:rsid w:val="00F33DC8"/>
    <w:rsid w:val="00F343D6"/>
    <w:rsid w:val="00F34AD3"/>
    <w:rsid w:val="00F34BEF"/>
    <w:rsid w:val="00F34EB3"/>
    <w:rsid w:val="00F3507E"/>
    <w:rsid w:val="00F352EB"/>
    <w:rsid w:val="00F3534C"/>
    <w:rsid w:val="00F3557D"/>
    <w:rsid w:val="00F35F69"/>
    <w:rsid w:val="00F36E05"/>
    <w:rsid w:val="00F36FAC"/>
    <w:rsid w:val="00F3749A"/>
    <w:rsid w:val="00F376BD"/>
    <w:rsid w:val="00F37C82"/>
    <w:rsid w:val="00F37D13"/>
    <w:rsid w:val="00F37E6A"/>
    <w:rsid w:val="00F37F53"/>
    <w:rsid w:val="00F405C7"/>
    <w:rsid w:val="00F40753"/>
    <w:rsid w:val="00F40888"/>
    <w:rsid w:val="00F40C64"/>
    <w:rsid w:val="00F40F2E"/>
    <w:rsid w:val="00F40F54"/>
    <w:rsid w:val="00F40F75"/>
    <w:rsid w:val="00F415E5"/>
    <w:rsid w:val="00F41E4A"/>
    <w:rsid w:val="00F41FDC"/>
    <w:rsid w:val="00F421FA"/>
    <w:rsid w:val="00F42845"/>
    <w:rsid w:val="00F429C6"/>
    <w:rsid w:val="00F431C8"/>
    <w:rsid w:val="00F434CD"/>
    <w:rsid w:val="00F43638"/>
    <w:rsid w:val="00F436A4"/>
    <w:rsid w:val="00F4380D"/>
    <w:rsid w:val="00F43E5A"/>
    <w:rsid w:val="00F43E9B"/>
    <w:rsid w:val="00F44E67"/>
    <w:rsid w:val="00F45921"/>
    <w:rsid w:val="00F462F1"/>
    <w:rsid w:val="00F46CE6"/>
    <w:rsid w:val="00F47903"/>
    <w:rsid w:val="00F47CF8"/>
    <w:rsid w:val="00F47ED9"/>
    <w:rsid w:val="00F47FBA"/>
    <w:rsid w:val="00F5090D"/>
    <w:rsid w:val="00F50A18"/>
    <w:rsid w:val="00F50CB4"/>
    <w:rsid w:val="00F50D5D"/>
    <w:rsid w:val="00F51516"/>
    <w:rsid w:val="00F515B4"/>
    <w:rsid w:val="00F515FA"/>
    <w:rsid w:val="00F51C64"/>
    <w:rsid w:val="00F51C68"/>
    <w:rsid w:val="00F51EA8"/>
    <w:rsid w:val="00F522E6"/>
    <w:rsid w:val="00F52C24"/>
    <w:rsid w:val="00F52D31"/>
    <w:rsid w:val="00F52D87"/>
    <w:rsid w:val="00F531EA"/>
    <w:rsid w:val="00F5339B"/>
    <w:rsid w:val="00F535E7"/>
    <w:rsid w:val="00F53772"/>
    <w:rsid w:val="00F53ADE"/>
    <w:rsid w:val="00F5435E"/>
    <w:rsid w:val="00F549A6"/>
    <w:rsid w:val="00F55129"/>
    <w:rsid w:val="00F5525F"/>
    <w:rsid w:val="00F55ABA"/>
    <w:rsid w:val="00F55AF7"/>
    <w:rsid w:val="00F55CF6"/>
    <w:rsid w:val="00F56282"/>
    <w:rsid w:val="00F562FC"/>
    <w:rsid w:val="00F568E5"/>
    <w:rsid w:val="00F5694D"/>
    <w:rsid w:val="00F56FE7"/>
    <w:rsid w:val="00F5717A"/>
    <w:rsid w:val="00F571CD"/>
    <w:rsid w:val="00F57880"/>
    <w:rsid w:val="00F57DC1"/>
    <w:rsid w:val="00F604D6"/>
    <w:rsid w:val="00F60E6A"/>
    <w:rsid w:val="00F6144A"/>
    <w:rsid w:val="00F615E5"/>
    <w:rsid w:val="00F6162F"/>
    <w:rsid w:val="00F61745"/>
    <w:rsid w:val="00F61A73"/>
    <w:rsid w:val="00F61B20"/>
    <w:rsid w:val="00F622FC"/>
    <w:rsid w:val="00F62792"/>
    <w:rsid w:val="00F628F5"/>
    <w:rsid w:val="00F62DC5"/>
    <w:rsid w:val="00F62EF0"/>
    <w:rsid w:val="00F638AF"/>
    <w:rsid w:val="00F6394B"/>
    <w:rsid w:val="00F63AA0"/>
    <w:rsid w:val="00F63C47"/>
    <w:rsid w:val="00F63E0E"/>
    <w:rsid w:val="00F63FDF"/>
    <w:rsid w:val="00F641ED"/>
    <w:rsid w:val="00F64474"/>
    <w:rsid w:val="00F66181"/>
    <w:rsid w:val="00F663EE"/>
    <w:rsid w:val="00F66510"/>
    <w:rsid w:val="00F66555"/>
    <w:rsid w:val="00F6657E"/>
    <w:rsid w:val="00F6732C"/>
    <w:rsid w:val="00F67B1F"/>
    <w:rsid w:val="00F67BA4"/>
    <w:rsid w:val="00F67C80"/>
    <w:rsid w:val="00F70480"/>
    <w:rsid w:val="00F706EF"/>
    <w:rsid w:val="00F70C95"/>
    <w:rsid w:val="00F711C8"/>
    <w:rsid w:val="00F719CB"/>
    <w:rsid w:val="00F72536"/>
    <w:rsid w:val="00F726FA"/>
    <w:rsid w:val="00F72ACF"/>
    <w:rsid w:val="00F73186"/>
    <w:rsid w:val="00F7371B"/>
    <w:rsid w:val="00F74292"/>
    <w:rsid w:val="00F7439A"/>
    <w:rsid w:val="00F7442F"/>
    <w:rsid w:val="00F74B01"/>
    <w:rsid w:val="00F7543D"/>
    <w:rsid w:val="00F75456"/>
    <w:rsid w:val="00F756AE"/>
    <w:rsid w:val="00F75991"/>
    <w:rsid w:val="00F7621C"/>
    <w:rsid w:val="00F762E7"/>
    <w:rsid w:val="00F7640A"/>
    <w:rsid w:val="00F775DF"/>
    <w:rsid w:val="00F77DC1"/>
    <w:rsid w:val="00F80D9F"/>
    <w:rsid w:val="00F80FBD"/>
    <w:rsid w:val="00F81C1D"/>
    <w:rsid w:val="00F826E8"/>
    <w:rsid w:val="00F8272E"/>
    <w:rsid w:val="00F82870"/>
    <w:rsid w:val="00F82A9E"/>
    <w:rsid w:val="00F83244"/>
    <w:rsid w:val="00F83855"/>
    <w:rsid w:val="00F848B5"/>
    <w:rsid w:val="00F84EEB"/>
    <w:rsid w:val="00F8541B"/>
    <w:rsid w:val="00F8558F"/>
    <w:rsid w:val="00F86350"/>
    <w:rsid w:val="00F865ED"/>
    <w:rsid w:val="00F86844"/>
    <w:rsid w:val="00F86CA1"/>
    <w:rsid w:val="00F87C2B"/>
    <w:rsid w:val="00F87D77"/>
    <w:rsid w:val="00F87DEC"/>
    <w:rsid w:val="00F87F26"/>
    <w:rsid w:val="00F9085B"/>
    <w:rsid w:val="00F90B75"/>
    <w:rsid w:val="00F90E0A"/>
    <w:rsid w:val="00F9154D"/>
    <w:rsid w:val="00F91823"/>
    <w:rsid w:val="00F91A26"/>
    <w:rsid w:val="00F91AB6"/>
    <w:rsid w:val="00F91E41"/>
    <w:rsid w:val="00F92234"/>
    <w:rsid w:val="00F94595"/>
    <w:rsid w:val="00F94BF7"/>
    <w:rsid w:val="00F95C5A"/>
    <w:rsid w:val="00F95F50"/>
    <w:rsid w:val="00F960FB"/>
    <w:rsid w:val="00F96E26"/>
    <w:rsid w:val="00F96EDE"/>
    <w:rsid w:val="00F972C0"/>
    <w:rsid w:val="00F97566"/>
    <w:rsid w:val="00F97781"/>
    <w:rsid w:val="00FA02F0"/>
    <w:rsid w:val="00FA0670"/>
    <w:rsid w:val="00FA06C3"/>
    <w:rsid w:val="00FA08DA"/>
    <w:rsid w:val="00FA0E6C"/>
    <w:rsid w:val="00FA10C4"/>
    <w:rsid w:val="00FA125E"/>
    <w:rsid w:val="00FA13B6"/>
    <w:rsid w:val="00FA149D"/>
    <w:rsid w:val="00FA19E3"/>
    <w:rsid w:val="00FA1B11"/>
    <w:rsid w:val="00FA20B9"/>
    <w:rsid w:val="00FA2397"/>
    <w:rsid w:val="00FA329F"/>
    <w:rsid w:val="00FA32D9"/>
    <w:rsid w:val="00FA3473"/>
    <w:rsid w:val="00FA3B2C"/>
    <w:rsid w:val="00FA3BBA"/>
    <w:rsid w:val="00FA3CA0"/>
    <w:rsid w:val="00FA42F0"/>
    <w:rsid w:val="00FA440B"/>
    <w:rsid w:val="00FA4F4C"/>
    <w:rsid w:val="00FA5E0C"/>
    <w:rsid w:val="00FA5E9B"/>
    <w:rsid w:val="00FA64B1"/>
    <w:rsid w:val="00FA6EC9"/>
    <w:rsid w:val="00FA70FF"/>
    <w:rsid w:val="00FA72DD"/>
    <w:rsid w:val="00FA73D2"/>
    <w:rsid w:val="00FA7437"/>
    <w:rsid w:val="00FA7485"/>
    <w:rsid w:val="00FA792D"/>
    <w:rsid w:val="00FA7C77"/>
    <w:rsid w:val="00FB0109"/>
    <w:rsid w:val="00FB0143"/>
    <w:rsid w:val="00FB052A"/>
    <w:rsid w:val="00FB056F"/>
    <w:rsid w:val="00FB0C19"/>
    <w:rsid w:val="00FB0C5C"/>
    <w:rsid w:val="00FB11CD"/>
    <w:rsid w:val="00FB17B4"/>
    <w:rsid w:val="00FB2744"/>
    <w:rsid w:val="00FB2B86"/>
    <w:rsid w:val="00FB2BAF"/>
    <w:rsid w:val="00FB310B"/>
    <w:rsid w:val="00FB37E7"/>
    <w:rsid w:val="00FB417B"/>
    <w:rsid w:val="00FB4329"/>
    <w:rsid w:val="00FB463D"/>
    <w:rsid w:val="00FB4D16"/>
    <w:rsid w:val="00FB4F43"/>
    <w:rsid w:val="00FB5001"/>
    <w:rsid w:val="00FB5381"/>
    <w:rsid w:val="00FB593D"/>
    <w:rsid w:val="00FB5DA7"/>
    <w:rsid w:val="00FB63D1"/>
    <w:rsid w:val="00FB65CD"/>
    <w:rsid w:val="00FB6731"/>
    <w:rsid w:val="00FB6B66"/>
    <w:rsid w:val="00FB7633"/>
    <w:rsid w:val="00FB7C51"/>
    <w:rsid w:val="00FB7FF2"/>
    <w:rsid w:val="00FC034F"/>
    <w:rsid w:val="00FC0562"/>
    <w:rsid w:val="00FC1074"/>
    <w:rsid w:val="00FC13DB"/>
    <w:rsid w:val="00FC19B8"/>
    <w:rsid w:val="00FC1B4A"/>
    <w:rsid w:val="00FC1C25"/>
    <w:rsid w:val="00FC2351"/>
    <w:rsid w:val="00FC29C2"/>
    <w:rsid w:val="00FC2AA4"/>
    <w:rsid w:val="00FC2B6B"/>
    <w:rsid w:val="00FC3363"/>
    <w:rsid w:val="00FC35A6"/>
    <w:rsid w:val="00FC3906"/>
    <w:rsid w:val="00FC39AB"/>
    <w:rsid w:val="00FC3C89"/>
    <w:rsid w:val="00FC421F"/>
    <w:rsid w:val="00FC480F"/>
    <w:rsid w:val="00FC487B"/>
    <w:rsid w:val="00FC51A2"/>
    <w:rsid w:val="00FC569E"/>
    <w:rsid w:val="00FC5C3E"/>
    <w:rsid w:val="00FC627F"/>
    <w:rsid w:val="00FC6596"/>
    <w:rsid w:val="00FC68E8"/>
    <w:rsid w:val="00FC6B26"/>
    <w:rsid w:val="00FC6C8D"/>
    <w:rsid w:val="00FC718A"/>
    <w:rsid w:val="00FC7427"/>
    <w:rsid w:val="00FC7474"/>
    <w:rsid w:val="00FC76F7"/>
    <w:rsid w:val="00FC7793"/>
    <w:rsid w:val="00FC7A44"/>
    <w:rsid w:val="00FC7FC9"/>
    <w:rsid w:val="00FD0099"/>
    <w:rsid w:val="00FD05F9"/>
    <w:rsid w:val="00FD091D"/>
    <w:rsid w:val="00FD0A84"/>
    <w:rsid w:val="00FD0CD3"/>
    <w:rsid w:val="00FD1471"/>
    <w:rsid w:val="00FD1591"/>
    <w:rsid w:val="00FD1C0C"/>
    <w:rsid w:val="00FD2373"/>
    <w:rsid w:val="00FD2436"/>
    <w:rsid w:val="00FD2463"/>
    <w:rsid w:val="00FD24E0"/>
    <w:rsid w:val="00FD2D3D"/>
    <w:rsid w:val="00FD2DF9"/>
    <w:rsid w:val="00FD356F"/>
    <w:rsid w:val="00FD36B5"/>
    <w:rsid w:val="00FD3829"/>
    <w:rsid w:val="00FD39B1"/>
    <w:rsid w:val="00FD3F87"/>
    <w:rsid w:val="00FD3FE9"/>
    <w:rsid w:val="00FD4F23"/>
    <w:rsid w:val="00FD5181"/>
    <w:rsid w:val="00FD5510"/>
    <w:rsid w:val="00FD5959"/>
    <w:rsid w:val="00FD63DB"/>
    <w:rsid w:val="00FD6936"/>
    <w:rsid w:val="00FD6C8E"/>
    <w:rsid w:val="00FD7040"/>
    <w:rsid w:val="00FD7335"/>
    <w:rsid w:val="00FD77B4"/>
    <w:rsid w:val="00FD7CBF"/>
    <w:rsid w:val="00FE07EF"/>
    <w:rsid w:val="00FE098C"/>
    <w:rsid w:val="00FE0A30"/>
    <w:rsid w:val="00FE1A43"/>
    <w:rsid w:val="00FE1AE4"/>
    <w:rsid w:val="00FE1FA0"/>
    <w:rsid w:val="00FE24C5"/>
    <w:rsid w:val="00FE2876"/>
    <w:rsid w:val="00FE2AB6"/>
    <w:rsid w:val="00FE39CB"/>
    <w:rsid w:val="00FE3F40"/>
    <w:rsid w:val="00FE4512"/>
    <w:rsid w:val="00FE479C"/>
    <w:rsid w:val="00FE4F4B"/>
    <w:rsid w:val="00FE51A4"/>
    <w:rsid w:val="00FE51E4"/>
    <w:rsid w:val="00FE5369"/>
    <w:rsid w:val="00FE5BEC"/>
    <w:rsid w:val="00FE61C7"/>
    <w:rsid w:val="00FE6690"/>
    <w:rsid w:val="00FE6749"/>
    <w:rsid w:val="00FE6B92"/>
    <w:rsid w:val="00FE6CF0"/>
    <w:rsid w:val="00FE7BED"/>
    <w:rsid w:val="00FE7BFC"/>
    <w:rsid w:val="00FF0136"/>
    <w:rsid w:val="00FF022C"/>
    <w:rsid w:val="00FF025D"/>
    <w:rsid w:val="00FF05D5"/>
    <w:rsid w:val="00FF0D2D"/>
    <w:rsid w:val="00FF1227"/>
    <w:rsid w:val="00FF1243"/>
    <w:rsid w:val="00FF1662"/>
    <w:rsid w:val="00FF18EC"/>
    <w:rsid w:val="00FF1A49"/>
    <w:rsid w:val="00FF1AEB"/>
    <w:rsid w:val="00FF1F20"/>
    <w:rsid w:val="00FF298B"/>
    <w:rsid w:val="00FF2E2D"/>
    <w:rsid w:val="00FF33DC"/>
    <w:rsid w:val="00FF37F3"/>
    <w:rsid w:val="00FF37FB"/>
    <w:rsid w:val="00FF4083"/>
    <w:rsid w:val="00FF4204"/>
    <w:rsid w:val="00FF479A"/>
    <w:rsid w:val="00FF4AAA"/>
    <w:rsid w:val="00FF4FCA"/>
    <w:rsid w:val="00FF5130"/>
    <w:rsid w:val="00FF518B"/>
    <w:rsid w:val="00FF5992"/>
    <w:rsid w:val="00FF5F02"/>
    <w:rsid w:val="00FF5FFA"/>
    <w:rsid w:val="00FF61FC"/>
    <w:rsid w:val="00FF636E"/>
    <w:rsid w:val="00FF64A8"/>
    <w:rsid w:val="00FF6E83"/>
    <w:rsid w:val="00FF780A"/>
    <w:rsid w:val="00FF7A59"/>
    <w:rsid w:val="01BD3823"/>
    <w:rsid w:val="045F1002"/>
    <w:rsid w:val="05157C17"/>
    <w:rsid w:val="06CD478D"/>
    <w:rsid w:val="0A9D703B"/>
    <w:rsid w:val="0FBEADC9"/>
    <w:rsid w:val="1089B7FD"/>
    <w:rsid w:val="1223943D"/>
    <w:rsid w:val="17A97470"/>
    <w:rsid w:val="1993AC75"/>
    <w:rsid w:val="1D7E895E"/>
    <w:rsid w:val="1DF6D048"/>
    <w:rsid w:val="1FA4B5CD"/>
    <w:rsid w:val="20250C0F"/>
    <w:rsid w:val="20255410"/>
    <w:rsid w:val="2653B83C"/>
    <w:rsid w:val="26BD5BE8"/>
    <w:rsid w:val="2B716298"/>
    <w:rsid w:val="2E707033"/>
    <w:rsid w:val="30017A48"/>
    <w:rsid w:val="32B01947"/>
    <w:rsid w:val="363B40C5"/>
    <w:rsid w:val="381F3889"/>
    <w:rsid w:val="382668BC"/>
    <w:rsid w:val="3B2ED8DD"/>
    <w:rsid w:val="3BB80508"/>
    <w:rsid w:val="3E50E622"/>
    <w:rsid w:val="3F2DDE3C"/>
    <w:rsid w:val="3F9ABE35"/>
    <w:rsid w:val="41E43B5A"/>
    <w:rsid w:val="42ED0262"/>
    <w:rsid w:val="43CA83F2"/>
    <w:rsid w:val="448F60E6"/>
    <w:rsid w:val="455B894B"/>
    <w:rsid w:val="4788EE2F"/>
    <w:rsid w:val="4798A97F"/>
    <w:rsid w:val="48A700E0"/>
    <w:rsid w:val="4ABE8ED0"/>
    <w:rsid w:val="4BA1C242"/>
    <w:rsid w:val="4D0D34A7"/>
    <w:rsid w:val="4DBDA28A"/>
    <w:rsid w:val="4E6ECE2A"/>
    <w:rsid w:val="4FAE418D"/>
    <w:rsid w:val="5136B1D0"/>
    <w:rsid w:val="51D92461"/>
    <w:rsid w:val="52D1A2B8"/>
    <w:rsid w:val="57B33D10"/>
    <w:rsid w:val="5A1F5D9C"/>
    <w:rsid w:val="5A8C19AB"/>
    <w:rsid w:val="5C1C1F67"/>
    <w:rsid w:val="5D96824D"/>
    <w:rsid w:val="5E919A53"/>
    <w:rsid w:val="5F5FB7BB"/>
    <w:rsid w:val="5FD18D9D"/>
    <w:rsid w:val="601ACCB9"/>
    <w:rsid w:val="610182BA"/>
    <w:rsid w:val="631408CC"/>
    <w:rsid w:val="6481CA00"/>
    <w:rsid w:val="64E1649D"/>
    <w:rsid w:val="6AB65FC9"/>
    <w:rsid w:val="6AE8CEE3"/>
    <w:rsid w:val="6F1A8246"/>
    <w:rsid w:val="7020384B"/>
    <w:rsid w:val="71235095"/>
    <w:rsid w:val="75D5E7DB"/>
    <w:rsid w:val="765C9146"/>
    <w:rsid w:val="79267E29"/>
    <w:rsid w:val="7AFCC899"/>
    <w:rsid w:val="7D65438E"/>
    <w:rsid w:val="7DD61473"/>
    <w:rsid w:val="7EEAD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4"/>
    <o:shapelayout v:ext="edit">
      <o:idmap v:ext="edit" data="1"/>
    </o:shapelayout>
  </w:shapeDefaults>
  <w:decimalSymbol w:val="."/>
  <w:listSeparator w:val=","/>
  <w14:docId w14:val="72960554"/>
  <w15:docId w15:val="{9DD0722C-C775-4138-8023-960D3DC4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260"/>
    <w:rPr>
      <w:color w:val="000000"/>
      <w:sz w:val="24"/>
      <w:szCs w:val="24"/>
      <w:lang w:val="en-GB"/>
    </w:rPr>
  </w:style>
  <w:style w:type="paragraph" w:styleId="Heading1">
    <w:name w:val="heading 1"/>
    <w:basedOn w:val="Normal"/>
    <w:next w:val="Normal"/>
    <w:link w:val="Heading1Char"/>
    <w:uiPriority w:val="9"/>
    <w:qFormat/>
    <w:rsid w:val="00162593"/>
    <w:pPr>
      <w:keepNext/>
      <w:spacing w:before="180" w:after="240"/>
      <w:jc w:val="both"/>
      <w:outlineLvl w:val="0"/>
    </w:pPr>
    <w:rPr>
      <w:b/>
      <w:smallCaps/>
      <w:color w:val="auto"/>
      <w:kern w:val="28"/>
      <w:sz w:val="20"/>
      <w:szCs w:val="20"/>
    </w:rPr>
  </w:style>
  <w:style w:type="paragraph" w:styleId="Heading2">
    <w:name w:val="heading 2"/>
    <w:basedOn w:val="Normal"/>
    <w:next w:val="Normal"/>
    <w:link w:val="Heading2Char"/>
    <w:uiPriority w:val="9"/>
    <w:qFormat/>
    <w:rsid w:val="00915E6C"/>
    <w:pPr>
      <w:keepNext/>
      <w:tabs>
        <w:tab w:val="left" w:pos="510"/>
      </w:tabs>
      <w:spacing w:before="480" w:after="80"/>
      <w:jc w:val="both"/>
      <w:outlineLvl w:val="1"/>
    </w:pPr>
    <w:rPr>
      <w:rFonts w:ascii="Times New Roman Bold" w:hAnsi="Times New Roman Bold"/>
      <w:b/>
      <w:smallCaps/>
      <w:color w:val="auto"/>
      <w:szCs w:val="23"/>
    </w:rPr>
  </w:style>
  <w:style w:type="paragraph" w:styleId="Heading3">
    <w:name w:val="heading 3"/>
    <w:basedOn w:val="Normal"/>
    <w:next w:val="Normal"/>
    <w:link w:val="Heading3Char"/>
    <w:uiPriority w:val="9"/>
    <w:qFormat/>
    <w:rsid w:val="00210089"/>
    <w:pPr>
      <w:keepNext/>
      <w:tabs>
        <w:tab w:val="left" w:pos="510"/>
      </w:tabs>
      <w:spacing w:before="300" w:after="60"/>
      <w:jc w:val="both"/>
      <w:outlineLvl w:val="2"/>
    </w:pPr>
    <w:rPr>
      <w:rFonts w:ascii="Times New Roman Bold" w:hAnsi="Times New Roman Bold"/>
      <w:b/>
      <w:color w:val="auto"/>
      <w:szCs w:val="23"/>
    </w:rPr>
  </w:style>
  <w:style w:type="paragraph" w:styleId="Heading4">
    <w:name w:val="heading 4"/>
    <w:basedOn w:val="Normal"/>
    <w:next w:val="Normal"/>
    <w:link w:val="Heading4Char"/>
    <w:qFormat/>
    <w:rsid w:val="00162593"/>
    <w:pPr>
      <w:keepNext/>
      <w:spacing w:before="240" w:after="60"/>
      <w:jc w:val="both"/>
      <w:outlineLvl w:val="3"/>
    </w:pPr>
    <w:rPr>
      <w:i/>
      <w:color w:val="auto"/>
      <w:sz w:val="20"/>
      <w:szCs w:val="20"/>
    </w:rPr>
  </w:style>
  <w:style w:type="paragraph" w:styleId="Heading5">
    <w:name w:val="heading 5"/>
    <w:basedOn w:val="Normal"/>
    <w:next w:val="Normal"/>
    <w:link w:val="Heading5Char"/>
    <w:qFormat/>
    <w:rsid w:val="00162593"/>
    <w:pPr>
      <w:numPr>
        <w:ilvl w:val="4"/>
        <w:numId w:val="1"/>
      </w:numPr>
      <w:tabs>
        <w:tab w:val="clear" w:pos="0"/>
        <w:tab w:val="num" w:pos="360"/>
      </w:tabs>
      <w:spacing w:before="240" w:after="60"/>
      <w:ind w:left="360" w:hanging="360"/>
      <w:jc w:val="both"/>
      <w:outlineLvl w:val="4"/>
    </w:pPr>
    <w:rPr>
      <w:rFonts w:ascii="Arial" w:hAnsi="Arial"/>
      <w:color w:val="auto"/>
      <w:sz w:val="22"/>
      <w:szCs w:val="20"/>
    </w:rPr>
  </w:style>
  <w:style w:type="paragraph" w:styleId="Heading6">
    <w:name w:val="heading 6"/>
    <w:basedOn w:val="Normal"/>
    <w:next w:val="Normal"/>
    <w:link w:val="Heading6Char"/>
    <w:qFormat/>
    <w:rsid w:val="00162593"/>
    <w:pPr>
      <w:numPr>
        <w:ilvl w:val="5"/>
        <w:numId w:val="1"/>
      </w:numPr>
      <w:tabs>
        <w:tab w:val="clear" w:pos="0"/>
        <w:tab w:val="num" w:pos="360"/>
      </w:tabs>
      <w:spacing w:before="240" w:after="60"/>
      <w:ind w:left="360" w:hanging="360"/>
      <w:jc w:val="both"/>
      <w:outlineLvl w:val="5"/>
    </w:pPr>
    <w:rPr>
      <w:rFonts w:ascii="Arial" w:hAnsi="Arial"/>
      <w:i/>
      <w:color w:val="auto"/>
      <w:sz w:val="22"/>
      <w:szCs w:val="20"/>
    </w:rPr>
  </w:style>
  <w:style w:type="paragraph" w:styleId="Heading7">
    <w:name w:val="heading 7"/>
    <w:basedOn w:val="Normal"/>
    <w:next w:val="Normal"/>
    <w:link w:val="Heading7Char"/>
    <w:qFormat/>
    <w:rsid w:val="00162593"/>
    <w:pPr>
      <w:numPr>
        <w:ilvl w:val="6"/>
        <w:numId w:val="1"/>
      </w:numPr>
      <w:tabs>
        <w:tab w:val="clear" w:pos="0"/>
        <w:tab w:val="num" w:pos="360"/>
      </w:tabs>
      <w:spacing w:before="240" w:after="60"/>
      <w:ind w:left="360" w:hanging="360"/>
      <w:jc w:val="both"/>
      <w:outlineLvl w:val="6"/>
    </w:pPr>
    <w:rPr>
      <w:rFonts w:ascii="Arial" w:hAnsi="Arial"/>
      <w:color w:val="auto"/>
      <w:sz w:val="20"/>
      <w:szCs w:val="20"/>
    </w:rPr>
  </w:style>
  <w:style w:type="paragraph" w:styleId="Heading8">
    <w:name w:val="heading 8"/>
    <w:basedOn w:val="Normal"/>
    <w:next w:val="Normal"/>
    <w:link w:val="Heading8Char"/>
    <w:qFormat/>
    <w:rsid w:val="00162593"/>
    <w:pPr>
      <w:numPr>
        <w:ilvl w:val="7"/>
        <w:numId w:val="1"/>
      </w:numPr>
      <w:spacing w:before="240" w:after="60"/>
      <w:jc w:val="both"/>
      <w:outlineLvl w:val="7"/>
    </w:pPr>
    <w:rPr>
      <w:rFonts w:ascii="Arial" w:hAnsi="Arial"/>
      <w:i/>
      <w:color w:val="auto"/>
      <w:sz w:val="20"/>
      <w:szCs w:val="20"/>
    </w:rPr>
  </w:style>
  <w:style w:type="paragraph" w:styleId="Heading9">
    <w:name w:val="heading 9"/>
    <w:basedOn w:val="Normal"/>
    <w:next w:val="Normal"/>
    <w:link w:val="Heading9Char"/>
    <w:qFormat/>
    <w:rsid w:val="00162593"/>
    <w:pPr>
      <w:numPr>
        <w:ilvl w:val="8"/>
        <w:numId w:val="1"/>
      </w:numPr>
      <w:spacing w:before="240" w:after="60"/>
      <w:jc w:val="both"/>
      <w:outlineLvl w:val="8"/>
    </w:pPr>
    <w:rPr>
      <w:rFonts w:ascii="Arial" w:hAnsi="Arial"/>
      <w:i/>
      <w:color w:val="auto"/>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593"/>
    <w:rPr>
      <w:b/>
      <w:smallCaps/>
      <w:kern w:val="28"/>
      <w:szCs w:val="20"/>
    </w:rPr>
  </w:style>
  <w:style w:type="character" w:customStyle="1" w:styleId="Heading2Char">
    <w:name w:val="Heading 2 Char"/>
    <w:link w:val="Heading2"/>
    <w:uiPriority w:val="9"/>
    <w:rsid w:val="00915E6C"/>
    <w:rPr>
      <w:rFonts w:ascii="Times New Roman Bold" w:hAnsi="Times New Roman Bold"/>
      <w:b/>
      <w:smallCaps/>
      <w:sz w:val="24"/>
      <w:szCs w:val="23"/>
    </w:rPr>
  </w:style>
  <w:style w:type="character" w:customStyle="1" w:styleId="Heading3Char">
    <w:name w:val="Heading 3 Char"/>
    <w:link w:val="Heading3"/>
    <w:uiPriority w:val="9"/>
    <w:rsid w:val="00210089"/>
    <w:rPr>
      <w:rFonts w:ascii="Times New Roman Bold" w:hAnsi="Times New Roman Bold"/>
      <w:b/>
      <w:sz w:val="24"/>
      <w:szCs w:val="23"/>
    </w:rPr>
  </w:style>
  <w:style w:type="character" w:customStyle="1" w:styleId="Heading4Char">
    <w:name w:val="Heading 4 Char"/>
    <w:link w:val="Heading4"/>
    <w:rsid w:val="00162593"/>
    <w:rPr>
      <w:i/>
      <w:szCs w:val="20"/>
    </w:rPr>
  </w:style>
  <w:style w:type="character" w:customStyle="1" w:styleId="Heading5Char">
    <w:name w:val="Heading 5 Char"/>
    <w:link w:val="Heading5"/>
    <w:rsid w:val="00162593"/>
    <w:rPr>
      <w:rFonts w:ascii="Arial" w:hAnsi="Arial"/>
      <w:sz w:val="22"/>
      <w:lang w:val="en-GB"/>
    </w:rPr>
  </w:style>
  <w:style w:type="character" w:customStyle="1" w:styleId="Heading6Char">
    <w:name w:val="Heading 6 Char"/>
    <w:link w:val="Heading6"/>
    <w:rsid w:val="00162593"/>
    <w:rPr>
      <w:rFonts w:ascii="Arial" w:hAnsi="Arial"/>
      <w:i/>
      <w:sz w:val="22"/>
      <w:lang w:val="en-GB"/>
    </w:rPr>
  </w:style>
  <w:style w:type="character" w:customStyle="1" w:styleId="Heading7Char">
    <w:name w:val="Heading 7 Char"/>
    <w:link w:val="Heading7"/>
    <w:rsid w:val="00162593"/>
    <w:rPr>
      <w:rFonts w:ascii="Arial" w:hAnsi="Arial"/>
      <w:lang w:val="en-GB"/>
    </w:rPr>
  </w:style>
  <w:style w:type="character" w:customStyle="1" w:styleId="Heading8Char">
    <w:name w:val="Heading 8 Char"/>
    <w:link w:val="Heading8"/>
    <w:rsid w:val="00162593"/>
    <w:rPr>
      <w:rFonts w:ascii="Arial" w:hAnsi="Arial"/>
      <w:i/>
      <w:lang w:val="en-GB"/>
    </w:rPr>
  </w:style>
  <w:style w:type="character" w:customStyle="1" w:styleId="Heading9Char">
    <w:name w:val="Heading 9 Char"/>
    <w:link w:val="Heading9"/>
    <w:rsid w:val="00162593"/>
    <w:rPr>
      <w:rFonts w:ascii="Arial" w:hAnsi="Arial"/>
      <w:i/>
      <w:sz w:val="18"/>
      <w:lang w:val="en-GB"/>
    </w:rPr>
  </w:style>
  <w:style w:type="character" w:customStyle="1" w:styleId="Notedebasdepage">
    <w:name w:val="Note de bas de page_"/>
    <w:link w:val="Notedebasdepage0"/>
    <w:uiPriority w:val="99"/>
    <w:rPr>
      <w:sz w:val="17"/>
      <w:szCs w:val="17"/>
      <w:u w:val="none"/>
    </w:rPr>
  </w:style>
  <w:style w:type="paragraph" w:customStyle="1" w:styleId="Notedebasdepage0">
    <w:name w:val="Note de bas de page"/>
    <w:basedOn w:val="Normal"/>
    <w:link w:val="Notedebasdepage"/>
    <w:uiPriority w:val="99"/>
    <w:pPr>
      <w:shd w:val="clear" w:color="auto" w:fill="FFFFFF"/>
      <w:spacing w:line="206" w:lineRule="exact"/>
      <w:ind w:hanging="180"/>
      <w:jc w:val="both"/>
    </w:pPr>
    <w:rPr>
      <w:color w:val="auto"/>
      <w:sz w:val="17"/>
      <w:szCs w:val="17"/>
    </w:rPr>
  </w:style>
  <w:style w:type="character" w:customStyle="1" w:styleId="Corpsdutexte2">
    <w:name w:val="Corps du texte (2)_"/>
    <w:link w:val="Corpsdutexte21"/>
    <w:uiPriority w:val="99"/>
    <w:rPr>
      <w:rFonts w:ascii="Arial" w:hAnsi="Arial" w:cs="Arial"/>
      <w:sz w:val="16"/>
      <w:szCs w:val="16"/>
      <w:u w:val="none"/>
    </w:rPr>
  </w:style>
  <w:style w:type="paragraph" w:customStyle="1" w:styleId="Corpsdutexte21">
    <w:name w:val="Corps du texte (2)1"/>
    <w:basedOn w:val="Normal"/>
    <w:link w:val="Corpsdutexte2"/>
    <w:uiPriority w:val="99"/>
    <w:pPr>
      <w:shd w:val="clear" w:color="auto" w:fill="FFFFFF"/>
      <w:spacing w:after="720" w:line="240" w:lineRule="atLeast"/>
      <w:jc w:val="right"/>
    </w:pPr>
    <w:rPr>
      <w:rFonts w:ascii="Arial" w:hAnsi="Arial"/>
      <w:color w:val="auto"/>
      <w:sz w:val="16"/>
      <w:szCs w:val="16"/>
    </w:rPr>
  </w:style>
  <w:style w:type="character" w:customStyle="1" w:styleId="Corpsdutexte20">
    <w:name w:val="Corps du texte (2)"/>
    <w:uiPriority w:val="99"/>
    <w:rPr>
      <w:rFonts w:ascii="Arial" w:hAnsi="Arial" w:cs="Arial"/>
      <w:color w:val="000096"/>
      <w:sz w:val="16"/>
      <w:szCs w:val="16"/>
      <w:u w:val="none"/>
      <w:lang w:val="bg-BG" w:eastAsia="bg-BG"/>
    </w:rPr>
  </w:style>
  <w:style w:type="character" w:customStyle="1" w:styleId="Corpsdutexte24">
    <w:name w:val="Corps du texte (2)4"/>
    <w:uiPriority w:val="99"/>
    <w:rPr>
      <w:rFonts w:ascii="Arial" w:hAnsi="Arial" w:cs="Arial"/>
      <w:color w:val="4B4B4B"/>
      <w:sz w:val="16"/>
      <w:szCs w:val="16"/>
      <w:u w:val="none"/>
      <w:lang w:val="de-DE" w:eastAsia="de-DE"/>
    </w:rPr>
  </w:style>
  <w:style w:type="character" w:customStyle="1" w:styleId="Corpsdutexte3">
    <w:name w:val="Corps du texte (3)_"/>
    <w:link w:val="Corpsdutexte30"/>
    <w:uiPriority w:val="99"/>
    <w:rPr>
      <w:rFonts w:ascii="Arial" w:hAnsi="Arial" w:cs="Arial"/>
      <w:sz w:val="22"/>
      <w:szCs w:val="22"/>
      <w:u w:val="none"/>
      <w:lang w:val="fi-FI" w:eastAsia="fi-FI"/>
    </w:rPr>
  </w:style>
  <w:style w:type="paragraph" w:customStyle="1" w:styleId="Corpsdutexte30">
    <w:name w:val="Corps du texte (3)"/>
    <w:basedOn w:val="Normal"/>
    <w:link w:val="Corpsdutexte3"/>
    <w:uiPriority w:val="99"/>
    <w:pPr>
      <w:shd w:val="clear" w:color="auto" w:fill="FFFFFF"/>
      <w:spacing w:before="720" w:after="60" w:line="240" w:lineRule="atLeast"/>
    </w:pPr>
    <w:rPr>
      <w:rFonts w:ascii="Arial" w:hAnsi="Arial"/>
      <w:color w:val="auto"/>
      <w:sz w:val="22"/>
      <w:szCs w:val="22"/>
      <w:lang w:val="fi-FI" w:eastAsia="fi-FI"/>
    </w:rPr>
  </w:style>
  <w:style w:type="character" w:customStyle="1" w:styleId="Corpsdutexte4">
    <w:name w:val="Corps du texte (4)_"/>
    <w:link w:val="Corpsdutexte40"/>
    <w:uiPriority w:val="99"/>
    <w:rPr>
      <w:rFonts w:ascii="Arial" w:hAnsi="Arial" w:cs="Arial"/>
      <w:sz w:val="14"/>
      <w:szCs w:val="14"/>
      <w:u w:val="none"/>
    </w:rPr>
  </w:style>
  <w:style w:type="paragraph" w:customStyle="1" w:styleId="Corpsdutexte40">
    <w:name w:val="Corps du texte (4)"/>
    <w:basedOn w:val="Normal"/>
    <w:link w:val="Corpsdutexte4"/>
    <w:uiPriority w:val="99"/>
    <w:pPr>
      <w:shd w:val="clear" w:color="auto" w:fill="FFFFFF"/>
      <w:spacing w:before="60" w:after="5340" w:line="240" w:lineRule="atLeast"/>
    </w:pPr>
    <w:rPr>
      <w:rFonts w:ascii="Arial" w:hAnsi="Arial"/>
      <w:color w:val="auto"/>
      <w:sz w:val="14"/>
      <w:szCs w:val="14"/>
    </w:rPr>
  </w:style>
  <w:style w:type="character" w:customStyle="1" w:styleId="Corpsdutexte5">
    <w:name w:val="Corps du texte (5)_"/>
    <w:link w:val="Corpsdutexte50"/>
    <w:uiPriority w:val="99"/>
    <w:rPr>
      <w:rFonts w:ascii="Times New Roman" w:hAnsi="Times New Roman" w:cs="Times New Roman"/>
      <w:b/>
      <w:bCs/>
      <w:sz w:val="31"/>
      <w:szCs w:val="31"/>
      <w:u w:val="none"/>
      <w:lang w:val="de-DE" w:eastAsia="de-DE"/>
    </w:rPr>
  </w:style>
  <w:style w:type="paragraph" w:customStyle="1" w:styleId="Corpsdutexte50">
    <w:name w:val="Corps du texte (5)"/>
    <w:basedOn w:val="Normal"/>
    <w:link w:val="Corpsdutexte5"/>
    <w:uiPriority w:val="99"/>
    <w:pPr>
      <w:shd w:val="clear" w:color="auto" w:fill="FFFFFF"/>
      <w:spacing w:before="5340" w:after="1800" w:line="370" w:lineRule="exact"/>
    </w:pPr>
    <w:rPr>
      <w:b/>
      <w:bCs/>
      <w:color w:val="auto"/>
      <w:sz w:val="31"/>
      <w:szCs w:val="31"/>
      <w:lang w:val="de-DE" w:eastAsia="de-DE"/>
    </w:rPr>
  </w:style>
  <w:style w:type="character" w:customStyle="1" w:styleId="Corpsdutexte6">
    <w:name w:val="Corps du texte (6)_"/>
    <w:link w:val="Corpsdutexte60"/>
    <w:uiPriority w:val="99"/>
    <w:rPr>
      <w:sz w:val="31"/>
      <w:szCs w:val="31"/>
      <w:u w:val="none"/>
    </w:rPr>
  </w:style>
  <w:style w:type="paragraph" w:customStyle="1" w:styleId="Corpsdutexte60">
    <w:name w:val="Corps du texte (6)"/>
    <w:basedOn w:val="Normal"/>
    <w:link w:val="Corpsdutexte6"/>
    <w:uiPriority w:val="99"/>
    <w:pPr>
      <w:shd w:val="clear" w:color="auto" w:fill="FFFFFF"/>
      <w:spacing w:before="1800" w:line="240" w:lineRule="atLeast"/>
    </w:pPr>
    <w:rPr>
      <w:color w:val="auto"/>
      <w:sz w:val="31"/>
      <w:szCs w:val="31"/>
    </w:rPr>
  </w:style>
  <w:style w:type="character" w:customStyle="1" w:styleId="Corpsdutexte">
    <w:name w:val="Corps du texte_"/>
    <w:link w:val="Corpsdutexte1"/>
    <w:uiPriority w:val="99"/>
    <w:rPr>
      <w:sz w:val="23"/>
      <w:szCs w:val="23"/>
      <w:u w:val="none"/>
    </w:rPr>
  </w:style>
  <w:style w:type="paragraph" w:customStyle="1" w:styleId="Corpsdutexte1">
    <w:name w:val="Corps du texte1"/>
    <w:basedOn w:val="Normal"/>
    <w:link w:val="Corpsdutexte"/>
    <w:uiPriority w:val="99"/>
    <w:pPr>
      <w:shd w:val="clear" w:color="auto" w:fill="FFFFFF"/>
      <w:spacing w:after="300" w:line="240" w:lineRule="atLeast"/>
      <w:jc w:val="both"/>
    </w:pPr>
    <w:rPr>
      <w:color w:val="auto"/>
      <w:sz w:val="23"/>
      <w:szCs w:val="23"/>
    </w:rPr>
  </w:style>
  <w:style w:type="character" w:customStyle="1" w:styleId="Corpsdutexte0">
    <w:name w:val="Corps du texte"/>
    <w:uiPriority w:val="99"/>
    <w:rPr>
      <w:sz w:val="23"/>
      <w:szCs w:val="23"/>
      <w:u w:val="single"/>
    </w:rPr>
  </w:style>
  <w:style w:type="character" w:customStyle="1" w:styleId="En-tteoupieddepage">
    <w:name w:val="En-tête ou pied de page_"/>
    <w:link w:val="En-tteoupieddepage0"/>
    <w:uiPriority w:val="99"/>
    <w:rPr>
      <w:rFonts w:ascii="Times New Roman" w:hAnsi="Times New Roman" w:cs="Times New Roman"/>
      <w:noProof/>
      <w:sz w:val="20"/>
      <w:szCs w:val="20"/>
      <w:u w:val="none"/>
    </w:rPr>
  </w:style>
  <w:style w:type="paragraph" w:customStyle="1" w:styleId="En-tteoupieddepage0">
    <w:name w:val="En-tête ou pied de page"/>
    <w:basedOn w:val="Normal"/>
    <w:link w:val="En-tteoupieddepage"/>
    <w:uiPriority w:val="99"/>
    <w:pPr>
      <w:shd w:val="clear" w:color="auto" w:fill="FFFFFF"/>
    </w:pPr>
    <w:rPr>
      <w:noProof/>
      <w:color w:val="auto"/>
      <w:sz w:val="20"/>
      <w:szCs w:val="20"/>
    </w:rPr>
  </w:style>
  <w:style w:type="character" w:customStyle="1" w:styleId="En-tteoupieddepage11pt">
    <w:name w:val="En-tête ou pied de page + 11 pt"/>
    <w:uiPriority w:val="99"/>
    <w:rPr>
      <w:rFonts w:ascii="Times New Roman" w:hAnsi="Times New Roman" w:cs="Times New Roman"/>
      <w:noProof/>
      <w:sz w:val="22"/>
      <w:szCs w:val="22"/>
      <w:u w:val="none"/>
    </w:rPr>
  </w:style>
  <w:style w:type="character" w:customStyle="1" w:styleId="CorpsdutexteItalique">
    <w:name w:val="Corps du texte + Italique"/>
    <w:uiPriority w:val="99"/>
    <w:rPr>
      <w:i/>
      <w:iCs/>
      <w:sz w:val="23"/>
      <w:szCs w:val="23"/>
      <w:u w:val="none"/>
    </w:rPr>
  </w:style>
  <w:style w:type="character" w:customStyle="1" w:styleId="Corpsdutexte31">
    <w:name w:val="Corps du texte3"/>
    <w:uiPriority w:val="99"/>
    <w:rPr>
      <w:sz w:val="23"/>
      <w:szCs w:val="23"/>
      <w:u w:val="none"/>
    </w:rPr>
  </w:style>
  <w:style w:type="character" w:customStyle="1" w:styleId="CorpsdutexteGras">
    <w:name w:val="Corps du texte + Gras"/>
    <w:uiPriority w:val="99"/>
    <w:rPr>
      <w:rFonts w:ascii="Times New Roman" w:hAnsi="Times New Roman" w:cs="Times New Roman"/>
      <w:b/>
      <w:bCs/>
      <w:noProof/>
      <w:sz w:val="23"/>
      <w:szCs w:val="23"/>
      <w:u w:val="none"/>
    </w:rPr>
  </w:style>
  <w:style w:type="character" w:customStyle="1" w:styleId="CorpsdutexteGras4">
    <w:name w:val="Corps du texte + Gras4"/>
    <w:uiPriority w:val="99"/>
    <w:rPr>
      <w:b/>
      <w:bCs/>
      <w:sz w:val="23"/>
      <w:szCs w:val="23"/>
      <w:u w:val="single"/>
    </w:rPr>
  </w:style>
  <w:style w:type="character" w:customStyle="1" w:styleId="Corpsdutexte10pt">
    <w:name w:val="Corps du texte + 10 pt"/>
    <w:uiPriority w:val="99"/>
    <w:rPr>
      <w:color w:val="0000FF"/>
      <w:sz w:val="20"/>
      <w:szCs w:val="20"/>
      <w:u w:val="single"/>
    </w:rPr>
  </w:style>
  <w:style w:type="character" w:customStyle="1" w:styleId="Corpsdutexte7">
    <w:name w:val="Corps du texte (7)_"/>
    <w:link w:val="Corpsdutexte71"/>
    <w:uiPriority w:val="99"/>
    <w:rPr>
      <w:b/>
      <w:bCs/>
      <w:sz w:val="23"/>
      <w:szCs w:val="23"/>
      <w:u w:val="none"/>
    </w:rPr>
  </w:style>
  <w:style w:type="paragraph" w:customStyle="1" w:styleId="Corpsdutexte71">
    <w:name w:val="Corps du texte (7)1"/>
    <w:basedOn w:val="Normal"/>
    <w:link w:val="Corpsdutexte7"/>
    <w:uiPriority w:val="99"/>
    <w:pPr>
      <w:shd w:val="clear" w:color="auto" w:fill="FFFFFF"/>
      <w:spacing w:after="540" w:line="240" w:lineRule="atLeast"/>
      <w:jc w:val="center"/>
    </w:pPr>
    <w:rPr>
      <w:b/>
      <w:bCs/>
      <w:color w:val="auto"/>
      <w:sz w:val="23"/>
      <w:szCs w:val="23"/>
    </w:rPr>
  </w:style>
  <w:style w:type="character" w:customStyle="1" w:styleId="Corpsdutexte70">
    <w:name w:val="Corps du texte (7)"/>
    <w:uiPriority w:val="99"/>
    <w:rPr>
      <w:rFonts w:ascii="Times New Roman" w:hAnsi="Times New Roman" w:cs="Times New Roman"/>
      <w:b/>
      <w:bCs/>
      <w:sz w:val="23"/>
      <w:szCs w:val="23"/>
      <w:u w:val="single"/>
      <w:lang w:val="de-DE" w:eastAsia="de-DE"/>
    </w:rPr>
  </w:style>
  <w:style w:type="character" w:customStyle="1" w:styleId="Corpsdutexte710pt">
    <w:name w:val="Corps du texte (7) + 10 pt"/>
    <w:aliases w:val="Non Gras"/>
    <w:uiPriority w:val="99"/>
    <w:rPr>
      <w:b/>
      <w:bCs/>
      <w:sz w:val="20"/>
      <w:szCs w:val="20"/>
      <w:u w:val="none"/>
    </w:rPr>
  </w:style>
  <w:style w:type="character" w:customStyle="1" w:styleId="Corpsdutexte8">
    <w:name w:val="Corps du texte (8)_"/>
    <w:link w:val="Corpsdutexte80"/>
    <w:uiPriority w:val="99"/>
    <w:rPr>
      <w:i/>
      <w:iCs/>
      <w:sz w:val="21"/>
      <w:szCs w:val="21"/>
      <w:u w:val="none"/>
    </w:rPr>
  </w:style>
  <w:style w:type="paragraph" w:customStyle="1" w:styleId="Corpsdutexte80">
    <w:name w:val="Corps du texte (8)"/>
    <w:basedOn w:val="Normal"/>
    <w:link w:val="Corpsdutexte8"/>
    <w:uiPriority w:val="99"/>
    <w:pPr>
      <w:shd w:val="clear" w:color="auto" w:fill="FFFFFF"/>
      <w:spacing w:before="180" w:after="180" w:line="240" w:lineRule="atLeast"/>
      <w:ind w:hanging="340"/>
      <w:jc w:val="both"/>
    </w:pPr>
    <w:rPr>
      <w:i/>
      <w:iCs/>
      <w:color w:val="auto"/>
      <w:sz w:val="21"/>
      <w:szCs w:val="21"/>
    </w:rPr>
  </w:style>
  <w:style w:type="character" w:customStyle="1" w:styleId="Corpsdutexte8NonItalique">
    <w:name w:val="Corps du texte (8) + Non Italique"/>
    <w:uiPriority w:val="99"/>
    <w:rPr>
      <w:i/>
      <w:iCs/>
      <w:sz w:val="21"/>
      <w:szCs w:val="21"/>
      <w:u w:val="none"/>
    </w:rPr>
  </w:style>
  <w:style w:type="character" w:customStyle="1" w:styleId="Corpsdutexte710pt5">
    <w:name w:val="Corps du texte (7) + 10 pt5"/>
    <w:aliases w:val="Italique,Espacement 1 pt"/>
    <w:uiPriority w:val="99"/>
    <w:rPr>
      <w:rFonts w:ascii="Times New Roman" w:hAnsi="Times New Roman" w:cs="Times New Roman"/>
      <w:b/>
      <w:bCs/>
      <w:i/>
      <w:iCs/>
      <w:spacing w:val="20"/>
      <w:sz w:val="20"/>
      <w:szCs w:val="20"/>
      <w:u w:val="none"/>
      <w:lang w:val="sl-SI" w:eastAsia="sl-SI"/>
    </w:rPr>
  </w:style>
  <w:style w:type="character" w:customStyle="1" w:styleId="Corpsdutexte9">
    <w:name w:val="Corps du texte (9)_"/>
    <w:link w:val="Corpsdutexte90"/>
    <w:uiPriority w:val="99"/>
    <w:rPr>
      <w:b/>
      <w:bCs/>
      <w:i/>
      <w:iCs/>
      <w:sz w:val="21"/>
      <w:szCs w:val="21"/>
      <w:u w:val="none"/>
    </w:rPr>
  </w:style>
  <w:style w:type="paragraph" w:customStyle="1" w:styleId="Corpsdutexte90">
    <w:name w:val="Corps du texte (9)"/>
    <w:basedOn w:val="Normal"/>
    <w:link w:val="Corpsdutexte9"/>
    <w:uiPriority w:val="99"/>
    <w:pPr>
      <w:shd w:val="clear" w:color="auto" w:fill="FFFFFF"/>
      <w:spacing w:before="300" w:after="300" w:line="240" w:lineRule="atLeast"/>
      <w:jc w:val="both"/>
    </w:pPr>
    <w:rPr>
      <w:b/>
      <w:bCs/>
      <w:i/>
      <w:iCs/>
      <w:color w:val="auto"/>
      <w:sz w:val="21"/>
      <w:szCs w:val="21"/>
    </w:rPr>
  </w:style>
  <w:style w:type="character" w:customStyle="1" w:styleId="Corpsdutexte710pt4">
    <w:name w:val="Corps du texte (7) + 10 pt4"/>
    <w:aliases w:val="Non Gras2"/>
    <w:uiPriority w:val="99"/>
    <w:rPr>
      <w:b/>
      <w:bCs/>
      <w:sz w:val="20"/>
      <w:szCs w:val="20"/>
      <w:u w:val="none"/>
    </w:rPr>
  </w:style>
  <w:style w:type="character" w:customStyle="1" w:styleId="Corpsdutexte8NonItalique3">
    <w:name w:val="Corps du texte (8) + Non Italique3"/>
    <w:uiPriority w:val="99"/>
    <w:rPr>
      <w:i/>
      <w:iCs/>
      <w:sz w:val="21"/>
      <w:szCs w:val="21"/>
      <w:u w:val="none"/>
    </w:rPr>
  </w:style>
  <w:style w:type="character" w:customStyle="1" w:styleId="Corpsdutexte710pt3">
    <w:name w:val="Corps du texte (7) + 10 pt3"/>
    <w:aliases w:val="Italique2,Espacement 1 pt2"/>
    <w:uiPriority w:val="99"/>
    <w:rPr>
      <w:rFonts w:ascii="Times New Roman" w:hAnsi="Times New Roman" w:cs="Times New Roman"/>
      <w:b/>
      <w:bCs/>
      <w:i/>
      <w:iCs/>
      <w:spacing w:val="20"/>
      <w:sz w:val="20"/>
      <w:szCs w:val="20"/>
      <w:u w:val="none"/>
      <w:lang w:val="sl-SI" w:eastAsia="sl-SI"/>
    </w:rPr>
  </w:style>
  <w:style w:type="character" w:customStyle="1" w:styleId="Corpsdutexte8NonItalique2">
    <w:name w:val="Corps du texte (8) + Non Italique2"/>
    <w:uiPriority w:val="99"/>
    <w:rPr>
      <w:i/>
      <w:iCs/>
      <w:sz w:val="21"/>
      <w:szCs w:val="21"/>
      <w:u w:val="none"/>
    </w:rPr>
  </w:style>
  <w:style w:type="character" w:customStyle="1" w:styleId="Corpsdutexte710pt2">
    <w:name w:val="Corps du texte (7) + 10 pt2"/>
    <w:aliases w:val="Italique1,Espacement 1 pt1"/>
    <w:uiPriority w:val="99"/>
    <w:rPr>
      <w:rFonts w:ascii="Times New Roman" w:hAnsi="Times New Roman" w:cs="Times New Roman"/>
      <w:b/>
      <w:bCs/>
      <w:i/>
      <w:iCs/>
      <w:spacing w:val="20"/>
      <w:sz w:val="20"/>
      <w:szCs w:val="20"/>
      <w:u w:val="none"/>
      <w:lang w:val="sl-SI" w:eastAsia="sl-SI"/>
    </w:rPr>
  </w:style>
  <w:style w:type="character" w:customStyle="1" w:styleId="Corpsdutexte710pt1">
    <w:name w:val="Corps du texte (7) + 10 pt1"/>
    <w:aliases w:val="Non Gras1"/>
    <w:uiPriority w:val="99"/>
    <w:rPr>
      <w:b/>
      <w:bCs/>
      <w:sz w:val="20"/>
      <w:szCs w:val="20"/>
      <w:u w:val="none"/>
    </w:rPr>
  </w:style>
  <w:style w:type="character" w:customStyle="1" w:styleId="Corpsdutexte8NonItalique1">
    <w:name w:val="Corps du texte (8) + Non Italique1"/>
    <w:uiPriority w:val="99"/>
    <w:rPr>
      <w:i/>
      <w:iCs/>
      <w:sz w:val="21"/>
      <w:szCs w:val="21"/>
      <w:u w:val="none"/>
    </w:rPr>
  </w:style>
  <w:style w:type="character" w:customStyle="1" w:styleId="En-tte1">
    <w:name w:val="En-tête #1_"/>
    <w:link w:val="En-tte11"/>
    <w:uiPriority w:val="99"/>
    <w:rPr>
      <w:b/>
      <w:bCs/>
      <w:sz w:val="23"/>
      <w:szCs w:val="23"/>
      <w:u w:val="none"/>
    </w:rPr>
  </w:style>
  <w:style w:type="paragraph" w:customStyle="1" w:styleId="En-tte11">
    <w:name w:val="En-tête #11"/>
    <w:basedOn w:val="Normal"/>
    <w:link w:val="En-tte1"/>
    <w:uiPriority w:val="99"/>
    <w:pPr>
      <w:shd w:val="clear" w:color="auto" w:fill="FFFFFF"/>
      <w:spacing w:after="600" w:line="240" w:lineRule="atLeast"/>
      <w:ind w:hanging="360"/>
      <w:jc w:val="center"/>
      <w:outlineLvl w:val="0"/>
    </w:pPr>
    <w:rPr>
      <w:b/>
      <w:bCs/>
      <w:color w:val="auto"/>
      <w:sz w:val="23"/>
      <w:szCs w:val="23"/>
    </w:rPr>
  </w:style>
  <w:style w:type="character" w:customStyle="1" w:styleId="En-tte10">
    <w:name w:val="En-tête #1"/>
    <w:uiPriority w:val="99"/>
    <w:rPr>
      <w:b/>
      <w:bCs/>
      <w:sz w:val="23"/>
      <w:szCs w:val="23"/>
      <w:u w:val="single"/>
    </w:rPr>
  </w:style>
  <w:style w:type="character" w:customStyle="1" w:styleId="Corpsdutexte12">
    <w:name w:val="Corps du texte (12)_"/>
    <w:link w:val="Corpsdutexte120"/>
    <w:uiPriority w:val="99"/>
    <w:rPr>
      <w:i/>
      <w:iCs/>
      <w:sz w:val="23"/>
      <w:szCs w:val="23"/>
      <w:u w:val="none"/>
    </w:rPr>
  </w:style>
  <w:style w:type="paragraph" w:customStyle="1" w:styleId="Corpsdutexte120">
    <w:name w:val="Corps du texte (12)"/>
    <w:basedOn w:val="Normal"/>
    <w:link w:val="Corpsdutexte12"/>
    <w:uiPriority w:val="99"/>
    <w:pPr>
      <w:shd w:val="clear" w:color="auto" w:fill="FFFFFF"/>
      <w:spacing w:before="300" w:after="180" w:line="274" w:lineRule="exact"/>
      <w:ind w:hanging="360"/>
    </w:pPr>
    <w:rPr>
      <w:i/>
      <w:iCs/>
      <w:color w:val="auto"/>
      <w:sz w:val="23"/>
      <w:szCs w:val="23"/>
    </w:rPr>
  </w:style>
  <w:style w:type="character" w:customStyle="1" w:styleId="Corpsdutexte10">
    <w:name w:val="Corps du texte (10)_"/>
    <w:link w:val="Corpsdutexte101"/>
    <w:uiPriority w:val="99"/>
    <w:rPr>
      <w:rFonts w:ascii="Arial" w:hAnsi="Arial" w:cs="Arial"/>
      <w:b/>
      <w:bCs/>
      <w:sz w:val="17"/>
      <w:szCs w:val="17"/>
      <w:u w:val="none"/>
    </w:rPr>
  </w:style>
  <w:style w:type="paragraph" w:customStyle="1" w:styleId="Corpsdutexte101">
    <w:name w:val="Corps du texte (10)1"/>
    <w:basedOn w:val="Normal"/>
    <w:link w:val="Corpsdutexte10"/>
    <w:uiPriority w:val="99"/>
    <w:pPr>
      <w:shd w:val="clear" w:color="auto" w:fill="FFFFFF"/>
      <w:spacing w:line="240" w:lineRule="atLeast"/>
    </w:pPr>
    <w:rPr>
      <w:rFonts w:ascii="Arial" w:hAnsi="Arial"/>
      <w:b/>
      <w:bCs/>
      <w:color w:val="auto"/>
      <w:sz w:val="17"/>
      <w:szCs w:val="17"/>
    </w:rPr>
  </w:style>
  <w:style w:type="character" w:customStyle="1" w:styleId="Corpsdutexte100">
    <w:name w:val="Corps du texte (10)"/>
    <w:uiPriority w:val="99"/>
    <w:rPr>
      <w:rFonts w:ascii="Arial" w:hAnsi="Arial" w:cs="Arial"/>
      <w:b/>
      <w:bCs/>
      <w:color w:val="FF0000"/>
      <w:sz w:val="17"/>
      <w:szCs w:val="17"/>
      <w:u w:val="none"/>
    </w:rPr>
  </w:style>
  <w:style w:type="character" w:customStyle="1" w:styleId="Corpsdutexte23">
    <w:name w:val="Corps du texte (2)3"/>
    <w:uiPriority w:val="99"/>
    <w:rPr>
      <w:rFonts w:ascii="Arial" w:hAnsi="Arial" w:cs="Arial"/>
      <w:color w:val="FF0000"/>
      <w:sz w:val="16"/>
      <w:szCs w:val="16"/>
      <w:u w:val="none"/>
    </w:rPr>
  </w:style>
  <w:style w:type="character" w:customStyle="1" w:styleId="Corpsdutexte22">
    <w:name w:val="Corps du texte (2)2"/>
    <w:uiPriority w:val="99"/>
    <w:rPr>
      <w:rFonts w:ascii="Arial" w:hAnsi="Arial" w:cs="Arial"/>
      <w:color w:val="FF0000"/>
      <w:sz w:val="16"/>
      <w:szCs w:val="16"/>
      <w:u w:val="none"/>
    </w:rPr>
  </w:style>
  <w:style w:type="character" w:customStyle="1" w:styleId="Corpsdutexte2Exact">
    <w:name w:val="Corps du texte (2) Exact"/>
    <w:uiPriority w:val="99"/>
    <w:rPr>
      <w:rFonts w:ascii="Arial" w:hAnsi="Arial" w:cs="Arial"/>
      <w:spacing w:val="5"/>
      <w:sz w:val="15"/>
      <w:szCs w:val="15"/>
      <w:u w:val="none"/>
    </w:rPr>
  </w:style>
  <w:style w:type="character" w:customStyle="1" w:styleId="Corpsdutexte13">
    <w:name w:val="Corps du texte (13)_"/>
    <w:link w:val="Corpsdutexte130"/>
    <w:uiPriority w:val="99"/>
    <w:rPr>
      <w:rFonts w:ascii="Times New Roman" w:hAnsi="Times New Roman" w:cs="Times New Roman"/>
      <w:sz w:val="17"/>
      <w:szCs w:val="17"/>
      <w:u w:val="none"/>
      <w:lang w:val="sk-SK" w:eastAsia="sk-SK"/>
    </w:rPr>
  </w:style>
  <w:style w:type="paragraph" w:customStyle="1" w:styleId="Corpsdutexte130">
    <w:name w:val="Corps du texte (13)"/>
    <w:basedOn w:val="Normal"/>
    <w:link w:val="Corpsdutexte13"/>
    <w:uiPriority w:val="99"/>
    <w:pPr>
      <w:shd w:val="clear" w:color="auto" w:fill="FFFFFF"/>
      <w:spacing w:line="240" w:lineRule="atLeast"/>
      <w:jc w:val="right"/>
    </w:pPr>
    <w:rPr>
      <w:color w:val="auto"/>
      <w:sz w:val="17"/>
      <w:szCs w:val="17"/>
      <w:lang w:val="sk-SK" w:eastAsia="sk-SK"/>
    </w:rPr>
  </w:style>
  <w:style w:type="character" w:customStyle="1" w:styleId="CorpsdutexteGras3">
    <w:name w:val="Corps du texte + Gras3"/>
    <w:uiPriority w:val="99"/>
    <w:rPr>
      <w:rFonts w:ascii="Times New Roman" w:hAnsi="Times New Roman" w:cs="Times New Roman"/>
      <w:b/>
      <w:bCs/>
      <w:sz w:val="23"/>
      <w:szCs w:val="23"/>
      <w:u w:val="none"/>
      <w:lang w:val="sl-SI" w:eastAsia="sl-SI"/>
    </w:rPr>
  </w:style>
  <w:style w:type="character" w:customStyle="1" w:styleId="CorpsdutexteGras2">
    <w:name w:val="Corps du texte + Gras2"/>
    <w:uiPriority w:val="99"/>
    <w:rPr>
      <w:rFonts w:ascii="Times New Roman" w:hAnsi="Times New Roman" w:cs="Times New Roman"/>
      <w:b/>
      <w:bCs/>
      <w:sz w:val="23"/>
      <w:szCs w:val="23"/>
      <w:u w:val="none"/>
      <w:lang w:val="sl-SI" w:eastAsia="sl-SI"/>
    </w:rPr>
  </w:style>
  <w:style w:type="character" w:customStyle="1" w:styleId="Corpsdutexte25">
    <w:name w:val="Corps du texte2"/>
    <w:uiPriority w:val="99"/>
    <w:rPr>
      <w:sz w:val="23"/>
      <w:szCs w:val="23"/>
      <w:u w:val="none"/>
    </w:rPr>
  </w:style>
  <w:style w:type="character" w:customStyle="1" w:styleId="CorpsdutexteItalique2">
    <w:name w:val="Corps du texte + Italique2"/>
    <w:uiPriority w:val="99"/>
    <w:rPr>
      <w:i/>
      <w:iCs/>
      <w:sz w:val="23"/>
      <w:szCs w:val="23"/>
      <w:u w:val="none"/>
    </w:rPr>
  </w:style>
  <w:style w:type="character" w:customStyle="1" w:styleId="CorpsdutexteItalique1">
    <w:name w:val="Corps du texte + Italique1"/>
    <w:uiPriority w:val="99"/>
    <w:rPr>
      <w:i/>
      <w:iCs/>
      <w:sz w:val="23"/>
      <w:szCs w:val="23"/>
      <w:u w:val="none"/>
    </w:rPr>
  </w:style>
  <w:style w:type="character" w:customStyle="1" w:styleId="Corpsdutexte11Exact">
    <w:name w:val="Corps du texte (11) Exact"/>
    <w:link w:val="Corpsdutexte11"/>
    <w:uiPriority w:val="99"/>
    <w:rPr>
      <w:rFonts w:ascii="Times New Roman" w:hAnsi="Times New Roman" w:cs="Times New Roman"/>
      <w:sz w:val="20"/>
      <w:szCs w:val="20"/>
      <w:u w:val="none"/>
      <w:lang w:val="bg-BG" w:eastAsia="bg-BG"/>
    </w:rPr>
  </w:style>
  <w:style w:type="paragraph" w:customStyle="1" w:styleId="Corpsdutexte11">
    <w:name w:val="Corps du texte (11)"/>
    <w:basedOn w:val="Normal"/>
    <w:link w:val="Corpsdutexte11Exact"/>
    <w:uiPriority w:val="99"/>
    <w:pPr>
      <w:shd w:val="clear" w:color="auto" w:fill="FFFFFF"/>
      <w:spacing w:line="240" w:lineRule="atLeast"/>
    </w:pPr>
    <w:rPr>
      <w:color w:val="auto"/>
      <w:sz w:val="20"/>
      <w:szCs w:val="20"/>
      <w:lang w:val="bg-BG" w:eastAsia="bg-BG"/>
    </w:rPr>
  </w:style>
  <w:style w:type="character" w:customStyle="1" w:styleId="CorpsdutexteGras1">
    <w:name w:val="Corps du texte + Gras1"/>
    <w:uiPriority w:val="99"/>
    <w:rPr>
      <w:rFonts w:ascii="Times New Roman" w:hAnsi="Times New Roman" w:cs="Times New Roman"/>
      <w:b/>
      <w:bCs/>
      <w:sz w:val="23"/>
      <w:szCs w:val="23"/>
      <w:u w:val="none"/>
      <w:lang w:val="sl-SI" w:eastAsia="sl-SI"/>
    </w:rPr>
  </w:style>
  <w:style w:type="character" w:customStyle="1" w:styleId="Corpsdutexte14">
    <w:name w:val="Corps du texte (14)_"/>
    <w:link w:val="Corpsdutexte140"/>
    <w:uiPriority w:val="99"/>
    <w:rPr>
      <w:rFonts w:ascii="Arial" w:hAnsi="Arial" w:cs="Arial"/>
      <w:b/>
      <w:bCs/>
      <w:i/>
      <w:iCs/>
      <w:sz w:val="17"/>
      <w:szCs w:val="17"/>
      <w:u w:val="none"/>
    </w:rPr>
  </w:style>
  <w:style w:type="paragraph" w:customStyle="1" w:styleId="Corpsdutexte140">
    <w:name w:val="Corps du texte (14)"/>
    <w:basedOn w:val="Normal"/>
    <w:link w:val="Corpsdutexte14"/>
    <w:uiPriority w:val="99"/>
    <w:pPr>
      <w:shd w:val="clear" w:color="auto" w:fill="FFFFFF"/>
      <w:spacing w:line="240" w:lineRule="atLeast"/>
      <w:jc w:val="center"/>
    </w:pPr>
    <w:rPr>
      <w:rFonts w:ascii="Arial" w:hAnsi="Arial"/>
      <w:b/>
      <w:bCs/>
      <w:i/>
      <w:iCs/>
      <w:color w:val="auto"/>
      <w:sz w:val="17"/>
      <w:szCs w:val="17"/>
    </w:rPr>
  </w:style>
  <w:style w:type="character" w:customStyle="1" w:styleId="En-tte12">
    <w:name w:val="En-tête #12"/>
    <w:uiPriority w:val="99"/>
    <w:rPr>
      <w:rFonts w:ascii="Times New Roman" w:hAnsi="Times New Roman" w:cs="Times New Roman"/>
      <w:b/>
      <w:bCs/>
      <w:noProof/>
      <w:sz w:val="23"/>
      <w:szCs w:val="23"/>
      <w:u w:val="single"/>
    </w:rPr>
  </w:style>
  <w:style w:type="paragraph" w:styleId="BalloonText">
    <w:name w:val="Balloon Text"/>
    <w:basedOn w:val="Normal"/>
    <w:link w:val="BalloonTextChar"/>
    <w:uiPriority w:val="99"/>
    <w:semiHidden/>
    <w:unhideWhenUsed/>
    <w:rsid w:val="006A6B38"/>
    <w:rPr>
      <w:rFonts w:ascii="Tahoma" w:hAnsi="Tahoma"/>
      <w:sz w:val="16"/>
      <w:szCs w:val="16"/>
    </w:rPr>
  </w:style>
  <w:style w:type="character" w:customStyle="1" w:styleId="BalloonTextChar">
    <w:name w:val="Balloon Text Char"/>
    <w:link w:val="BalloonText"/>
    <w:uiPriority w:val="99"/>
    <w:semiHidden/>
    <w:rsid w:val="006A6B38"/>
    <w:rPr>
      <w:rFonts w:ascii="Tahoma" w:hAnsi="Tahoma" w:cs="Tahoma"/>
      <w:color w:val="000000"/>
      <w:sz w:val="16"/>
      <w:szCs w:val="16"/>
      <w:lang w:val="en-US" w:eastAsia="en-US"/>
    </w:rPr>
  </w:style>
  <w:style w:type="character" w:styleId="Hyperlink">
    <w:name w:val="Hyperlink"/>
    <w:uiPriority w:val="99"/>
    <w:unhideWhenUsed/>
    <w:rsid w:val="00AE1ED8"/>
    <w:rPr>
      <w:color w:val="0000FF"/>
      <w:u w:val="single"/>
    </w:rPr>
  </w:style>
  <w:style w:type="character" w:styleId="CommentReference">
    <w:name w:val="annotation reference"/>
    <w:uiPriority w:val="99"/>
    <w:semiHidden/>
    <w:unhideWhenUsed/>
    <w:rsid w:val="00F03A7D"/>
    <w:rPr>
      <w:sz w:val="16"/>
      <w:szCs w:val="16"/>
    </w:rPr>
  </w:style>
  <w:style w:type="paragraph" w:styleId="CommentText">
    <w:name w:val="annotation text"/>
    <w:basedOn w:val="Normal"/>
    <w:link w:val="CommentTextChar"/>
    <w:uiPriority w:val="99"/>
    <w:unhideWhenUsed/>
    <w:rsid w:val="00F03A7D"/>
    <w:rPr>
      <w:sz w:val="20"/>
      <w:szCs w:val="20"/>
    </w:rPr>
  </w:style>
  <w:style w:type="character" w:customStyle="1" w:styleId="CommentTextChar">
    <w:name w:val="Comment Text Char"/>
    <w:link w:val="CommentText"/>
    <w:uiPriority w:val="99"/>
    <w:rsid w:val="00F03A7D"/>
    <w:rPr>
      <w:color w:val="000000"/>
      <w:sz w:val="20"/>
      <w:szCs w:val="20"/>
      <w:lang w:val="en-US" w:eastAsia="en-US"/>
    </w:rPr>
  </w:style>
  <w:style w:type="paragraph" w:styleId="CommentSubject">
    <w:name w:val="annotation subject"/>
    <w:basedOn w:val="CommentText"/>
    <w:next w:val="CommentText"/>
    <w:link w:val="CommentSubjectChar"/>
    <w:uiPriority w:val="99"/>
    <w:semiHidden/>
    <w:unhideWhenUsed/>
    <w:rsid w:val="00F03A7D"/>
    <w:rPr>
      <w:b/>
      <w:bCs/>
    </w:rPr>
  </w:style>
  <w:style w:type="character" w:customStyle="1" w:styleId="CommentSubjectChar">
    <w:name w:val="Comment Subject Char"/>
    <w:link w:val="CommentSubject"/>
    <w:uiPriority w:val="99"/>
    <w:semiHidden/>
    <w:rsid w:val="00F03A7D"/>
    <w:rPr>
      <w:b/>
      <w:bCs/>
      <w:color w:val="000000"/>
      <w:sz w:val="20"/>
      <w:szCs w:val="20"/>
      <w:lang w:val="en-US" w:eastAsia="en-US"/>
    </w:rPr>
  </w:style>
  <w:style w:type="paragraph" w:customStyle="1" w:styleId="Logo">
    <w:name w:val="Logo"/>
    <w:basedOn w:val="Normal"/>
    <w:rsid w:val="00162593"/>
    <w:rPr>
      <w:rFonts w:ascii="Arial" w:hAnsi="Arial"/>
      <w:color w:val="auto"/>
      <w:sz w:val="26"/>
      <w:szCs w:val="20"/>
      <w:lang w:eastAsia="en-GB"/>
    </w:rPr>
  </w:style>
  <w:style w:type="paragraph" w:customStyle="1" w:styleId="ZDG">
    <w:name w:val="Z_DG"/>
    <w:basedOn w:val="Logo"/>
    <w:rsid w:val="00162593"/>
    <w:rPr>
      <w:sz w:val="16"/>
      <w:lang w:val="fr-FR"/>
    </w:rPr>
  </w:style>
  <w:style w:type="paragraph" w:customStyle="1" w:styleId="ZD">
    <w:name w:val="Z_D"/>
    <w:basedOn w:val="Logo"/>
    <w:rsid w:val="00162593"/>
    <w:rPr>
      <w:sz w:val="16"/>
      <w:lang w:val="fr-FR"/>
    </w:rPr>
  </w:style>
  <w:style w:type="character" w:styleId="FootnoteReference">
    <w:name w:val="footnote reference"/>
    <w:aliases w:val="BVI fnr,16 Point,Superscript 6 Point,Footnote Refernece Char Char,Ref Char Car Car Char Char Char,de nota al pie Char Car Car Char Char Char,Ref Char Char Car Car Char Char Char,de nota al pie Char Char Car Car Char Char Char,fr,ftref"/>
    <w:link w:val="FootnoteReferneceChar"/>
    <w:uiPriority w:val="99"/>
    <w:qFormat/>
    <w:rsid w:val="00162593"/>
    <w:rPr>
      <w:vertAlign w:val="superscript"/>
    </w:rPr>
  </w:style>
  <w:style w:type="paragraph" w:customStyle="1" w:styleId="FootnoteReferneceChar">
    <w:name w:val="Footnote Refernece Char"/>
    <w:aliases w:val="Ref Char Car Car Char Char,de nota al pie Char Car Car Char Char,Ref Char Char Car Car Char Char,de nota al pie Char Char Car Car Char Char,ftref Char Char Char Char Car Car Char Char"/>
    <w:basedOn w:val="Normal"/>
    <w:link w:val="FootnoteReference"/>
    <w:uiPriority w:val="99"/>
    <w:rsid w:val="00864C19"/>
    <w:pPr>
      <w:spacing w:after="160" w:line="240" w:lineRule="exact"/>
      <w:jc w:val="both"/>
    </w:pPr>
    <w:rPr>
      <w:color w:val="auto"/>
      <w:sz w:val="20"/>
      <w:szCs w:val="20"/>
      <w:vertAlign w:val="superscript"/>
    </w:rPr>
  </w:style>
  <w:style w:type="paragraph" w:styleId="FootnoteText">
    <w:name w:val="footnote text"/>
    <w:aliases w:val="fn,ADB,Footnote Text Char Char Char,Footnote Text Char Char,single space,footnote text,FOOTNOTES,Fußnotentext Char,Footnote Text Char1,Footnote Text Char1 Char Char,Footnote Text Char1 Char Char Char Char,Geneva 9,Font: Geneva 9,Boston 10"/>
    <w:basedOn w:val="Normal"/>
    <w:link w:val="FootnoteTextChar"/>
    <w:uiPriority w:val="99"/>
    <w:qFormat/>
    <w:rsid w:val="00162593"/>
    <w:pPr>
      <w:spacing w:before="40"/>
      <w:ind w:left="142" w:hanging="142"/>
      <w:jc w:val="both"/>
    </w:pPr>
    <w:rPr>
      <w:color w:val="auto"/>
      <w:sz w:val="16"/>
      <w:szCs w:val="20"/>
    </w:rPr>
  </w:style>
  <w:style w:type="character" w:customStyle="1" w:styleId="FootnoteTextChar">
    <w:name w:val="Footnote Text Char"/>
    <w:aliases w:val="fn Char,ADB Char,Footnote Text Char Char Char Char,Footnote Text Char Char Char1,single space Char,footnote text Char,FOOTNOTES Char,Fußnotentext Char Char,Footnote Text Char1 Char,Footnote Text Char1 Char Char Char,Geneva 9 Char"/>
    <w:link w:val="FootnoteText"/>
    <w:uiPriority w:val="99"/>
    <w:rsid w:val="00162593"/>
    <w:rPr>
      <w:sz w:val="16"/>
      <w:szCs w:val="20"/>
    </w:rPr>
  </w:style>
  <w:style w:type="paragraph" w:styleId="Header">
    <w:name w:val="header"/>
    <w:basedOn w:val="Normal"/>
    <w:link w:val="HeaderChar"/>
    <w:uiPriority w:val="99"/>
    <w:rsid w:val="00162593"/>
    <w:pPr>
      <w:tabs>
        <w:tab w:val="center" w:pos="4320"/>
        <w:tab w:val="right" w:pos="8640"/>
      </w:tabs>
      <w:jc w:val="both"/>
    </w:pPr>
    <w:rPr>
      <w:color w:val="auto"/>
      <w:sz w:val="20"/>
      <w:szCs w:val="20"/>
    </w:rPr>
  </w:style>
  <w:style w:type="character" w:customStyle="1" w:styleId="HeaderChar">
    <w:name w:val="Header Char"/>
    <w:link w:val="Header"/>
    <w:uiPriority w:val="99"/>
    <w:rsid w:val="00162593"/>
    <w:rPr>
      <w:szCs w:val="20"/>
    </w:rPr>
  </w:style>
  <w:style w:type="paragraph" w:styleId="Footer">
    <w:name w:val="footer"/>
    <w:basedOn w:val="Normal"/>
    <w:link w:val="FooterChar"/>
    <w:uiPriority w:val="99"/>
    <w:rsid w:val="00162593"/>
    <w:pPr>
      <w:tabs>
        <w:tab w:val="center" w:pos="4536"/>
        <w:tab w:val="right" w:pos="9072"/>
      </w:tabs>
    </w:pPr>
    <w:rPr>
      <w:color w:val="auto"/>
      <w:sz w:val="20"/>
      <w:szCs w:val="20"/>
      <w:lang w:val="fr-FR"/>
    </w:rPr>
  </w:style>
  <w:style w:type="character" w:customStyle="1" w:styleId="FooterChar">
    <w:name w:val="Footer Char"/>
    <w:link w:val="Footer"/>
    <w:uiPriority w:val="99"/>
    <w:rsid w:val="00162593"/>
    <w:rPr>
      <w:szCs w:val="20"/>
      <w:lang w:val="fr-FR"/>
    </w:rPr>
  </w:style>
  <w:style w:type="paragraph" w:customStyle="1" w:styleId="ListBullet1">
    <w:name w:val="List Bullet 1"/>
    <w:basedOn w:val="Normal"/>
    <w:rsid w:val="00162593"/>
    <w:pPr>
      <w:numPr>
        <w:numId w:val="2"/>
      </w:numPr>
      <w:spacing w:after="240"/>
      <w:jc w:val="both"/>
    </w:pPr>
    <w:rPr>
      <w:color w:val="auto"/>
      <w:szCs w:val="20"/>
    </w:rPr>
  </w:style>
  <w:style w:type="paragraph" w:styleId="TOC2">
    <w:name w:val="toc 2"/>
    <w:basedOn w:val="Normal"/>
    <w:next w:val="Normal"/>
    <w:autoRedefine/>
    <w:uiPriority w:val="39"/>
    <w:qFormat/>
    <w:rsid w:val="00D96D32"/>
    <w:pPr>
      <w:ind w:left="240"/>
    </w:pPr>
    <w:rPr>
      <w:rFonts w:asciiTheme="minorHAnsi" w:hAnsiTheme="minorHAnsi"/>
      <w:smallCaps/>
      <w:sz w:val="20"/>
      <w:szCs w:val="20"/>
    </w:rPr>
  </w:style>
  <w:style w:type="paragraph" w:styleId="TOC3">
    <w:name w:val="toc 3"/>
    <w:basedOn w:val="Normal"/>
    <w:next w:val="Normal"/>
    <w:autoRedefine/>
    <w:uiPriority w:val="39"/>
    <w:qFormat/>
    <w:rsid w:val="004B1B9A"/>
    <w:pPr>
      <w:spacing w:line="276" w:lineRule="auto"/>
      <w:jc w:val="both"/>
    </w:pPr>
    <w:rPr>
      <w:iCs/>
      <w:color w:val="000000" w:themeColor="text1"/>
    </w:rPr>
  </w:style>
  <w:style w:type="paragraph" w:styleId="TOC4">
    <w:name w:val="toc 4"/>
    <w:basedOn w:val="Normal"/>
    <w:next w:val="Normal"/>
    <w:autoRedefine/>
    <w:uiPriority w:val="39"/>
    <w:rsid w:val="00162593"/>
    <w:pPr>
      <w:ind w:left="720"/>
    </w:pPr>
    <w:rPr>
      <w:rFonts w:asciiTheme="minorHAnsi" w:hAnsiTheme="minorHAnsi"/>
      <w:sz w:val="18"/>
      <w:szCs w:val="18"/>
    </w:rPr>
  </w:style>
  <w:style w:type="table" w:styleId="TableElegant">
    <w:name w:val="Table Elegant"/>
    <w:basedOn w:val="TableNormal"/>
    <w:rsid w:val="0016259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8pt">
    <w:name w:val="Normal + 8 pt"/>
    <w:aliases w:val="Before:  12 pt"/>
    <w:basedOn w:val="Normal"/>
    <w:rsid w:val="00162593"/>
    <w:pPr>
      <w:spacing w:before="240" w:after="180"/>
    </w:pPr>
    <w:rPr>
      <w:color w:val="auto"/>
      <w:sz w:val="16"/>
      <w:szCs w:val="16"/>
      <w:lang w:eastAsia="en-GB"/>
    </w:rPr>
  </w:style>
  <w:style w:type="paragraph" w:styleId="DocumentMap">
    <w:name w:val="Document Map"/>
    <w:basedOn w:val="Normal"/>
    <w:link w:val="DocumentMapChar"/>
    <w:semiHidden/>
    <w:rsid w:val="00162593"/>
    <w:pPr>
      <w:shd w:val="clear" w:color="auto" w:fill="000080"/>
    </w:pPr>
    <w:rPr>
      <w:rFonts w:ascii="Tahoma" w:hAnsi="Tahoma"/>
      <w:color w:val="auto"/>
      <w:sz w:val="20"/>
      <w:szCs w:val="20"/>
      <w:lang w:val="fr-FR"/>
    </w:rPr>
  </w:style>
  <w:style w:type="character" w:customStyle="1" w:styleId="DocumentMapChar">
    <w:name w:val="Document Map Char"/>
    <w:link w:val="DocumentMap"/>
    <w:semiHidden/>
    <w:rsid w:val="00162593"/>
    <w:rPr>
      <w:rFonts w:ascii="Tahoma" w:hAnsi="Tahoma" w:cs="Tahoma"/>
      <w:sz w:val="20"/>
      <w:szCs w:val="20"/>
      <w:shd w:val="clear" w:color="auto" w:fill="000080"/>
      <w:lang w:val="fr-FR"/>
    </w:rPr>
  </w:style>
  <w:style w:type="character" w:styleId="FollowedHyperlink">
    <w:name w:val="FollowedHyperlink"/>
    <w:rsid w:val="00162593"/>
    <w:rPr>
      <w:color w:val="800080"/>
      <w:u w:val="single"/>
    </w:rPr>
  </w:style>
  <w:style w:type="paragraph" w:customStyle="1" w:styleId="ZCom">
    <w:name w:val="Z_Com"/>
    <w:basedOn w:val="Normal"/>
    <w:next w:val="ZDGName"/>
    <w:uiPriority w:val="99"/>
    <w:rsid w:val="00162593"/>
    <w:pPr>
      <w:autoSpaceDE w:val="0"/>
      <w:autoSpaceDN w:val="0"/>
      <w:ind w:right="85"/>
      <w:jc w:val="both"/>
    </w:pPr>
    <w:rPr>
      <w:rFonts w:ascii="Arial" w:hAnsi="Arial" w:cs="Arial"/>
      <w:color w:val="auto"/>
      <w:lang w:eastAsia="en-GB"/>
    </w:rPr>
  </w:style>
  <w:style w:type="paragraph" w:customStyle="1" w:styleId="ZDGName">
    <w:name w:val="Z_DGName"/>
    <w:basedOn w:val="Normal"/>
    <w:uiPriority w:val="99"/>
    <w:rsid w:val="00162593"/>
    <w:pPr>
      <w:autoSpaceDE w:val="0"/>
      <w:autoSpaceDN w:val="0"/>
      <w:ind w:right="85"/>
    </w:pPr>
    <w:rPr>
      <w:rFonts w:ascii="Arial" w:hAnsi="Arial" w:cs="Arial"/>
      <w:color w:val="auto"/>
      <w:sz w:val="16"/>
      <w:szCs w:val="16"/>
      <w:lang w:eastAsia="en-GB"/>
    </w:rPr>
  </w:style>
  <w:style w:type="paragraph" w:customStyle="1" w:styleId="Heading4a">
    <w:name w:val="Heading 4a"/>
    <w:basedOn w:val="Heading3"/>
    <w:rsid w:val="00162593"/>
  </w:style>
  <w:style w:type="paragraph" w:styleId="Revision">
    <w:name w:val="Revision"/>
    <w:hidden/>
    <w:uiPriority w:val="99"/>
    <w:semiHidden/>
    <w:rsid w:val="00162593"/>
    <w:rPr>
      <w:sz w:val="24"/>
      <w:lang w:val="fr-FR" w:eastAsia="en-GB"/>
    </w:rPr>
  </w:style>
  <w:style w:type="paragraph" w:styleId="EndnoteText">
    <w:name w:val="endnote text"/>
    <w:basedOn w:val="Normal"/>
    <w:link w:val="EndnoteTextChar"/>
    <w:uiPriority w:val="99"/>
    <w:semiHidden/>
    <w:unhideWhenUsed/>
    <w:rsid w:val="00D32055"/>
    <w:rPr>
      <w:sz w:val="20"/>
      <w:szCs w:val="20"/>
    </w:rPr>
  </w:style>
  <w:style w:type="character" w:customStyle="1" w:styleId="EndnoteTextChar">
    <w:name w:val="Endnote Text Char"/>
    <w:link w:val="EndnoteText"/>
    <w:uiPriority w:val="99"/>
    <w:semiHidden/>
    <w:rsid w:val="00D32055"/>
    <w:rPr>
      <w:color w:val="000000"/>
      <w:lang w:val="en-US" w:eastAsia="en-US"/>
    </w:rPr>
  </w:style>
  <w:style w:type="character" w:styleId="EndnoteReference">
    <w:name w:val="endnote reference"/>
    <w:uiPriority w:val="99"/>
    <w:semiHidden/>
    <w:unhideWhenUsed/>
    <w:rsid w:val="00D32055"/>
    <w:rPr>
      <w:vertAlign w:val="superscript"/>
    </w:rPr>
  </w:style>
  <w:style w:type="table" w:styleId="TableGrid">
    <w:name w:val="Table Grid"/>
    <w:basedOn w:val="TableNormal"/>
    <w:uiPriority w:val="39"/>
    <w:rsid w:val="00972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1,List Paragraph 1,Akapit z listą BS,Numbered List Paragraph,References,Numbered Paragraph,Main numbered paragraph,Colorful List - Accent 11,List_Paragraph,Multilevel para_II,List Paragraph1,Bullets,123 List Paragraph,Liste 1,Liste"/>
    <w:basedOn w:val="Normal"/>
    <w:link w:val="ListParagraphChar"/>
    <w:uiPriority w:val="34"/>
    <w:qFormat/>
    <w:rsid w:val="00457241"/>
    <w:pPr>
      <w:spacing w:after="160" w:line="259" w:lineRule="auto"/>
      <w:ind w:left="720"/>
      <w:contextualSpacing/>
    </w:pPr>
    <w:rPr>
      <w:rFonts w:ascii="Calibri" w:eastAsia="Calibri" w:hAnsi="Calibri"/>
      <w:color w:val="auto"/>
      <w:sz w:val="22"/>
      <w:szCs w:val="22"/>
    </w:rPr>
  </w:style>
  <w:style w:type="character" w:customStyle="1" w:styleId="ListParagraphChar">
    <w:name w:val="List Paragraph Char"/>
    <w:aliases w:val="Normal 1 Char,List Paragraph 1 Char,Akapit z listą BS Char,Numbered List Paragraph Char,References Char,Numbered Paragraph Char,Main numbered paragraph Char,Colorful List - Accent 11 Char,List_Paragraph Char,Multilevel para_II Char"/>
    <w:link w:val="ListParagraph"/>
    <w:uiPriority w:val="34"/>
    <w:qFormat/>
    <w:locked/>
    <w:rsid w:val="009B726E"/>
    <w:rPr>
      <w:rFonts w:ascii="Calibri" w:eastAsia="Calibri" w:hAnsi="Calibri"/>
      <w:sz w:val="22"/>
      <w:szCs w:val="22"/>
      <w:lang w:val="en-GB"/>
    </w:rPr>
  </w:style>
  <w:style w:type="paragraph" w:styleId="TOCHeading">
    <w:name w:val="TOC Heading"/>
    <w:basedOn w:val="Heading1"/>
    <w:next w:val="Normal"/>
    <w:uiPriority w:val="39"/>
    <w:unhideWhenUsed/>
    <w:qFormat/>
    <w:rsid w:val="0002716E"/>
    <w:pPr>
      <w:keepLines/>
      <w:spacing w:before="480" w:after="0" w:line="276" w:lineRule="auto"/>
      <w:jc w:val="left"/>
      <w:outlineLvl w:val="9"/>
    </w:pPr>
    <w:rPr>
      <w:rFonts w:ascii="Cambria" w:eastAsia="MS Gothic" w:hAnsi="Cambria"/>
      <w:bCs/>
      <w:smallCaps w:val="0"/>
      <w:color w:val="365F91"/>
      <w:kern w:val="0"/>
      <w:sz w:val="28"/>
      <w:szCs w:val="28"/>
      <w:lang w:eastAsia="ja-JP"/>
    </w:rPr>
  </w:style>
  <w:style w:type="paragraph" w:styleId="TOC1">
    <w:name w:val="toc 1"/>
    <w:basedOn w:val="Normal"/>
    <w:next w:val="Normal"/>
    <w:autoRedefine/>
    <w:uiPriority w:val="39"/>
    <w:unhideWhenUsed/>
    <w:qFormat/>
    <w:rsid w:val="00EF77EA"/>
    <w:pPr>
      <w:tabs>
        <w:tab w:val="left" w:pos="480"/>
        <w:tab w:val="right" w:leader="dot" w:pos="9739"/>
      </w:tabs>
      <w:spacing w:before="120" w:after="120"/>
    </w:pPr>
    <w:rPr>
      <w:bCs/>
      <w:smallCaps/>
      <w:noProof/>
      <w:kern w:val="28"/>
      <w:sz w:val="20"/>
      <w:szCs w:val="20"/>
      <w14:scene3d>
        <w14:camera w14:prst="orthographicFront"/>
        <w14:lightRig w14:rig="threePt" w14:dir="t">
          <w14:rot w14:lat="0" w14:lon="0" w14:rev="0"/>
        </w14:lightRig>
      </w14:scene3d>
    </w:rPr>
  </w:style>
  <w:style w:type="paragraph" w:styleId="NormalWeb">
    <w:name w:val="Normal (Web)"/>
    <w:basedOn w:val="Normal"/>
    <w:uiPriority w:val="99"/>
    <w:unhideWhenUsed/>
    <w:rsid w:val="009B726E"/>
    <w:pPr>
      <w:spacing w:before="100" w:beforeAutospacing="1" w:after="100" w:afterAutospacing="1"/>
    </w:pPr>
    <w:rPr>
      <w:rFonts w:ascii="Times" w:eastAsia="Calibri" w:hAnsi="Times"/>
      <w:color w:val="auto"/>
      <w:sz w:val="20"/>
      <w:szCs w:val="20"/>
    </w:rPr>
  </w:style>
  <w:style w:type="paragraph" w:styleId="Caption">
    <w:name w:val="caption"/>
    <w:basedOn w:val="Normal"/>
    <w:next w:val="Normal"/>
    <w:uiPriority w:val="35"/>
    <w:unhideWhenUsed/>
    <w:qFormat/>
    <w:rsid w:val="007538A7"/>
    <w:pPr>
      <w:spacing w:after="200"/>
    </w:pPr>
    <w:rPr>
      <w:rFonts w:ascii="Cambria" w:eastAsia="Cambria" w:hAnsi="Cambria"/>
      <w:i/>
      <w:iCs/>
      <w:color w:val="1F497D"/>
      <w:sz w:val="18"/>
      <w:szCs w:val="18"/>
    </w:rPr>
  </w:style>
  <w:style w:type="paragraph" w:customStyle="1" w:styleId="Default">
    <w:name w:val="Default"/>
    <w:link w:val="DefaultChar"/>
    <w:rsid w:val="0001648D"/>
    <w:pPr>
      <w:autoSpaceDE w:val="0"/>
      <w:autoSpaceDN w:val="0"/>
      <w:adjustRightInd w:val="0"/>
    </w:pPr>
    <w:rPr>
      <w:rFonts w:ascii="Century Schoolbook" w:eastAsia="Calibri" w:hAnsi="Century Schoolbook" w:cs="Century Schoolbook"/>
      <w:color w:val="000000"/>
      <w:sz w:val="24"/>
      <w:szCs w:val="24"/>
    </w:rPr>
  </w:style>
  <w:style w:type="character" w:customStyle="1" w:styleId="hps">
    <w:name w:val="hps"/>
    <w:rsid w:val="0001648D"/>
  </w:style>
  <w:style w:type="character" w:customStyle="1" w:styleId="apple-converted-space">
    <w:name w:val="apple-converted-space"/>
    <w:rsid w:val="0014166E"/>
  </w:style>
  <w:style w:type="paragraph" w:styleId="NoSpacing">
    <w:name w:val="No Spacing"/>
    <w:link w:val="NoSpacingChar"/>
    <w:uiPriority w:val="1"/>
    <w:qFormat/>
    <w:rsid w:val="00F02F97"/>
    <w:rPr>
      <w:rFonts w:ascii="Calibri" w:hAnsi="Calibri"/>
      <w:sz w:val="22"/>
      <w:szCs w:val="22"/>
      <w:lang w:eastAsia="ja-JP"/>
    </w:rPr>
  </w:style>
  <w:style w:type="character" w:customStyle="1" w:styleId="NoSpacingChar">
    <w:name w:val="No Spacing Char"/>
    <w:link w:val="NoSpacing"/>
    <w:uiPriority w:val="1"/>
    <w:rsid w:val="00F02F97"/>
    <w:rPr>
      <w:rFonts w:ascii="Calibri" w:hAnsi="Calibri"/>
      <w:sz w:val="22"/>
      <w:szCs w:val="22"/>
      <w:lang w:eastAsia="ja-JP"/>
    </w:rPr>
  </w:style>
  <w:style w:type="paragraph" w:styleId="TableofFigures">
    <w:name w:val="table of figures"/>
    <w:basedOn w:val="Normal"/>
    <w:next w:val="Normal"/>
    <w:uiPriority w:val="99"/>
    <w:unhideWhenUsed/>
    <w:rsid w:val="003C7569"/>
    <w:pPr>
      <w:ind w:left="480" w:hanging="480"/>
    </w:pPr>
    <w:rPr>
      <w:rFonts w:asciiTheme="minorHAnsi" w:hAnsiTheme="minorHAnsi"/>
      <w:b/>
      <w:bCs/>
      <w:sz w:val="20"/>
      <w:szCs w:val="20"/>
    </w:rPr>
  </w:style>
  <w:style w:type="paragraph" w:styleId="Title">
    <w:name w:val="Title"/>
    <w:basedOn w:val="Normal"/>
    <w:next w:val="Normal"/>
    <w:link w:val="TitleChar"/>
    <w:uiPriority w:val="10"/>
    <w:qFormat/>
    <w:rsid w:val="00367DBB"/>
    <w:pPr>
      <w:pBdr>
        <w:bottom w:val="single" w:sz="8" w:space="4" w:color="5B9BD5"/>
      </w:pBdr>
      <w:spacing w:after="300"/>
      <w:contextualSpacing/>
    </w:pPr>
    <w:rPr>
      <w:rFonts w:ascii="Calibri Light" w:hAnsi="Calibri Light"/>
      <w:color w:val="323E4F"/>
      <w:spacing w:val="5"/>
      <w:sz w:val="52"/>
      <w:szCs w:val="52"/>
    </w:rPr>
  </w:style>
  <w:style w:type="character" w:customStyle="1" w:styleId="TitleChar">
    <w:name w:val="Title Char"/>
    <w:link w:val="Title"/>
    <w:uiPriority w:val="10"/>
    <w:rsid w:val="00367DBB"/>
    <w:rPr>
      <w:rFonts w:ascii="Calibri Light" w:hAnsi="Calibri Light"/>
      <w:color w:val="323E4F"/>
      <w:spacing w:val="5"/>
      <w:sz w:val="52"/>
      <w:szCs w:val="52"/>
      <w:lang w:val="en-GB"/>
    </w:rPr>
  </w:style>
  <w:style w:type="paragraph" w:customStyle="1" w:styleId="BodyA">
    <w:name w:val="Body A"/>
    <w:rsid w:val="00367DBB"/>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styleId="BodyText">
    <w:name w:val="Body Text"/>
    <w:basedOn w:val="Normal"/>
    <w:link w:val="BodyTextChar"/>
    <w:uiPriority w:val="1"/>
    <w:qFormat/>
    <w:rsid w:val="00367DBB"/>
    <w:pPr>
      <w:tabs>
        <w:tab w:val="left" w:pos="850"/>
        <w:tab w:val="left" w:pos="1191"/>
        <w:tab w:val="left" w:pos="1531"/>
      </w:tabs>
      <w:spacing w:after="240"/>
      <w:ind w:firstLine="442"/>
      <w:jc w:val="both"/>
    </w:pPr>
    <w:rPr>
      <w:color w:val="auto"/>
      <w:sz w:val="22"/>
      <w:szCs w:val="22"/>
      <w:lang w:val="sq-AL" w:eastAsia="zh-CN"/>
    </w:rPr>
  </w:style>
  <w:style w:type="character" w:customStyle="1" w:styleId="BodyTextChar">
    <w:name w:val="Body Text Char"/>
    <w:link w:val="BodyText"/>
    <w:uiPriority w:val="1"/>
    <w:rsid w:val="00367DBB"/>
    <w:rPr>
      <w:sz w:val="22"/>
      <w:szCs w:val="22"/>
      <w:lang w:val="sq-AL" w:eastAsia="zh-CN"/>
    </w:rPr>
  </w:style>
  <w:style w:type="table" w:customStyle="1" w:styleId="GridTable1Light-Accent31">
    <w:name w:val="Grid Table 1 Light - Accent 31"/>
    <w:basedOn w:val="TableNormal"/>
    <w:uiPriority w:val="46"/>
    <w:rsid w:val="00367DBB"/>
    <w:rPr>
      <w:rFonts w:ascii="Calibri" w:eastAsia="Calibri" w:hAnsi="Calibri"/>
      <w:sz w:val="22"/>
      <w:szCs w:val="22"/>
      <w:lang w:val="en-GB"/>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numbering" w:customStyle="1" w:styleId="NoList1">
    <w:name w:val="No List1"/>
    <w:next w:val="NoList"/>
    <w:uiPriority w:val="99"/>
    <w:semiHidden/>
    <w:unhideWhenUsed/>
    <w:rsid w:val="0027728A"/>
  </w:style>
  <w:style w:type="paragraph" w:customStyle="1" w:styleId="MediumGrid21">
    <w:name w:val="Medium Grid 21"/>
    <w:link w:val="MediumGrid2Char"/>
    <w:uiPriority w:val="1"/>
    <w:qFormat/>
    <w:rsid w:val="0027728A"/>
    <w:rPr>
      <w:rFonts w:ascii="Calibri" w:hAnsi="Calibri"/>
      <w:sz w:val="22"/>
      <w:szCs w:val="22"/>
      <w:lang w:eastAsia="ja-JP"/>
    </w:rPr>
  </w:style>
  <w:style w:type="character" w:customStyle="1" w:styleId="MediumGrid2Char">
    <w:name w:val="Medium Grid 2 Char"/>
    <w:link w:val="MediumGrid21"/>
    <w:uiPriority w:val="1"/>
    <w:rsid w:val="0027728A"/>
    <w:rPr>
      <w:rFonts w:ascii="Calibri" w:hAnsi="Calibri"/>
      <w:sz w:val="22"/>
      <w:szCs w:val="22"/>
      <w:lang w:eastAsia="ja-JP"/>
    </w:rPr>
  </w:style>
  <w:style w:type="character" w:customStyle="1" w:styleId="DefaultChar">
    <w:name w:val="Default Char"/>
    <w:link w:val="Default"/>
    <w:locked/>
    <w:rsid w:val="0027728A"/>
    <w:rPr>
      <w:rFonts w:ascii="Century Schoolbook" w:eastAsia="Calibri" w:hAnsi="Century Schoolbook" w:cs="Century Schoolbook"/>
      <w:color w:val="000000"/>
      <w:sz w:val="24"/>
      <w:szCs w:val="24"/>
    </w:rPr>
  </w:style>
  <w:style w:type="paragraph" w:customStyle="1" w:styleId="GridTable31">
    <w:name w:val="Grid Table 31"/>
    <w:basedOn w:val="Heading1"/>
    <w:next w:val="Normal"/>
    <w:uiPriority w:val="39"/>
    <w:unhideWhenUsed/>
    <w:qFormat/>
    <w:rsid w:val="0027728A"/>
    <w:pPr>
      <w:keepLines/>
      <w:spacing w:before="480" w:after="0" w:line="276" w:lineRule="auto"/>
      <w:jc w:val="left"/>
      <w:outlineLvl w:val="9"/>
    </w:pPr>
    <w:rPr>
      <w:rFonts w:ascii="Cambria" w:eastAsia="MS Gothic" w:hAnsi="Cambria"/>
      <w:bCs/>
      <w:smallCaps w:val="0"/>
      <w:color w:val="365F91"/>
      <w:kern w:val="0"/>
      <w:sz w:val="28"/>
      <w:szCs w:val="28"/>
      <w:lang w:eastAsia="ja-JP"/>
    </w:rPr>
  </w:style>
  <w:style w:type="character" w:styleId="PageNumber">
    <w:name w:val="page number"/>
    <w:uiPriority w:val="99"/>
    <w:semiHidden/>
    <w:unhideWhenUsed/>
    <w:rsid w:val="0027728A"/>
  </w:style>
  <w:style w:type="table" w:customStyle="1" w:styleId="TableGrid1">
    <w:name w:val="Table Grid1"/>
    <w:basedOn w:val="TableNormal"/>
    <w:next w:val="TableGrid"/>
    <w:uiPriority w:val="59"/>
    <w:rsid w:val="002772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772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27728A"/>
    <w:rPr>
      <w:rFonts w:asciiTheme="minorHAnsi" w:eastAsiaTheme="minorHAnsi" w:hAnsiTheme="minorHAnsi" w:cstheme="minorBidi"/>
      <w:sz w:val="22"/>
      <w:szCs w:val="22"/>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numbering" w:customStyle="1" w:styleId="NoList2">
    <w:name w:val="No List2"/>
    <w:next w:val="NoList"/>
    <w:uiPriority w:val="99"/>
    <w:semiHidden/>
    <w:unhideWhenUsed/>
    <w:rsid w:val="0027728A"/>
  </w:style>
  <w:style w:type="numbering" w:customStyle="1" w:styleId="NoList11">
    <w:name w:val="No List11"/>
    <w:next w:val="NoList"/>
    <w:uiPriority w:val="99"/>
    <w:semiHidden/>
    <w:unhideWhenUsed/>
    <w:rsid w:val="0027728A"/>
  </w:style>
  <w:style w:type="table" w:customStyle="1" w:styleId="TableGrid3">
    <w:name w:val="Table Grid3"/>
    <w:basedOn w:val="TableNormal"/>
    <w:next w:val="TableGrid"/>
    <w:uiPriority w:val="59"/>
    <w:rsid w:val="0027728A"/>
    <w:rPr>
      <w:rFonts w:ascii="Calibri" w:eastAsia="Calibri" w:hAnsi="Calibri" w:cs="Microsoft Uighu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7728A"/>
    <w:rPr>
      <w:rFonts w:ascii="Calibri" w:eastAsia="Calibri" w:hAnsi="Calibri" w:cs="Microsoft Uighu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7728A"/>
    <w:rPr>
      <w:rFonts w:ascii="Calibri" w:eastAsia="Calibri" w:hAnsi="Calibri" w:cs="Microsoft Uighu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next w:val="MediumShading1-Accent1"/>
    <w:uiPriority w:val="63"/>
    <w:rsid w:val="0027728A"/>
    <w:rPr>
      <w:rFonts w:ascii="Calibri" w:eastAsia="Calibri" w:hAnsi="Calibri" w:cs="Microsoft Uighu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5">
    <w:name w:val="toc 5"/>
    <w:basedOn w:val="Normal"/>
    <w:next w:val="Normal"/>
    <w:autoRedefine/>
    <w:uiPriority w:val="39"/>
    <w:unhideWhenUsed/>
    <w:rsid w:val="003B5177"/>
    <w:pPr>
      <w:ind w:left="960"/>
    </w:pPr>
    <w:rPr>
      <w:rFonts w:asciiTheme="minorHAnsi" w:hAnsiTheme="minorHAnsi"/>
      <w:sz w:val="18"/>
      <w:szCs w:val="18"/>
    </w:rPr>
  </w:style>
  <w:style w:type="paragraph" w:styleId="TOC6">
    <w:name w:val="toc 6"/>
    <w:basedOn w:val="Normal"/>
    <w:next w:val="Normal"/>
    <w:autoRedefine/>
    <w:uiPriority w:val="39"/>
    <w:unhideWhenUsed/>
    <w:rsid w:val="003B5177"/>
    <w:pPr>
      <w:ind w:left="1200"/>
    </w:pPr>
    <w:rPr>
      <w:rFonts w:asciiTheme="minorHAnsi" w:hAnsiTheme="minorHAnsi"/>
      <w:sz w:val="18"/>
      <w:szCs w:val="18"/>
    </w:rPr>
  </w:style>
  <w:style w:type="paragraph" w:styleId="TOC7">
    <w:name w:val="toc 7"/>
    <w:basedOn w:val="Normal"/>
    <w:next w:val="Normal"/>
    <w:autoRedefine/>
    <w:uiPriority w:val="39"/>
    <w:unhideWhenUsed/>
    <w:rsid w:val="003B5177"/>
    <w:pPr>
      <w:ind w:left="1440"/>
    </w:pPr>
    <w:rPr>
      <w:rFonts w:asciiTheme="minorHAnsi" w:hAnsiTheme="minorHAnsi"/>
      <w:sz w:val="18"/>
      <w:szCs w:val="18"/>
    </w:rPr>
  </w:style>
  <w:style w:type="paragraph" w:styleId="TOC8">
    <w:name w:val="toc 8"/>
    <w:basedOn w:val="Normal"/>
    <w:next w:val="Normal"/>
    <w:autoRedefine/>
    <w:uiPriority w:val="39"/>
    <w:unhideWhenUsed/>
    <w:rsid w:val="003B5177"/>
    <w:pPr>
      <w:ind w:left="1680"/>
    </w:pPr>
    <w:rPr>
      <w:rFonts w:asciiTheme="minorHAnsi" w:hAnsiTheme="minorHAnsi"/>
      <w:sz w:val="18"/>
      <w:szCs w:val="18"/>
    </w:rPr>
  </w:style>
  <w:style w:type="paragraph" w:styleId="TOC9">
    <w:name w:val="toc 9"/>
    <w:basedOn w:val="Normal"/>
    <w:next w:val="Normal"/>
    <w:autoRedefine/>
    <w:uiPriority w:val="39"/>
    <w:unhideWhenUsed/>
    <w:rsid w:val="003B5177"/>
    <w:pPr>
      <w:ind w:left="1920"/>
    </w:pPr>
    <w:rPr>
      <w:rFonts w:asciiTheme="minorHAnsi" w:hAnsiTheme="minorHAnsi"/>
      <w:sz w:val="18"/>
      <w:szCs w:val="18"/>
    </w:rPr>
  </w:style>
  <w:style w:type="character" w:styleId="LineNumber">
    <w:name w:val="line number"/>
    <w:basedOn w:val="DefaultParagraphFont"/>
    <w:uiPriority w:val="99"/>
    <w:semiHidden/>
    <w:unhideWhenUsed/>
    <w:rsid w:val="0079030F"/>
  </w:style>
  <w:style w:type="numbering" w:customStyle="1" w:styleId="NoList3">
    <w:name w:val="No List3"/>
    <w:next w:val="NoList"/>
    <w:uiPriority w:val="99"/>
    <w:semiHidden/>
    <w:unhideWhenUsed/>
    <w:rsid w:val="00822838"/>
  </w:style>
  <w:style w:type="paragraph" w:customStyle="1" w:styleId="ERPL1">
    <w:name w:val="ERPL1"/>
    <w:basedOn w:val="Heading1"/>
    <w:link w:val="ERPL1Char"/>
    <w:qFormat/>
    <w:rsid w:val="008B56CE"/>
    <w:pPr>
      <w:numPr>
        <w:numId w:val="3"/>
      </w:numPr>
    </w:pPr>
    <w:rPr>
      <w:rFonts w:ascii="Times New Roman Bold" w:hAnsi="Times New Roman Bold"/>
      <w:sz w:val="28"/>
      <w:szCs w:val="24"/>
    </w:rPr>
  </w:style>
  <w:style w:type="paragraph" w:customStyle="1" w:styleId="ERPL20">
    <w:name w:val="ERP L2"/>
    <w:basedOn w:val="Normal"/>
    <w:link w:val="ERPL2Char"/>
    <w:rsid w:val="008D3C2F"/>
    <w:pPr>
      <w:spacing w:after="120" w:line="276" w:lineRule="auto"/>
    </w:pPr>
    <w:rPr>
      <w:b/>
    </w:rPr>
  </w:style>
  <w:style w:type="character" w:customStyle="1" w:styleId="ERPL1Char">
    <w:name w:val="ERPL1 Char"/>
    <w:basedOn w:val="Heading1Char"/>
    <w:link w:val="ERPL1"/>
    <w:rsid w:val="008B56CE"/>
    <w:rPr>
      <w:rFonts w:ascii="Times New Roman Bold" w:hAnsi="Times New Roman Bold"/>
      <w:b/>
      <w:smallCaps/>
      <w:kern w:val="28"/>
      <w:sz w:val="28"/>
      <w:szCs w:val="24"/>
      <w:lang w:val="en-GB"/>
    </w:rPr>
  </w:style>
  <w:style w:type="paragraph" w:customStyle="1" w:styleId="ERPL2">
    <w:name w:val="ERPL2"/>
    <w:basedOn w:val="ERPL1"/>
    <w:link w:val="ERPL2Char0"/>
    <w:qFormat/>
    <w:rsid w:val="00A50655"/>
    <w:pPr>
      <w:numPr>
        <w:ilvl w:val="1"/>
      </w:numPr>
      <w:ind w:left="704"/>
    </w:pPr>
    <w:rPr>
      <w:smallCaps w:val="0"/>
      <w:sz w:val="24"/>
    </w:rPr>
  </w:style>
  <w:style w:type="character" w:customStyle="1" w:styleId="ERPL2Char">
    <w:name w:val="ERP L2 Char"/>
    <w:basedOn w:val="DefaultParagraphFont"/>
    <w:link w:val="ERPL20"/>
    <w:rsid w:val="008D3C2F"/>
    <w:rPr>
      <w:b/>
      <w:color w:val="000000"/>
      <w:sz w:val="24"/>
      <w:szCs w:val="24"/>
      <w:lang w:val="en-GB"/>
    </w:rPr>
  </w:style>
  <w:style w:type="paragraph" w:customStyle="1" w:styleId="ERPL3">
    <w:name w:val="ERPL3"/>
    <w:basedOn w:val="ERPL2"/>
    <w:link w:val="ERPL3Char"/>
    <w:qFormat/>
    <w:rsid w:val="00C00CA6"/>
    <w:pPr>
      <w:numPr>
        <w:ilvl w:val="2"/>
      </w:numPr>
      <w:spacing w:before="100" w:after="100" w:line="276" w:lineRule="auto"/>
      <w:ind w:left="1080"/>
    </w:pPr>
    <w:rPr>
      <w:i/>
    </w:rPr>
  </w:style>
  <w:style w:type="character" w:customStyle="1" w:styleId="ERPL2Char0">
    <w:name w:val="ERPL2 Char"/>
    <w:basedOn w:val="ERPL1Char"/>
    <w:link w:val="ERPL2"/>
    <w:rsid w:val="00A50655"/>
    <w:rPr>
      <w:rFonts w:ascii="Times New Roman Bold" w:hAnsi="Times New Roman Bold"/>
      <w:b/>
      <w:smallCaps w:val="0"/>
      <w:kern w:val="28"/>
      <w:sz w:val="24"/>
      <w:szCs w:val="24"/>
      <w:lang w:val="en-GB"/>
    </w:rPr>
  </w:style>
  <w:style w:type="character" w:customStyle="1" w:styleId="ERPL3Char">
    <w:name w:val="ERPL3 Char"/>
    <w:basedOn w:val="ERPL2Char0"/>
    <w:link w:val="ERPL3"/>
    <w:rsid w:val="00C00CA6"/>
    <w:rPr>
      <w:rFonts w:ascii="Times New Roman Bold" w:hAnsi="Times New Roman Bold"/>
      <w:b/>
      <w:i/>
      <w:smallCaps w:val="0"/>
      <w:kern w:val="28"/>
      <w:sz w:val="24"/>
      <w:szCs w:val="24"/>
      <w:lang w:val="en-GB"/>
    </w:rPr>
  </w:style>
  <w:style w:type="paragraph" w:styleId="HTMLPreformatted">
    <w:name w:val="HTML Preformatted"/>
    <w:basedOn w:val="Normal"/>
    <w:link w:val="HTMLPreformattedChar"/>
    <w:uiPriority w:val="99"/>
    <w:unhideWhenUsed/>
    <w:rsid w:val="00DD2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en-US"/>
    </w:rPr>
  </w:style>
  <w:style w:type="character" w:customStyle="1" w:styleId="HTMLPreformattedChar">
    <w:name w:val="HTML Preformatted Char"/>
    <w:basedOn w:val="DefaultParagraphFont"/>
    <w:link w:val="HTMLPreformatted"/>
    <w:uiPriority w:val="99"/>
    <w:rsid w:val="00DD2A13"/>
    <w:rPr>
      <w:rFonts w:ascii="Courier New" w:hAnsi="Courier New" w:cs="Courier New"/>
    </w:rPr>
  </w:style>
  <w:style w:type="character" w:styleId="Strong">
    <w:name w:val="Strong"/>
    <w:uiPriority w:val="22"/>
    <w:qFormat/>
    <w:rsid w:val="005B5260"/>
    <w:rPr>
      <w:b/>
      <w:bCs/>
    </w:rPr>
  </w:style>
  <w:style w:type="character" w:customStyle="1" w:styleId="il">
    <w:name w:val="il"/>
    <w:basedOn w:val="DefaultParagraphFont"/>
    <w:rsid w:val="000C605D"/>
  </w:style>
  <w:style w:type="table" w:customStyle="1" w:styleId="GridTable1Light-Accent11">
    <w:name w:val="Grid Table 1 Light - Accent 11"/>
    <w:basedOn w:val="TableNormal"/>
    <w:uiPriority w:val="46"/>
    <w:rsid w:val="00803342"/>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Normal1">
    <w:name w:val="Normal1"/>
    <w:rsid w:val="00C50498"/>
    <w:rPr>
      <w:sz w:val="24"/>
      <w:szCs w:val="24"/>
    </w:r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Normal"/>
    <w:uiPriority w:val="99"/>
    <w:rsid w:val="00E41C61"/>
    <w:pPr>
      <w:spacing w:after="160" w:line="240" w:lineRule="exact"/>
    </w:pPr>
    <w:rPr>
      <w:rFonts w:ascii="Helvetica" w:eastAsiaTheme="minorHAnsi" w:hAnsi="Helvetica" w:cstheme="minorBidi"/>
      <w:b/>
      <w:color w:val="034EA2"/>
      <w:sz w:val="20"/>
      <w:szCs w:val="22"/>
      <w:vertAlign w:val="superscript"/>
      <w:lang w:val="en-US"/>
    </w:rPr>
  </w:style>
  <w:style w:type="paragraph" w:customStyle="1" w:styleId="ModelNrmlSingle">
    <w:name w:val="ModelNrmlSingle"/>
    <w:basedOn w:val="Normal"/>
    <w:link w:val="ModelNrmlSingleChar"/>
    <w:rsid w:val="0029631B"/>
    <w:pPr>
      <w:spacing w:after="240"/>
      <w:ind w:firstLine="720"/>
      <w:jc w:val="both"/>
    </w:pPr>
    <w:rPr>
      <w:color w:val="auto"/>
      <w:sz w:val="22"/>
      <w:szCs w:val="20"/>
      <w:lang w:val="en-US"/>
    </w:rPr>
  </w:style>
  <w:style w:type="character" w:customStyle="1" w:styleId="ModelNrmlSingleChar">
    <w:name w:val="ModelNrmlSingle Char"/>
    <w:basedOn w:val="DefaultParagraphFont"/>
    <w:link w:val="ModelNrmlSingle"/>
    <w:rsid w:val="0029631B"/>
    <w:rPr>
      <w:sz w:val="22"/>
    </w:rPr>
  </w:style>
  <w:style w:type="table" w:customStyle="1" w:styleId="GridTable1Light-Accent111">
    <w:name w:val="Grid Table 1 Light - Accent 111"/>
    <w:basedOn w:val="TableNormal"/>
    <w:uiPriority w:val="46"/>
    <w:rsid w:val="00CE491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61">
    <w:name w:val="s61"/>
    <w:basedOn w:val="Normal"/>
    <w:rsid w:val="00CE4918"/>
    <w:pPr>
      <w:spacing w:before="100" w:beforeAutospacing="1" w:after="100" w:afterAutospacing="1"/>
    </w:pPr>
    <w:rPr>
      <w:rFonts w:eastAsia="Calibri"/>
      <w:color w:val="auto"/>
      <w:lang w:val="en-US"/>
    </w:rPr>
  </w:style>
  <w:style w:type="paragraph" w:customStyle="1" w:styleId="s62">
    <w:name w:val="s62"/>
    <w:basedOn w:val="Normal"/>
    <w:rsid w:val="00CE4918"/>
    <w:pPr>
      <w:spacing w:before="100" w:beforeAutospacing="1" w:after="100" w:afterAutospacing="1"/>
    </w:pPr>
    <w:rPr>
      <w:rFonts w:eastAsia="Calibri"/>
      <w:color w:val="auto"/>
      <w:lang w:val="en-US"/>
    </w:rPr>
  </w:style>
  <w:style w:type="character" w:customStyle="1" w:styleId="bumpedfont15">
    <w:name w:val="bumpedfont15"/>
    <w:rsid w:val="00CE4918"/>
  </w:style>
  <w:style w:type="character" w:customStyle="1" w:styleId="s63">
    <w:name w:val="s63"/>
    <w:rsid w:val="00CE4918"/>
  </w:style>
  <w:style w:type="character" w:styleId="PlaceholderText">
    <w:name w:val="Placeholder Text"/>
    <w:basedOn w:val="DefaultParagraphFont"/>
    <w:uiPriority w:val="99"/>
    <w:semiHidden/>
    <w:rsid w:val="00174B73"/>
    <w:rPr>
      <w:color w:val="808080"/>
    </w:rPr>
  </w:style>
  <w:style w:type="character" w:styleId="Emphasis">
    <w:name w:val="Emphasis"/>
    <w:basedOn w:val="DefaultParagraphFont"/>
    <w:uiPriority w:val="20"/>
    <w:qFormat/>
    <w:rsid w:val="0093295A"/>
    <w:rPr>
      <w:i/>
      <w:iCs/>
    </w:rPr>
  </w:style>
  <w:style w:type="paragraph" w:customStyle="1" w:styleId="BVIfnrCarCarCarCarChar">
    <w:name w:val="BVI fnr Car Car Car Car Char"/>
    <w:basedOn w:val="Normal"/>
    <w:uiPriority w:val="99"/>
    <w:rsid w:val="0082646A"/>
    <w:pPr>
      <w:spacing w:after="160" w:line="240" w:lineRule="exact"/>
      <w:jc w:val="both"/>
    </w:pPr>
    <w:rPr>
      <w:rFonts w:asciiTheme="minorHAnsi" w:eastAsiaTheme="minorHAnsi" w:hAnsiTheme="minorHAnsi" w:cstheme="minorBidi"/>
      <w:color w:val="auto"/>
      <w:sz w:val="22"/>
      <w:szCs w:val="22"/>
      <w:vertAlign w:val="superscript"/>
      <w:lang w:val="en-US"/>
    </w:rPr>
  </w:style>
  <w:style w:type="character" w:customStyle="1" w:styleId="tlid-translation">
    <w:name w:val="tlid-translation"/>
    <w:basedOn w:val="DefaultParagraphFont"/>
    <w:rsid w:val="0031644D"/>
  </w:style>
  <w:style w:type="table" w:customStyle="1" w:styleId="GridTable1Light-Accent12">
    <w:name w:val="Grid Table 1 Light - Accent 12"/>
    <w:basedOn w:val="TableNormal"/>
    <w:uiPriority w:val="46"/>
    <w:rsid w:val="00D44BCA"/>
    <w:rPr>
      <w:rFonts w:asciiTheme="minorHAnsi" w:eastAsiaTheme="minorHAnsi" w:hAnsiTheme="minorHAnsi" w:cstheme="minorBidi"/>
      <w:sz w:val="22"/>
      <w:szCs w:val="22"/>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612AF8"/>
    <w:rPr>
      <w:rFonts w:ascii="Calibri" w:eastAsia="MS Mincho" w:hAnsi="Calibri" w:cstheme="minorBidi"/>
      <w:color w:val="auto"/>
      <w:sz w:val="22"/>
      <w:szCs w:val="21"/>
      <w:lang w:val="en-US"/>
    </w:rPr>
  </w:style>
  <w:style w:type="character" w:customStyle="1" w:styleId="PlainTextChar">
    <w:name w:val="Plain Text Char"/>
    <w:basedOn w:val="DefaultParagraphFont"/>
    <w:link w:val="PlainText"/>
    <w:uiPriority w:val="99"/>
    <w:rsid w:val="00612AF8"/>
    <w:rPr>
      <w:rFonts w:ascii="Calibri" w:eastAsia="MS Mincho"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908">
      <w:bodyDiv w:val="1"/>
      <w:marLeft w:val="0"/>
      <w:marRight w:val="0"/>
      <w:marTop w:val="0"/>
      <w:marBottom w:val="0"/>
      <w:divBdr>
        <w:top w:val="none" w:sz="0" w:space="0" w:color="auto"/>
        <w:left w:val="none" w:sz="0" w:space="0" w:color="auto"/>
        <w:bottom w:val="none" w:sz="0" w:space="0" w:color="auto"/>
        <w:right w:val="none" w:sz="0" w:space="0" w:color="auto"/>
      </w:divBdr>
    </w:div>
    <w:div w:id="6712845">
      <w:bodyDiv w:val="1"/>
      <w:marLeft w:val="0"/>
      <w:marRight w:val="0"/>
      <w:marTop w:val="0"/>
      <w:marBottom w:val="0"/>
      <w:divBdr>
        <w:top w:val="none" w:sz="0" w:space="0" w:color="auto"/>
        <w:left w:val="none" w:sz="0" w:space="0" w:color="auto"/>
        <w:bottom w:val="none" w:sz="0" w:space="0" w:color="auto"/>
        <w:right w:val="none" w:sz="0" w:space="0" w:color="auto"/>
      </w:divBdr>
    </w:div>
    <w:div w:id="13843158">
      <w:bodyDiv w:val="1"/>
      <w:marLeft w:val="0"/>
      <w:marRight w:val="0"/>
      <w:marTop w:val="0"/>
      <w:marBottom w:val="0"/>
      <w:divBdr>
        <w:top w:val="none" w:sz="0" w:space="0" w:color="auto"/>
        <w:left w:val="none" w:sz="0" w:space="0" w:color="auto"/>
        <w:bottom w:val="none" w:sz="0" w:space="0" w:color="auto"/>
        <w:right w:val="none" w:sz="0" w:space="0" w:color="auto"/>
      </w:divBdr>
    </w:div>
    <w:div w:id="20596402">
      <w:bodyDiv w:val="1"/>
      <w:marLeft w:val="0"/>
      <w:marRight w:val="0"/>
      <w:marTop w:val="0"/>
      <w:marBottom w:val="0"/>
      <w:divBdr>
        <w:top w:val="none" w:sz="0" w:space="0" w:color="auto"/>
        <w:left w:val="none" w:sz="0" w:space="0" w:color="auto"/>
        <w:bottom w:val="none" w:sz="0" w:space="0" w:color="auto"/>
        <w:right w:val="none" w:sz="0" w:space="0" w:color="auto"/>
      </w:divBdr>
    </w:div>
    <w:div w:id="22367584">
      <w:bodyDiv w:val="1"/>
      <w:marLeft w:val="0"/>
      <w:marRight w:val="0"/>
      <w:marTop w:val="0"/>
      <w:marBottom w:val="0"/>
      <w:divBdr>
        <w:top w:val="none" w:sz="0" w:space="0" w:color="auto"/>
        <w:left w:val="none" w:sz="0" w:space="0" w:color="auto"/>
        <w:bottom w:val="none" w:sz="0" w:space="0" w:color="auto"/>
        <w:right w:val="none" w:sz="0" w:space="0" w:color="auto"/>
      </w:divBdr>
    </w:div>
    <w:div w:id="26571420">
      <w:bodyDiv w:val="1"/>
      <w:marLeft w:val="0"/>
      <w:marRight w:val="0"/>
      <w:marTop w:val="0"/>
      <w:marBottom w:val="0"/>
      <w:divBdr>
        <w:top w:val="none" w:sz="0" w:space="0" w:color="auto"/>
        <w:left w:val="none" w:sz="0" w:space="0" w:color="auto"/>
        <w:bottom w:val="none" w:sz="0" w:space="0" w:color="auto"/>
        <w:right w:val="none" w:sz="0" w:space="0" w:color="auto"/>
      </w:divBdr>
    </w:div>
    <w:div w:id="36053422">
      <w:bodyDiv w:val="1"/>
      <w:marLeft w:val="0"/>
      <w:marRight w:val="0"/>
      <w:marTop w:val="0"/>
      <w:marBottom w:val="0"/>
      <w:divBdr>
        <w:top w:val="none" w:sz="0" w:space="0" w:color="auto"/>
        <w:left w:val="none" w:sz="0" w:space="0" w:color="auto"/>
        <w:bottom w:val="none" w:sz="0" w:space="0" w:color="auto"/>
        <w:right w:val="none" w:sz="0" w:space="0" w:color="auto"/>
      </w:divBdr>
    </w:div>
    <w:div w:id="45111573">
      <w:bodyDiv w:val="1"/>
      <w:marLeft w:val="0"/>
      <w:marRight w:val="0"/>
      <w:marTop w:val="0"/>
      <w:marBottom w:val="0"/>
      <w:divBdr>
        <w:top w:val="none" w:sz="0" w:space="0" w:color="auto"/>
        <w:left w:val="none" w:sz="0" w:space="0" w:color="auto"/>
        <w:bottom w:val="none" w:sz="0" w:space="0" w:color="auto"/>
        <w:right w:val="none" w:sz="0" w:space="0" w:color="auto"/>
      </w:divBdr>
    </w:div>
    <w:div w:id="55708147">
      <w:bodyDiv w:val="1"/>
      <w:marLeft w:val="0"/>
      <w:marRight w:val="0"/>
      <w:marTop w:val="0"/>
      <w:marBottom w:val="0"/>
      <w:divBdr>
        <w:top w:val="none" w:sz="0" w:space="0" w:color="auto"/>
        <w:left w:val="none" w:sz="0" w:space="0" w:color="auto"/>
        <w:bottom w:val="none" w:sz="0" w:space="0" w:color="auto"/>
        <w:right w:val="none" w:sz="0" w:space="0" w:color="auto"/>
      </w:divBdr>
    </w:div>
    <w:div w:id="60370904">
      <w:bodyDiv w:val="1"/>
      <w:marLeft w:val="0"/>
      <w:marRight w:val="0"/>
      <w:marTop w:val="0"/>
      <w:marBottom w:val="0"/>
      <w:divBdr>
        <w:top w:val="none" w:sz="0" w:space="0" w:color="auto"/>
        <w:left w:val="none" w:sz="0" w:space="0" w:color="auto"/>
        <w:bottom w:val="none" w:sz="0" w:space="0" w:color="auto"/>
        <w:right w:val="none" w:sz="0" w:space="0" w:color="auto"/>
      </w:divBdr>
    </w:div>
    <w:div w:id="62456836">
      <w:bodyDiv w:val="1"/>
      <w:marLeft w:val="0"/>
      <w:marRight w:val="0"/>
      <w:marTop w:val="0"/>
      <w:marBottom w:val="0"/>
      <w:divBdr>
        <w:top w:val="none" w:sz="0" w:space="0" w:color="auto"/>
        <w:left w:val="none" w:sz="0" w:space="0" w:color="auto"/>
        <w:bottom w:val="none" w:sz="0" w:space="0" w:color="auto"/>
        <w:right w:val="none" w:sz="0" w:space="0" w:color="auto"/>
      </w:divBdr>
      <w:divsChild>
        <w:div w:id="51275868">
          <w:marLeft w:val="0"/>
          <w:marRight w:val="0"/>
          <w:marTop w:val="0"/>
          <w:marBottom w:val="0"/>
          <w:divBdr>
            <w:top w:val="none" w:sz="0" w:space="0" w:color="auto"/>
            <w:left w:val="none" w:sz="0" w:space="0" w:color="auto"/>
            <w:bottom w:val="none" w:sz="0" w:space="0" w:color="auto"/>
            <w:right w:val="none" w:sz="0" w:space="0" w:color="auto"/>
          </w:divBdr>
        </w:div>
        <w:div w:id="115871874">
          <w:marLeft w:val="0"/>
          <w:marRight w:val="0"/>
          <w:marTop w:val="0"/>
          <w:marBottom w:val="0"/>
          <w:divBdr>
            <w:top w:val="none" w:sz="0" w:space="0" w:color="auto"/>
            <w:left w:val="none" w:sz="0" w:space="0" w:color="auto"/>
            <w:bottom w:val="none" w:sz="0" w:space="0" w:color="auto"/>
            <w:right w:val="none" w:sz="0" w:space="0" w:color="auto"/>
          </w:divBdr>
        </w:div>
        <w:div w:id="144319044">
          <w:marLeft w:val="0"/>
          <w:marRight w:val="0"/>
          <w:marTop w:val="0"/>
          <w:marBottom w:val="0"/>
          <w:divBdr>
            <w:top w:val="none" w:sz="0" w:space="0" w:color="auto"/>
            <w:left w:val="none" w:sz="0" w:space="0" w:color="auto"/>
            <w:bottom w:val="none" w:sz="0" w:space="0" w:color="auto"/>
            <w:right w:val="none" w:sz="0" w:space="0" w:color="auto"/>
          </w:divBdr>
        </w:div>
        <w:div w:id="189685690">
          <w:marLeft w:val="0"/>
          <w:marRight w:val="0"/>
          <w:marTop w:val="0"/>
          <w:marBottom w:val="0"/>
          <w:divBdr>
            <w:top w:val="none" w:sz="0" w:space="0" w:color="auto"/>
            <w:left w:val="none" w:sz="0" w:space="0" w:color="auto"/>
            <w:bottom w:val="none" w:sz="0" w:space="0" w:color="auto"/>
            <w:right w:val="none" w:sz="0" w:space="0" w:color="auto"/>
          </w:divBdr>
        </w:div>
        <w:div w:id="549464152">
          <w:marLeft w:val="0"/>
          <w:marRight w:val="0"/>
          <w:marTop w:val="0"/>
          <w:marBottom w:val="0"/>
          <w:divBdr>
            <w:top w:val="none" w:sz="0" w:space="0" w:color="auto"/>
            <w:left w:val="none" w:sz="0" w:space="0" w:color="auto"/>
            <w:bottom w:val="none" w:sz="0" w:space="0" w:color="auto"/>
            <w:right w:val="none" w:sz="0" w:space="0" w:color="auto"/>
          </w:divBdr>
        </w:div>
        <w:div w:id="1049035716">
          <w:marLeft w:val="0"/>
          <w:marRight w:val="0"/>
          <w:marTop w:val="0"/>
          <w:marBottom w:val="0"/>
          <w:divBdr>
            <w:top w:val="none" w:sz="0" w:space="0" w:color="auto"/>
            <w:left w:val="none" w:sz="0" w:space="0" w:color="auto"/>
            <w:bottom w:val="none" w:sz="0" w:space="0" w:color="auto"/>
            <w:right w:val="none" w:sz="0" w:space="0" w:color="auto"/>
          </w:divBdr>
        </w:div>
        <w:div w:id="1252928362">
          <w:marLeft w:val="0"/>
          <w:marRight w:val="0"/>
          <w:marTop w:val="0"/>
          <w:marBottom w:val="0"/>
          <w:divBdr>
            <w:top w:val="none" w:sz="0" w:space="0" w:color="auto"/>
            <w:left w:val="none" w:sz="0" w:space="0" w:color="auto"/>
            <w:bottom w:val="none" w:sz="0" w:space="0" w:color="auto"/>
            <w:right w:val="none" w:sz="0" w:space="0" w:color="auto"/>
          </w:divBdr>
        </w:div>
        <w:div w:id="1332413263">
          <w:marLeft w:val="0"/>
          <w:marRight w:val="0"/>
          <w:marTop w:val="0"/>
          <w:marBottom w:val="0"/>
          <w:divBdr>
            <w:top w:val="none" w:sz="0" w:space="0" w:color="auto"/>
            <w:left w:val="none" w:sz="0" w:space="0" w:color="auto"/>
            <w:bottom w:val="none" w:sz="0" w:space="0" w:color="auto"/>
            <w:right w:val="none" w:sz="0" w:space="0" w:color="auto"/>
          </w:divBdr>
        </w:div>
        <w:div w:id="1333218823">
          <w:marLeft w:val="0"/>
          <w:marRight w:val="0"/>
          <w:marTop w:val="0"/>
          <w:marBottom w:val="0"/>
          <w:divBdr>
            <w:top w:val="none" w:sz="0" w:space="0" w:color="auto"/>
            <w:left w:val="none" w:sz="0" w:space="0" w:color="auto"/>
            <w:bottom w:val="none" w:sz="0" w:space="0" w:color="auto"/>
            <w:right w:val="none" w:sz="0" w:space="0" w:color="auto"/>
          </w:divBdr>
        </w:div>
        <w:div w:id="1618632803">
          <w:marLeft w:val="0"/>
          <w:marRight w:val="0"/>
          <w:marTop w:val="0"/>
          <w:marBottom w:val="0"/>
          <w:divBdr>
            <w:top w:val="none" w:sz="0" w:space="0" w:color="auto"/>
            <w:left w:val="none" w:sz="0" w:space="0" w:color="auto"/>
            <w:bottom w:val="none" w:sz="0" w:space="0" w:color="auto"/>
            <w:right w:val="none" w:sz="0" w:space="0" w:color="auto"/>
          </w:divBdr>
        </w:div>
        <w:div w:id="1982420510">
          <w:marLeft w:val="0"/>
          <w:marRight w:val="0"/>
          <w:marTop w:val="0"/>
          <w:marBottom w:val="0"/>
          <w:divBdr>
            <w:top w:val="none" w:sz="0" w:space="0" w:color="auto"/>
            <w:left w:val="none" w:sz="0" w:space="0" w:color="auto"/>
            <w:bottom w:val="none" w:sz="0" w:space="0" w:color="auto"/>
            <w:right w:val="none" w:sz="0" w:space="0" w:color="auto"/>
          </w:divBdr>
        </w:div>
      </w:divsChild>
    </w:div>
    <w:div w:id="64424007">
      <w:bodyDiv w:val="1"/>
      <w:marLeft w:val="0"/>
      <w:marRight w:val="0"/>
      <w:marTop w:val="0"/>
      <w:marBottom w:val="0"/>
      <w:divBdr>
        <w:top w:val="none" w:sz="0" w:space="0" w:color="auto"/>
        <w:left w:val="none" w:sz="0" w:space="0" w:color="auto"/>
        <w:bottom w:val="none" w:sz="0" w:space="0" w:color="auto"/>
        <w:right w:val="none" w:sz="0" w:space="0" w:color="auto"/>
      </w:divBdr>
    </w:div>
    <w:div w:id="64843214">
      <w:bodyDiv w:val="1"/>
      <w:marLeft w:val="0"/>
      <w:marRight w:val="0"/>
      <w:marTop w:val="0"/>
      <w:marBottom w:val="0"/>
      <w:divBdr>
        <w:top w:val="none" w:sz="0" w:space="0" w:color="auto"/>
        <w:left w:val="none" w:sz="0" w:space="0" w:color="auto"/>
        <w:bottom w:val="none" w:sz="0" w:space="0" w:color="auto"/>
        <w:right w:val="none" w:sz="0" w:space="0" w:color="auto"/>
      </w:divBdr>
    </w:div>
    <w:div w:id="81218478">
      <w:bodyDiv w:val="1"/>
      <w:marLeft w:val="0"/>
      <w:marRight w:val="0"/>
      <w:marTop w:val="0"/>
      <w:marBottom w:val="0"/>
      <w:divBdr>
        <w:top w:val="none" w:sz="0" w:space="0" w:color="auto"/>
        <w:left w:val="none" w:sz="0" w:space="0" w:color="auto"/>
        <w:bottom w:val="none" w:sz="0" w:space="0" w:color="auto"/>
        <w:right w:val="none" w:sz="0" w:space="0" w:color="auto"/>
      </w:divBdr>
    </w:div>
    <w:div w:id="90515783">
      <w:bodyDiv w:val="1"/>
      <w:marLeft w:val="0"/>
      <w:marRight w:val="0"/>
      <w:marTop w:val="0"/>
      <w:marBottom w:val="0"/>
      <w:divBdr>
        <w:top w:val="none" w:sz="0" w:space="0" w:color="auto"/>
        <w:left w:val="none" w:sz="0" w:space="0" w:color="auto"/>
        <w:bottom w:val="none" w:sz="0" w:space="0" w:color="auto"/>
        <w:right w:val="none" w:sz="0" w:space="0" w:color="auto"/>
      </w:divBdr>
    </w:div>
    <w:div w:id="91099111">
      <w:bodyDiv w:val="1"/>
      <w:marLeft w:val="0"/>
      <w:marRight w:val="0"/>
      <w:marTop w:val="0"/>
      <w:marBottom w:val="0"/>
      <w:divBdr>
        <w:top w:val="none" w:sz="0" w:space="0" w:color="auto"/>
        <w:left w:val="none" w:sz="0" w:space="0" w:color="auto"/>
        <w:bottom w:val="none" w:sz="0" w:space="0" w:color="auto"/>
        <w:right w:val="none" w:sz="0" w:space="0" w:color="auto"/>
      </w:divBdr>
    </w:div>
    <w:div w:id="98113138">
      <w:bodyDiv w:val="1"/>
      <w:marLeft w:val="0"/>
      <w:marRight w:val="0"/>
      <w:marTop w:val="0"/>
      <w:marBottom w:val="0"/>
      <w:divBdr>
        <w:top w:val="none" w:sz="0" w:space="0" w:color="auto"/>
        <w:left w:val="none" w:sz="0" w:space="0" w:color="auto"/>
        <w:bottom w:val="none" w:sz="0" w:space="0" w:color="auto"/>
        <w:right w:val="none" w:sz="0" w:space="0" w:color="auto"/>
      </w:divBdr>
    </w:div>
    <w:div w:id="98372695">
      <w:bodyDiv w:val="1"/>
      <w:marLeft w:val="0"/>
      <w:marRight w:val="0"/>
      <w:marTop w:val="0"/>
      <w:marBottom w:val="0"/>
      <w:divBdr>
        <w:top w:val="none" w:sz="0" w:space="0" w:color="auto"/>
        <w:left w:val="none" w:sz="0" w:space="0" w:color="auto"/>
        <w:bottom w:val="none" w:sz="0" w:space="0" w:color="auto"/>
        <w:right w:val="none" w:sz="0" w:space="0" w:color="auto"/>
      </w:divBdr>
    </w:div>
    <w:div w:id="105125722">
      <w:bodyDiv w:val="1"/>
      <w:marLeft w:val="0"/>
      <w:marRight w:val="0"/>
      <w:marTop w:val="0"/>
      <w:marBottom w:val="0"/>
      <w:divBdr>
        <w:top w:val="none" w:sz="0" w:space="0" w:color="auto"/>
        <w:left w:val="none" w:sz="0" w:space="0" w:color="auto"/>
        <w:bottom w:val="none" w:sz="0" w:space="0" w:color="auto"/>
        <w:right w:val="none" w:sz="0" w:space="0" w:color="auto"/>
      </w:divBdr>
    </w:div>
    <w:div w:id="130756451">
      <w:bodyDiv w:val="1"/>
      <w:marLeft w:val="0"/>
      <w:marRight w:val="0"/>
      <w:marTop w:val="0"/>
      <w:marBottom w:val="0"/>
      <w:divBdr>
        <w:top w:val="none" w:sz="0" w:space="0" w:color="auto"/>
        <w:left w:val="none" w:sz="0" w:space="0" w:color="auto"/>
        <w:bottom w:val="none" w:sz="0" w:space="0" w:color="auto"/>
        <w:right w:val="none" w:sz="0" w:space="0" w:color="auto"/>
      </w:divBdr>
    </w:div>
    <w:div w:id="132675500">
      <w:bodyDiv w:val="1"/>
      <w:marLeft w:val="0"/>
      <w:marRight w:val="0"/>
      <w:marTop w:val="0"/>
      <w:marBottom w:val="0"/>
      <w:divBdr>
        <w:top w:val="none" w:sz="0" w:space="0" w:color="auto"/>
        <w:left w:val="none" w:sz="0" w:space="0" w:color="auto"/>
        <w:bottom w:val="none" w:sz="0" w:space="0" w:color="auto"/>
        <w:right w:val="none" w:sz="0" w:space="0" w:color="auto"/>
      </w:divBdr>
    </w:div>
    <w:div w:id="138502486">
      <w:bodyDiv w:val="1"/>
      <w:marLeft w:val="0"/>
      <w:marRight w:val="0"/>
      <w:marTop w:val="0"/>
      <w:marBottom w:val="0"/>
      <w:divBdr>
        <w:top w:val="none" w:sz="0" w:space="0" w:color="auto"/>
        <w:left w:val="none" w:sz="0" w:space="0" w:color="auto"/>
        <w:bottom w:val="none" w:sz="0" w:space="0" w:color="auto"/>
        <w:right w:val="none" w:sz="0" w:space="0" w:color="auto"/>
      </w:divBdr>
    </w:div>
    <w:div w:id="144123796">
      <w:bodyDiv w:val="1"/>
      <w:marLeft w:val="0"/>
      <w:marRight w:val="0"/>
      <w:marTop w:val="0"/>
      <w:marBottom w:val="0"/>
      <w:divBdr>
        <w:top w:val="none" w:sz="0" w:space="0" w:color="auto"/>
        <w:left w:val="none" w:sz="0" w:space="0" w:color="auto"/>
        <w:bottom w:val="none" w:sz="0" w:space="0" w:color="auto"/>
        <w:right w:val="none" w:sz="0" w:space="0" w:color="auto"/>
      </w:divBdr>
    </w:div>
    <w:div w:id="144396120">
      <w:bodyDiv w:val="1"/>
      <w:marLeft w:val="0"/>
      <w:marRight w:val="0"/>
      <w:marTop w:val="0"/>
      <w:marBottom w:val="0"/>
      <w:divBdr>
        <w:top w:val="none" w:sz="0" w:space="0" w:color="auto"/>
        <w:left w:val="none" w:sz="0" w:space="0" w:color="auto"/>
        <w:bottom w:val="none" w:sz="0" w:space="0" w:color="auto"/>
        <w:right w:val="none" w:sz="0" w:space="0" w:color="auto"/>
      </w:divBdr>
    </w:div>
    <w:div w:id="156381730">
      <w:bodyDiv w:val="1"/>
      <w:marLeft w:val="0"/>
      <w:marRight w:val="0"/>
      <w:marTop w:val="0"/>
      <w:marBottom w:val="0"/>
      <w:divBdr>
        <w:top w:val="none" w:sz="0" w:space="0" w:color="auto"/>
        <w:left w:val="none" w:sz="0" w:space="0" w:color="auto"/>
        <w:bottom w:val="none" w:sz="0" w:space="0" w:color="auto"/>
        <w:right w:val="none" w:sz="0" w:space="0" w:color="auto"/>
      </w:divBdr>
    </w:div>
    <w:div w:id="160052745">
      <w:bodyDiv w:val="1"/>
      <w:marLeft w:val="0"/>
      <w:marRight w:val="0"/>
      <w:marTop w:val="0"/>
      <w:marBottom w:val="0"/>
      <w:divBdr>
        <w:top w:val="none" w:sz="0" w:space="0" w:color="auto"/>
        <w:left w:val="none" w:sz="0" w:space="0" w:color="auto"/>
        <w:bottom w:val="none" w:sz="0" w:space="0" w:color="auto"/>
        <w:right w:val="none" w:sz="0" w:space="0" w:color="auto"/>
      </w:divBdr>
    </w:div>
    <w:div w:id="161774118">
      <w:bodyDiv w:val="1"/>
      <w:marLeft w:val="0"/>
      <w:marRight w:val="0"/>
      <w:marTop w:val="0"/>
      <w:marBottom w:val="0"/>
      <w:divBdr>
        <w:top w:val="none" w:sz="0" w:space="0" w:color="auto"/>
        <w:left w:val="none" w:sz="0" w:space="0" w:color="auto"/>
        <w:bottom w:val="none" w:sz="0" w:space="0" w:color="auto"/>
        <w:right w:val="none" w:sz="0" w:space="0" w:color="auto"/>
      </w:divBdr>
    </w:div>
    <w:div w:id="165363929">
      <w:bodyDiv w:val="1"/>
      <w:marLeft w:val="0"/>
      <w:marRight w:val="0"/>
      <w:marTop w:val="0"/>
      <w:marBottom w:val="0"/>
      <w:divBdr>
        <w:top w:val="none" w:sz="0" w:space="0" w:color="auto"/>
        <w:left w:val="none" w:sz="0" w:space="0" w:color="auto"/>
        <w:bottom w:val="none" w:sz="0" w:space="0" w:color="auto"/>
        <w:right w:val="none" w:sz="0" w:space="0" w:color="auto"/>
      </w:divBdr>
    </w:div>
    <w:div w:id="173156631">
      <w:bodyDiv w:val="1"/>
      <w:marLeft w:val="0"/>
      <w:marRight w:val="0"/>
      <w:marTop w:val="0"/>
      <w:marBottom w:val="0"/>
      <w:divBdr>
        <w:top w:val="none" w:sz="0" w:space="0" w:color="auto"/>
        <w:left w:val="none" w:sz="0" w:space="0" w:color="auto"/>
        <w:bottom w:val="none" w:sz="0" w:space="0" w:color="auto"/>
        <w:right w:val="none" w:sz="0" w:space="0" w:color="auto"/>
      </w:divBdr>
    </w:div>
    <w:div w:id="176966601">
      <w:bodyDiv w:val="1"/>
      <w:marLeft w:val="0"/>
      <w:marRight w:val="0"/>
      <w:marTop w:val="0"/>
      <w:marBottom w:val="0"/>
      <w:divBdr>
        <w:top w:val="none" w:sz="0" w:space="0" w:color="auto"/>
        <w:left w:val="none" w:sz="0" w:space="0" w:color="auto"/>
        <w:bottom w:val="none" w:sz="0" w:space="0" w:color="auto"/>
        <w:right w:val="none" w:sz="0" w:space="0" w:color="auto"/>
      </w:divBdr>
    </w:div>
    <w:div w:id="179317953">
      <w:bodyDiv w:val="1"/>
      <w:marLeft w:val="0"/>
      <w:marRight w:val="0"/>
      <w:marTop w:val="0"/>
      <w:marBottom w:val="0"/>
      <w:divBdr>
        <w:top w:val="none" w:sz="0" w:space="0" w:color="auto"/>
        <w:left w:val="none" w:sz="0" w:space="0" w:color="auto"/>
        <w:bottom w:val="none" w:sz="0" w:space="0" w:color="auto"/>
        <w:right w:val="none" w:sz="0" w:space="0" w:color="auto"/>
      </w:divBdr>
    </w:div>
    <w:div w:id="184829446">
      <w:bodyDiv w:val="1"/>
      <w:marLeft w:val="0"/>
      <w:marRight w:val="0"/>
      <w:marTop w:val="0"/>
      <w:marBottom w:val="0"/>
      <w:divBdr>
        <w:top w:val="none" w:sz="0" w:space="0" w:color="auto"/>
        <w:left w:val="none" w:sz="0" w:space="0" w:color="auto"/>
        <w:bottom w:val="none" w:sz="0" w:space="0" w:color="auto"/>
        <w:right w:val="none" w:sz="0" w:space="0" w:color="auto"/>
      </w:divBdr>
    </w:div>
    <w:div w:id="195435578">
      <w:bodyDiv w:val="1"/>
      <w:marLeft w:val="0"/>
      <w:marRight w:val="0"/>
      <w:marTop w:val="0"/>
      <w:marBottom w:val="0"/>
      <w:divBdr>
        <w:top w:val="none" w:sz="0" w:space="0" w:color="auto"/>
        <w:left w:val="none" w:sz="0" w:space="0" w:color="auto"/>
        <w:bottom w:val="none" w:sz="0" w:space="0" w:color="auto"/>
        <w:right w:val="none" w:sz="0" w:space="0" w:color="auto"/>
      </w:divBdr>
    </w:div>
    <w:div w:id="203056251">
      <w:bodyDiv w:val="1"/>
      <w:marLeft w:val="0"/>
      <w:marRight w:val="0"/>
      <w:marTop w:val="0"/>
      <w:marBottom w:val="0"/>
      <w:divBdr>
        <w:top w:val="none" w:sz="0" w:space="0" w:color="auto"/>
        <w:left w:val="none" w:sz="0" w:space="0" w:color="auto"/>
        <w:bottom w:val="none" w:sz="0" w:space="0" w:color="auto"/>
        <w:right w:val="none" w:sz="0" w:space="0" w:color="auto"/>
      </w:divBdr>
    </w:div>
    <w:div w:id="209150735">
      <w:bodyDiv w:val="1"/>
      <w:marLeft w:val="0"/>
      <w:marRight w:val="0"/>
      <w:marTop w:val="0"/>
      <w:marBottom w:val="0"/>
      <w:divBdr>
        <w:top w:val="none" w:sz="0" w:space="0" w:color="auto"/>
        <w:left w:val="none" w:sz="0" w:space="0" w:color="auto"/>
        <w:bottom w:val="none" w:sz="0" w:space="0" w:color="auto"/>
        <w:right w:val="none" w:sz="0" w:space="0" w:color="auto"/>
      </w:divBdr>
    </w:div>
    <w:div w:id="209926224">
      <w:bodyDiv w:val="1"/>
      <w:marLeft w:val="0"/>
      <w:marRight w:val="0"/>
      <w:marTop w:val="0"/>
      <w:marBottom w:val="0"/>
      <w:divBdr>
        <w:top w:val="none" w:sz="0" w:space="0" w:color="auto"/>
        <w:left w:val="none" w:sz="0" w:space="0" w:color="auto"/>
        <w:bottom w:val="none" w:sz="0" w:space="0" w:color="auto"/>
        <w:right w:val="none" w:sz="0" w:space="0" w:color="auto"/>
      </w:divBdr>
    </w:div>
    <w:div w:id="217206844">
      <w:bodyDiv w:val="1"/>
      <w:marLeft w:val="0"/>
      <w:marRight w:val="0"/>
      <w:marTop w:val="0"/>
      <w:marBottom w:val="0"/>
      <w:divBdr>
        <w:top w:val="none" w:sz="0" w:space="0" w:color="auto"/>
        <w:left w:val="none" w:sz="0" w:space="0" w:color="auto"/>
        <w:bottom w:val="none" w:sz="0" w:space="0" w:color="auto"/>
        <w:right w:val="none" w:sz="0" w:space="0" w:color="auto"/>
      </w:divBdr>
    </w:div>
    <w:div w:id="219092896">
      <w:bodyDiv w:val="1"/>
      <w:marLeft w:val="0"/>
      <w:marRight w:val="0"/>
      <w:marTop w:val="0"/>
      <w:marBottom w:val="0"/>
      <w:divBdr>
        <w:top w:val="none" w:sz="0" w:space="0" w:color="auto"/>
        <w:left w:val="none" w:sz="0" w:space="0" w:color="auto"/>
        <w:bottom w:val="none" w:sz="0" w:space="0" w:color="auto"/>
        <w:right w:val="none" w:sz="0" w:space="0" w:color="auto"/>
      </w:divBdr>
    </w:div>
    <w:div w:id="225385131">
      <w:bodyDiv w:val="1"/>
      <w:marLeft w:val="0"/>
      <w:marRight w:val="0"/>
      <w:marTop w:val="0"/>
      <w:marBottom w:val="0"/>
      <w:divBdr>
        <w:top w:val="none" w:sz="0" w:space="0" w:color="auto"/>
        <w:left w:val="none" w:sz="0" w:space="0" w:color="auto"/>
        <w:bottom w:val="none" w:sz="0" w:space="0" w:color="auto"/>
        <w:right w:val="none" w:sz="0" w:space="0" w:color="auto"/>
      </w:divBdr>
    </w:div>
    <w:div w:id="229578334">
      <w:bodyDiv w:val="1"/>
      <w:marLeft w:val="0"/>
      <w:marRight w:val="0"/>
      <w:marTop w:val="0"/>
      <w:marBottom w:val="0"/>
      <w:divBdr>
        <w:top w:val="none" w:sz="0" w:space="0" w:color="auto"/>
        <w:left w:val="none" w:sz="0" w:space="0" w:color="auto"/>
        <w:bottom w:val="none" w:sz="0" w:space="0" w:color="auto"/>
        <w:right w:val="none" w:sz="0" w:space="0" w:color="auto"/>
      </w:divBdr>
    </w:div>
    <w:div w:id="230966490">
      <w:bodyDiv w:val="1"/>
      <w:marLeft w:val="0"/>
      <w:marRight w:val="0"/>
      <w:marTop w:val="0"/>
      <w:marBottom w:val="0"/>
      <w:divBdr>
        <w:top w:val="none" w:sz="0" w:space="0" w:color="auto"/>
        <w:left w:val="none" w:sz="0" w:space="0" w:color="auto"/>
        <w:bottom w:val="none" w:sz="0" w:space="0" w:color="auto"/>
        <w:right w:val="none" w:sz="0" w:space="0" w:color="auto"/>
      </w:divBdr>
    </w:div>
    <w:div w:id="231083432">
      <w:bodyDiv w:val="1"/>
      <w:marLeft w:val="0"/>
      <w:marRight w:val="0"/>
      <w:marTop w:val="0"/>
      <w:marBottom w:val="0"/>
      <w:divBdr>
        <w:top w:val="none" w:sz="0" w:space="0" w:color="auto"/>
        <w:left w:val="none" w:sz="0" w:space="0" w:color="auto"/>
        <w:bottom w:val="none" w:sz="0" w:space="0" w:color="auto"/>
        <w:right w:val="none" w:sz="0" w:space="0" w:color="auto"/>
      </w:divBdr>
    </w:div>
    <w:div w:id="232279215">
      <w:bodyDiv w:val="1"/>
      <w:marLeft w:val="0"/>
      <w:marRight w:val="0"/>
      <w:marTop w:val="0"/>
      <w:marBottom w:val="0"/>
      <w:divBdr>
        <w:top w:val="none" w:sz="0" w:space="0" w:color="auto"/>
        <w:left w:val="none" w:sz="0" w:space="0" w:color="auto"/>
        <w:bottom w:val="none" w:sz="0" w:space="0" w:color="auto"/>
        <w:right w:val="none" w:sz="0" w:space="0" w:color="auto"/>
      </w:divBdr>
    </w:div>
    <w:div w:id="245501650">
      <w:bodyDiv w:val="1"/>
      <w:marLeft w:val="0"/>
      <w:marRight w:val="0"/>
      <w:marTop w:val="0"/>
      <w:marBottom w:val="0"/>
      <w:divBdr>
        <w:top w:val="none" w:sz="0" w:space="0" w:color="auto"/>
        <w:left w:val="none" w:sz="0" w:space="0" w:color="auto"/>
        <w:bottom w:val="none" w:sz="0" w:space="0" w:color="auto"/>
        <w:right w:val="none" w:sz="0" w:space="0" w:color="auto"/>
      </w:divBdr>
    </w:div>
    <w:div w:id="259415472">
      <w:bodyDiv w:val="1"/>
      <w:marLeft w:val="0"/>
      <w:marRight w:val="0"/>
      <w:marTop w:val="0"/>
      <w:marBottom w:val="0"/>
      <w:divBdr>
        <w:top w:val="none" w:sz="0" w:space="0" w:color="auto"/>
        <w:left w:val="none" w:sz="0" w:space="0" w:color="auto"/>
        <w:bottom w:val="none" w:sz="0" w:space="0" w:color="auto"/>
        <w:right w:val="none" w:sz="0" w:space="0" w:color="auto"/>
      </w:divBdr>
    </w:div>
    <w:div w:id="265893522">
      <w:bodyDiv w:val="1"/>
      <w:marLeft w:val="0"/>
      <w:marRight w:val="0"/>
      <w:marTop w:val="0"/>
      <w:marBottom w:val="0"/>
      <w:divBdr>
        <w:top w:val="none" w:sz="0" w:space="0" w:color="auto"/>
        <w:left w:val="none" w:sz="0" w:space="0" w:color="auto"/>
        <w:bottom w:val="none" w:sz="0" w:space="0" w:color="auto"/>
        <w:right w:val="none" w:sz="0" w:space="0" w:color="auto"/>
      </w:divBdr>
    </w:div>
    <w:div w:id="269053072">
      <w:bodyDiv w:val="1"/>
      <w:marLeft w:val="0"/>
      <w:marRight w:val="0"/>
      <w:marTop w:val="0"/>
      <w:marBottom w:val="0"/>
      <w:divBdr>
        <w:top w:val="none" w:sz="0" w:space="0" w:color="auto"/>
        <w:left w:val="none" w:sz="0" w:space="0" w:color="auto"/>
        <w:bottom w:val="none" w:sz="0" w:space="0" w:color="auto"/>
        <w:right w:val="none" w:sz="0" w:space="0" w:color="auto"/>
      </w:divBdr>
    </w:div>
    <w:div w:id="279649533">
      <w:bodyDiv w:val="1"/>
      <w:marLeft w:val="0"/>
      <w:marRight w:val="0"/>
      <w:marTop w:val="0"/>
      <w:marBottom w:val="0"/>
      <w:divBdr>
        <w:top w:val="none" w:sz="0" w:space="0" w:color="auto"/>
        <w:left w:val="none" w:sz="0" w:space="0" w:color="auto"/>
        <w:bottom w:val="none" w:sz="0" w:space="0" w:color="auto"/>
        <w:right w:val="none" w:sz="0" w:space="0" w:color="auto"/>
      </w:divBdr>
    </w:div>
    <w:div w:id="280653231">
      <w:bodyDiv w:val="1"/>
      <w:marLeft w:val="0"/>
      <w:marRight w:val="0"/>
      <w:marTop w:val="0"/>
      <w:marBottom w:val="0"/>
      <w:divBdr>
        <w:top w:val="none" w:sz="0" w:space="0" w:color="auto"/>
        <w:left w:val="none" w:sz="0" w:space="0" w:color="auto"/>
        <w:bottom w:val="none" w:sz="0" w:space="0" w:color="auto"/>
        <w:right w:val="none" w:sz="0" w:space="0" w:color="auto"/>
      </w:divBdr>
    </w:div>
    <w:div w:id="287203173">
      <w:bodyDiv w:val="1"/>
      <w:marLeft w:val="0"/>
      <w:marRight w:val="0"/>
      <w:marTop w:val="0"/>
      <w:marBottom w:val="0"/>
      <w:divBdr>
        <w:top w:val="none" w:sz="0" w:space="0" w:color="auto"/>
        <w:left w:val="none" w:sz="0" w:space="0" w:color="auto"/>
        <w:bottom w:val="none" w:sz="0" w:space="0" w:color="auto"/>
        <w:right w:val="none" w:sz="0" w:space="0" w:color="auto"/>
      </w:divBdr>
    </w:div>
    <w:div w:id="293415358">
      <w:bodyDiv w:val="1"/>
      <w:marLeft w:val="0"/>
      <w:marRight w:val="0"/>
      <w:marTop w:val="0"/>
      <w:marBottom w:val="0"/>
      <w:divBdr>
        <w:top w:val="none" w:sz="0" w:space="0" w:color="auto"/>
        <w:left w:val="none" w:sz="0" w:space="0" w:color="auto"/>
        <w:bottom w:val="none" w:sz="0" w:space="0" w:color="auto"/>
        <w:right w:val="none" w:sz="0" w:space="0" w:color="auto"/>
      </w:divBdr>
    </w:div>
    <w:div w:id="300962323">
      <w:bodyDiv w:val="1"/>
      <w:marLeft w:val="0"/>
      <w:marRight w:val="0"/>
      <w:marTop w:val="0"/>
      <w:marBottom w:val="0"/>
      <w:divBdr>
        <w:top w:val="none" w:sz="0" w:space="0" w:color="auto"/>
        <w:left w:val="none" w:sz="0" w:space="0" w:color="auto"/>
        <w:bottom w:val="none" w:sz="0" w:space="0" w:color="auto"/>
        <w:right w:val="none" w:sz="0" w:space="0" w:color="auto"/>
      </w:divBdr>
    </w:div>
    <w:div w:id="303509409">
      <w:bodyDiv w:val="1"/>
      <w:marLeft w:val="0"/>
      <w:marRight w:val="0"/>
      <w:marTop w:val="0"/>
      <w:marBottom w:val="0"/>
      <w:divBdr>
        <w:top w:val="none" w:sz="0" w:space="0" w:color="auto"/>
        <w:left w:val="none" w:sz="0" w:space="0" w:color="auto"/>
        <w:bottom w:val="none" w:sz="0" w:space="0" w:color="auto"/>
        <w:right w:val="none" w:sz="0" w:space="0" w:color="auto"/>
      </w:divBdr>
    </w:div>
    <w:div w:id="308677868">
      <w:bodyDiv w:val="1"/>
      <w:marLeft w:val="0"/>
      <w:marRight w:val="0"/>
      <w:marTop w:val="0"/>
      <w:marBottom w:val="0"/>
      <w:divBdr>
        <w:top w:val="none" w:sz="0" w:space="0" w:color="auto"/>
        <w:left w:val="none" w:sz="0" w:space="0" w:color="auto"/>
        <w:bottom w:val="none" w:sz="0" w:space="0" w:color="auto"/>
        <w:right w:val="none" w:sz="0" w:space="0" w:color="auto"/>
      </w:divBdr>
    </w:div>
    <w:div w:id="311637030">
      <w:bodyDiv w:val="1"/>
      <w:marLeft w:val="0"/>
      <w:marRight w:val="0"/>
      <w:marTop w:val="0"/>
      <w:marBottom w:val="0"/>
      <w:divBdr>
        <w:top w:val="none" w:sz="0" w:space="0" w:color="auto"/>
        <w:left w:val="none" w:sz="0" w:space="0" w:color="auto"/>
        <w:bottom w:val="none" w:sz="0" w:space="0" w:color="auto"/>
        <w:right w:val="none" w:sz="0" w:space="0" w:color="auto"/>
      </w:divBdr>
    </w:div>
    <w:div w:id="331032241">
      <w:bodyDiv w:val="1"/>
      <w:marLeft w:val="0"/>
      <w:marRight w:val="0"/>
      <w:marTop w:val="0"/>
      <w:marBottom w:val="0"/>
      <w:divBdr>
        <w:top w:val="none" w:sz="0" w:space="0" w:color="auto"/>
        <w:left w:val="none" w:sz="0" w:space="0" w:color="auto"/>
        <w:bottom w:val="none" w:sz="0" w:space="0" w:color="auto"/>
        <w:right w:val="none" w:sz="0" w:space="0" w:color="auto"/>
      </w:divBdr>
    </w:div>
    <w:div w:id="337510821">
      <w:bodyDiv w:val="1"/>
      <w:marLeft w:val="0"/>
      <w:marRight w:val="0"/>
      <w:marTop w:val="0"/>
      <w:marBottom w:val="0"/>
      <w:divBdr>
        <w:top w:val="none" w:sz="0" w:space="0" w:color="auto"/>
        <w:left w:val="none" w:sz="0" w:space="0" w:color="auto"/>
        <w:bottom w:val="none" w:sz="0" w:space="0" w:color="auto"/>
        <w:right w:val="none" w:sz="0" w:space="0" w:color="auto"/>
      </w:divBdr>
    </w:div>
    <w:div w:id="338117774">
      <w:bodyDiv w:val="1"/>
      <w:marLeft w:val="0"/>
      <w:marRight w:val="0"/>
      <w:marTop w:val="0"/>
      <w:marBottom w:val="0"/>
      <w:divBdr>
        <w:top w:val="none" w:sz="0" w:space="0" w:color="auto"/>
        <w:left w:val="none" w:sz="0" w:space="0" w:color="auto"/>
        <w:bottom w:val="none" w:sz="0" w:space="0" w:color="auto"/>
        <w:right w:val="none" w:sz="0" w:space="0" w:color="auto"/>
      </w:divBdr>
    </w:div>
    <w:div w:id="338503062">
      <w:bodyDiv w:val="1"/>
      <w:marLeft w:val="0"/>
      <w:marRight w:val="0"/>
      <w:marTop w:val="0"/>
      <w:marBottom w:val="0"/>
      <w:divBdr>
        <w:top w:val="none" w:sz="0" w:space="0" w:color="auto"/>
        <w:left w:val="none" w:sz="0" w:space="0" w:color="auto"/>
        <w:bottom w:val="none" w:sz="0" w:space="0" w:color="auto"/>
        <w:right w:val="none" w:sz="0" w:space="0" w:color="auto"/>
      </w:divBdr>
    </w:div>
    <w:div w:id="340350960">
      <w:bodyDiv w:val="1"/>
      <w:marLeft w:val="0"/>
      <w:marRight w:val="0"/>
      <w:marTop w:val="0"/>
      <w:marBottom w:val="0"/>
      <w:divBdr>
        <w:top w:val="none" w:sz="0" w:space="0" w:color="auto"/>
        <w:left w:val="none" w:sz="0" w:space="0" w:color="auto"/>
        <w:bottom w:val="none" w:sz="0" w:space="0" w:color="auto"/>
        <w:right w:val="none" w:sz="0" w:space="0" w:color="auto"/>
      </w:divBdr>
    </w:div>
    <w:div w:id="344868710">
      <w:bodyDiv w:val="1"/>
      <w:marLeft w:val="0"/>
      <w:marRight w:val="0"/>
      <w:marTop w:val="0"/>
      <w:marBottom w:val="0"/>
      <w:divBdr>
        <w:top w:val="none" w:sz="0" w:space="0" w:color="auto"/>
        <w:left w:val="none" w:sz="0" w:space="0" w:color="auto"/>
        <w:bottom w:val="none" w:sz="0" w:space="0" w:color="auto"/>
        <w:right w:val="none" w:sz="0" w:space="0" w:color="auto"/>
      </w:divBdr>
    </w:div>
    <w:div w:id="350687067">
      <w:bodyDiv w:val="1"/>
      <w:marLeft w:val="0"/>
      <w:marRight w:val="0"/>
      <w:marTop w:val="0"/>
      <w:marBottom w:val="0"/>
      <w:divBdr>
        <w:top w:val="none" w:sz="0" w:space="0" w:color="auto"/>
        <w:left w:val="none" w:sz="0" w:space="0" w:color="auto"/>
        <w:bottom w:val="none" w:sz="0" w:space="0" w:color="auto"/>
        <w:right w:val="none" w:sz="0" w:space="0" w:color="auto"/>
      </w:divBdr>
    </w:div>
    <w:div w:id="350691168">
      <w:bodyDiv w:val="1"/>
      <w:marLeft w:val="0"/>
      <w:marRight w:val="0"/>
      <w:marTop w:val="0"/>
      <w:marBottom w:val="0"/>
      <w:divBdr>
        <w:top w:val="none" w:sz="0" w:space="0" w:color="auto"/>
        <w:left w:val="none" w:sz="0" w:space="0" w:color="auto"/>
        <w:bottom w:val="none" w:sz="0" w:space="0" w:color="auto"/>
        <w:right w:val="none" w:sz="0" w:space="0" w:color="auto"/>
      </w:divBdr>
    </w:div>
    <w:div w:id="351542118">
      <w:bodyDiv w:val="1"/>
      <w:marLeft w:val="0"/>
      <w:marRight w:val="0"/>
      <w:marTop w:val="0"/>
      <w:marBottom w:val="0"/>
      <w:divBdr>
        <w:top w:val="none" w:sz="0" w:space="0" w:color="auto"/>
        <w:left w:val="none" w:sz="0" w:space="0" w:color="auto"/>
        <w:bottom w:val="none" w:sz="0" w:space="0" w:color="auto"/>
        <w:right w:val="none" w:sz="0" w:space="0" w:color="auto"/>
      </w:divBdr>
    </w:div>
    <w:div w:id="352195961">
      <w:bodyDiv w:val="1"/>
      <w:marLeft w:val="0"/>
      <w:marRight w:val="0"/>
      <w:marTop w:val="0"/>
      <w:marBottom w:val="0"/>
      <w:divBdr>
        <w:top w:val="none" w:sz="0" w:space="0" w:color="auto"/>
        <w:left w:val="none" w:sz="0" w:space="0" w:color="auto"/>
        <w:bottom w:val="none" w:sz="0" w:space="0" w:color="auto"/>
        <w:right w:val="none" w:sz="0" w:space="0" w:color="auto"/>
      </w:divBdr>
    </w:div>
    <w:div w:id="366806360">
      <w:bodyDiv w:val="1"/>
      <w:marLeft w:val="0"/>
      <w:marRight w:val="0"/>
      <w:marTop w:val="0"/>
      <w:marBottom w:val="0"/>
      <w:divBdr>
        <w:top w:val="none" w:sz="0" w:space="0" w:color="auto"/>
        <w:left w:val="none" w:sz="0" w:space="0" w:color="auto"/>
        <w:bottom w:val="none" w:sz="0" w:space="0" w:color="auto"/>
        <w:right w:val="none" w:sz="0" w:space="0" w:color="auto"/>
      </w:divBdr>
    </w:div>
    <w:div w:id="371341536">
      <w:bodyDiv w:val="1"/>
      <w:marLeft w:val="0"/>
      <w:marRight w:val="0"/>
      <w:marTop w:val="0"/>
      <w:marBottom w:val="0"/>
      <w:divBdr>
        <w:top w:val="none" w:sz="0" w:space="0" w:color="auto"/>
        <w:left w:val="none" w:sz="0" w:space="0" w:color="auto"/>
        <w:bottom w:val="none" w:sz="0" w:space="0" w:color="auto"/>
        <w:right w:val="none" w:sz="0" w:space="0" w:color="auto"/>
      </w:divBdr>
    </w:div>
    <w:div w:id="372580855">
      <w:bodyDiv w:val="1"/>
      <w:marLeft w:val="0"/>
      <w:marRight w:val="0"/>
      <w:marTop w:val="0"/>
      <w:marBottom w:val="0"/>
      <w:divBdr>
        <w:top w:val="none" w:sz="0" w:space="0" w:color="auto"/>
        <w:left w:val="none" w:sz="0" w:space="0" w:color="auto"/>
        <w:bottom w:val="none" w:sz="0" w:space="0" w:color="auto"/>
        <w:right w:val="none" w:sz="0" w:space="0" w:color="auto"/>
      </w:divBdr>
    </w:div>
    <w:div w:id="375589313">
      <w:bodyDiv w:val="1"/>
      <w:marLeft w:val="0"/>
      <w:marRight w:val="0"/>
      <w:marTop w:val="0"/>
      <w:marBottom w:val="0"/>
      <w:divBdr>
        <w:top w:val="none" w:sz="0" w:space="0" w:color="auto"/>
        <w:left w:val="none" w:sz="0" w:space="0" w:color="auto"/>
        <w:bottom w:val="none" w:sz="0" w:space="0" w:color="auto"/>
        <w:right w:val="none" w:sz="0" w:space="0" w:color="auto"/>
      </w:divBdr>
    </w:div>
    <w:div w:id="376050367">
      <w:bodyDiv w:val="1"/>
      <w:marLeft w:val="0"/>
      <w:marRight w:val="0"/>
      <w:marTop w:val="0"/>
      <w:marBottom w:val="0"/>
      <w:divBdr>
        <w:top w:val="none" w:sz="0" w:space="0" w:color="auto"/>
        <w:left w:val="none" w:sz="0" w:space="0" w:color="auto"/>
        <w:bottom w:val="none" w:sz="0" w:space="0" w:color="auto"/>
        <w:right w:val="none" w:sz="0" w:space="0" w:color="auto"/>
      </w:divBdr>
    </w:div>
    <w:div w:id="384644391">
      <w:bodyDiv w:val="1"/>
      <w:marLeft w:val="0"/>
      <w:marRight w:val="0"/>
      <w:marTop w:val="0"/>
      <w:marBottom w:val="0"/>
      <w:divBdr>
        <w:top w:val="none" w:sz="0" w:space="0" w:color="auto"/>
        <w:left w:val="none" w:sz="0" w:space="0" w:color="auto"/>
        <w:bottom w:val="none" w:sz="0" w:space="0" w:color="auto"/>
        <w:right w:val="none" w:sz="0" w:space="0" w:color="auto"/>
      </w:divBdr>
    </w:div>
    <w:div w:id="386412912">
      <w:bodyDiv w:val="1"/>
      <w:marLeft w:val="0"/>
      <w:marRight w:val="0"/>
      <w:marTop w:val="0"/>
      <w:marBottom w:val="0"/>
      <w:divBdr>
        <w:top w:val="none" w:sz="0" w:space="0" w:color="auto"/>
        <w:left w:val="none" w:sz="0" w:space="0" w:color="auto"/>
        <w:bottom w:val="none" w:sz="0" w:space="0" w:color="auto"/>
        <w:right w:val="none" w:sz="0" w:space="0" w:color="auto"/>
      </w:divBdr>
    </w:div>
    <w:div w:id="394819880">
      <w:bodyDiv w:val="1"/>
      <w:marLeft w:val="0"/>
      <w:marRight w:val="0"/>
      <w:marTop w:val="0"/>
      <w:marBottom w:val="0"/>
      <w:divBdr>
        <w:top w:val="none" w:sz="0" w:space="0" w:color="auto"/>
        <w:left w:val="none" w:sz="0" w:space="0" w:color="auto"/>
        <w:bottom w:val="none" w:sz="0" w:space="0" w:color="auto"/>
        <w:right w:val="none" w:sz="0" w:space="0" w:color="auto"/>
      </w:divBdr>
    </w:div>
    <w:div w:id="410321416">
      <w:bodyDiv w:val="1"/>
      <w:marLeft w:val="0"/>
      <w:marRight w:val="0"/>
      <w:marTop w:val="0"/>
      <w:marBottom w:val="0"/>
      <w:divBdr>
        <w:top w:val="none" w:sz="0" w:space="0" w:color="auto"/>
        <w:left w:val="none" w:sz="0" w:space="0" w:color="auto"/>
        <w:bottom w:val="none" w:sz="0" w:space="0" w:color="auto"/>
        <w:right w:val="none" w:sz="0" w:space="0" w:color="auto"/>
      </w:divBdr>
    </w:div>
    <w:div w:id="431899947">
      <w:bodyDiv w:val="1"/>
      <w:marLeft w:val="0"/>
      <w:marRight w:val="0"/>
      <w:marTop w:val="0"/>
      <w:marBottom w:val="0"/>
      <w:divBdr>
        <w:top w:val="none" w:sz="0" w:space="0" w:color="auto"/>
        <w:left w:val="none" w:sz="0" w:space="0" w:color="auto"/>
        <w:bottom w:val="none" w:sz="0" w:space="0" w:color="auto"/>
        <w:right w:val="none" w:sz="0" w:space="0" w:color="auto"/>
      </w:divBdr>
    </w:div>
    <w:div w:id="439107601">
      <w:bodyDiv w:val="1"/>
      <w:marLeft w:val="0"/>
      <w:marRight w:val="0"/>
      <w:marTop w:val="0"/>
      <w:marBottom w:val="0"/>
      <w:divBdr>
        <w:top w:val="none" w:sz="0" w:space="0" w:color="auto"/>
        <w:left w:val="none" w:sz="0" w:space="0" w:color="auto"/>
        <w:bottom w:val="none" w:sz="0" w:space="0" w:color="auto"/>
        <w:right w:val="none" w:sz="0" w:space="0" w:color="auto"/>
      </w:divBdr>
    </w:div>
    <w:div w:id="441876041">
      <w:bodyDiv w:val="1"/>
      <w:marLeft w:val="0"/>
      <w:marRight w:val="0"/>
      <w:marTop w:val="0"/>
      <w:marBottom w:val="0"/>
      <w:divBdr>
        <w:top w:val="none" w:sz="0" w:space="0" w:color="auto"/>
        <w:left w:val="none" w:sz="0" w:space="0" w:color="auto"/>
        <w:bottom w:val="none" w:sz="0" w:space="0" w:color="auto"/>
        <w:right w:val="none" w:sz="0" w:space="0" w:color="auto"/>
      </w:divBdr>
    </w:div>
    <w:div w:id="445779129">
      <w:bodyDiv w:val="1"/>
      <w:marLeft w:val="0"/>
      <w:marRight w:val="0"/>
      <w:marTop w:val="0"/>
      <w:marBottom w:val="0"/>
      <w:divBdr>
        <w:top w:val="none" w:sz="0" w:space="0" w:color="auto"/>
        <w:left w:val="none" w:sz="0" w:space="0" w:color="auto"/>
        <w:bottom w:val="none" w:sz="0" w:space="0" w:color="auto"/>
        <w:right w:val="none" w:sz="0" w:space="0" w:color="auto"/>
      </w:divBdr>
    </w:div>
    <w:div w:id="457647324">
      <w:bodyDiv w:val="1"/>
      <w:marLeft w:val="0"/>
      <w:marRight w:val="0"/>
      <w:marTop w:val="0"/>
      <w:marBottom w:val="0"/>
      <w:divBdr>
        <w:top w:val="none" w:sz="0" w:space="0" w:color="auto"/>
        <w:left w:val="none" w:sz="0" w:space="0" w:color="auto"/>
        <w:bottom w:val="none" w:sz="0" w:space="0" w:color="auto"/>
        <w:right w:val="none" w:sz="0" w:space="0" w:color="auto"/>
      </w:divBdr>
    </w:div>
    <w:div w:id="457837168">
      <w:bodyDiv w:val="1"/>
      <w:marLeft w:val="0"/>
      <w:marRight w:val="0"/>
      <w:marTop w:val="0"/>
      <w:marBottom w:val="0"/>
      <w:divBdr>
        <w:top w:val="none" w:sz="0" w:space="0" w:color="auto"/>
        <w:left w:val="none" w:sz="0" w:space="0" w:color="auto"/>
        <w:bottom w:val="none" w:sz="0" w:space="0" w:color="auto"/>
        <w:right w:val="none" w:sz="0" w:space="0" w:color="auto"/>
      </w:divBdr>
    </w:div>
    <w:div w:id="459349261">
      <w:bodyDiv w:val="1"/>
      <w:marLeft w:val="0"/>
      <w:marRight w:val="0"/>
      <w:marTop w:val="0"/>
      <w:marBottom w:val="0"/>
      <w:divBdr>
        <w:top w:val="none" w:sz="0" w:space="0" w:color="auto"/>
        <w:left w:val="none" w:sz="0" w:space="0" w:color="auto"/>
        <w:bottom w:val="none" w:sz="0" w:space="0" w:color="auto"/>
        <w:right w:val="none" w:sz="0" w:space="0" w:color="auto"/>
      </w:divBdr>
      <w:divsChild>
        <w:div w:id="1834566868">
          <w:marLeft w:val="0"/>
          <w:marRight w:val="0"/>
          <w:marTop w:val="15"/>
          <w:marBottom w:val="0"/>
          <w:divBdr>
            <w:top w:val="none" w:sz="0" w:space="0" w:color="auto"/>
            <w:left w:val="none" w:sz="0" w:space="0" w:color="auto"/>
            <w:bottom w:val="none" w:sz="0" w:space="0" w:color="auto"/>
            <w:right w:val="none" w:sz="0" w:space="0" w:color="auto"/>
          </w:divBdr>
          <w:divsChild>
            <w:div w:id="1593855691">
              <w:marLeft w:val="0"/>
              <w:marRight w:val="0"/>
              <w:marTop w:val="0"/>
              <w:marBottom w:val="0"/>
              <w:divBdr>
                <w:top w:val="none" w:sz="0" w:space="0" w:color="auto"/>
                <w:left w:val="none" w:sz="0" w:space="0" w:color="auto"/>
                <w:bottom w:val="none" w:sz="0" w:space="0" w:color="auto"/>
                <w:right w:val="none" w:sz="0" w:space="0" w:color="auto"/>
              </w:divBdr>
              <w:divsChild>
                <w:div w:id="1128669">
                  <w:marLeft w:val="0"/>
                  <w:marRight w:val="0"/>
                  <w:marTop w:val="0"/>
                  <w:marBottom w:val="0"/>
                  <w:divBdr>
                    <w:top w:val="none" w:sz="0" w:space="0" w:color="auto"/>
                    <w:left w:val="none" w:sz="0" w:space="0" w:color="auto"/>
                    <w:bottom w:val="none" w:sz="0" w:space="0" w:color="auto"/>
                    <w:right w:val="none" w:sz="0" w:space="0" w:color="auto"/>
                  </w:divBdr>
                </w:div>
                <w:div w:id="16085930">
                  <w:marLeft w:val="0"/>
                  <w:marRight w:val="0"/>
                  <w:marTop w:val="0"/>
                  <w:marBottom w:val="0"/>
                  <w:divBdr>
                    <w:top w:val="none" w:sz="0" w:space="0" w:color="auto"/>
                    <w:left w:val="none" w:sz="0" w:space="0" w:color="auto"/>
                    <w:bottom w:val="none" w:sz="0" w:space="0" w:color="auto"/>
                    <w:right w:val="none" w:sz="0" w:space="0" w:color="auto"/>
                  </w:divBdr>
                </w:div>
                <w:div w:id="33116230">
                  <w:marLeft w:val="0"/>
                  <w:marRight w:val="0"/>
                  <w:marTop w:val="0"/>
                  <w:marBottom w:val="0"/>
                  <w:divBdr>
                    <w:top w:val="none" w:sz="0" w:space="0" w:color="auto"/>
                    <w:left w:val="none" w:sz="0" w:space="0" w:color="auto"/>
                    <w:bottom w:val="none" w:sz="0" w:space="0" w:color="auto"/>
                    <w:right w:val="none" w:sz="0" w:space="0" w:color="auto"/>
                  </w:divBdr>
                </w:div>
                <w:div w:id="36442278">
                  <w:marLeft w:val="0"/>
                  <w:marRight w:val="0"/>
                  <w:marTop w:val="0"/>
                  <w:marBottom w:val="0"/>
                  <w:divBdr>
                    <w:top w:val="none" w:sz="0" w:space="0" w:color="auto"/>
                    <w:left w:val="none" w:sz="0" w:space="0" w:color="auto"/>
                    <w:bottom w:val="none" w:sz="0" w:space="0" w:color="auto"/>
                    <w:right w:val="none" w:sz="0" w:space="0" w:color="auto"/>
                  </w:divBdr>
                </w:div>
                <w:div w:id="38289166">
                  <w:marLeft w:val="0"/>
                  <w:marRight w:val="0"/>
                  <w:marTop w:val="0"/>
                  <w:marBottom w:val="0"/>
                  <w:divBdr>
                    <w:top w:val="none" w:sz="0" w:space="0" w:color="auto"/>
                    <w:left w:val="none" w:sz="0" w:space="0" w:color="auto"/>
                    <w:bottom w:val="none" w:sz="0" w:space="0" w:color="auto"/>
                    <w:right w:val="none" w:sz="0" w:space="0" w:color="auto"/>
                  </w:divBdr>
                </w:div>
                <w:div w:id="57678194">
                  <w:marLeft w:val="0"/>
                  <w:marRight w:val="0"/>
                  <w:marTop w:val="0"/>
                  <w:marBottom w:val="0"/>
                  <w:divBdr>
                    <w:top w:val="none" w:sz="0" w:space="0" w:color="auto"/>
                    <w:left w:val="none" w:sz="0" w:space="0" w:color="auto"/>
                    <w:bottom w:val="none" w:sz="0" w:space="0" w:color="auto"/>
                    <w:right w:val="none" w:sz="0" w:space="0" w:color="auto"/>
                  </w:divBdr>
                </w:div>
                <w:div w:id="77602009">
                  <w:marLeft w:val="0"/>
                  <w:marRight w:val="0"/>
                  <w:marTop w:val="0"/>
                  <w:marBottom w:val="0"/>
                  <w:divBdr>
                    <w:top w:val="none" w:sz="0" w:space="0" w:color="auto"/>
                    <w:left w:val="none" w:sz="0" w:space="0" w:color="auto"/>
                    <w:bottom w:val="none" w:sz="0" w:space="0" w:color="auto"/>
                    <w:right w:val="none" w:sz="0" w:space="0" w:color="auto"/>
                  </w:divBdr>
                </w:div>
                <w:div w:id="126704709">
                  <w:marLeft w:val="0"/>
                  <w:marRight w:val="0"/>
                  <w:marTop w:val="0"/>
                  <w:marBottom w:val="0"/>
                  <w:divBdr>
                    <w:top w:val="none" w:sz="0" w:space="0" w:color="auto"/>
                    <w:left w:val="none" w:sz="0" w:space="0" w:color="auto"/>
                    <w:bottom w:val="none" w:sz="0" w:space="0" w:color="auto"/>
                    <w:right w:val="none" w:sz="0" w:space="0" w:color="auto"/>
                  </w:divBdr>
                </w:div>
                <w:div w:id="148139906">
                  <w:marLeft w:val="0"/>
                  <w:marRight w:val="0"/>
                  <w:marTop w:val="0"/>
                  <w:marBottom w:val="0"/>
                  <w:divBdr>
                    <w:top w:val="none" w:sz="0" w:space="0" w:color="auto"/>
                    <w:left w:val="none" w:sz="0" w:space="0" w:color="auto"/>
                    <w:bottom w:val="none" w:sz="0" w:space="0" w:color="auto"/>
                    <w:right w:val="none" w:sz="0" w:space="0" w:color="auto"/>
                  </w:divBdr>
                </w:div>
                <w:div w:id="166408431">
                  <w:marLeft w:val="0"/>
                  <w:marRight w:val="0"/>
                  <w:marTop w:val="0"/>
                  <w:marBottom w:val="0"/>
                  <w:divBdr>
                    <w:top w:val="none" w:sz="0" w:space="0" w:color="auto"/>
                    <w:left w:val="none" w:sz="0" w:space="0" w:color="auto"/>
                    <w:bottom w:val="none" w:sz="0" w:space="0" w:color="auto"/>
                    <w:right w:val="none" w:sz="0" w:space="0" w:color="auto"/>
                  </w:divBdr>
                </w:div>
                <w:div w:id="179970136">
                  <w:marLeft w:val="0"/>
                  <w:marRight w:val="0"/>
                  <w:marTop w:val="0"/>
                  <w:marBottom w:val="0"/>
                  <w:divBdr>
                    <w:top w:val="none" w:sz="0" w:space="0" w:color="auto"/>
                    <w:left w:val="none" w:sz="0" w:space="0" w:color="auto"/>
                    <w:bottom w:val="none" w:sz="0" w:space="0" w:color="auto"/>
                    <w:right w:val="none" w:sz="0" w:space="0" w:color="auto"/>
                  </w:divBdr>
                </w:div>
                <w:div w:id="214388987">
                  <w:marLeft w:val="0"/>
                  <w:marRight w:val="0"/>
                  <w:marTop w:val="0"/>
                  <w:marBottom w:val="0"/>
                  <w:divBdr>
                    <w:top w:val="none" w:sz="0" w:space="0" w:color="auto"/>
                    <w:left w:val="none" w:sz="0" w:space="0" w:color="auto"/>
                    <w:bottom w:val="none" w:sz="0" w:space="0" w:color="auto"/>
                    <w:right w:val="none" w:sz="0" w:space="0" w:color="auto"/>
                  </w:divBdr>
                </w:div>
                <w:div w:id="214854277">
                  <w:marLeft w:val="0"/>
                  <w:marRight w:val="0"/>
                  <w:marTop w:val="0"/>
                  <w:marBottom w:val="0"/>
                  <w:divBdr>
                    <w:top w:val="none" w:sz="0" w:space="0" w:color="auto"/>
                    <w:left w:val="none" w:sz="0" w:space="0" w:color="auto"/>
                    <w:bottom w:val="none" w:sz="0" w:space="0" w:color="auto"/>
                    <w:right w:val="none" w:sz="0" w:space="0" w:color="auto"/>
                  </w:divBdr>
                </w:div>
                <w:div w:id="239826913">
                  <w:marLeft w:val="0"/>
                  <w:marRight w:val="0"/>
                  <w:marTop w:val="0"/>
                  <w:marBottom w:val="0"/>
                  <w:divBdr>
                    <w:top w:val="none" w:sz="0" w:space="0" w:color="auto"/>
                    <w:left w:val="none" w:sz="0" w:space="0" w:color="auto"/>
                    <w:bottom w:val="none" w:sz="0" w:space="0" w:color="auto"/>
                    <w:right w:val="none" w:sz="0" w:space="0" w:color="auto"/>
                  </w:divBdr>
                </w:div>
                <w:div w:id="244458008">
                  <w:marLeft w:val="0"/>
                  <w:marRight w:val="0"/>
                  <w:marTop w:val="0"/>
                  <w:marBottom w:val="0"/>
                  <w:divBdr>
                    <w:top w:val="none" w:sz="0" w:space="0" w:color="auto"/>
                    <w:left w:val="none" w:sz="0" w:space="0" w:color="auto"/>
                    <w:bottom w:val="none" w:sz="0" w:space="0" w:color="auto"/>
                    <w:right w:val="none" w:sz="0" w:space="0" w:color="auto"/>
                  </w:divBdr>
                </w:div>
                <w:div w:id="245652313">
                  <w:marLeft w:val="0"/>
                  <w:marRight w:val="0"/>
                  <w:marTop w:val="0"/>
                  <w:marBottom w:val="0"/>
                  <w:divBdr>
                    <w:top w:val="none" w:sz="0" w:space="0" w:color="auto"/>
                    <w:left w:val="none" w:sz="0" w:space="0" w:color="auto"/>
                    <w:bottom w:val="none" w:sz="0" w:space="0" w:color="auto"/>
                    <w:right w:val="none" w:sz="0" w:space="0" w:color="auto"/>
                  </w:divBdr>
                </w:div>
                <w:div w:id="272637030">
                  <w:marLeft w:val="0"/>
                  <w:marRight w:val="0"/>
                  <w:marTop w:val="0"/>
                  <w:marBottom w:val="0"/>
                  <w:divBdr>
                    <w:top w:val="none" w:sz="0" w:space="0" w:color="auto"/>
                    <w:left w:val="none" w:sz="0" w:space="0" w:color="auto"/>
                    <w:bottom w:val="none" w:sz="0" w:space="0" w:color="auto"/>
                    <w:right w:val="none" w:sz="0" w:space="0" w:color="auto"/>
                  </w:divBdr>
                </w:div>
                <w:div w:id="275021115">
                  <w:marLeft w:val="0"/>
                  <w:marRight w:val="0"/>
                  <w:marTop w:val="0"/>
                  <w:marBottom w:val="0"/>
                  <w:divBdr>
                    <w:top w:val="none" w:sz="0" w:space="0" w:color="auto"/>
                    <w:left w:val="none" w:sz="0" w:space="0" w:color="auto"/>
                    <w:bottom w:val="none" w:sz="0" w:space="0" w:color="auto"/>
                    <w:right w:val="none" w:sz="0" w:space="0" w:color="auto"/>
                  </w:divBdr>
                </w:div>
                <w:div w:id="291788781">
                  <w:marLeft w:val="0"/>
                  <w:marRight w:val="0"/>
                  <w:marTop w:val="0"/>
                  <w:marBottom w:val="0"/>
                  <w:divBdr>
                    <w:top w:val="none" w:sz="0" w:space="0" w:color="auto"/>
                    <w:left w:val="none" w:sz="0" w:space="0" w:color="auto"/>
                    <w:bottom w:val="none" w:sz="0" w:space="0" w:color="auto"/>
                    <w:right w:val="none" w:sz="0" w:space="0" w:color="auto"/>
                  </w:divBdr>
                </w:div>
                <w:div w:id="300305290">
                  <w:marLeft w:val="0"/>
                  <w:marRight w:val="0"/>
                  <w:marTop w:val="0"/>
                  <w:marBottom w:val="0"/>
                  <w:divBdr>
                    <w:top w:val="none" w:sz="0" w:space="0" w:color="auto"/>
                    <w:left w:val="none" w:sz="0" w:space="0" w:color="auto"/>
                    <w:bottom w:val="none" w:sz="0" w:space="0" w:color="auto"/>
                    <w:right w:val="none" w:sz="0" w:space="0" w:color="auto"/>
                  </w:divBdr>
                </w:div>
                <w:div w:id="432554120">
                  <w:marLeft w:val="0"/>
                  <w:marRight w:val="0"/>
                  <w:marTop w:val="0"/>
                  <w:marBottom w:val="0"/>
                  <w:divBdr>
                    <w:top w:val="none" w:sz="0" w:space="0" w:color="auto"/>
                    <w:left w:val="none" w:sz="0" w:space="0" w:color="auto"/>
                    <w:bottom w:val="none" w:sz="0" w:space="0" w:color="auto"/>
                    <w:right w:val="none" w:sz="0" w:space="0" w:color="auto"/>
                  </w:divBdr>
                </w:div>
                <w:div w:id="464663490">
                  <w:marLeft w:val="0"/>
                  <w:marRight w:val="0"/>
                  <w:marTop w:val="0"/>
                  <w:marBottom w:val="0"/>
                  <w:divBdr>
                    <w:top w:val="none" w:sz="0" w:space="0" w:color="auto"/>
                    <w:left w:val="none" w:sz="0" w:space="0" w:color="auto"/>
                    <w:bottom w:val="none" w:sz="0" w:space="0" w:color="auto"/>
                    <w:right w:val="none" w:sz="0" w:space="0" w:color="auto"/>
                  </w:divBdr>
                </w:div>
                <w:div w:id="489175036">
                  <w:marLeft w:val="0"/>
                  <w:marRight w:val="0"/>
                  <w:marTop w:val="0"/>
                  <w:marBottom w:val="0"/>
                  <w:divBdr>
                    <w:top w:val="none" w:sz="0" w:space="0" w:color="auto"/>
                    <w:left w:val="none" w:sz="0" w:space="0" w:color="auto"/>
                    <w:bottom w:val="none" w:sz="0" w:space="0" w:color="auto"/>
                    <w:right w:val="none" w:sz="0" w:space="0" w:color="auto"/>
                  </w:divBdr>
                </w:div>
                <w:div w:id="491524744">
                  <w:marLeft w:val="0"/>
                  <w:marRight w:val="0"/>
                  <w:marTop w:val="0"/>
                  <w:marBottom w:val="0"/>
                  <w:divBdr>
                    <w:top w:val="none" w:sz="0" w:space="0" w:color="auto"/>
                    <w:left w:val="none" w:sz="0" w:space="0" w:color="auto"/>
                    <w:bottom w:val="none" w:sz="0" w:space="0" w:color="auto"/>
                    <w:right w:val="none" w:sz="0" w:space="0" w:color="auto"/>
                  </w:divBdr>
                </w:div>
                <w:div w:id="492642257">
                  <w:marLeft w:val="0"/>
                  <w:marRight w:val="0"/>
                  <w:marTop w:val="0"/>
                  <w:marBottom w:val="0"/>
                  <w:divBdr>
                    <w:top w:val="none" w:sz="0" w:space="0" w:color="auto"/>
                    <w:left w:val="none" w:sz="0" w:space="0" w:color="auto"/>
                    <w:bottom w:val="none" w:sz="0" w:space="0" w:color="auto"/>
                    <w:right w:val="none" w:sz="0" w:space="0" w:color="auto"/>
                  </w:divBdr>
                </w:div>
                <w:div w:id="501362385">
                  <w:marLeft w:val="0"/>
                  <w:marRight w:val="0"/>
                  <w:marTop w:val="0"/>
                  <w:marBottom w:val="0"/>
                  <w:divBdr>
                    <w:top w:val="none" w:sz="0" w:space="0" w:color="auto"/>
                    <w:left w:val="none" w:sz="0" w:space="0" w:color="auto"/>
                    <w:bottom w:val="none" w:sz="0" w:space="0" w:color="auto"/>
                    <w:right w:val="none" w:sz="0" w:space="0" w:color="auto"/>
                  </w:divBdr>
                </w:div>
                <w:div w:id="509180159">
                  <w:marLeft w:val="0"/>
                  <w:marRight w:val="0"/>
                  <w:marTop w:val="0"/>
                  <w:marBottom w:val="0"/>
                  <w:divBdr>
                    <w:top w:val="none" w:sz="0" w:space="0" w:color="auto"/>
                    <w:left w:val="none" w:sz="0" w:space="0" w:color="auto"/>
                    <w:bottom w:val="none" w:sz="0" w:space="0" w:color="auto"/>
                    <w:right w:val="none" w:sz="0" w:space="0" w:color="auto"/>
                  </w:divBdr>
                </w:div>
                <w:div w:id="541601016">
                  <w:marLeft w:val="0"/>
                  <w:marRight w:val="0"/>
                  <w:marTop w:val="0"/>
                  <w:marBottom w:val="0"/>
                  <w:divBdr>
                    <w:top w:val="none" w:sz="0" w:space="0" w:color="auto"/>
                    <w:left w:val="none" w:sz="0" w:space="0" w:color="auto"/>
                    <w:bottom w:val="none" w:sz="0" w:space="0" w:color="auto"/>
                    <w:right w:val="none" w:sz="0" w:space="0" w:color="auto"/>
                  </w:divBdr>
                </w:div>
                <w:div w:id="550459868">
                  <w:marLeft w:val="0"/>
                  <w:marRight w:val="0"/>
                  <w:marTop w:val="0"/>
                  <w:marBottom w:val="0"/>
                  <w:divBdr>
                    <w:top w:val="none" w:sz="0" w:space="0" w:color="auto"/>
                    <w:left w:val="none" w:sz="0" w:space="0" w:color="auto"/>
                    <w:bottom w:val="none" w:sz="0" w:space="0" w:color="auto"/>
                    <w:right w:val="none" w:sz="0" w:space="0" w:color="auto"/>
                  </w:divBdr>
                </w:div>
                <w:div w:id="553540471">
                  <w:marLeft w:val="0"/>
                  <w:marRight w:val="0"/>
                  <w:marTop w:val="0"/>
                  <w:marBottom w:val="0"/>
                  <w:divBdr>
                    <w:top w:val="none" w:sz="0" w:space="0" w:color="auto"/>
                    <w:left w:val="none" w:sz="0" w:space="0" w:color="auto"/>
                    <w:bottom w:val="none" w:sz="0" w:space="0" w:color="auto"/>
                    <w:right w:val="none" w:sz="0" w:space="0" w:color="auto"/>
                  </w:divBdr>
                </w:div>
                <w:div w:id="574973509">
                  <w:marLeft w:val="0"/>
                  <w:marRight w:val="0"/>
                  <w:marTop w:val="0"/>
                  <w:marBottom w:val="0"/>
                  <w:divBdr>
                    <w:top w:val="none" w:sz="0" w:space="0" w:color="auto"/>
                    <w:left w:val="none" w:sz="0" w:space="0" w:color="auto"/>
                    <w:bottom w:val="none" w:sz="0" w:space="0" w:color="auto"/>
                    <w:right w:val="none" w:sz="0" w:space="0" w:color="auto"/>
                  </w:divBdr>
                </w:div>
                <w:div w:id="584997813">
                  <w:marLeft w:val="0"/>
                  <w:marRight w:val="0"/>
                  <w:marTop w:val="0"/>
                  <w:marBottom w:val="0"/>
                  <w:divBdr>
                    <w:top w:val="none" w:sz="0" w:space="0" w:color="auto"/>
                    <w:left w:val="none" w:sz="0" w:space="0" w:color="auto"/>
                    <w:bottom w:val="none" w:sz="0" w:space="0" w:color="auto"/>
                    <w:right w:val="none" w:sz="0" w:space="0" w:color="auto"/>
                  </w:divBdr>
                </w:div>
                <w:div w:id="589125912">
                  <w:marLeft w:val="0"/>
                  <w:marRight w:val="0"/>
                  <w:marTop w:val="0"/>
                  <w:marBottom w:val="0"/>
                  <w:divBdr>
                    <w:top w:val="none" w:sz="0" w:space="0" w:color="auto"/>
                    <w:left w:val="none" w:sz="0" w:space="0" w:color="auto"/>
                    <w:bottom w:val="none" w:sz="0" w:space="0" w:color="auto"/>
                    <w:right w:val="none" w:sz="0" w:space="0" w:color="auto"/>
                  </w:divBdr>
                </w:div>
                <w:div w:id="605386823">
                  <w:marLeft w:val="0"/>
                  <w:marRight w:val="0"/>
                  <w:marTop w:val="0"/>
                  <w:marBottom w:val="0"/>
                  <w:divBdr>
                    <w:top w:val="none" w:sz="0" w:space="0" w:color="auto"/>
                    <w:left w:val="none" w:sz="0" w:space="0" w:color="auto"/>
                    <w:bottom w:val="none" w:sz="0" w:space="0" w:color="auto"/>
                    <w:right w:val="none" w:sz="0" w:space="0" w:color="auto"/>
                  </w:divBdr>
                </w:div>
                <w:div w:id="646513845">
                  <w:marLeft w:val="0"/>
                  <w:marRight w:val="0"/>
                  <w:marTop w:val="0"/>
                  <w:marBottom w:val="0"/>
                  <w:divBdr>
                    <w:top w:val="none" w:sz="0" w:space="0" w:color="auto"/>
                    <w:left w:val="none" w:sz="0" w:space="0" w:color="auto"/>
                    <w:bottom w:val="none" w:sz="0" w:space="0" w:color="auto"/>
                    <w:right w:val="none" w:sz="0" w:space="0" w:color="auto"/>
                  </w:divBdr>
                </w:div>
                <w:div w:id="657076429">
                  <w:marLeft w:val="0"/>
                  <w:marRight w:val="0"/>
                  <w:marTop w:val="0"/>
                  <w:marBottom w:val="0"/>
                  <w:divBdr>
                    <w:top w:val="none" w:sz="0" w:space="0" w:color="auto"/>
                    <w:left w:val="none" w:sz="0" w:space="0" w:color="auto"/>
                    <w:bottom w:val="none" w:sz="0" w:space="0" w:color="auto"/>
                    <w:right w:val="none" w:sz="0" w:space="0" w:color="auto"/>
                  </w:divBdr>
                </w:div>
                <w:div w:id="702943976">
                  <w:marLeft w:val="0"/>
                  <w:marRight w:val="0"/>
                  <w:marTop w:val="0"/>
                  <w:marBottom w:val="0"/>
                  <w:divBdr>
                    <w:top w:val="none" w:sz="0" w:space="0" w:color="auto"/>
                    <w:left w:val="none" w:sz="0" w:space="0" w:color="auto"/>
                    <w:bottom w:val="none" w:sz="0" w:space="0" w:color="auto"/>
                    <w:right w:val="none" w:sz="0" w:space="0" w:color="auto"/>
                  </w:divBdr>
                </w:div>
                <w:div w:id="737943366">
                  <w:marLeft w:val="0"/>
                  <w:marRight w:val="0"/>
                  <w:marTop w:val="0"/>
                  <w:marBottom w:val="0"/>
                  <w:divBdr>
                    <w:top w:val="none" w:sz="0" w:space="0" w:color="auto"/>
                    <w:left w:val="none" w:sz="0" w:space="0" w:color="auto"/>
                    <w:bottom w:val="none" w:sz="0" w:space="0" w:color="auto"/>
                    <w:right w:val="none" w:sz="0" w:space="0" w:color="auto"/>
                  </w:divBdr>
                </w:div>
                <w:div w:id="763914575">
                  <w:marLeft w:val="0"/>
                  <w:marRight w:val="0"/>
                  <w:marTop w:val="0"/>
                  <w:marBottom w:val="0"/>
                  <w:divBdr>
                    <w:top w:val="none" w:sz="0" w:space="0" w:color="auto"/>
                    <w:left w:val="none" w:sz="0" w:space="0" w:color="auto"/>
                    <w:bottom w:val="none" w:sz="0" w:space="0" w:color="auto"/>
                    <w:right w:val="none" w:sz="0" w:space="0" w:color="auto"/>
                  </w:divBdr>
                </w:div>
                <w:div w:id="771238947">
                  <w:marLeft w:val="0"/>
                  <w:marRight w:val="0"/>
                  <w:marTop w:val="0"/>
                  <w:marBottom w:val="0"/>
                  <w:divBdr>
                    <w:top w:val="none" w:sz="0" w:space="0" w:color="auto"/>
                    <w:left w:val="none" w:sz="0" w:space="0" w:color="auto"/>
                    <w:bottom w:val="none" w:sz="0" w:space="0" w:color="auto"/>
                    <w:right w:val="none" w:sz="0" w:space="0" w:color="auto"/>
                  </w:divBdr>
                </w:div>
                <w:div w:id="786968536">
                  <w:marLeft w:val="0"/>
                  <w:marRight w:val="0"/>
                  <w:marTop w:val="0"/>
                  <w:marBottom w:val="0"/>
                  <w:divBdr>
                    <w:top w:val="none" w:sz="0" w:space="0" w:color="auto"/>
                    <w:left w:val="none" w:sz="0" w:space="0" w:color="auto"/>
                    <w:bottom w:val="none" w:sz="0" w:space="0" w:color="auto"/>
                    <w:right w:val="none" w:sz="0" w:space="0" w:color="auto"/>
                  </w:divBdr>
                </w:div>
                <w:div w:id="796414766">
                  <w:marLeft w:val="0"/>
                  <w:marRight w:val="0"/>
                  <w:marTop w:val="0"/>
                  <w:marBottom w:val="0"/>
                  <w:divBdr>
                    <w:top w:val="none" w:sz="0" w:space="0" w:color="auto"/>
                    <w:left w:val="none" w:sz="0" w:space="0" w:color="auto"/>
                    <w:bottom w:val="none" w:sz="0" w:space="0" w:color="auto"/>
                    <w:right w:val="none" w:sz="0" w:space="0" w:color="auto"/>
                  </w:divBdr>
                </w:div>
                <w:div w:id="849292138">
                  <w:marLeft w:val="0"/>
                  <w:marRight w:val="0"/>
                  <w:marTop w:val="0"/>
                  <w:marBottom w:val="0"/>
                  <w:divBdr>
                    <w:top w:val="none" w:sz="0" w:space="0" w:color="auto"/>
                    <w:left w:val="none" w:sz="0" w:space="0" w:color="auto"/>
                    <w:bottom w:val="none" w:sz="0" w:space="0" w:color="auto"/>
                    <w:right w:val="none" w:sz="0" w:space="0" w:color="auto"/>
                  </w:divBdr>
                </w:div>
                <w:div w:id="886137286">
                  <w:marLeft w:val="0"/>
                  <w:marRight w:val="0"/>
                  <w:marTop w:val="0"/>
                  <w:marBottom w:val="0"/>
                  <w:divBdr>
                    <w:top w:val="none" w:sz="0" w:space="0" w:color="auto"/>
                    <w:left w:val="none" w:sz="0" w:space="0" w:color="auto"/>
                    <w:bottom w:val="none" w:sz="0" w:space="0" w:color="auto"/>
                    <w:right w:val="none" w:sz="0" w:space="0" w:color="auto"/>
                  </w:divBdr>
                </w:div>
                <w:div w:id="926891190">
                  <w:marLeft w:val="0"/>
                  <w:marRight w:val="0"/>
                  <w:marTop w:val="0"/>
                  <w:marBottom w:val="0"/>
                  <w:divBdr>
                    <w:top w:val="none" w:sz="0" w:space="0" w:color="auto"/>
                    <w:left w:val="none" w:sz="0" w:space="0" w:color="auto"/>
                    <w:bottom w:val="none" w:sz="0" w:space="0" w:color="auto"/>
                    <w:right w:val="none" w:sz="0" w:space="0" w:color="auto"/>
                  </w:divBdr>
                </w:div>
                <w:div w:id="942227979">
                  <w:marLeft w:val="0"/>
                  <w:marRight w:val="0"/>
                  <w:marTop w:val="0"/>
                  <w:marBottom w:val="0"/>
                  <w:divBdr>
                    <w:top w:val="none" w:sz="0" w:space="0" w:color="auto"/>
                    <w:left w:val="none" w:sz="0" w:space="0" w:color="auto"/>
                    <w:bottom w:val="none" w:sz="0" w:space="0" w:color="auto"/>
                    <w:right w:val="none" w:sz="0" w:space="0" w:color="auto"/>
                  </w:divBdr>
                </w:div>
                <w:div w:id="982782074">
                  <w:marLeft w:val="0"/>
                  <w:marRight w:val="0"/>
                  <w:marTop w:val="0"/>
                  <w:marBottom w:val="0"/>
                  <w:divBdr>
                    <w:top w:val="none" w:sz="0" w:space="0" w:color="auto"/>
                    <w:left w:val="none" w:sz="0" w:space="0" w:color="auto"/>
                    <w:bottom w:val="none" w:sz="0" w:space="0" w:color="auto"/>
                    <w:right w:val="none" w:sz="0" w:space="0" w:color="auto"/>
                  </w:divBdr>
                </w:div>
                <w:div w:id="1001852853">
                  <w:marLeft w:val="0"/>
                  <w:marRight w:val="0"/>
                  <w:marTop w:val="0"/>
                  <w:marBottom w:val="0"/>
                  <w:divBdr>
                    <w:top w:val="none" w:sz="0" w:space="0" w:color="auto"/>
                    <w:left w:val="none" w:sz="0" w:space="0" w:color="auto"/>
                    <w:bottom w:val="none" w:sz="0" w:space="0" w:color="auto"/>
                    <w:right w:val="none" w:sz="0" w:space="0" w:color="auto"/>
                  </w:divBdr>
                </w:div>
                <w:div w:id="1007443594">
                  <w:marLeft w:val="0"/>
                  <w:marRight w:val="0"/>
                  <w:marTop w:val="0"/>
                  <w:marBottom w:val="0"/>
                  <w:divBdr>
                    <w:top w:val="none" w:sz="0" w:space="0" w:color="auto"/>
                    <w:left w:val="none" w:sz="0" w:space="0" w:color="auto"/>
                    <w:bottom w:val="none" w:sz="0" w:space="0" w:color="auto"/>
                    <w:right w:val="none" w:sz="0" w:space="0" w:color="auto"/>
                  </w:divBdr>
                </w:div>
                <w:div w:id="1016809029">
                  <w:marLeft w:val="0"/>
                  <w:marRight w:val="0"/>
                  <w:marTop w:val="0"/>
                  <w:marBottom w:val="0"/>
                  <w:divBdr>
                    <w:top w:val="none" w:sz="0" w:space="0" w:color="auto"/>
                    <w:left w:val="none" w:sz="0" w:space="0" w:color="auto"/>
                    <w:bottom w:val="none" w:sz="0" w:space="0" w:color="auto"/>
                    <w:right w:val="none" w:sz="0" w:space="0" w:color="auto"/>
                  </w:divBdr>
                </w:div>
                <w:div w:id="1019114247">
                  <w:marLeft w:val="0"/>
                  <w:marRight w:val="0"/>
                  <w:marTop w:val="0"/>
                  <w:marBottom w:val="0"/>
                  <w:divBdr>
                    <w:top w:val="none" w:sz="0" w:space="0" w:color="auto"/>
                    <w:left w:val="none" w:sz="0" w:space="0" w:color="auto"/>
                    <w:bottom w:val="none" w:sz="0" w:space="0" w:color="auto"/>
                    <w:right w:val="none" w:sz="0" w:space="0" w:color="auto"/>
                  </w:divBdr>
                </w:div>
                <w:div w:id="1041176477">
                  <w:marLeft w:val="0"/>
                  <w:marRight w:val="0"/>
                  <w:marTop w:val="0"/>
                  <w:marBottom w:val="0"/>
                  <w:divBdr>
                    <w:top w:val="none" w:sz="0" w:space="0" w:color="auto"/>
                    <w:left w:val="none" w:sz="0" w:space="0" w:color="auto"/>
                    <w:bottom w:val="none" w:sz="0" w:space="0" w:color="auto"/>
                    <w:right w:val="none" w:sz="0" w:space="0" w:color="auto"/>
                  </w:divBdr>
                </w:div>
                <w:div w:id="1044208628">
                  <w:marLeft w:val="0"/>
                  <w:marRight w:val="0"/>
                  <w:marTop w:val="0"/>
                  <w:marBottom w:val="0"/>
                  <w:divBdr>
                    <w:top w:val="none" w:sz="0" w:space="0" w:color="auto"/>
                    <w:left w:val="none" w:sz="0" w:space="0" w:color="auto"/>
                    <w:bottom w:val="none" w:sz="0" w:space="0" w:color="auto"/>
                    <w:right w:val="none" w:sz="0" w:space="0" w:color="auto"/>
                  </w:divBdr>
                </w:div>
                <w:div w:id="1050231648">
                  <w:marLeft w:val="0"/>
                  <w:marRight w:val="0"/>
                  <w:marTop w:val="0"/>
                  <w:marBottom w:val="0"/>
                  <w:divBdr>
                    <w:top w:val="none" w:sz="0" w:space="0" w:color="auto"/>
                    <w:left w:val="none" w:sz="0" w:space="0" w:color="auto"/>
                    <w:bottom w:val="none" w:sz="0" w:space="0" w:color="auto"/>
                    <w:right w:val="none" w:sz="0" w:space="0" w:color="auto"/>
                  </w:divBdr>
                </w:div>
                <w:div w:id="1055350433">
                  <w:marLeft w:val="0"/>
                  <w:marRight w:val="0"/>
                  <w:marTop w:val="0"/>
                  <w:marBottom w:val="0"/>
                  <w:divBdr>
                    <w:top w:val="none" w:sz="0" w:space="0" w:color="auto"/>
                    <w:left w:val="none" w:sz="0" w:space="0" w:color="auto"/>
                    <w:bottom w:val="none" w:sz="0" w:space="0" w:color="auto"/>
                    <w:right w:val="none" w:sz="0" w:space="0" w:color="auto"/>
                  </w:divBdr>
                </w:div>
                <w:div w:id="1088884030">
                  <w:marLeft w:val="0"/>
                  <w:marRight w:val="0"/>
                  <w:marTop w:val="0"/>
                  <w:marBottom w:val="0"/>
                  <w:divBdr>
                    <w:top w:val="none" w:sz="0" w:space="0" w:color="auto"/>
                    <w:left w:val="none" w:sz="0" w:space="0" w:color="auto"/>
                    <w:bottom w:val="none" w:sz="0" w:space="0" w:color="auto"/>
                    <w:right w:val="none" w:sz="0" w:space="0" w:color="auto"/>
                  </w:divBdr>
                </w:div>
                <w:div w:id="1093473343">
                  <w:marLeft w:val="0"/>
                  <w:marRight w:val="0"/>
                  <w:marTop w:val="0"/>
                  <w:marBottom w:val="0"/>
                  <w:divBdr>
                    <w:top w:val="none" w:sz="0" w:space="0" w:color="auto"/>
                    <w:left w:val="none" w:sz="0" w:space="0" w:color="auto"/>
                    <w:bottom w:val="none" w:sz="0" w:space="0" w:color="auto"/>
                    <w:right w:val="none" w:sz="0" w:space="0" w:color="auto"/>
                  </w:divBdr>
                </w:div>
                <w:div w:id="1135562555">
                  <w:marLeft w:val="0"/>
                  <w:marRight w:val="0"/>
                  <w:marTop w:val="0"/>
                  <w:marBottom w:val="0"/>
                  <w:divBdr>
                    <w:top w:val="none" w:sz="0" w:space="0" w:color="auto"/>
                    <w:left w:val="none" w:sz="0" w:space="0" w:color="auto"/>
                    <w:bottom w:val="none" w:sz="0" w:space="0" w:color="auto"/>
                    <w:right w:val="none" w:sz="0" w:space="0" w:color="auto"/>
                  </w:divBdr>
                </w:div>
                <w:div w:id="1151025128">
                  <w:marLeft w:val="0"/>
                  <w:marRight w:val="0"/>
                  <w:marTop w:val="0"/>
                  <w:marBottom w:val="0"/>
                  <w:divBdr>
                    <w:top w:val="none" w:sz="0" w:space="0" w:color="auto"/>
                    <w:left w:val="none" w:sz="0" w:space="0" w:color="auto"/>
                    <w:bottom w:val="none" w:sz="0" w:space="0" w:color="auto"/>
                    <w:right w:val="none" w:sz="0" w:space="0" w:color="auto"/>
                  </w:divBdr>
                </w:div>
                <w:div w:id="1157496945">
                  <w:marLeft w:val="0"/>
                  <w:marRight w:val="0"/>
                  <w:marTop w:val="0"/>
                  <w:marBottom w:val="0"/>
                  <w:divBdr>
                    <w:top w:val="none" w:sz="0" w:space="0" w:color="auto"/>
                    <w:left w:val="none" w:sz="0" w:space="0" w:color="auto"/>
                    <w:bottom w:val="none" w:sz="0" w:space="0" w:color="auto"/>
                    <w:right w:val="none" w:sz="0" w:space="0" w:color="auto"/>
                  </w:divBdr>
                </w:div>
                <w:div w:id="1166940060">
                  <w:marLeft w:val="0"/>
                  <w:marRight w:val="0"/>
                  <w:marTop w:val="0"/>
                  <w:marBottom w:val="0"/>
                  <w:divBdr>
                    <w:top w:val="none" w:sz="0" w:space="0" w:color="auto"/>
                    <w:left w:val="none" w:sz="0" w:space="0" w:color="auto"/>
                    <w:bottom w:val="none" w:sz="0" w:space="0" w:color="auto"/>
                    <w:right w:val="none" w:sz="0" w:space="0" w:color="auto"/>
                  </w:divBdr>
                </w:div>
                <w:div w:id="1170632995">
                  <w:marLeft w:val="0"/>
                  <w:marRight w:val="0"/>
                  <w:marTop w:val="0"/>
                  <w:marBottom w:val="0"/>
                  <w:divBdr>
                    <w:top w:val="none" w:sz="0" w:space="0" w:color="auto"/>
                    <w:left w:val="none" w:sz="0" w:space="0" w:color="auto"/>
                    <w:bottom w:val="none" w:sz="0" w:space="0" w:color="auto"/>
                    <w:right w:val="none" w:sz="0" w:space="0" w:color="auto"/>
                  </w:divBdr>
                </w:div>
                <w:div w:id="1187938097">
                  <w:marLeft w:val="0"/>
                  <w:marRight w:val="0"/>
                  <w:marTop w:val="0"/>
                  <w:marBottom w:val="0"/>
                  <w:divBdr>
                    <w:top w:val="none" w:sz="0" w:space="0" w:color="auto"/>
                    <w:left w:val="none" w:sz="0" w:space="0" w:color="auto"/>
                    <w:bottom w:val="none" w:sz="0" w:space="0" w:color="auto"/>
                    <w:right w:val="none" w:sz="0" w:space="0" w:color="auto"/>
                  </w:divBdr>
                </w:div>
                <w:div w:id="1197036905">
                  <w:marLeft w:val="0"/>
                  <w:marRight w:val="0"/>
                  <w:marTop w:val="0"/>
                  <w:marBottom w:val="0"/>
                  <w:divBdr>
                    <w:top w:val="none" w:sz="0" w:space="0" w:color="auto"/>
                    <w:left w:val="none" w:sz="0" w:space="0" w:color="auto"/>
                    <w:bottom w:val="none" w:sz="0" w:space="0" w:color="auto"/>
                    <w:right w:val="none" w:sz="0" w:space="0" w:color="auto"/>
                  </w:divBdr>
                </w:div>
                <w:div w:id="1208225188">
                  <w:marLeft w:val="0"/>
                  <w:marRight w:val="0"/>
                  <w:marTop w:val="0"/>
                  <w:marBottom w:val="0"/>
                  <w:divBdr>
                    <w:top w:val="none" w:sz="0" w:space="0" w:color="auto"/>
                    <w:left w:val="none" w:sz="0" w:space="0" w:color="auto"/>
                    <w:bottom w:val="none" w:sz="0" w:space="0" w:color="auto"/>
                    <w:right w:val="none" w:sz="0" w:space="0" w:color="auto"/>
                  </w:divBdr>
                </w:div>
                <w:div w:id="1209222290">
                  <w:marLeft w:val="0"/>
                  <w:marRight w:val="0"/>
                  <w:marTop w:val="0"/>
                  <w:marBottom w:val="0"/>
                  <w:divBdr>
                    <w:top w:val="none" w:sz="0" w:space="0" w:color="auto"/>
                    <w:left w:val="none" w:sz="0" w:space="0" w:color="auto"/>
                    <w:bottom w:val="none" w:sz="0" w:space="0" w:color="auto"/>
                    <w:right w:val="none" w:sz="0" w:space="0" w:color="auto"/>
                  </w:divBdr>
                </w:div>
                <w:div w:id="1246455951">
                  <w:marLeft w:val="0"/>
                  <w:marRight w:val="0"/>
                  <w:marTop w:val="0"/>
                  <w:marBottom w:val="0"/>
                  <w:divBdr>
                    <w:top w:val="none" w:sz="0" w:space="0" w:color="auto"/>
                    <w:left w:val="none" w:sz="0" w:space="0" w:color="auto"/>
                    <w:bottom w:val="none" w:sz="0" w:space="0" w:color="auto"/>
                    <w:right w:val="none" w:sz="0" w:space="0" w:color="auto"/>
                  </w:divBdr>
                </w:div>
                <w:div w:id="1247836222">
                  <w:marLeft w:val="0"/>
                  <w:marRight w:val="0"/>
                  <w:marTop w:val="0"/>
                  <w:marBottom w:val="0"/>
                  <w:divBdr>
                    <w:top w:val="none" w:sz="0" w:space="0" w:color="auto"/>
                    <w:left w:val="none" w:sz="0" w:space="0" w:color="auto"/>
                    <w:bottom w:val="none" w:sz="0" w:space="0" w:color="auto"/>
                    <w:right w:val="none" w:sz="0" w:space="0" w:color="auto"/>
                  </w:divBdr>
                </w:div>
                <w:div w:id="1250118701">
                  <w:marLeft w:val="0"/>
                  <w:marRight w:val="0"/>
                  <w:marTop w:val="0"/>
                  <w:marBottom w:val="0"/>
                  <w:divBdr>
                    <w:top w:val="none" w:sz="0" w:space="0" w:color="auto"/>
                    <w:left w:val="none" w:sz="0" w:space="0" w:color="auto"/>
                    <w:bottom w:val="none" w:sz="0" w:space="0" w:color="auto"/>
                    <w:right w:val="none" w:sz="0" w:space="0" w:color="auto"/>
                  </w:divBdr>
                </w:div>
                <w:div w:id="1285499017">
                  <w:marLeft w:val="0"/>
                  <w:marRight w:val="0"/>
                  <w:marTop w:val="0"/>
                  <w:marBottom w:val="0"/>
                  <w:divBdr>
                    <w:top w:val="none" w:sz="0" w:space="0" w:color="auto"/>
                    <w:left w:val="none" w:sz="0" w:space="0" w:color="auto"/>
                    <w:bottom w:val="none" w:sz="0" w:space="0" w:color="auto"/>
                    <w:right w:val="none" w:sz="0" w:space="0" w:color="auto"/>
                  </w:divBdr>
                </w:div>
                <w:div w:id="1324815842">
                  <w:marLeft w:val="0"/>
                  <w:marRight w:val="0"/>
                  <w:marTop w:val="0"/>
                  <w:marBottom w:val="0"/>
                  <w:divBdr>
                    <w:top w:val="none" w:sz="0" w:space="0" w:color="auto"/>
                    <w:left w:val="none" w:sz="0" w:space="0" w:color="auto"/>
                    <w:bottom w:val="none" w:sz="0" w:space="0" w:color="auto"/>
                    <w:right w:val="none" w:sz="0" w:space="0" w:color="auto"/>
                  </w:divBdr>
                </w:div>
                <w:div w:id="1375545222">
                  <w:marLeft w:val="0"/>
                  <w:marRight w:val="0"/>
                  <w:marTop w:val="0"/>
                  <w:marBottom w:val="0"/>
                  <w:divBdr>
                    <w:top w:val="none" w:sz="0" w:space="0" w:color="auto"/>
                    <w:left w:val="none" w:sz="0" w:space="0" w:color="auto"/>
                    <w:bottom w:val="none" w:sz="0" w:space="0" w:color="auto"/>
                    <w:right w:val="none" w:sz="0" w:space="0" w:color="auto"/>
                  </w:divBdr>
                </w:div>
                <w:div w:id="1390497697">
                  <w:marLeft w:val="0"/>
                  <w:marRight w:val="0"/>
                  <w:marTop w:val="0"/>
                  <w:marBottom w:val="0"/>
                  <w:divBdr>
                    <w:top w:val="none" w:sz="0" w:space="0" w:color="auto"/>
                    <w:left w:val="none" w:sz="0" w:space="0" w:color="auto"/>
                    <w:bottom w:val="none" w:sz="0" w:space="0" w:color="auto"/>
                    <w:right w:val="none" w:sz="0" w:space="0" w:color="auto"/>
                  </w:divBdr>
                </w:div>
                <w:div w:id="1398016182">
                  <w:marLeft w:val="0"/>
                  <w:marRight w:val="0"/>
                  <w:marTop w:val="0"/>
                  <w:marBottom w:val="0"/>
                  <w:divBdr>
                    <w:top w:val="none" w:sz="0" w:space="0" w:color="auto"/>
                    <w:left w:val="none" w:sz="0" w:space="0" w:color="auto"/>
                    <w:bottom w:val="none" w:sz="0" w:space="0" w:color="auto"/>
                    <w:right w:val="none" w:sz="0" w:space="0" w:color="auto"/>
                  </w:divBdr>
                </w:div>
                <w:div w:id="1399356522">
                  <w:marLeft w:val="0"/>
                  <w:marRight w:val="0"/>
                  <w:marTop w:val="0"/>
                  <w:marBottom w:val="0"/>
                  <w:divBdr>
                    <w:top w:val="none" w:sz="0" w:space="0" w:color="auto"/>
                    <w:left w:val="none" w:sz="0" w:space="0" w:color="auto"/>
                    <w:bottom w:val="none" w:sz="0" w:space="0" w:color="auto"/>
                    <w:right w:val="none" w:sz="0" w:space="0" w:color="auto"/>
                  </w:divBdr>
                </w:div>
                <w:div w:id="1421172702">
                  <w:marLeft w:val="0"/>
                  <w:marRight w:val="0"/>
                  <w:marTop w:val="0"/>
                  <w:marBottom w:val="0"/>
                  <w:divBdr>
                    <w:top w:val="none" w:sz="0" w:space="0" w:color="auto"/>
                    <w:left w:val="none" w:sz="0" w:space="0" w:color="auto"/>
                    <w:bottom w:val="none" w:sz="0" w:space="0" w:color="auto"/>
                    <w:right w:val="none" w:sz="0" w:space="0" w:color="auto"/>
                  </w:divBdr>
                </w:div>
                <w:div w:id="1491210130">
                  <w:marLeft w:val="0"/>
                  <w:marRight w:val="0"/>
                  <w:marTop w:val="0"/>
                  <w:marBottom w:val="0"/>
                  <w:divBdr>
                    <w:top w:val="none" w:sz="0" w:space="0" w:color="auto"/>
                    <w:left w:val="none" w:sz="0" w:space="0" w:color="auto"/>
                    <w:bottom w:val="none" w:sz="0" w:space="0" w:color="auto"/>
                    <w:right w:val="none" w:sz="0" w:space="0" w:color="auto"/>
                  </w:divBdr>
                </w:div>
                <w:div w:id="1549297832">
                  <w:marLeft w:val="0"/>
                  <w:marRight w:val="0"/>
                  <w:marTop w:val="0"/>
                  <w:marBottom w:val="0"/>
                  <w:divBdr>
                    <w:top w:val="none" w:sz="0" w:space="0" w:color="auto"/>
                    <w:left w:val="none" w:sz="0" w:space="0" w:color="auto"/>
                    <w:bottom w:val="none" w:sz="0" w:space="0" w:color="auto"/>
                    <w:right w:val="none" w:sz="0" w:space="0" w:color="auto"/>
                  </w:divBdr>
                </w:div>
                <w:div w:id="1570000535">
                  <w:marLeft w:val="0"/>
                  <w:marRight w:val="0"/>
                  <w:marTop w:val="0"/>
                  <w:marBottom w:val="0"/>
                  <w:divBdr>
                    <w:top w:val="none" w:sz="0" w:space="0" w:color="auto"/>
                    <w:left w:val="none" w:sz="0" w:space="0" w:color="auto"/>
                    <w:bottom w:val="none" w:sz="0" w:space="0" w:color="auto"/>
                    <w:right w:val="none" w:sz="0" w:space="0" w:color="auto"/>
                  </w:divBdr>
                </w:div>
                <w:div w:id="1608535507">
                  <w:marLeft w:val="0"/>
                  <w:marRight w:val="0"/>
                  <w:marTop w:val="0"/>
                  <w:marBottom w:val="0"/>
                  <w:divBdr>
                    <w:top w:val="none" w:sz="0" w:space="0" w:color="auto"/>
                    <w:left w:val="none" w:sz="0" w:space="0" w:color="auto"/>
                    <w:bottom w:val="none" w:sz="0" w:space="0" w:color="auto"/>
                    <w:right w:val="none" w:sz="0" w:space="0" w:color="auto"/>
                  </w:divBdr>
                </w:div>
                <w:div w:id="1648851077">
                  <w:marLeft w:val="0"/>
                  <w:marRight w:val="0"/>
                  <w:marTop w:val="0"/>
                  <w:marBottom w:val="0"/>
                  <w:divBdr>
                    <w:top w:val="none" w:sz="0" w:space="0" w:color="auto"/>
                    <w:left w:val="none" w:sz="0" w:space="0" w:color="auto"/>
                    <w:bottom w:val="none" w:sz="0" w:space="0" w:color="auto"/>
                    <w:right w:val="none" w:sz="0" w:space="0" w:color="auto"/>
                  </w:divBdr>
                </w:div>
                <w:div w:id="1654486068">
                  <w:marLeft w:val="0"/>
                  <w:marRight w:val="0"/>
                  <w:marTop w:val="0"/>
                  <w:marBottom w:val="0"/>
                  <w:divBdr>
                    <w:top w:val="none" w:sz="0" w:space="0" w:color="auto"/>
                    <w:left w:val="none" w:sz="0" w:space="0" w:color="auto"/>
                    <w:bottom w:val="none" w:sz="0" w:space="0" w:color="auto"/>
                    <w:right w:val="none" w:sz="0" w:space="0" w:color="auto"/>
                  </w:divBdr>
                </w:div>
                <w:div w:id="1699159529">
                  <w:marLeft w:val="0"/>
                  <w:marRight w:val="0"/>
                  <w:marTop w:val="0"/>
                  <w:marBottom w:val="0"/>
                  <w:divBdr>
                    <w:top w:val="none" w:sz="0" w:space="0" w:color="auto"/>
                    <w:left w:val="none" w:sz="0" w:space="0" w:color="auto"/>
                    <w:bottom w:val="none" w:sz="0" w:space="0" w:color="auto"/>
                    <w:right w:val="none" w:sz="0" w:space="0" w:color="auto"/>
                  </w:divBdr>
                </w:div>
                <w:div w:id="1718822579">
                  <w:marLeft w:val="0"/>
                  <w:marRight w:val="0"/>
                  <w:marTop w:val="0"/>
                  <w:marBottom w:val="0"/>
                  <w:divBdr>
                    <w:top w:val="none" w:sz="0" w:space="0" w:color="auto"/>
                    <w:left w:val="none" w:sz="0" w:space="0" w:color="auto"/>
                    <w:bottom w:val="none" w:sz="0" w:space="0" w:color="auto"/>
                    <w:right w:val="none" w:sz="0" w:space="0" w:color="auto"/>
                  </w:divBdr>
                </w:div>
                <w:div w:id="1758819212">
                  <w:marLeft w:val="0"/>
                  <w:marRight w:val="0"/>
                  <w:marTop w:val="0"/>
                  <w:marBottom w:val="0"/>
                  <w:divBdr>
                    <w:top w:val="none" w:sz="0" w:space="0" w:color="auto"/>
                    <w:left w:val="none" w:sz="0" w:space="0" w:color="auto"/>
                    <w:bottom w:val="none" w:sz="0" w:space="0" w:color="auto"/>
                    <w:right w:val="none" w:sz="0" w:space="0" w:color="auto"/>
                  </w:divBdr>
                </w:div>
                <w:div w:id="1763841877">
                  <w:marLeft w:val="0"/>
                  <w:marRight w:val="0"/>
                  <w:marTop w:val="0"/>
                  <w:marBottom w:val="0"/>
                  <w:divBdr>
                    <w:top w:val="none" w:sz="0" w:space="0" w:color="auto"/>
                    <w:left w:val="none" w:sz="0" w:space="0" w:color="auto"/>
                    <w:bottom w:val="none" w:sz="0" w:space="0" w:color="auto"/>
                    <w:right w:val="none" w:sz="0" w:space="0" w:color="auto"/>
                  </w:divBdr>
                </w:div>
                <w:div w:id="1789009052">
                  <w:marLeft w:val="0"/>
                  <w:marRight w:val="0"/>
                  <w:marTop w:val="0"/>
                  <w:marBottom w:val="0"/>
                  <w:divBdr>
                    <w:top w:val="none" w:sz="0" w:space="0" w:color="auto"/>
                    <w:left w:val="none" w:sz="0" w:space="0" w:color="auto"/>
                    <w:bottom w:val="none" w:sz="0" w:space="0" w:color="auto"/>
                    <w:right w:val="none" w:sz="0" w:space="0" w:color="auto"/>
                  </w:divBdr>
                </w:div>
                <w:div w:id="1816948956">
                  <w:marLeft w:val="0"/>
                  <w:marRight w:val="0"/>
                  <w:marTop w:val="0"/>
                  <w:marBottom w:val="0"/>
                  <w:divBdr>
                    <w:top w:val="none" w:sz="0" w:space="0" w:color="auto"/>
                    <w:left w:val="none" w:sz="0" w:space="0" w:color="auto"/>
                    <w:bottom w:val="none" w:sz="0" w:space="0" w:color="auto"/>
                    <w:right w:val="none" w:sz="0" w:space="0" w:color="auto"/>
                  </w:divBdr>
                </w:div>
                <w:div w:id="1825049103">
                  <w:marLeft w:val="0"/>
                  <w:marRight w:val="0"/>
                  <w:marTop w:val="0"/>
                  <w:marBottom w:val="0"/>
                  <w:divBdr>
                    <w:top w:val="none" w:sz="0" w:space="0" w:color="auto"/>
                    <w:left w:val="none" w:sz="0" w:space="0" w:color="auto"/>
                    <w:bottom w:val="none" w:sz="0" w:space="0" w:color="auto"/>
                    <w:right w:val="none" w:sz="0" w:space="0" w:color="auto"/>
                  </w:divBdr>
                </w:div>
                <w:div w:id="1844125340">
                  <w:marLeft w:val="0"/>
                  <w:marRight w:val="0"/>
                  <w:marTop w:val="0"/>
                  <w:marBottom w:val="0"/>
                  <w:divBdr>
                    <w:top w:val="none" w:sz="0" w:space="0" w:color="auto"/>
                    <w:left w:val="none" w:sz="0" w:space="0" w:color="auto"/>
                    <w:bottom w:val="none" w:sz="0" w:space="0" w:color="auto"/>
                    <w:right w:val="none" w:sz="0" w:space="0" w:color="auto"/>
                  </w:divBdr>
                </w:div>
                <w:div w:id="1871382208">
                  <w:marLeft w:val="0"/>
                  <w:marRight w:val="0"/>
                  <w:marTop w:val="0"/>
                  <w:marBottom w:val="0"/>
                  <w:divBdr>
                    <w:top w:val="none" w:sz="0" w:space="0" w:color="auto"/>
                    <w:left w:val="none" w:sz="0" w:space="0" w:color="auto"/>
                    <w:bottom w:val="none" w:sz="0" w:space="0" w:color="auto"/>
                    <w:right w:val="none" w:sz="0" w:space="0" w:color="auto"/>
                  </w:divBdr>
                </w:div>
                <w:div w:id="1886746631">
                  <w:marLeft w:val="0"/>
                  <w:marRight w:val="0"/>
                  <w:marTop w:val="0"/>
                  <w:marBottom w:val="0"/>
                  <w:divBdr>
                    <w:top w:val="none" w:sz="0" w:space="0" w:color="auto"/>
                    <w:left w:val="none" w:sz="0" w:space="0" w:color="auto"/>
                    <w:bottom w:val="none" w:sz="0" w:space="0" w:color="auto"/>
                    <w:right w:val="none" w:sz="0" w:space="0" w:color="auto"/>
                  </w:divBdr>
                </w:div>
                <w:div w:id="1897935504">
                  <w:marLeft w:val="0"/>
                  <w:marRight w:val="0"/>
                  <w:marTop w:val="0"/>
                  <w:marBottom w:val="0"/>
                  <w:divBdr>
                    <w:top w:val="none" w:sz="0" w:space="0" w:color="auto"/>
                    <w:left w:val="none" w:sz="0" w:space="0" w:color="auto"/>
                    <w:bottom w:val="none" w:sz="0" w:space="0" w:color="auto"/>
                    <w:right w:val="none" w:sz="0" w:space="0" w:color="auto"/>
                  </w:divBdr>
                </w:div>
                <w:div w:id="1919830095">
                  <w:marLeft w:val="0"/>
                  <w:marRight w:val="0"/>
                  <w:marTop w:val="0"/>
                  <w:marBottom w:val="0"/>
                  <w:divBdr>
                    <w:top w:val="none" w:sz="0" w:space="0" w:color="auto"/>
                    <w:left w:val="none" w:sz="0" w:space="0" w:color="auto"/>
                    <w:bottom w:val="none" w:sz="0" w:space="0" w:color="auto"/>
                    <w:right w:val="none" w:sz="0" w:space="0" w:color="auto"/>
                  </w:divBdr>
                </w:div>
                <w:div w:id="1944876974">
                  <w:marLeft w:val="0"/>
                  <w:marRight w:val="0"/>
                  <w:marTop w:val="0"/>
                  <w:marBottom w:val="0"/>
                  <w:divBdr>
                    <w:top w:val="none" w:sz="0" w:space="0" w:color="auto"/>
                    <w:left w:val="none" w:sz="0" w:space="0" w:color="auto"/>
                    <w:bottom w:val="none" w:sz="0" w:space="0" w:color="auto"/>
                    <w:right w:val="none" w:sz="0" w:space="0" w:color="auto"/>
                  </w:divBdr>
                </w:div>
                <w:div w:id="1961913952">
                  <w:marLeft w:val="0"/>
                  <w:marRight w:val="0"/>
                  <w:marTop w:val="0"/>
                  <w:marBottom w:val="0"/>
                  <w:divBdr>
                    <w:top w:val="none" w:sz="0" w:space="0" w:color="auto"/>
                    <w:left w:val="none" w:sz="0" w:space="0" w:color="auto"/>
                    <w:bottom w:val="none" w:sz="0" w:space="0" w:color="auto"/>
                    <w:right w:val="none" w:sz="0" w:space="0" w:color="auto"/>
                  </w:divBdr>
                </w:div>
                <w:div w:id="1999841401">
                  <w:marLeft w:val="0"/>
                  <w:marRight w:val="0"/>
                  <w:marTop w:val="0"/>
                  <w:marBottom w:val="0"/>
                  <w:divBdr>
                    <w:top w:val="none" w:sz="0" w:space="0" w:color="auto"/>
                    <w:left w:val="none" w:sz="0" w:space="0" w:color="auto"/>
                    <w:bottom w:val="none" w:sz="0" w:space="0" w:color="auto"/>
                    <w:right w:val="none" w:sz="0" w:space="0" w:color="auto"/>
                  </w:divBdr>
                </w:div>
                <w:div w:id="2028561989">
                  <w:marLeft w:val="0"/>
                  <w:marRight w:val="0"/>
                  <w:marTop w:val="0"/>
                  <w:marBottom w:val="0"/>
                  <w:divBdr>
                    <w:top w:val="none" w:sz="0" w:space="0" w:color="auto"/>
                    <w:left w:val="none" w:sz="0" w:space="0" w:color="auto"/>
                    <w:bottom w:val="none" w:sz="0" w:space="0" w:color="auto"/>
                    <w:right w:val="none" w:sz="0" w:space="0" w:color="auto"/>
                  </w:divBdr>
                </w:div>
                <w:div w:id="2040546145">
                  <w:marLeft w:val="0"/>
                  <w:marRight w:val="0"/>
                  <w:marTop w:val="0"/>
                  <w:marBottom w:val="0"/>
                  <w:divBdr>
                    <w:top w:val="none" w:sz="0" w:space="0" w:color="auto"/>
                    <w:left w:val="none" w:sz="0" w:space="0" w:color="auto"/>
                    <w:bottom w:val="none" w:sz="0" w:space="0" w:color="auto"/>
                    <w:right w:val="none" w:sz="0" w:space="0" w:color="auto"/>
                  </w:divBdr>
                </w:div>
                <w:div w:id="2055495279">
                  <w:marLeft w:val="0"/>
                  <w:marRight w:val="0"/>
                  <w:marTop w:val="0"/>
                  <w:marBottom w:val="0"/>
                  <w:divBdr>
                    <w:top w:val="none" w:sz="0" w:space="0" w:color="auto"/>
                    <w:left w:val="none" w:sz="0" w:space="0" w:color="auto"/>
                    <w:bottom w:val="none" w:sz="0" w:space="0" w:color="auto"/>
                    <w:right w:val="none" w:sz="0" w:space="0" w:color="auto"/>
                  </w:divBdr>
                </w:div>
                <w:div w:id="2058703533">
                  <w:marLeft w:val="0"/>
                  <w:marRight w:val="0"/>
                  <w:marTop w:val="0"/>
                  <w:marBottom w:val="0"/>
                  <w:divBdr>
                    <w:top w:val="none" w:sz="0" w:space="0" w:color="auto"/>
                    <w:left w:val="none" w:sz="0" w:space="0" w:color="auto"/>
                    <w:bottom w:val="none" w:sz="0" w:space="0" w:color="auto"/>
                    <w:right w:val="none" w:sz="0" w:space="0" w:color="auto"/>
                  </w:divBdr>
                </w:div>
                <w:div w:id="2063945138">
                  <w:marLeft w:val="0"/>
                  <w:marRight w:val="0"/>
                  <w:marTop w:val="0"/>
                  <w:marBottom w:val="0"/>
                  <w:divBdr>
                    <w:top w:val="none" w:sz="0" w:space="0" w:color="auto"/>
                    <w:left w:val="none" w:sz="0" w:space="0" w:color="auto"/>
                    <w:bottom w:val="none" w:sz="0" w:space="0" w:color="auto"/>
                    <w:right w:val="none" w:sz="0" w:space="0" w:color="auto"/>
                  </w:divBdr>
                </w:div>
                <w:div w:id="2073966754">
                  <w:marLeft w:val="0"/>
                  <w:marRight w:val="0"/>
                  <w:marTop w:val="0"/>
                  <w:marBottom w:val="0"/>
                  <w:divBdr>
                    <w:top w:val="none" w:sz="0" w:space="0" w:color="auto"/>
                    <w:left w:val="none" w:sz="0" w:space="0" w:color="auto"/>
                    <w:bottom w:val="none" w:sz="0" w:space="0" w:color="auto"/>
                    <w:right w:val="none" w:sz="0" w:space="0" w:color="auto"/>
                  </w:divBdr>
                </w:div>
                <w:div w:id="2096854945">
                  <w:marLeft w:val="0"/>
                  <w:marRight w:val="0"/>
                  <w:marTop w:val="0"/>
                  <w:marBottom w:val="0"/>
                  <w:divBdr>
                    <w:top w:val="none" w:sz="0" w:space="0" w:color="auto"/>
                    <w:left w:val="none" w:sz="0" w:space="0" w:color="auto"/>
                    <w:bottom w:val="none" w:sz="0" w:space="0" w:color="auto"/>
                    <w:right w:val="none" w:sz="0" w:space="0" w:color="auto"/>
                  </w:divBdr>
                </w:div>
                <w:div w:id="2097359315">
                  <w:marLeft w:val="0"/>
                  <w:marRight w:val="0"/>
                  <w:marTop w:val="0"/>
                  <w:marBottom w:val="0"/>
                  <w:divBdr>
                    <w:top w:val="none" w:sz="0" w:space="0" w:color="auto"/>
                    <w:left w:val="none" w:sz="0" w:space="0" w:color="auto"/>
                    <w:bottom w:val="none" w:sz="0" w:space="0" w:color="auto"/>
                    <w:right w:val="none" w:sz="0" w:space="0" w:color="auto"/>
                  </w:divBdr>
                </w:div>
                <w:div w:id="209998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37187">
      <w:bodyDiv w:val="1"/>
      <w:marLeft w:val="0"/>
      <w:marRight w:val="0"/>
      <w:marTop w:val="0"/>
      <w:marBottom w:val="0"/>
      <w:divBdr>
        <w:top w:val="none" w:sz="0" w:space="0" w:color="auto"/>
        <w:left w:val="none" w:sz="0" w:space="0" w:color="auto"/>
        <w:bottom w:val="none" w:sz="0" w:space="0" w:color="auto"/>
        <w:right w:val="none" w:sz="0" w:space="0" w:color="auto"/>
      </w:divBdr>
    </w:div>
    <w:div w:id="476997719">
      <w:bodyDiv w:val="1"/>
      <w:marLeft w:val="0"/>
      <w:marRight w:val="0"/>
      <w:marTop w:val="0"/>
      <w:marBottom w:val="0"/>
      <w:divBdr>
        <w:top w:val="none" w:sz="0" w:space="0" w:color="auto"/>
        <w:left w:val="none" w:sz="0" w:space="0" w:color="auto"/>
        <w:bottom w:val="none" w:sz="0" w:space="0" w:color="auto"/>
        <w:right w:val="none" w:sz="0" w:space="0" w:color="auto"/>
      </w:divBdr>
    </w:div>
    <w:div w:id="487789404">
      <w:bodyDiv w:val="1"/>
      <w:marLeft w:val="0"/>
      <w:marRight w:val="0"/>
      <w:marTop w:val="0"/>
      <w:marBottom w:val="0"/>
      <w:divBdr>
        <w:top w:val="none" w:sz="0" w:space="0" w:color="auto"/>
        <w:left w:val="none" w:sz="0" w:space="0" w:color="auto"/>
        <w:bottom w:val="none" w:sz="0" w:space="0" w:color="auto"/>
        <w:right w:val="none" w:sz="0" w:space="0" w:color="auto"/>
      </w:divBdr>
    </w:div>
    <w:div w:id="489030439">
      <w:bodyDiv w:val="1"/>
      <w:marLeft w:val="0"/>
      <w:marRight w:val="0"/>
      <w:marTop w:val="0"/>
      <w:marBottom w:val="0"/>
      <w:divBdr>
        <w:top w:val="none" w:sz="0" w:space="0" w:color="auto"/>
        <w:left w:val="none" w:sz="0" w:space="0" w:color="auto"/>
        <w:bottom w:val="none" w:sz="0" w:space="0" w:color="auto"/>
        <w:right w:val="none" w:sz="0" w:space="0" w:color="auto"/>
      </w:divBdr>
    </w:div>
    <w:div w:id="490869351">
      <w:bodyDiv w:val="1"/>
      <w:marLeft w:val="0"/>
      <w:marRight w:val="0"/>
      <w:marTop w:val="0"/>
      <w:marBottom w:val="0"/>
      <w:divBdr>
        <w:top w:val="none" w:sz="0" w:space="0" w:color="auto"/>
        <w:left w:val="none" w:sz="0" w:space="0" w:color="auto"/>
        <w:bottom w:val="none" w:sz="0" w:space="0" w:color="auto"/>
        <w:right w:val="none" w:sz="0" w:space="0" w:color="auto"/>
      </w:divBdr>
    </w:div>
    <w:div w:id="492263066">
      <w:bodyDiv w:val="1"/>
      <w:marLeft w:val="0"/>
      <w:marRight w:val="0"/>
      <w:marTop w:val="0"/>
      <w:marBottom w:val="0"/>
      <w:divBdr>
        <w:top w:val="none" w:sz="0" w:space="0" w:color="auto"/>
        <w:left w:val="none" w:sz="0" w:space="0" w:color="auto"/>
        <w:bottom w:val="none" w:sz="0" w:space="0" w:color="auto"/>
        <w:right w:val="none" w:sz="0" w:space="0" w:color="auto"/>
      </w:divBdr>
    </w:div>
    <w:div w:id="492330504">
      <w:bodyDiv w:val="1"/>
      <w:marLeft w:val="0"/>
      <w:marRight w:val="0"/>
      <w:marTop w:val="0"/>
      <w:marBottom w:val="0"/>
      <w:divBdr>
        <w:top w:val="none" w:sz="0" w:space="0" w:color="auto"/>
        <w:left w:val="none" w:sz="0" w:space="0" w:color="auto"/>
        <w:bottom w:val="none" w:sz="0" w:space="0" w:color="auto"/>
        <w:right w:val="none" w:sz="0" w:space="0" w:color="auto"/>
      </w:divBdr>
    </w:div>
    <w:div w:id="493301657">
      <w:bodyDiv w:val="1"/>
      <w:marLeft w:val="0"/>
      <w:marRight w:val="0"/>
      <w:marTop w:val="0"/>
      <w:marBottom w:val="0"/>
      <w:divBdr>
        <w:top w:val="none" w:sz="0" w:space="0" w:color="auto"/>
        <w:left w:val="none" w:sz="0" w:space="0" w:color="auto"/>
        <w:bottom w:val="none" w:sz="0" w:space="0" w:color="auto"/>
        <w:right w:val="none" w:sz="0" w:space="0" w:color="auto"/>
      </w:divBdr>
    </w:div>
    <w:div w:id="496655226">
      <w:bodyDiv w:val="1"/>
      <w:marLeft w:val="0"/>
      <w:marRight w:val="0"/>
      <w:marTop w:val="0"/>
      <w:marBottom w:val="0"/>
      <w:divBdr>
        <w:top w:val="none" w:sz="0" w:space="0" w:color="auto"/>
        <w:left w:val="none" w:sz="0" w:space="0" w:color="auto"/>
        <w:bottom w:val="none" w:sz="0" w:space="0" w:color="auto"/>
        <w:right w:val="none" w:sz="0" w:space="0" w:color="auto"/>
      </w:divBdr>
    </w:div>
    <w:div w:id="497616200">
      <w:bodyDiv w:val="1"/>
      <w:marLeft w:val="0"/>
      <w:marRight w:val="0"/>
      <w:marTop w:val="0"/>
      <w:marBottom w:val="0"/>
      <w:divBdr>
        <w:top w:val="none" w:sz="0" w:space="0" w:color="auto"/>
        <w:left w:val="none" w:sz="0" w:space="0" w:color="auto"/>
        <w:bottom w:val="none" w:sz="0" w:space="0" w:color="auto"/>
        <w:right w:val="none" w:sz="0" w:space="0" w:color="auto"/>
      </w:divBdr>
    </w:div>
    <w:div w:id="502479590">
      <w:bodyDiv w:val="1"/>
      <w:marLeft w:val="0"/>
      <w:marRight w:val="0"/>
      <w:marTop w:val="0"/>
      <w:marBottom w:val="0"/>
      <w:divBdr>
        <w:top w:val="none" w:sz="0" w:space="0" w:color="auto"/>
        <w:left w:val="none" w:sz="0" w:space="0" w:color="auto"/>
        <w:bottom w:val="none" w:sz="0" w:space="0" w:color="auto"/>
        <w:right w:val="none" w:sz="0" w:space="0" w:color="auto"/>
      </w:divBdr>
    </w:div>
    <w:div w:id="506335827">
      <w:bodyDiv w:val="1"/>
      <w:marLeft w:val="0"/>
      <w:marRight w:val="0"/>
      <w:marTop w:val="0"/>
      <w:marBottom w:val="0"/>
      <w:divBdr>
        <w:top w:val="none" w:sz="0" w:space="0" w:color="auto"/>
        <w:left w:val="none" w:sz="0" w:space="0" w:color="auto"/>
        <w:bottom w:val="none" w:sz="0" w:space="0" w:color="auto"/>
        <w:right w:val="none" w:sz="0" w:space="0" w:color="auto"/>
      </w:divBdr>
    </w:div>
    <w:div w:id="506595763">
      <w:bodyDiv w:val="1"/>
      <w:marLeft w:val="0"/>
      <w:marRight w:val="0"/>
      <w:marTop w:val="0"/>
      <w:marBottom w:val="0"/>
      <w:divBdr>
        <w:top w:val="none" w:sz="0" w:space="0" w:color="auto"/>
        <w:left w:val="none" w:sz="0" w:space="0" w:color="auto"/>
        <w:bottom w:val="none" w:sz="0" w:space="0" w:color="auto"/>
        <w:right w:val="none" w:sz="0" w:space="0" w:color="auto"/>
      </w:divBdr>
    </w:div>
    <w:div w:id="508177116">
      <w:bodyDiv w:val="1"/>
      <w:marLeft w:val="0"/>
      <w:marRight w:val="0"/>
      <w:marTop w:val="0"/>
      <w:marBottom w:val="0"/>
      <w:divBdr>
        <w:top w:val="none" w:sz="0" w:space="0" w:color="auto"/>
        <w:left w:val="none" w:sz="0" w:space="0" w:color="auto"/>
        <w:bottom w:val="none" w:sz="0" w:space="0" w:color="auto"/>
        <w:right w:val="none" w:sz="0" w:space="0" w:color="auto"/>
      </w:divBdr>
    </w:div>
    <w:div w:id="523785577">
      <w:bodyDiv w:val="1"/>
      <w:marLeft w:val="0"/>
      <w:marRight w:val="0"/>
      <w:marTop w:val="0"/>
      <w:marBottom w:val="0"/>
      <w:divBdr>
        <w:top w:val="none" w:sz="0" w:space="0" w:color="auto"/>
        <w:left w:val="none" w:sz="0" w:space="0" w:color="auto"/>
        <w:bottom w:val="none" w:sz="0" w:space="0" w:color="auto"/>
        <w:right w:val="none" w:sz="0" w:space="0" w:color="auto"/>
      </w:divBdr>
    </w:div>
    <w:div w:id="525756043">
      <w:bodyDiv w:val="1"/>
      <w:marLeft w:val="0"/>
      <w:marRight w:val="0"/>
      <w:marTop w:val="0"/>
      <w:marBottom w:val="0"/>
      <w:divBdr>
        <w:top w:val="none" w:sz="0" w:space="0" w:color="auto"/>
        <w:left w:val="none" w:sz="0" w:space="0" w:color="auto"/>
        <w:bottom w:val="none" w:sz="0" w:space="0" w:color="auto"/>
        <w:right w:val="none" w:sz="0" w:space="0" w:color="auto"/>
      </w:divBdr>
    </w:div>
    <w:div w:id="535702896">
      <w:bodyDiv w:val="1"/>
      <w:marLeft w:val="0"/>
      <w:marRight w:val="0"/>
      <w:marTop w:val="0"/>
      <w:marBottom w:val="0"/>
      <w:divBdr>
        <w:top w:val="none" w:sz="0" w:space="0" w:color="auto"/>
        <w:left w:val="none" w:sz="0" w:space="0" w:color="auto"/>
        <w:bottom w:val="none" w:sz="0" w:space="0" w:color="auto"/>
        <w:right w:val="none" w:sz="0" w:space="0" w:color="auto"/>
      </w:divBdr>
    </w:div>
    <w:div w:id="542138677">
      <w:bodyDiv w:val="1"/>
      <w:marLeft w:val="0"/>
      <w:marRight w:val="0"/>
      <w:marTop w:val="0"/>
      <w:marBottom w:val="0"/>
      <w:divBdr>
        <w:top w:val="none" w:sz="0" w:space="0" w:color="auto"/>
        <w:left w:val="none" w:sz="0" w:space="0" w:color="auto"/>
        <w:bottom w:val="none" w:sz="0" w:space="0" w:color="auto"/>
        <w:right w:val="none" w:sz="0" w:space="0" w:color="auto"/>
      </w:divBdr>
    </w:div>
    <w:div w:id="542594875">
      <w:bodyDiv w:val="1"/>
      <w:marLeft w:val="0"/>
      <w:marRight w:val="0"/>
      <w:marTop w:val="0"/>
      <w:marBottom w:val="0"/>
      <w:divBdr>
        <w:top w:val="none" w:sz="0" w:space="0" w:color="auto"/>
        <w:left w:val="none" w:sz="0" w:space="0" w:color="auto"/>
        <w:bottom w:val="none" w:sz="0" w:space="0" w:color="auto"/>
        <w:right w:val="none" w:sz="0" w:space="0" w:color="auto"/>
      </w:divBdr>
    </w:div>
    <w:div w:id="549414541">
      <w:bodyDiv w:val="1"/>
      <w:marLeft w:val="0"/>
      <w:marRight w:val="0"/>
      <w:marTop w:val="0"/>
      <w:marBottom w:val="0"/>
      <w:divBdr>
        <w:top w:val="none" w:sz="0" w:space="0" w:color="auto"/>
        <w:left w:val="none" w:sz="0" w:space="0" w:color="auto"/>
        <w:bottom w:val="none" w:sz="0" w:space="0" w:color="auto"/>
        <w:right w:val="none" w:sz="0" w:space="0" w:color="auto"/>
      </w:divBdr>
    </w:div>
    <w:div w:id="549925129">
      <w:bodyDiv w:val="1"/>
      <w:marLeft w:val="0"/>
      <w:marRight w:val="0"/>
      <w:marTop w:val="0"/>
      <w:marBottom w:val="0"/>
      <w:divBdr>
        <w:top w:val="none" w:sz="0" w:space="0" w:color="auto"/>
        <w:left w:val="none" w:sz="0" w:space="0" w:color="auto"/>
        <w:bottom w:val="none" w:sz="0" w:space="0" w:color="auto"/>
        <w:right w:val="none" w:sz="0" w:space="0" w:color="auto"/>
      </w:divBdr>
      <w:divsChild>
        <w:div w:id="588584159">
          <w:marLeft w:val="0"/>
          <w:marRight w:val="0"/>
          <w:marTop w:val="0"/>
          <w:marBottom w:val="0"/>
          <w:divBdr>
            <w:top w:val="none" w:sz="0" w:space="0" w:color="auto"/>
            <w:left w:val="none" w:sz="0" w:space="0" w:color="auto"/>
            <w:bottom w:val="none" w:sz="0" w:space="0" w:color="auto"/>
            <w:right w:val="none" w:sz="0" w:space="0" w:color="auto"/>
          </w:divBdr>
        </w:div>
        <w:div w:id="747852118">
          <w:marLeft w:val="0"/>
          <w:marRight w:val="0"/>
          <w:marTop w:val="0"/>
          <w:marBottom w:val="0"/>
          <w:divBdr>
            <w:top w:val="none" w:sz="0" w:space="0" w:color="auto"/>
            <w:left w:val="none" w:sz="0" w:space="0" w:color="auto"/>
            <w:bottom w:val="none" w:sz="0" w:space="0" w:color="auto"/>
            <w:right w:val="none" w:sz="0" w:space="0" w:color="auto"/>
          </w:divBdr>
        </w:div>
        <w:div w:id="1952669046">
          <w:marLeft w:val="0"/>
          <w:marRight w:val="0"/>
          <w:marTop w:val="0"/>
          <w:marBottom w:val="0"/>
          <w:divBdr>
            <w:top w:val="none" w:sz="0" w:space="0" w:color="auto"/>
            <w:left w:val="none" w:sz="0" w:space="0" w:color="auto"/>
            <w:bottom w:val="none" w:sz="0" w:space="0" w:color="auto"/>
            <w:right w:val="none" w:sz="0" w:space="0" w:color="auto"/>
          </w:divBdr>
        </w:div>
      </w:divsChild>
    </w:div>
    <w:div w:id="555433494">
      <w:bodyDiv w:val="1"/>
      <w:marLeft w:val="0"/>
      <w:marRight w:val="0"/>
      <w:marTop w:val="0"/>
      <w:marBottom w:val="0"/>
      <w:divBdr>
        <w:top w:val="none" w:sz="0" w:space="0" w:color="auto"/>
        <w:left w:val="none" w:sz="0" w:space="0" w:color="auto"/>
        <w:bottom w:val="none" w:sz="0" w:space="0" w:color="auto"/>
        <w:right w:val="none" w:sz="0" w:space="0" w:color="auto"/>
      </w:divBdr>
    </w:div>
    <w:div w:id="555819562">
      <w:bodyDiv w:val="1"/>
      <w:marLeft w:val="0"/>
      <w:marRight w:val="0"/>
      <w:marTop w:val="0"/>
      <w:marBottom w:val="0"/>
      <w:divBdr>
        <w:top w:val="none" w:sz="0" w:space="0" w:color="auto"/>
        <w:left w:val="none" w:sz="0" w:space="0" w:color="auto"/>
        <w:bottom w:val="none" w:sz="0" w:space="0" w:color="auto"/>
        <w:right w:val="none" w:sz="0" w:space="0" w:color="auto"/>
      </w:divBdr>
    </w:div>
    <w:div w:id="556282006">
      <w:bodyDiv w:val="1"/>
      <w:marLeft w:val="0"/>
      <w:marRight w:val="0"/>
      <w:marTop w:val="0"/>
      <w:marBottom w:val="0"/>
      <w:divBdr>
        <w:top w:val="none" w:sz="0" w:space="0" w:color="auto"/>
        <w:left w:val="none" w:sz="0" w:space="0" w:color="auto"/>
        <w:bottom w:val="none" w:sz="0" w:space="0" w:color="auto"/>
        <w:right w:val="none" w:sz="0" w:space="0" w:color="auto"/>
      </w:divBdr>
    </w:div>
    <w:div w:id="556666426">
      <w:bodyDiv w:val="1"/>
      <w:marLeft w:val="0"/>
      <w:marRight w:val="0"/>
      <w:marTop w:val="0"/>
      <w:marBottom w:val="0"/>
      <w:divBdr>
        <w:top w:val="none" w:sz="0" w:space="0" w:color="auto"/>
        <w:left w:val="none" w:sz="0" w:space="0" w:color="auto"/>
        <w:bottom w:val="none" w:sz="0" w:space="0" w:color="auto"/>
        <w:right w:val="none" w:sz="0" w:space="0" w:color="auto"/>
      </w:divBdr>
    </w:div>
    <w:div w:id="557128123">
      <w:bodyDiv w:val="1"/>
      <w:marLeft w:val="0"/>
      <w:marRight w:val="0"/>
      <w:marTop w:val="0"/>
      <w:marBottom w:val="0"/>
      <w:divBdr>
        <w:top w:val="none" w:sz="0" w:space="0" w:color="auto"/>
        <w:left w:val="none" w:sz="0" w:space="0" w:color="auto"/>
        <w:bottom w:val="none" w:sz="0" w:space="0" w:color="auto"/>
        <w:right w:val="none" w:sz="0" w:space="0" w:color="auto"/>
      </w:divBdr>
    </w:div>
    <w:div w:id="566648814">
      <w:bodyDiv w:val="1"/>
      <w:marLeft w:val="0"/>
      <w:marRight w:val="0"/>
      <w:marTop w:val="0"/>
      <w:marBottom w:val="0"/>
      <w:divBdr>
        <w:top w:val="none" w:sz="0" w:space="0" w:color="auto"/>
        <w:left w:val="none" w:sz="0" w:space="0" w:color="auto"/>
        <w:bottom w:val="none" w:sz="0" w:space="0" w:color="auto"/>
        <w:right w:val="none" w:sz="0" w:space="0" w:color="auto"/>
      </w:divBdr>
    </w:div>
    <w:div w:id="571281770">
      <w:bodyDiv w:val="1"/>
      <w:marLeft w:val="0"/>
      <w:marRight w:val="0"/>
      <w:marTop w:val="0"/>
      <w:marBottom w:val="0"/>
      <w:divBdr>
        <w:top w:val="none" w:sz="0" w:space="0" w:color="auto"/>
        <w:left w:val="none" w:sz="0" w:space="0" w:color="auto"/>
        <w:bottom w:val="none" w:sz="0" w:space="0" w:color="auto"/>
        <w:right w:val="none" w:sz="0" w:space="0" w:color="auto"/>
      </w:divBdr>
    </w:div>
    <w:div w:id="573853976">
      <w:bodyDiv w:val="1"/>
      <w:marLeft w:val="0"/>
      <w:marRight w:val="0"/>
      <w:marTop w:val="0"/>
      <w:marBottom w:val="0"/>
      <w:divBdr>
        <w:top w:val="none" w:sz="0" w:space="0" w:color="auto"/>
        <w:left w:val="none" w:sz="0" w:space="0" w:color="auto"/>
        <w:bottom w:val="none" w:sz="0" w:space="0" w:color="auto"/>
        <w:right w:val="none" w:sz="0" w:space="0" w:color="auto"/>
      </w:divBdr>
    </w:div>
    <w:div w:id="581530033">
      <w:bodyDiv w:val="1"/>
      <w:marLeft w:val="0"/>
      <w:marRight w:val="0"/>
      <w:marTop w:val="0"/>
      <w:marBottom w:val="0"/>
      <w:divBdr>
        <w:top w:val="none" w:sz="0" w:space="0" w:color="auto"/>
        <w:left w:val="none" w:sz="0" w:space="0" w:color="auto"/>
        <w:bottom w:val="none" w:sz="0" w:space="0" w:color="auto"/>
        <w:right w:val="none" w:sz="0" w:space="0" w:color="auto"/>
      </w:divBdr>
    </w:div>
    <w:div w:id="581915703">
      <w:bodyDiv w:val="1"/>
      <w:marLeft w:val="0"/>
      <w:marRight w:val="0"/>
      <w:marTop w:val="0"/>
      <w:marBottom w:val="0"/>
      <w:divBdr>
        <w:top w:val="none" w:sz="0" w:space="0" w:color="auto"/>
        <w:left w:val="none" w:sz="0" w:space="0" w:color="auto"/>
        <w:bottom w:val="none" w:sz="0" w:space="0" w:color="auto"/>
        <w:right w:val="none" w:sz="0" w:space="0" w:color="auto"/>
      </w:divBdr>
    </w:div>
    <w:div w:id="587618505">
      <w:bodyDiv w:val="1"/>
      <w:marLeft w:val="0"/>
      <w:marRight w:val="0"/>
      <w:marTop w:val="0"/>
      <w:marBottom w:val="0"/>
      <w:divBdr>
        <w:top w:val="none" w:sz="0" w:space="0" w:color="auto"/>
        <w:left w:val="none" w:sz="0" w:space="0" w:color="auto"/>
        <w:bottom w:val="none" w:sz="0" w:space="0" w:color="auto"/>
        <w:right w:val="none" w:sz="0" w:space="0" w:color="auto"/>
      </w:divBdr>
    </w:div>
    <w:div w:id="592973528">
      <w:bodyDiv w:val="1"/>
      <w:marLeft w:val="0"/>
      <w:marRight w:val="0"/>
      <w:marTop w:val="0"/>
      <w:marBottom w:val="0"/>
      <w:divBdr>
        <w:top w:val="none" w:sz="0" w:space="0" w:color="auto"/>
        <w:left w:val="none" w:sz="0" w:space="0" w:color="auto"/>
        <w:bottom w:val="none" w:sz="0" w:space="0" w:color="auto"/>
        <w:right w:val="none" w:sz="0" w:space="0" w:color="auto"/>
      </w:divBdr>
    </w:div>
    <w:div w:id="597061843">
      <w:bodyDiv w:val="1"/>
      <w:marLeft w:val="0"/>
      <w:marRight w:val="0"/>
      <w:marTop w:val="0"/>
      <w:marBottom w:val="0"/>
      <w:divBdr>
        <w:top w:val="none" w:sz="0" w:space="0" w:color="auto"/>
        <w:left w:val="none" w:sz="0" w:space="0" w:color="auto"/>
        <w:bottom w:val="none" w:sz="0" w:space="0" w:color="auto"/>
        <w:right w:val="none" w:sz="0" w:space="0" w:color="auto"/>
      </w:divBdr>
    </w:div>
    <w:div w:id="598637781">
      <w:bodyDiv w:val="1"/>
      <w:marLeft w:val="0"/>
      <w:marRight w:val="0"/>
      <w:marTop w:val="0"/>
      <w:marBottom w:val="0"/>
      <w:divBdr>
        <w:top w:val="none" w:sz="0" w:space="0" w:color="auto"/>
        <w:left w:val="none" w:sz="0" w:space="0" w:color="auto"/>
        <w:bottom w:val="none" w:sz="0" w:space="0" w:color="auto"/>
        <w:right w:val="none" w:sz="0" w:space="0" w:color="auto"/>
      </w:divBdr>
    </w:div>
    <w:div w:id="601107399">
      <w:bodyDiv w:val="1"/>
      <w:marLeft w:val="0"/>
      <w:marRight w:val="0"/>
      <w:marTop w:val="0"/>
      <w:marBottom w:val="0"/>
      <w:divBdr>
        <w:top w:val="none" w:sz="0" w:space="0" w:color="auto"/>
        <w:left w:val="none" w:sz="0" w:space="0" w:color="auto"/>
        <w:bottom w:val="none" w:sz="0" w:space="0" w:color="auto"/>
        <w:right w:val="none" w:sz="0" w:space="0" w:color="auto"/>
      </w:divBdr>
    </w:div>
    <w:div w:id="606036245">
      <w:bodyDiv w:val="1"/>
      <w:marLeft w:val="0"/>
      <w:marRight w:val="0"/>
      <w:marTop w:val="0"/>
      <w:marBottom w:val="0"/>
      <w:divBdr>
        <w:top w:val="none" w:sz="0" w:space="0" w:color="auto"/>
        <w:left w:val="none" w:sz="0" w:space="0" w:color="auto"/>
        <w:bottom w:val="none" w:sz="0" w:space="0" w:color="auto"/>
        <w:right w:val="none" w:sz="0" w:space="0" w:color="auto"/>
      </w:divBdr>
    </w:div>
    <w:div w:id="607663438">
      <w:bodyDiv w:val="1"/>
      <w:marLeft w:val="0"/>
      <w:marRight w:val="0"/>
      <w:marTop w:val="0"/>
      <w:marBottom w:val="0"/>
      <w:divBdr>
        <w:top w:val="none" w:sz="0" w:space="0" w:color="auto"/>
        <w:left w:val="none" w:sz="0" w:space="0" w:color="auto"/>
        <w:bottom w:val="none" w:sz="0" w:space="0" w:color="auto"/>
        <w:right w:val="none" w:sz="0" w:space="0" w:color="auto"/>
      </w:divBdr>
    </w:div>
    <w:div w:id="611865731">
      <w:bodyDiv w:val="1"/>
      <w:marLeft w:val="0"/>
      <w:marRight w:val="0"/>
      <w:marTop w:val="0"/>
      <w:marBottom w:val="0"/>
      <w:divBdr>
        <w:top w:val="none" w:sz="0" w:space="0" w:color="auto"/>
        <w:left w:val="none" w:sz="0" w:space="0" w:color="auto"/>
        <w:bottom w:val="none" w:sz="0" w:space="0" w:color="auto"/>
        <w:right w:val="none" w:sz="0" w:space="0" w:color="auto"/>
      </w:divBdr>
    </w:div>
    <w:div w:id="613948729">
      <w:bodyDiv w:val="1"/>
      <w:marLeft w:val="0"/>
      <w:marRight w:val="0"/>
      <w:marTop w:val="0"/>
      <w:marBottom w:val="0"/>
      <w:divBdr>
        <w:top w:val="none" w:sz="0" w:space="0" w:color="auto"/>
        <w:left w:val="none" w:sz="0" w:space="0" w:color="auto"/>
        <w:bottom w:val="none" w:sz="0" w:space="0" w:color="auto"/>
        <w:right w:val="none" w:sz="0" w:space="0" w:color="auto"/>
      </w:divBdr>
    </w:div>
    <w:div w:id="614945172">
      <w:bodyDiv w:val="1"/>
      <w:marLeft w:val="0"/>
      <w:marRight w:val="0"/>
      <w:marTop w:val="0"/>
      <w:marBottom w:val="0"/>
      <w:divBdr>
        <w:top w:val="none" w:sz="0" w:space="0" w:color="auto"/>
        <w:left w:val="none" w:sz="0" w:space="0" w:color="auto"/>
        <w:bottom w:val="none" w:sz="0" w:space="0" w:color="auto"/>
        <w:right w:val="none" w:sz="0" w:space="0" w:color="auto"/>
      </w:divBdr>
    </w:div>
    <w:div w:id="618418978">
      <w:bodyDiv w:val="1"/>
      <w:marLeft w:val="0"/>
      <w:marRight w:val="0"/>
      <w:marTop w:val="0"/>
      <w:marBottom w:val="0"/>
      <w:divBdr>
        <w:top w:val="none" w:sz="0" w:space="0" w:color="auto"/>
        <w:left w:val="none" w:sz="0" w:space="0" w:color="auto"/>
        <w:bottom w:val="none" w:sz="0" w:space="0" w:color="auto"/>
        <w:right w:val="none" w:sz="0" w:space="0" w:color="auto"/>
      </w:divBdr>
    </w:div>
    <w:div w:id="623731937">
      <w:bodyDiv w:val="1"/>
      <w:marLeft w:val="0"/>
      <w:marRight w:val="0"/>
      <w:marTop w:val="0"/>
      <w:marBottom w:val="0"/>
      <w:divBdr>
        <w:top w:val="none" w:sz="0" w:space="0" w:color="auto"/>
        <w:left w:val="none" w:sz="0" w:space="0" w:color="auto"/>
        <w:bottom w:val="none" w:sz="0" w:space="0" w:color="auto"/>
        <w:right w:val="none" w:sz="0" w:space="0" w:color="auto"/>
      </w:divBdr>
    </w:div>
    <w:div w:id="643122841">
      <w:bodyDiv w:val="1"/>
      <w:marLeft w:val="0"/>
      <w:marRight w:val="0"/>
      <w:marTop w:val="0"/>
      <w:marBottom w:val="0"/>
      <w:divBdr>
        <w:top w:val="none" w:sz="0" w:space="0" w:color="auto"/>
        <w:left w:val="none" w:sz="0" w:space="0" w:color="auto"/>
        <w:bottom w:val="none" w:sz="0" w:space="0" w:color="auto"/>
        <w:right w:val="none" w:sz="0" w:space="0" w:color="auto"/>
      </w:divBdr>
    </w:div>
    <w:div w:id="647051595">
      <w:bodyDiv w:val="1"/>
      <w:marLeft w:val="0"/>
      <w:marRight w:val="0"/>
      <w:marTop w:val="0"/>
      <w:marBottom w:val="0"/>
      <w:divBdr>
        <w:top w:val="none" w:sz="0" w:space="0" w:color="auto"/>
        <w:left w:val="none" w:sz="0" w:space="0" w:color="auto"/>
        <w:bottom w:val="none" w:sz="0" w:space="0" w:color="auto"/>
        <w:right w:val="none" w:sz="0" w:space="0" w:color="auto"/>
      </w:divBdr>
    </w:div>
    <w:div w:id="658070690">
      <w:bodyDiv w:val="1"/>
      <w:marLeft w:val="0"/>
      <w:marRight w:val="0"/>
      <w:marTop w:val="0"/>
      <w:marBottom w:val="0"/>
      <w:divBdr>
        <w:top w:val="none" w:sz="0" w:space="0" w:color="auto"/>
        <w:left w:val="none" w:sz="0" w:space="0" w:color="auto"/>
        <w:bottom w:val="none" w:sz="0" w:space="0" w:color="auto"/>
        <w:right w:val="none" w:sz="0" w:space="0" w:color="auto"/>
      </w:divBdr>
    </w:div>
    <w:div w:id="658727484">
      <w:bodyDiv w:val="1"/>
      <w:marLeft w:val="0"/>
      <w:marRight w:val="0"/>
      <w:marTop w:val="0"/>
      <w:marBottom w:val="0"/>
      <w:divBdr>
        <w:top w:val="none" w:sz="0" w:space="0" w:color="auto"/>
        <w:left w:val="none" w:sz="0" w:space="0" w:color="auto"/>
        <w:bottom w:val="none" w:sz="0" w:space="0" w:color="auto"/>
        <w:right w:val="none" w:sz="0" w:space="0" w:color="auto"/>
      </w:divBdr>
    </w:div>
    <w:div w:id="662513586">
      <w:bodyDiv w:val="1"/>
      <w:marLeft w:val="0"/>
      <w:marRight w:val="0"/>
      <w:marTop w:val="0"/>
      <w:marBottom w:val="0"/>
      <w:divBdr>
        <w:top w:val="none" w:sz="0" w:space="0" w:color="auto"/>
        <w:left w:val="none" w:sz="0" w:space="0" w:color="auto"/>
        <w:bottom w:val="none" w:sz="0" w:space="0" w:color="auto"/>
        <w:right w:val="none" w:sz="0" w:space="0" w:color="auto"/>
      </w:divBdr>
    </w:div>
    <w:div w:id="698438086">
      <w:bodyDiv w:val="1"/>
      <w:marLeft w:val="0"/>
      <w:marRight w:val="0"/>
      <w:marTop w:val="0"/>
      <w:marBottom w:val="0"/>
      <w:divBdr>
        <w:top w:val="none" w:sz="0" w:space="0" w:color="auto"/>
        <w:left w:val="none" w:sz="0" w:space="0" w:color="auto"/>
        <w:bottom w:val="none" w:sz="0" w:space="0" w:color="auto"/>
        <w:right w:val="none" w:sz="0" w:space="0" w:color="auto"/>
      </w:divBdr>
    </w:div>
    <w:div w:id="699479898">
      <w:bodyDiv w:val="1"/>
      <w:marLeft w:val="0"/>
      <w:marRight w:val="0"/>
      <w:marTop w:val="0"/>
      <w:marBottom w:val="0"/>
      <w:divBdr>
        <w:top w:val="none" w:sz="0" w:space="0" w:color="auto"/>
        <w:left w:val="none" w:sz="0" w:space="0" w:color="auto"/>
        <w:bottom w:val="none" w:sz="0" w:space="0" w:color="auto"/>
        <w:right w:val="none" w:sz="0" w:space="0" w:color="auto"/>
      </w:divBdr>
    </w:div>
    <w:div w:id="706687612">
      <w:bodyDiv w:val="1"/>
      <w:marLeft w:val="0"/>
      <w:marRight w:val="0"/>
      <w:marTop w:val="0"/>
      <w:marBottom w:val="0"/>
      <w:divBdr>
        <w:top w:val="none" w:sz="0" w:space="0" w:color="auto"/>
        <w:left w:val="none" w:sz="0" w:space="0" w:color="auto"/>
        <w:bottom w:val="none" w:sz="0" w:space="0" w:color="auto"/>
        <w:right w:val="none" w:sz="0" w:space="0" w:color="auto"/>
      </w:divBdr>
    </w:div>
    <w:div w:id="708142684">
      <w:bodyDiv w:val="1"/>
      <w:marLeft w:val="0"/>
      <w:marRight w:val="0"/>
      <w:marTop w:val="0"/>
      <w:marBottom w:val="0"/>
      <w:divBdr>
        <w:top w:val="none" w:sz="0" w:space="0" w:color="auto"/>
        <w:left w:val="none" w:sz="0" w:space="0" w:color="auto"/>
        <w:bottom w:val="none" w:sz="0" w:space="0" w:color="auto"/>
        <w:right w:val="none" w:sz="0" w:space="0" w:color="auto"/>
      </w:divBdr>
    </w:div>
    <w:div w:id="709569254">
      <w:bodyDiv w:val="1"/>
      <w:marLeft w:val="0"/>
      <w:marRight w:val="0"/>
      <w:marTop w:val="0"/>
      <w:marBottom w:val="0"/>
      <w:divBdr>
        <w:top w:val="none" w:sz="0" w:space="0" w:color="auto"/>
        <w:left w:val="none" w:sz="0" w:space="0" w:color="auto"/>
        <w:bottom w:val="none" w:sz="0" w:space="0" w:color="auto"/>
        <w:right w:val="none" w:sz="0" w:space="0" w:color="auto"/>
      </w:divBdr>
    </w:div>
    <w:div w:id="710150601">
      <w:bodyDiv w:val="1"/>
      <w:marLeft w:val="0"/>
      <w:marRight w:val="0"/>
      <w:marTop w:val="0"/>
      <w:marBottom w:val="0"/>
      <w:divBdr>
        <w:top w:val="none" w:sz="0" w:space="0" w:color="auto"/>
        <w:left w:val="none" w:sz="0" w:space="0" w:color="auto"/>
        <w:bottom w:val="none" w:sz="0" w:space="0" w:color="auto"/>
        <w:right w:val="none" w:sz="0" w:space="0" w:color="auto"/>
      </w:divBdr>
    </w:div>
    <w:div w:id="714082234">
      <w:bodyDiv w:val="1"/>
      <w:marLeft w:val="0"/>
      <w:marRight w:val="0"/>
      <w:marTop w:val="0"/>
      <w:marBottom w:val="0"/>
      <w:divBdr>
        <w:top w:val="none" w:sz="0" w:space="0" w:color="auto"/>
        <w:left w:val="none" w:sz="0" w:space="0" w:color="auto"/>
        <w:bottom w:val="none" w:sz="0" w:space="0" w:color="auto"/>
        <w:right w:val="none" w:sz="0" w:space="0" w:color="auto"/>
      </w:divBdr>
    </w:div>
    <w:div w:id="725881860">
      <w:bodyDiv w:val="1"/>
      <w:marLeft w:val="0"/>
      <w:marRight w:val="0"/>
      <w:marTop w:val="0"/>
      <w:marBottom w:val="0"/>
      <w:divBdr>
        <w:top w:val="none" w:sz="0" w:space="0" w:color="auto"/>
        <w:left w:val="none" w:sz="0" w:space="0" w:color="auto"/>
        <w:bottom w:val="none" w:sz="0" w:space="0" w:color="auto"/>
        <w:right w:val="none" w:sz="0" w:space="0" w:color="auto"/>
      </w:divBdr>
    </w:div>
    <w:div w:id="726414496">
      <w:bodyDiv w:val="1"/>
      <w:marLeft w:val="0"/>
      <w:marRight w:val="0"/>
      <w:marTop w:val="0"/>
      <w:marBottom w:val="0"/>
      <w:divBdr>
        <w:top w:val="none" w:sz="0" w:space="0" w:color="auto"/>
        <w:left w:val="none" w:sz="0" w:space="0" w:color="auto"/>
        <w:bottom w:val="none" w:sz="0" w:space="0" w:color="auto"/>
        <w:right w:val="none" w:sz="0" w:space="0" w:color="auto"/>
      </w:divBdr>
    </w:div>
    <w:div w:id="738671341">
      <w:bodyDiv w:val="1"/>
      <w:marLeft w:val="0"/>
      <w:marRight w:val="0"/>
      <w:marTop w:val="0"/>
      <w:marBottom w:val="0"/>
      <w:divBdr>
        <w:top w:val="none" w:sz="0" w:space="0" w:color="auto"/>
        <w:left w:val="none" w:sz="0" w:space="0" w:color="auto"/>
        <w:bottom w:val="none" w:sz="0" w:space="0" w:color="auto"/>
        <w:right w:val="none" w:sz="0" w:space="0" w:color="auto"/>
      </w:divBdr>
    </w:div>
    <w:div w:id="757750745">
      <w:bodyDiv w:val="1"/>
      <w:marLeft w:val="0"/>
      <w:marRight w:val="0"/>
      <w:marTop w:val="0"/>
      <w:marBottom w:val="0"/>
      <w:divBdr>
        <w:top w:val="none" w:sz="0" w:space="0" w:color="auto"/>
        <w:left w:val="none" w:sz="0" w:space="0" w:color="auto"/>
        <w:bottom w:val="none" w:sz="0" w:space="0" w:color="auto"/>
        <w:right w:val="none" w:sz="0" w:space="0" w:color="auto"/>
      </w:divBdr>
    </w:div>
    <w:div w:id="760027067">
      <w:bodyDiv w:val="1"/>
      <w:marLeft w:val="0"/>
      <w:marRight w:val="0"/>
      <w:marTop w:val="0"/>
      <w:marBottom w:val="0"/>
      <w:divBdr>
        <w:top w:val="none" w:sz="0" w:space="0" w:color="auto"/>
        <w:left w:val="none" w:sz="0" w:space="0" w:color="auto"/>
        <w:bottom w:val="none" w:sz="0" w:space="0" w:color="auto"/>
        <w:right w:val="none" w:sz="0" w:space="0" w:color="auto"/>
      </w:divBdr>
    </w:div>
    <w:div w:id="773742668">
      <w:bodyDiv w:val="1"/>
      <w:marLeft w:val="0"/>
      <w:marRight w:val="0"/>
      <w:marTop w:val="0"/>
      <w:marBottom w:val="0"/>
      <w:divBdr>
        <w:top w:val="none" w:sz="0" w:space="0" w:color="auto"/>
        <w:left w:val="none" w:sz="0" w:space="0" w:color="auto"/>
        <w:bottom w:val="none" w:sz="0" w:space="0" w:color="auto"/>
        <w:right w:val="none" w:sz="0" w:space="0" w:color="auto"/>
      </w:divBdr>
    </w:div>
    <w:div w:id="775751183">
      <w:bodyDiv w:val="1"/>
      <w:marLeft w:val="0"/>
      <w:marRight w:val="0"/>
      <w:marTop w:val="0"/>
      <w:marBottom w:val="0"/>
      <w:divBdr>
        <w:top w:val="none" w:sz="0" w:space="0" w:color="auto"/>
        <w:left w:val="none" w:sz="0" w:space="0" w:color="auto"/>
        <w:bottom w:val="none" w:sz="0" w:space="0" w:color="auto"/>
        <w:right w:val="none" w:sz="0" w:space="0" w:color="auto"/>
      </w:divBdr>
    </w:div>
    <w:div w:id="782576497">
      <w:bodyDiv w:val="1"/>
      <w:marLeft w:val="0"/>
      <w:marRight w:val="0"/>
      <w:marTop w:val="0"/>
      <w:marBottom w:val="0"/>
      <w:divBdr>
        <w:top w:val="none" w:sz="0" w:space="0" w:color="auto"/>
        <w:left w:val="none" w:sz="0" w:space="0" w:color="auto"/>
        <w:bottom w:val="none" w:sz="0" w:space="0" w:color="auto"/>
        <w:right w:val="none" w:sz="0" w:space="0" w:color="auto"/>
      </w:divBdr>
    </w:div>
    <w:div w:id="788278543">
      <w:bodyDiv w:val="1"/>
      <w:marLeft w:val="0"/>
      <w:marRight w:val="0"/>
      <w:marTop w:val="0"/>
      <w:marBottom w:val="0"/>
      <w:divBdr>
        <w:top w:val="none" w:sz="0" w:space="0" w:color="auto"/>
        <w:left w:val="none" w:sz="0" w:space="0" w:color="auto"/>
        <w:bottom w:val="none" w:sz="0" w:space="0" w:color="auto"/>
        <w:right w:val="none" w:sz="0" w:space="0" w:color="auto"/>
      </w:divBdr>
    </w:div>
    <w:div w:id="789980761">
      <w:bodyDiv w:val="1"/>
      <w:marLeft w:val="0"/>
      <w:marRight w:val="0"/>
      <w:marTop w:val="0"/>
      <w:marBottom w:val="0"/>
      <w:divBdr>
        <w:top w:val="none" w:sz="0" w:space="0" w:color="auto"/>
        <w:left w:val="none" w:sz="0" w:space="0" w:color="auto"/>
        <w:bottom w:val="none" w:sz="0" w:space="0" w:color="auto"/>
        <w:right w:val="none" w:sz="0" w:space="0" w:color="auto"/>
      </w:divBdr>
    </w:div>
    <w:div w:id="797989736">
      <w:bodyDiv w:val="1"/>
      <w:marLeft w:val="0"/>
      <w:marRight w:val="0"/>
      <w:marTop w:val="0"/>
      <w:marBottom w:val="0"/>
      <w:divBdr>
        <w:top w:val="none" w:sz="0" w:space="0" w:color="auto"/>
        <w:left w:val="none" w:sz="0" w:space="0" w:color="auto"/>
        <w:bottom w:val="none" w:sz="0" w:space="0" w:color="auto"/>
        <w:right w:val="none" w:sz="0" w:space="0" w:color="auto"/>
      </w:divBdr>
    </w:div>
    <w:div w:id="798305948">
      <w:bodyDiv w:val="1"/>
      <w:marLeft w:val="0"/>
      <w:marRight w:val="0"/>
      <w:marTop w:val="0"/>
      <w:marBottom w:val="0"/>
      <w:divBdr>
        <w:top w:val="none" w:sz="0" w:space="0" w:color="auto"/>
        <w:left w:val="none" w:sz="0" w:space="0" w:color="auto"/>
        <w:bottom w:val="none" w:sz="0" w:space="0" w:color="auto"/>
        <w:right w:val="none" w:sz="0" w:space="0" w:color="auto"/>
      </w:divBdr>
    </w:div>
    <w:div w:id="799374240">
      <w:bodyDiv w:val="1"/>
      <w:marLeft w:val="0"/>
      <w:marRight w:val="0"/>
      <w:marTop w:val="0"/>
      <w:marBottom w:val="0"/>
      <w:divBdr>
        <w:top w:val="none" w:sz="0" w:space="0" w:color="auto"/>
        <w:left w:val="none" w:sz="0" w:space="0" w:color="auto"/>
        <w:bottom w:val="none" w:sz="0" w:space="0" w:color="auto"/>
        <w:right w:val="none" w:sz="0" w:space="0" w:color="auto"/>
      </w:divBdr>
    </w:div>
    <w:div w:id="809058909">
      <w:bodyDiv w:val="1"/>
      <w:marLeft w:val="0"/>
      <w:marRight w:val="0"/>
      <w:marTop w:val="0"/>
      <w:marBottom w:val="0"/>
      <w:divBdr>
        <w:top w:val="none" w:sz="0" w:space="0" w:color="auto"/>
        <w:left w:val="none" w:sz="0" w:space="0" w:color="auto"/>
        <w:bottom w:val="none" w:sz="0" w:space="0" w:color="auto"/>
        <w:right w:val="none" w:sz="0" w:space="0" w:color="auto"/>
      </w:divBdr>
    </w:div>
    <w:div w:id="809597851">
      <w:bodyDiv w:val="1"/>
      <w:marLeft w:val="0"/>
      <w:marRight w:val="0"/>
      <w:marTop w:val="0"/>
      <w:marBottom w:val="0"/>
      <w:divBdr>
        <w:top w:val="none" w:sz="0" w:space="0" w:color="auto"/>
        <w:left w:val="none" w:sz="0" w:space="0" w:color="auto"/>
        <w:bottom w:val="none" w:sz="0" w:space="0" w:color="auto"/>
        <w:right w:val="none" w:sz="0" w:space="0" w:color="auto"/>
      </w:divBdr>
    </w:div>
    <w:div w:id="832449591">
      <w:bodyDiv w:val="1"/>
      <w:marLeft w:val="0"/>
      <w:marRight w:val="0"/>
      <w:marTop w:val="0"/>
      <w:marBottom w:val="0"/>
      <w:divBdr>
        <w:top w:val="none" w:sz="0" w:space="0" w:color="auto"/>
        <w:left w:val="none" w:sz="0" w:space="0" w:color="auto"/>
        <w:bottom w:val="none" w:sz="0" w:space="0" w:color="auto"/>
        <w:right w:val="none" w:sz="0" w:space="0" w:color="auto"/>
      </w:divBdr>
    </w:div>
    <w:div w:id="842204239">
      <w:bodyDiv w:val="1"/>
      <w:marLeft w:val="0"/>
      <w:marRight w:val="0"/>
      <w:marTop w:val="0"/>
      <w:marBottom w:val="0"/>
      <w:divBdr>
        <w:top w:val="none" w:sz="0" w:space="0" w:color="auto"/>
        <w:left w:val="none" w:sz="0" w:space="0" w:color="auto"/>
        <w:bottom w:val="none" w:sz="0" w:space="0" w:color="auto"/>
        <w:right w:val="none" w:sz="0" w:space="0" w:color="auto"/>
      </w:divBdr>
    </w:div>
    <w:div w:id="845366204">
      <w:bodyDiv w:val="1"/>
      <w:marLeft w:val="0"/>
      <w:marRight w:val="0"/>
      <w:marTop w:val="0"/>
      <w:marBottom w:val="0"/>
      <w:divBdr>
        <w:top w:val="none" w:sz="0" w:space="0" w:color="auto"/>
        <w:left w:val="none" w:sz="0" w:space="0" w:color="auto"/>
        <w:bottom w:val="none" w:sz="0" w:space="0" w:color="auto"/>
        <w:right w:val="none" w:sz="0" w:space="0" w:color="auto"/>
      </w:divBdr>
    </w:div>
    <w:div w:id="848180501">
      <w:bodyDiv w:val="1"/>
      <w:marLeft w:val="0"/>
      <w:marRight w:val="0"/>
      <w:marTop w:val="0"/>
      <w:marBottom w:val="0"/>
      <w:divBdr>
        <w:top w:val="none" w:sz="0" w:space="0" w:color="auto"/>
        <w:left w:val="none" w:sz="0" w:space="0" w:color="auto"/>
        <w:bottom w:val="none" w:sz="0" w:space="0" w:color="auto"/>
        <w:right w:val="none" w:sz="0" w:space="0" w:color="auto"/>
      </w:divBdr>
    </w:div>
    <w:div w:id="853954930">
      <w:bodyDiv w:val="1"/>
      <w:marLeft w:val="0"/>
      <w:marRight w:val="0"/>
      <w:marTop w:val="0"/>
      <w:marBottom w:val="0"/>
      <w:divBdr>
        <w:top w:val="none" w:sz="0" w:space="0" w:color="auto"/>
        <w:left w:val="none" w:sz="0" w:space="0" w:color="auto"/>
        <w:bottom w:val="none" w:sz="0" w:space="0" w:color="auto"/>
        <w:right w:val="none" w:sz="0" w:space="0" w:color="auto"/>
      </w:divBdr>
      <w:divsChild>
        <w:div w:id="582102953">
          <w:marLeft w:val="0"/>
          <w:marRight w:val="0"/>
          <w:marTop w:val="0"/>
          <w:marBottom w:val="0"/>
          <w:divBdr>
            <w:top w:val="none" w:sz="0" w:space="0" w:color="auto"/>
            <w:left w:val="none" w:sz="0" w:space="0" w:color="auto"/>
            <w:bottom w:val="none" w:sz="0" w:space="0" w:color="auto"/>
            <w:right w:val="none" w:sz="0" w:space="0" w:color="auto"/>
          </w:divBdr>
          <w:divsChild>
            <w:div w:id="615676490">
              <w:marLeft w:val="0"/>
              <w:marRight w:val="0"/>
              <w:marTop w:val="0"/>
              <w:marBottom w:val="0"/>
              <w:divBdr>
                <w:top w:val="none" w:sz="0" w:space="0" w:color="auto"/>
                <w:left w:val="none" w:sz="0" w:space="0" w:color="auto"/>
                <w:bottom w:val="none" w:sz="0" w:space="0" w:color="auto"/>
                <w:right w:val="none" w:sz="0" w:space="0" w:color="auto"/>
              </w:divBdr>
              <w:divsChild>
                <w:div w:id="630479512">
                  <w:marLeft w:val="0"/>
                  <w:marRight w:val="0"/>
                  <w:marTop w:val="0"/>
                  <w:marBottom w:val="0"/>
                  <w:divBdr>
                    <w:top w:val="none" w:sz="0" w:space="0" w:color="auto"/>
                    <w:left w:val="none" w:sz="0" w:space="0" w:color="auto"/>
                    <w:bottom w:val="none" w:sz="0" w:space="0" w:color="auto"/>
                    <w:right w:val="none" w:sz="0" w:space="0" w:color="auto"/>
                  </w:divBdr>
                  <w:divsChild>
                    <w:div w:id="1816292831">
                      <w:marLeft w:val="0"/>
                      <w:marRight w:val="0"/>
                      <w:marTop w:val="0"/>
                      <w:marBottom w:val="0"/>
                      <w:divBdr>
                        <w:top w:val="none" w:sz="0" w:space="0" w:color="auto"/>
                        <w:left w:val="none" w:sz="0" w:space="0" w:color="auto"/>
                        <w:bottom w:val="none" w:sz="0" w:space="0" w:color="auto"/>
                        <w:right w:val="none" w:sz="0" w:space="0" w:color="auto"/>
                      </w:divBdr>
                      <w:divsChild>
                        <w:div w:id="821625642">
                          <w:marLeft w:val="0"/>
                          <w:marRight w:val="0"/>
                          <w:marTop w:val="0"/>
                          <w:marBottom w:val="0"/>
                          <w:divBdr>
                            <w:top w:val="none" w:sz="0" w:space="0" w:color="auto"/>
                            <w:left w:val="none" w:sz="0" w:space="0" w:color="auto"/>
                            <w:bottom w:val="none" w:sz="0" w:space="0" w:color="auto"/>
                            <w:right w:val="none" w:sz="0" w:space="0" w:color="auto"/>
                          </w:divBdr>
                          <w:divsChild>
                            <w:div w:id="458962422">
                              <w:marLeft w:val="0"/>
                              <w:marRight w:val="300"/>
                              <w:marTop w:val="180"/>
                              <w:marBottom w:val="0"/>
                              <w:divBdr>
                                <w:top w:val="none" w:sz="0" w:space="0" w:color="auto"/>
                                <w:left w:val="none" w:sz="0" w:space="0" w:color="auto"/>
                                <w:bottom w:val="none" w:sz="0" w:space="0" w:color="auto"/>
                                <w:right w:val="none" w:sz="0" w:space="0" w:color="auto"/>
                              </w:divBdr>
                              <w:divsChild>
                                <w:div w:id="4191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672661">
          <w:marLeft w:val="0"/>
          <w:marRight w:val="0"/>
          <w:marTop w:val="0"/>
          <w:marBottom w:val="0"/>
          <w:divBdr>
            <w:top w:val="none" w:sz="0" w:space="0" w:color="auto"/>
            <w:left w:val="none" w:sz="0" w:space="0" w:color="auto"/>
            <w:bottom w:val="none" w:sz="0" w:space="0" w:color="auto"/>
            <w:right w:val="none" w:sz="0" w:space="0" w:color="auto"/>
          </w:divBdr>
          <w:divsChild>
            <w:div w:id="2033148347">
              <w:marLeft w:val="0"/>
              <w:marRight w:val="0"/>
              <w:marTop w:val="0"/>
              <w:marBottom w:val="0"/>
              <w:divBdr>
                <w:top w:val="none" w:sz="0" w:space="0" w:color="auto"/>
                <w:left w:val="none" w:sz="0" w:space="0" w:color="auto"/>
                <w:bottom w:val="none" w:sz="0" w:space="0" w:color="auto"/>
                <w:right w:val="none" w:sz="0" w:space="0" w:color="auto"/>
              </w:divBdr>
              <w:divsChild>
                <w:div w:id="480389840">
                  <w:marLeft w:val="0"/>
                  <w:marRight w:val="0"/>
                  <w:marTop w:val="0"/>
                  <w:marBottom w:val="0"/>
                  <w:divBdr>
                    <w:top w:val="none" w:sz="0" w:space="0" w:color="auto"/>
                    <w:left w:val="none" w:sz="0" w:space="0" w:color="auto"/>
                    <w:bottom w:val="none" w:sz="0" w:space="0" w:color="auto"/>
                    <w:right w:val="none" w:sz="0" w:space="0" w:color="auto"/>
                  </w:divBdr>
                  <w:divsChild>
                    <w:div w:id="1318000812">
                      <w:marLeft w:val="0"/>
                      <w:marRight w:val="0"/>
                      <w:marTop w:val="0"/>
                      <w:marBottom w:val="0"/>
                      <w:divBdr>
                        <w:top w:val="none" w:sz="0" w:space="0" w:color="auto"/>
                        <w:left w:val="none" w:sz="0" w:space="0" w:color="auto"/>
                        <w:bottom w:val="none" w:sz="0" w:space="0" w:color="auto"/>
                        <w:right w:val="none" w:sz="0" w:space="0" w:color="auto"/>
                      </w:divBdr>
                      <w:divsChild>
                        <w:div w:id="21060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929323">
      <w:bodyDiv w:val="1"/>
      <w:marLeft w:val="0"/>
      <w:marRight w:val="0"/>
      <w:marTop w:val="0"/>
      <w:marBottom w:val="0"/>
      <w:divBdr>
        <w:top w:val="none" w:sz="0" w:space="0" w:color="auto"/>
        <w:left w:val="none" w:sz="0" w:space="0" w:color="auto"/>
        <w:bottom w:val="none" w:sz="0" w:space="0" w:color="auto"/>
        <w:right w:val="none" w:sz="0" w:space="0" w:color="auto"/>
      </w:divBdr>
    </w:div>
    <w:div w:id="872576008">
      <w:bodyDiv w:val="1"/>
      <w:marLeft w:val="0"/>
      <w:marRight w:val="0"/>
      <w:marTop w:val="0"/>
      <w:marBottom w:val="0"/>
      <w:divBdr>
        <w:top w:val="none" w:sz="0" w:space="0" w:color="auto"/>
        <w:left w:val="none" w:sz="0" w:space="0" w:color="auto"/>
        <w:bottom w:val="none" w:sz="0" w:space="0" w:color="auto"/>
        <w:right w:val="none" w:sz="0" w:space="0" w:color="auto"/>
      </w:divBdr>
    </w:div>
    <w:div w:id="873539274">
      <w:bodyDiv w:val="1"/>
      <w:marLeft w:val="0"/>
      <w:marRight w:val="0"/>
      <w:marTop w:val="0"/>
      <w:marBottom w:val="0"/>
      <w:divBdr>
        <w:top w:val="none" w:sz="0" w:space="0" w:color="auto"/>
        <w:left w:val="none" w:sz="0" w:space="0" w:color="auto"/>
        <w:bottom w:val="none" w:sz="0" w:space="0" w:color="auto"/>
        <w:right w:val="none" w:sz="0" w:space="0" w:color="auto"/>
      </w:divBdr>
    </w:div>
    <w:div w:id="874543130">
      <w:bodyDiv w:val="1"/>
      <w:marLeft w:val="0"/>
      <w:marRight w:val="0"/>
      <w:marTop w:val="0"/>
      <w:marBottom w:val="0"/>
      <w:divBdr>
        <w:top w:val="none" w:sz="0" w:space="0" w:color="auto"/>
        <w:left w:val="none" w:sz="0" w:space="0" w:color="auto"/>
        <w:bottom w:val="none" w:sz="0" w:space="0" w:color="auto"/>
        <w:right w:val="none" w:sz="0" w:space="0" w:color="auto"/>
      </w:divBdr>
    </w:div>
    <w:div w:id="888028695">
      <w:bodyDiv w:val="1"/>
      <w:marLeft w:val="0"/>
      <w:marRight w:val="0"/>
      <w:marTop w:val="0"/>
      <w:marBottom w:val="0"/>
      <w:divBdr>
        <w:top w:val="none" w:sz="0" w:space="0" w:color="auto"/>
        <w:left w:val="none" w:sz="0" w:space="0" w:color="auto"/>
        <w:bottom w:val="none" w:sz="0" w:space="0" w:color="auto"/>
        <w:right w:val="none" w:sz="0" w:space="0" w:color="auto"/>
      </w:divBdr>
    </w:div>
    <w:div w:id="890389045">
      <w:bodyDiv w:val="1"/>
      <w:marLeft w:val="0"/>
      <w:marRight w:val="0"/>
      <w:marTop w:val="0"/>
      <w:marBottom w:val="0"/>
      <w:divBdr>
        <w:top w:val="none" w:sz="0" w:space="0" w:color="auto"/>
        <w:left w:val="none" w:sz="0" w:space="0" w:color="auto"/>
        <w:bottom w:val="none" w:sz="0" w:space="0" w:color="auto"/>
        <w:right w:val="none" w:sz="0" w:space="0" w:color="auto"/>
      </w:divBdr>
    </w:div>
    <w:div w:id="899822399">
      <w:bodyDiv w:val="1"/>
      <w:marLeft w:val="0"/>
      <w:marRight w:val="0"/>
      <w:marTop w:val="0"/>
      <w:marBottom w:val="0"/>
      <w:divBdr>
        <w:top w:val="none" w:sz="0" w:space="0" w:color="auto"/>
        <w:left w:val="none" w:sz="0" w:space="0" w:color="auto"/>
        <w:bottom w:val="none" w:sz="0" w:space="0" w:color="auto"/>
        <w:right w:val="none" w:sz="0" w:space="0" w:color="auto"/>
      </w:divBdr>
    </w:div>
    <w:div w:id="911894120">
      <w:bodyDiv w:val="1"/>
      <w:marLeft w:val="0"/>
      <w:marRight w:val="0"/>
      <w:marTop w:val="0"/>
      <w:marBottom w:val="0"/>
      <w:divBdr>
        <w:top w:val="none" w:sz="0" w:space="0" w:color="auto"/>
        <w:left w:val="none" w:sz="0" w:space="0" w:color="auto"/>
        <w:bottom w:val="none" w:sz="0" w:space="0" w:color="auto"/>
        <w:right w:val="none" w:sz="0" w:space="0" w:color="auto"/>
      </w:divBdr>
    </w:div>
    <w:div w:id="912737069">
      <w:bodyDiv w:val="1"/>
      <w:marLeft w:val="0"/>
      <w:marRight w:val="0"/>
      <w:marTop w:val="0"/>
      <w:marBottom w:val="0"/>
      <w:divBdr>
        <w:top w:val="none" w:sz="0" w:space="0" w:color="auto"/>
        <w:left w:val="none" w:sz="0" w:space="0" w:color="auto"/>
        <w:bottom w:val="none" w:sz="0" w:space="0" w:color="auto"/>
        <w:right w:val="none" w:sz="0" w:space="0" w:color="auto"/>
      </w:divBdr>
    </w:div>
    <w:div w:id="913317454">
      <w:bodyDiv w:val="1"/>
      <w:marLeft w:val="0"/>
      <w:marRight w:val="0"/>
      <w:marTop w:val="0"/>
      <w:marBottom w:val="0"/>
      <w:divBdr>
        <w:top w:val="none" w:sz="0" w:space="0" w:color="auto"/>
        <w:left w:val="none" w:sz="0" w:space="0" w:color="auto"/>
        <w:bottom w:val="none" w:sz="0" w:space="0" w:color="auto"/>
        <w:right w:val="none" w:sz="0" w:space="0" w:color="auto"/>
      </w:divBdr>
    </w:div>
    <w:div w:id="922878503">
      <w:bodyDiv w:val="1"/>
      <w:marLeft w:val="0"/>
      <w:marRight w:val="0"/>
      <w:marTop w:val="0"/>
      <w:marBottom w:val="0"/>
      <w:divBdr>
        <w:top w:val="none" w:sz="0" w:space="0" w:color="auto"/>
        <w:left w:val="none" w:sz="0" w:space="0" w:color="auto"/>
        <w:bottom w:val="none" w:sz="0" w:space="0" w:color="auto"/>
        <w:right w:val="none" w:sz="0" w:space="0" w:color="auto"/>
      </w:divBdr>
    </w:div>
    <w:div w:id="927888315">
      <w:bodyDiv w:val="1"/>
      <w:marLeft w:val="0"/>
      <w:marRight w:val="0"/>
      <w:marTop w:val="0"/>
      <w:marBottom w:val="0"/>
      <w:divBdr>
        <w:top w:val="none" w:sz="0" w:space="0" w:color="auto"/>
        <w:left w:val="none" w:sz="0" w:space="0" w:color="auto"/>
        <w:bottom w:val="none" w:sz="0" w:space="0" w:color="auto"/>
        <w:right w:val="none" w:sz="0" w:space="0" w:color="auto"/>
      </w:divBdr>
    </w:div>
    <w:div w:id="929659747">
      <w:bodyDiv w:val="1"/>
      <w:marLeft w:val="0"/>
      <w:marRight w:val="0"/>
      <w:marTop w:val="0"/>
      <w:marBottom w:val="0"/>
      <w:divBdr>
        <w:top w:val="none" w:sz="0" w:space="0" w:color="auto"/>
        <w:left w:val="none" w:sz="0" w:space="0" w:color="auto"/>
        <w:bottom w:val="none" w:sz="0" w:space="0" w:color="auto"/>
        <w:right w:val="none" w:sz="0" w:space="0" w:color="auto"/>
      </w:divBdr>
    </w:div>
    <w:div w:id="930117542">
      <w:bodyDiv w:val="1"/>
      <w:marLeft w:val="0"/>
      <w:marRight w:val="0"/>
      <w:marTop w:val="0"/>
      <w:marBottom w:val="0"/>
      <w:divBdr>
        <w:top w:val="none" w:sz="0" w:space="0" w:color="auto"/>
        <w:left w:val="none" w:sz="0" w:space="0" w:color="auto"/>
        <w:bottom w:val="none" w:sz="0" w:space="0" w:color="auto"/>
        <w:right w:val="none" w:sz="0" w:space="0" w:color="auto"/>
      </w:divBdr>
    </w:div>
    <w:div w:id="933130534">
      <w:bodyDiv w:val="1"/>
      <w:marLeft w:val="0"/>
      <w:marRight w:val="0"/>
      <w:marTop w:val="0"/>
      <w:marBottom w:val="0"/>
      <w:divBdr>
        <w:top w:val="none" w:sz="0" w:space="0" w:color="auto"/>
        <w:left w:val="none" w:sz="0" w:space="0" w:color="auto"/>
        <w:bottom w:val="none" w:sz="0" w:space="0" w:color="auto"/>
        <w:right w:val="none" w:sz="0" w:space="0" w:color="auto"/>
      </w:divBdr>
    </w:div>
    <w:div w:id="934090937">
      <w:bodyDiv w:val="1"/>
      <w:marLeft w:val="0"/>
      <w:marRight w:val="0"/>
      <w:marTop w:val="0"/>
      <w:marBottom w:val="0"/>
      <w:divBdr>
        <w:top w:val="none" w:sz="0" w:space="0" w:color="auto"/>
        <w:left w:val="none" w:sz="0" w:space="0" w:color="auto"/>
        <w:bottom w:val="none" w:sz="0" w:space="0" w:color="auto"/>
        <w:right w:val="none" w:sz="0" w:space="0" w:color="auto"/>
      </w:divBdr>
    </w:div>
    <w:div w:id="948469293">
      <w:bodyDiv w:val="1"/>
      <w:marLeft w:val="0"/>
      <w:marRight w:val="0"/>
      <w:marTop w:val="0"/>
      <w:marBottom w:val="0"/>
      <w:divBdr>
        <w:top w:val="none" w:sz="0" w:space="0" w:color="auto"/>
        <w:left w:val="none" w:sz="0" w:space="0" w:color="auto"/>
        <w:bottom w:val="none" w:sz="0" w:space="0" w:color="auto"/>
        <w:right w:val="none" w:sz="0" w:space="0" w:color="auto"/>
      </w:divBdr>
    </w:div>
    <w:div w:id="950548785">
      <w:bodyDiv w:val="1"/>
      <w:marLeft w:val="0"/>
      <w:marRight w:val="0"/>
      <w:marTop w:val="0"/>
      <w:marBottom w:val="0"/>
      <w:divBdr>
        <w:top w:val="none" w:sz="0" w:space="0" w:color="auto"/>
        <w:left w:val="none" w:sz="0" w:space="0" w:color="auto"/>
        <w:bottom w:val="none" w:sz="0" w:space="0" w:color="auto"/>
        <w:right w:val="none" w:sz="0" w:space="0" w:color="auto"/>
      </w:divBdr>
    </w:div>
    <w:div w:id="952639938">
      <w:bodyDiv w:val="1"/>
      <w:marLeft w:val="0"/>
      <w:marRight w:val="0"/>
      <w:marTop w:val="0"/>
      <w:marBottom w:val="0"/>
      <w:divBdr>
        <w:top w:val="none" w:sz="0" w:space="0" w:color="auto"/>
        <w:left w:val="none" w:sz="0" w:space="0" w:color="auto"/>
        <w:bottom w:val="none" w:sz="0" w:space="0" w:color="auto"/>
        <w:right w:val="none" w:sz="0" w:space="0" w:color="auto"/>
      </w:divBdr>
    </w:div>
    <w:div w:id="970328539">
      <w:bodyDiv w:val="1"/>
      <w:marLeft w:val="0"/>
      <w:marRight w:val="0"/>
      <w:marTop w:val="0"/>
      <w:marBottom w:val="0"/>
      <w:divBdr>
        <w:top w:val="none" w:sz="0" w:space="0" w:color="auto"/>
        <w:left w:val="none" w:sz="0" w:space="0" w:color="auto"/>
        <w:bottom w:val="none" w:sz="0" w:space="0" w:color="auto"/>
        <w:right w:val="none" w:sz="0" w:space="0" w:color="auto"/>
      </w:divBdr>
    </w:div>
    <w:div w:id="978611689">
      <w:bodyDiv w:val="1"/>
      <w:marLeft w:val="0"/>
      <w:marRight w:val="0"/>
      <w:marTop w:val="0"/>
      <w:marBottom w:val="0"/>
      <w:divBdr>
        <w:top w:val="none" w:sz="0" w:space="0" w:color="auto"/>
        <w:left w:val="none" w:sz="0" w:space="0" w:color="auto"/>
        <w:bottom w:val="none" w:sz="0" w:space="0" w:color="auto"/>
        <w:right w:val="none" w:sz="0" w:space="0" w:color="auto"/>
      </w:divBdr>
    </w:div>
    <w:div w:id="982810583">
      <w:bodyDiv w:val="1"/>
      <w:marLeft w:val="0"/>
      <w:marRight w:val="0"/>
      <w:marTop w:val="0"/>
      <w:marBottom w:val="0"/>
      <w:divBdr>
        <w:top w:val="none" w:sz="0" w:space="0" w:color="auto"/>
        <w:left w:val="none" w:sz="0" w:space="0" w:color="auto"/>
        <w:bottom w:val="none" w:sz="0" w:space="0" w:color="auto"/>
        <w:right w:val="none" w:sz="0" w:space="0" w:color="auto"/>
      </w:divBdr>
    </w:div>
    <w:div w:id="985010898">
      <w:bodyDiv w:val="1"/>
      <w:marLeft w:val="0"/>
      <w:marRight w:val="0"/>
      <w:marTop w:val="0"/>
      <w:marBottom w:val="0"/>
      <w:divBdr>
        <w:top w:val="none" w:sz="0" w:space="0" w:color="auto"/>
        <w:left w:val="none" w:sz="0" w:space="0" w:color="auto"/>
        <w:bottom w:val="none" w:sz="0" w:space="0" w:color="auto"/>
        <w:right w:val="none" w:sz="0" w:space="0" w:color="auto"/>
      </w:divBdr>
    </w:div>
    <w:div w:id="998729791">
      <w:bodyDiv w:val="1"/>
      <w:marLeft w:val="0"/>
      <w:marRight w:val="0"/>
      <w:marTop w:val="0"/>
      <w:marBottom w:val="0"/>
      <w:divBdr>
        <w:top w:val="none" w:sz="0" w:space="0" w:color="auto"/>
        <w:left w:val="none" w:sz="0" w:space="0" w:color="auto"/>
        <w:bottom w:val="none" w:sz="0" w:space="0" w:color="auto"/>
        <w:right w:val="none" w:sz="0" w:space="0" w:color="auto"/>
      </w:divBdr>
    </w:div>
    <w:div w:id="1001348139">
      <w:bodyDiv w:val="1"/>
      <w:marLeft w:val="0"/>
      <w:marRight w:val="0"/>
      <w:marTop w:val="0"/>
      <w:marBottom w:val="0"/>
      <w:divBdr>
        <w:top w:val="none" w:sz="0" w:space="0" w:color="auto"/>
        <w:left w:val="none" w:sz="0" w:space="0" w:color="auto"/>
        <w:bottom w:val="none" w:sz="0" w:space="0" w:color="auto"/>
        <w:right w:val="none" w:sz="0" w:space="0" w:color="auto"/>
      </w:divBdr>
    </w:div>
    <w:div w:id="1002703337">
      <w:bodyDiv w:val="1"/>
      <w:marLeft w:val="0"/>
      <w:marRight w:val="0"/>
      <w:marTop w:val="0"/>
      <w:marBottom w:val="0"/>
      <w:divBdr>
        <w:top w:val="none" w:sz="0" w:space="0" w:color="auto"/>
        <w:left w:val="none" w:sz="0" w:space="0" w:color="auto"/>
        <w:bottom w:val="none" w:sz="0" w:space="0" w:color="auto"/>
        <w:right w:val="none" w:sz="0" w:space="0" w:color="auto"/>
      </w:divBdr>
    </w:div>
    <w:div w:id="1018458864">
      <w:bodyDiv w:val="1"/>
      <w:marLeft w:val="0"/>
      <w:marRight w:val="0"/>
      <w:marTop w:val="0"/>
      <w:marBottom w:val="0"/>
      <w:divBdr>
        <w:top w:val="none" w:sz="0" w:space="0" w:color="auto"/>
        <w:left w:val="none" w:sz="0" w:space="0" w:color="auto"/>
        <w:bottom w:val="none" w:sz="0" w:space="0" w:color="auto"/>
        <w:right w:val="none" w:sz="0" w:space="0" w:color="auto"/>
      </w:divBdr>
    </w:div>
    <w:div w:id="1042438623">
      <w:bodyDiv w:val="1"/>
      <w:marLeft w:val="0"/>
      <w:marRight w:val="0"/>
      <w:marTop w:val="0"/>
      <w:marBottom w:val="0"/>
      <w:divBdr>
        <w:top w:val="none" w:sz="0" w:space="0" w:color="auto"/>
        <w:left w:val="none" w:sz="0" w:space="0" w:color="auto"/>
        <w:bottom w:val="none" w:sz="0" w:space="0" w:color="auto"/>
        <w:right w:val="none" w:sz="0" w:space="0" w:color="auto"/>
      </w:divBdr>
    </w:div>
    <w:div w:id="1043094355">
      <w:bodyDiv w:val="1"/>
      <w:marLeft w:val="0"/>
      <w:marRight w:val="0"/>
      <w:marTop w:val="0"/>
      <w:marBottom w:val="0"/>
      <w:divBdr>
        <w:top w:val="none" w:sz="0" w:space="0" w:color="auto"/>
        <w:left w:val="none" w:sz="0" w:space="0" w:color="auto"/>
        <w:bottom w:val="none" w:sz="0" w:space="0" w:color="auto"/>
        <w:right w:val="none" w:sz="0" w:space="0" w:color="auto"/>
      </w:divBdr>
    </w:div>
    <w:div w:id="1052995646">
      <w:bodyDiv w:val="1"/>
      <w:marLeft w:val="0"/>
      <w:marRight w:val="0"/>
      <w:marTop w:val="0"/>
      <w:marBottom w:val="0"/>
      <w:divBdr>
        <w:top w:val="none" w:sz="0" w:space="0" w:color="auto"/>
        <w:left w:val="none" w:sz="0" w:space="0" w:color="auto"/>
        <w:bottom w:val="none" w:sz="0" w:space="0" w:color="auto"/>
        <w:right w:val="none" w:sz="0" w:space="0" w:color="auto"/>
      </w:divBdr>
    </w:div>
    <w:div w:id="1056247925">
      <w:bodyDiv w:val="1"/>
      <w:marLeft w:val="0"/>
      <w:marRight w:val="0"/>
      <w:marTop w:val="0"/>
      <w:marBottom w:val="0"/>
      <w:divBdr>
        <w:top w:val="none" w:sz="0" w:space="0" w:color="auto"/>
        <w:left w:val="none" w:sz="0" w:space="0" w:color="auto"/>
        <w:bottom w:val="none" w:sz="0" w:space="0" w:color="auto"/>
        <w:right w:val="none" w:sz="0" w:space="0" w:color="auto"/>
      </w:divBdr>
    </w:div>
    <w:div w:id="1063872725">
      <w:bodyDiv w:val="1"/>
      <w:marLeft w:val="0"/>
      <w:marRight w:val="0"/>
      <w:marTop w:val="0"/>
      <w:marBottom w:val="0"/>
      <w:divBdr>
        <w:top w:val="none" w:sz="0" w:space="0" w:color="auto"/>
        <w:left w:val="none" w:sz="0" w:space="0" w:color="auto"/>
        <w:bottom w:val="none" w:sz="0" w:space="0" w:color="auto"/>
        <w:right w:val="none" w:sz="0" w:space="0" w:color="auto"/>
      </w:divBdr>
    </w:div>
    <w:div w:id="1065371308">
      <w:bodyDiv w:val="1"/>
      <w:marLeft w:val="0"/>
      <w:marRight w:val="0"/>
      <w:marTop w:val="0"/>
      <w:marBottom w:val="0"/>
      <w:divBdr>
        <w:top w:val="none" w:sz="0" w:space="0" w:color="auto"/>
        <w:left w:val="none" w:sz="0" w:space="0" w:color="auto"/>
        <w:bottom w:val="none" w:sz="0" w:space="0" w:color="auto"/>
        <w:right w:val="none" w:sz="0" w:space="0" w:color="auto"/>
      </w:divBdr>
    </w:div>
    <w:div w:id="1069379536">
      <w:bodyDiv w:val="1"/>
      <w:marLeft w:val="0"/>
      <w:marRight w:val="0"/>
      <w:marTop w:val="0"/>
      <w:marBottom w:val="0"/>
      <w:divBdr>
        <w:top w:val="none" w:sz="0" w:space="0" w:color="auto"/>
        <w:left w:val="none" w:sz="0" w:space="0" w:color="auto"/>
        <w:bottom w:val="none" w:sz="0" w:space="0" w:color="auto"/>
        <w:right w:val="none" w:sz="0" w:space="0" w:color="auto"/>
      </w:divBdr>
    </w:div>
    <w:div w:id="1070924655">
      <w:bodyDiv w:val="1"/>
      <w:marLeft w:val="0"/>
      <w:marRight w:val="0"/>
      <w:marTop w:val="0"/>
      <w:marBottom w:val="0"/>
      <w:divBdr>
        <w:top w:val="none" w:sz="0" w:space="0" w:color="auto"/>
        <w:left w:val="none" w:sz="0" w:space="0" w:color="auto"/>
        <w:bottom w:val="none" w:sz="0" w:space="0" w:color="auto"/>
        <w:right w:val="none" w:sz="0" w:space="0" w:color="auto"/>
      </w:divBdr>
    </w:div>
    <w:div w:id="1074202178">
      <w:bodyDiv w:val="1"/>
      <w:marLeft w:val="0"/>
      <w:marRight w:val="0"/>
      <w:marTop w:val="0"/>
      <w:marBottom w:val="0"/>
      <w:divBdr>
        <w:top w:val="none" w:sz="0" w:space="0" w:color="auto"/>
        <w:left w:val="none" w:sz="0" w:space="0" w:color="auto"/>
        <w:bottom w:val="none" w:sz="0" w:space="0" w:color="auto"/>
        <w:right w:val="none" w:sz="0" w:space="0" w:color="auto"/>
      </w:divBdr>
    </w:div>
    <w:div w:id="1076171716">
      <w:bodyDiv w:val="1"/>
      <w:marLeft w:val="0"/>
      <w:marRight w:val="0"/>
      <w:marTop w:val="0"/>
      <w:marBottom w:val="0"/>
      <w:divBdr>
        <w:top w:val="none" w:sz="0" w:space="0" w:color="auto"/>
        <w:left w:val="none" w:sz="0" w:space="0" w:color="auto"/>
        <w:bottom w:val="none" w:sz="0" w:space="0" w:color="auto"/>
        <w:right w:val="none" w:sz="0" w:space="0" w:color="auto"/>
      </w:divBdr>
    </w:div>
    <w:div w:id="1078399837">
      <w:bodyDiv w:val="1"/>
      <w:marLeft w:val="0"/>
      <w:marRight w:val="0"/>
      <w:marTop w:val="0"/>
      <w:marBottom w:val="0"/>
      <w:divBdr>
        <w:top w:val="none" w:sz="0" w:space="0" w:color="auto"/>
        <w:left w:val="none" w:sz="0" w:space="0" w:color="auto"/>
        <w:bottom w:val="none" w:sz="0" w:space="0" w:color="auto"/>
        <w:right w:val="none" w:sz="0" w:space="0" w:color="auto"/>
      </w:divBdr>
    </w:div>
    <w:div w:id="1079788874">
      <w:bodyDiv w:val="1"/>
      <w:marLeft w:val="0"/>
      <w:marRight w:val="0"/>
      <w:marTop w:val="0"/>
      <w:marBottom w:val="0"/>
      <w:divBdr>
        <w:top w:val="none" w:sz="0" w:space="0" w:color="auto"/>
        <w:left w:val="none" w:sz="0" w:space="0" w:color="auto"/>
        <w:bottom w:val="none" w:sz="0" w:space="0" w:color="auto"/>
        <w:right w:val="none" w:sz="0" w:space="0" w:color="auto"/>
      </w:divBdr>
    </w:div>
    <w:div w:id="1082920618">
      <w:bodyDiv w:val="1"/>
      <w:marLeft w:val="0"/>
      <w:marRight w:val="0"/>
      <w:marTop w:val="0"/>
      <w:marBottom w:val="0"/>
      <w:divBdr>
        <w:top w:val="none" w:sz="0" w:space="0" w:color="auto"/>
        <w:left w:val="none" w:sz="0" w:space="0" w:color="auto"/>
        <w:bottom w:val="none" w:sz="0" w:space="0" w:color="auto"/>
        <w:right w:val="none" w:sz="0" w:space="0" w:color="auto"/>
      </w:divBdr>
    </w:div>
    <w:div w:id="1085957955">
      <w:bodyDiv w:val="1"/>
      <w:marLeft w:val="0"/>
      <w:marRight w:val="0"/>
      <w:marTop w:val="0"/>
      <w:marBottom w:val="0"/>
      <w:divBdr>
        <w:top w:val="none" w:sz="0" w:space="0" w:color="auto"/>
        <w:left w:val="none" w:sz="0" w:space="0" w:color="auto"/>
        <w:bottom w:val="none" w:sz="0" w:space="0" w:color="auto"/>
        <w:right w:val="none" w:sz="0" w:space="0" w:color="auto"/>
      </w:divBdr>
    </w:div>
    <w:div w:id="1088773725">
      <w:bodyDiv w:val="1"/>
      <w:marLeft w:val="0"/>
      <w:marRight w:val="0"/>
      <w:marTop w:val="0"/>
      <w:marBottom w:val="0"/>
      <w:divBdr>
        <w:top w:val="none" w:sz="0" w:space="0" w:color="auto"/>
        <w:left w:val="none" w:sz="0" w:space="0" w:color="auto"/>
        <w:bottom w:val="none" w:sz="0" w:space="0" w:color="auto"/>
        <w:right w:val="none" w:sz="0" w:space="0" w:color="auto"/>
      </w:divBdr>
    </w:div>
    <w:div w:id="1096092194">
      <w:bodyDiv w:val="1"/>
      <w:marLeft w:val="0"/>
      <w:marRight w:val="0"/>
      <w:marTop w:val="0"/>
      <w:marBottom w:val="0"/>
      <w:divBdr>
        <w:top w:val="none" w:sz="0" w:space="0" w:color="auto"/>
        <w:left w:val="none" w:sz="0" w:space="0" w:color="auto"/>
        <w:bottom w:val="none" w:sz="0" w:space="0" w:color="auto"/>
        <w:right w:val="none" w:sz="0" w:space="0" w:color="auto"/>
      </w:divBdr>
    </w:div>
    <w:div w:id="1097553242">
      <w:bodyDiv w:val="1"/>
      <w:marLeft w:val="0"/>
      <w:marRight w:val="0"/>
      <w:marTop w:val="0"/>
      <w:marBottom w:val="0"/>
      <w:divBdr>
        <w:top w:val="none" w:sz="0" w:space="0" w:color="auto"/>
        <w:left w:val="none" w:sz="0" w:space="0" w:color="auto"/>
        <w:bottom w:val="none" w:sz="0" w:space="0" w:color="auto"/>
        <w:right w:val="none" w:sz="0" w:space="0" w:color="auto"/>
      </w:divBdr>
    </w:div>
    <w:div w:id="1103259643">
      <w:bodyDiv w:val="1"/>
      <w:marLeft w:val="0"/>
      <w:marRight w:val="0"/>
      <w:marTop w:val="0"/>
      <w:marBottom w:val="0"/>
      <w:divBdr>
        <w:top w:val="none" w:sz="0" w:space="0" w:color="auto"/>
        <w:left w:val="none" w:sz="0" w:space="0" w:color="auto"/>
        <w:bottom w:val="none" w:sz="0" w:space="0" w:color="auto"/>
        <w:right w:val="none" w:sz="0" w:space="0" w:color="auto"/>
      </w:divBdr>
    </w:div>
    <w:div w:id="1103496028">
      <w:bodyDiv w:val="1"/>
      <w:marLeft w:val="0"/>
      <w:marRight w:val="0"/>
      <w:marTop w:val="0"/>
      <w:marBottom w:val="0"/>
      <w:divBdr>
        <w:top w:val="none" w:sz="0" w:space="0" w:color="auto"/>
        <w:left w:val="none" w:sz="0" w:space="0" w:color="auto"/>
        <w:bottom w:val="none" w:sz="0" w:space="0" w:color="auto"/>
        <w:right w:val="none" w:sz="0" w:space="0" w:color="auto"/>
      </w:divBdr>
    </w:div>
    <w:div w:id="1112868209">
      <w:bodyDiv w:val="1"/>
      <w:marLeft w:val="0"/>
      <w:marRight w:val="0"/>
      <w:marTop w:val="0"/>
      <w:marBottom w:val="0"/>
      <w:divBdr>
        <w:top w:val="none" w:sz="0" w:space="0" w:color="auto"/>
        <w:left w:val="none" w:sz="0" w:space="0" w:color="auto"/>
        <w:bottom w:val="none" w:sz="0" w:space="0" w:color="auto"/>
        <w:right w:val="none" w:sz="0" w:space="0" w:color="auto"/>
      </w:divBdr>
    </w:div>
    <w:div w:id="1113985527">
      <w:bodyDiv w:val="1"/>
      <w:marLeft w:val="0"/>
      <w:marRight w:val="0"/>
      <w:marTop w:val="0"/>
      <w:marBottom w:val="0"/>
      <w:divBdr>
        <w:top w:val="none" w:sz="0" w:space="0" w:color="auto"/>
        <w:left w:val="none" w:sz="0" w:space="0" w:color="auto"/>
        <w:bottom w:val="none" w:sz="0" w:space="0" w:color="auto"/>
        <w:right w:val="none" w:sz="0" w:space="0" w:color="auto"/>
      </w:divBdr>
    </w:div>
    <w:div w:id="1119761506">
      <w:bodyDiv w:val="1"/>
      <w:marLeft w:val="0"/>
      <w:marRight w:val="0"/>
      <w:marTop w:val="0"/>
      <w:marBottom w:val="0"/>
      <w:divBdr>
        <w:top w:val="none" w:sz="0" w:space="0" w:color="auto"/>
        <w:left w:val="none" w:sz="0" w:space="0" w:color="auto"/>
        <w:bottom w:val="none" w:sz="0" w:space="0" w:color="auto"/>
        <w:right w:val="none" w:sz="0" w:space="0" w:color="auto"/>
      </w:divBdr>
    </w:div>
    <w:div w:id="1125463413">
      <w:bodyDiv w:val="1"/>
      <w:marLeft w:val="0"/>
      <w:marRight w:val="0"/>
      <w:marTop w:val="0"/>
      <w:marBottom w:val="0"/>
      <w:divBdr>
        <w:top w:val="none" w:sz="0" w:space="0" w:color="auto"/>
        <w:left w:val="none" w:sz="0" w:space="0" w:color="auto"/>
        <w:bottom w:val="none" w:sz="0" w:space="0" w:color="auto"/>
        <w:right w:val="none" w:sz="0" w:space="0" w:color="auto"/>
      </w:divBdr>
    </w:div>
    <w:div w:id="1149008885">
      <w:bodyDiv w:val="1"/>
      <w:marLeft w:val="0"/>
      <w:marRight w:val="0"/>
      <w:marTop w:val="0"/>
      <w:marBottom w:val="0"/>
      <w:divBdr>
        <w:top w:val="none" w:sz="0" w:space="0" w:color="auto"/>
        <w:left w:val="none" w:sz="0" w:space="0" w:color="auto"/>
        <w:bottom w:val="none" w:sz="0" w:space="0" w:color="auto"/>
        <w:right w:val="none" w:sz="0" w:space="0" w:color="auto"/>
      </w:divBdr>
    </w:div>
    <w:div w:id="1153448809">
      <w:bodyDiv w:val="1"/>
      <w:marLeft w:val="0"/>
      <w:marRight w:val="0"/>
      <w:marTop w:val="0"/>
      <w:marBottom w:val="0"/>
      <w:divBdr>
        <w:top w:val="none" w:sz="0" w:space="0" w:color="auto"/>
        <w:left w:val="none" w:sz="0" w:space="0" w:color="auto"/>
        <w:bottom w:val="none" w:sz="0" w:space="0" w:color="auto"/>
        <w:right w:val="none" w:sz="0" w:space="0" w:color="auto"/>
      </w:divBdr>
    </w:div>
    <w:div w:id="1153983231">
      <w:bodyDiv w:val="1"/>
      <w:marLeft w:val="0"/>
      <w:marRight w:val="0"/>
      <w:marTop w:val="0"/>
      <w:marBottom w:val="0"/>
      <w:divBdr>
        <w:top w:val="none" w:sz="0" w:space="0" w:color="auto"/>
        <w:left w:val="none" w:sz="0" w:space="0" w:color="auto"/>
        <w:bottom w:val="none" w:sz="0" w:space="0" w:color="auto"/>
        <w:right w:val="none" w:sz="0" w:space="0" w:color="auto"/>
      </w:divBdr>
    </w:div>
    <w:div w:id="1154375931">
      <w:bodyDiv w:val="1"/>
      <w:marLeft w:val="0"/>
      <w:marRight w:val="0"/>
      <w:marTop w:val="0"/>
      <w:marBottom w:val="0"/>
      <w:divBdr>
        <w:top w:val="none" w:sz="0" w:space="0" w:color="auto"/>
        <w:left w:val="none" w:sz="0" w:space="0" w:color="auto"/>
        <w:bottom w:val="none" w:sz="0" w:space="0" w:color="auto"/>
        <w:right w:val="none" w:sz="0" w:space="0" w:color="auto"/>
      </w:divBdr>
    </w:div>
    <w:div w:id="1160732854">
      <w:bodyDiv w:val="1"/>
      <w:marLeft w:val="0"/>
      <w:marRight w:val="0"/>
      <w:marTop w:val="0"/>
      <w:marBottom w:val="0"/>
      <w:divBdr>
        <w:top w:val="none" w:sz="0" w:space="0" w:color="auto"/>
        <w:left w:val="none" w:sz="0" w:space="0" w:color="auto"/>
        <w:bottom w:val="none" w:sz="0" w:space="0" w:color="auto"/>
        <w:right w:val="none" w:sz="0" w:space="0" w:color="auto"/>
      </w:divBdr>
    </w:div>
    <w:div w:id="1169128174">
      <w:bodyDiv w:val="1"/>
      <w:marLeft w:val="0"/>
      <w:marRight w:val="0"/>
      <w:marTop w:val="0"/>
      <w:marBottom w:val="0"/>
      <w:divBdr>
        <w:top w:val="none" w:sz="0" w:space="0" w:color="auto"/>
        <w:left w:val="none" w:sz="0" w:space="0" w:color="auto"/>
        <w:bottom w:val="none" w:sz="0" w:space="0" w:color="auto"/>
        <w:right w:val="none" w:sz="0" w:space="0" w:color="auto"/>
      </w:divBdr>
    </w:div>
    <w:div w:id="1171870084">
      <w:bodyDiv w:val="1"/>
      <w:marLeft w:val="0"/>
      <w:marRight w:val="0"/>
      <w:marTop w:val="0"/>
      <w:marBottom w:val="0"/>
      <w:divBdr>
        <w:top w:val="none" w:sz="0" w:space="0" w:color="auto"/>
        <w:left w:val="none" w:sz="0" w:space="0" w:color="auto"/>
        <w:bottom w:val="none" w:sz="0" w:space="0" w:color="auto"/>
        <w:right w:val="none" w:sz="0" w:space="0" w:color="auto"/>
      </w:divBdr>
    </w:div>
    <w:div w:id="1174102335">
      <w:bodyDiv w:val="1"/>
      <w:marLeft w:val="0"/>
      <w:marRight w:val="0"/>
      <w:marTop w:val="0"/>
      <w:marBottom w:val="0"/>
      <w:divBdr>
        <w:top w:val="none" w:sz="0" w:space="0" w:color="auto"/>
        <w:left w:val="none" w:sz="0" w:space="0" w:color="auto"/>
        <w:bottom w:val="none" w:sz="0" w:space="0" w:color="auto"/>
        <w:right w:val="none" w:sz="0" w:space="0" w:color="auto"/>
      </w:divBdr>
    </w:div>
    <w:div w:id="1175850765">
      <w:bodyDiv w:val="1"/>
      <w:marLeft w:val="0"/>
      <w:marRight w:val="0"/>
      <w:marTop w:val="0"/>
      <w:marBottom w:val="0"/>
      <w:divBdr>
        <w:top w:val="none" w:sz="0" w:space="0" w:color="auto"/>
        <w:left w:val="none" w:sz="0" w:space="0" w:color="auto"/>
        <w:bottom w:val="none" w:sz="0" w:space="0" w:color="auto"/>
        <w:right w:val="none" w:sz="0" w:space="0" w:color="auto"/>
      </w:divBdr>
    </w:div>
    <w:div w:id="1181891689">
      <w:bodyDiv w:val="1"/>
      <w:marLeft w:val="0"/>
      <w:marRight w:val="0"/>
      <w:marTop w:val="0"/>
      <w:marBottom w:val="0"/>
      <w:divBdr>
        <w:top w:val="none" w:sz="0" w:space="0" w:color="auto"/>
        <w:left w:val="none" w:sz="0" w:space="0" w:color="auto"/>
        <w:bottom w:val="none" w:sz="0" w:space="0" w:color="auto"/>
        <w:right w:val="none" w:sz="0" w:space="0" w:color="auto"/>
      </w:divBdr>
    </w:div>
    <w:div w:id="1184513875">
      <w:bodyDiv w:val="1"/>
      <w:marLeft w:val="0"/>
      <w:marRight w:val="0"/>
      <w:marTop w:val="0"/>
      <w:marBottom w:val="0"/>
      <w:divBdr>
        <w:top w:val="none" w:sz="0" w:space="0" w:color="auto"/>
        <w:left w:val="none" w:sz="0" w:space="0" w:color="auto"/>
        <w:bottom w:val="none" w:sz="0" w:space="0" w:color="auto"/>
        <w:right w:val="none" w:sz="0" w:space="0" w:color="auto"/>
      </w:divBdr>
    </w:div>
    <w:div w:id="1194532960">
      <w:bodyDiv w:val="1"/>
      <w:marLeft w:val="0"/>
      <w:marRight w:val="0"/>
      <w:marTop w:val="0"/>
      <w:marBottom w:val="0"/>
      <w:divBdr>
        <w:top w:val="none" w:sz="0" w:space="0" w:color="auto"/>
        <w:left w:val="none" w:sz="0" w:space="0" w:color="auto"/>
        <w:bottom w:val="none" w:sz="0" w:space="0" w:color="auto"/>
        <w:right w:val="none" w:sz="0" w:space="0" w:color="auto"/>
      </w:divBdr>
    </w:div>
    <w:div w:id="1197430257">
      <w:bodyDiv w:val="1"/>
      <w:marLeft w:val="0"/>
      <w:marRight w:val="0"/>
      <w:marTop w:val="0"/>
      <w:marBottom w:val="0"/>
      <w:divBdr>
        <w:top w:val="none" w:sz="0" w:space="0" w:color="auto"/>
        <w:left w:val="none" w:sz="0" w:space="0" w:color="auto"/>
        <w:bottom w:val="none" w:sz="0" w:space="0" w:color="auto"/>
        <w:right w:val="none" w:sz="0" w:space="0" w:color="auto"/>
      </w:divBdr>
    </w:div>
    <w:div w:id="1198662760">
      <w:bodyDiv w:val="1"/>
      <w:marLeft w:val="0"/>
      <w:marRight w:val="0"/>
      <w:marTop w:val="0"/>
      <w:marBottom w:val="0"/>
      <w:divBdr>
        <w:top w:val="none" w:sz="0" w:space="0" w:color="auto"/>
        <w:left w:val="none" w:sz="0" w:space="0" w:color="auto"/>
        <w:bottom w:val="none" w:sz="0" w:space="0" w:color="auto"/>
        <w:right w:val="none" w:sz="0" w:space="0" w:color="auto"/>
      </w:divBdr>
    </w:div>
    <w:div w:id="1199775194">
      <w:bodyDiv w:val="1"/>
      <w:marLeft w:val="0"/>
      <w:marRight w:val="0"/>
      <w:marTop w:val="0"/>
      <w:marBottom w:val="0"/>
      <w:divBdr>
        <w:top w:val="none" w:sz="0" w:space="0" w:color="auto"/>
        <w:left w:val="none" w:sz="0" w:space="0" w:color="auto"/>
        <w:bottom w:val="none" w:sz="0" w:space="0" w:color="auto"/>
        <w:right w:val="none" w:sz="0" w:space="0" w:color="auto"/>
      </w:divBdr>
    </w:div>
    <w:div w:id="1207335284">
      <w:bodyDiv w:val="1"/>
      <w:marLeft w:val="0"/>
      <w:marRight w:val="0"/>
      <w:marTop w:val="0"/>
      <w:marBottom w:val="0"/>
      <w:divBdr>
        <w:top w:val="none" w:sz="0" w:space="0" w:color="auto"/>
        <w:left w:val="none" w:sz="0" w:space="0" w:color="auto"/>
        <w:bottom w:val="none" w:sz="0" w:space="0" w:color="auto"/>
        <w:right w:val="none" w:sz="0" w:space="0" w:color="auto"/>
      </w:divBdr>
    </w:div>
    <w:div w:id="1209105610">
      <w:bodyDiv w:val="1"/>
      <w:marLeft w:val="0"/>
      <w:marRight w:val="0"/>
      <w:marTop w:val="0"/>
      <w:marBottom w:val="0"/>
      <w:divBdr>
        <w:top w:val="none" w:sz="0" w:space="0" w:color="auto"/>
        <w:left w:val="none" w:sz="0" w:space="0" w:color="auto"/>
        <w:bottom w:val="none" w:sz="0" w:space="0" w:color="auto"/>
        <w:right w:val="none" w:sz="0" w:space="0" w:color="auto"/>
      </w:divBdr>
    </w:div>
    <w:div w:id="1218928644">
      <w:bodyDiv w:val="1"/>
      <w:marLeft w:val="0"/>
      <w:marRight w:val="0"/>
      <w:marTop w:val="0"/>
      <w:marBottom w:val="0"/>
      <w:divBdr>
        <w:top w:val="none" w:sz="0" w:space="0" w:color="auto"/>
        <w:left w:val="none" w:sz="0" w:space="0" w:color="auto"/>
        <w:bottom w:val="none" w:sz="0" w:space="0" w:color="auto"/>
        <w:right w:val="none" w:sz="0" w:space="0" w:color="auto"/>
      </w:divBdr>
    </w:div>
    <w:div w:id="1231191629">
      <w:bodyDiv w:val="1"/>
      <w:marLeft w:val="0"/>
      <w:marRight w:val="0"/>
      <w:marTop w:val="0"/>
      <w:marBottom w:val="0"/>
      <w:divBdr>
        <w:top w:val="none" w:sz="0" w:space="0" w:color="auto"/>
        <w:left w:val="none" w:sz="0" w:space="0" w:color="auto"/>
        <w:bottom w:val="none" w:sz="0" w:space="0" w:color="auto"/>
        <w:right w:val="none" w:sz="0" w:space="0" w:color="auto"/>
      </w:divBdr>
    </w:div>
    <w:div w:id="1234271012">
      <w:bodyDiv w:val="1"/>
      <w:marLeft w:val="0"/>
      <w:marRight w:val="0"/>
      <w:marTop w:val="0"/>
      <w:marBottom w:val="0"/>
      <w:divBdr>
        <w:top w:val="none" w:sz="0" w:space="0" w:color="auto"/>
        <w:left w:val="none" w:sz="0" w:space="0" w:color="auto"/>
        <w:bottom w:val="none" w:sz="0" w:space="0" w:color="auto"/>
        <w:right w:val="none" w:sz="0" w:space="0" w:color="auto"/>
      </w:divBdr>
    </w:div>
    <w:div w:id="1236476821">
      <w:bodyDiv w:val="1"/>
      <w:marLeft w:val="0"/>
      <w:marRight w:val="0"/>
      <w:marTop w:val="0"/>
      <w:marBottom w:val="0"/>
      <w:divBdr>
        <w:top w:val="none" w:sz="0" w:space="0" w:color="auto"/>
        <w:left w:val="none" w:sz="0" w:space="0" w:color="auto"/>
        <w:bottom w:val="none" w:sz="0" w:space="0" w:color="auto"/>
        <w:right w:val="none" w:sz="0" w:space="0" w:color="auto"/>
      </w:divBdr>
    </w:div>
    <w:div w:id="1238590214">
      <w:bodyDiv w:val="1"/>
      <w:marLeft w:val="0"/>
      <w:marRight w:val="0"/>
      <w:marTop w:val="0"/>
      <w:marBottom w:val="0"/>
      <w:divBdr>
        <w:top w:val="none" w:sz="0" w:space="0" w:color="auto"/>
        <w:left w:val="none" w:sz="0" w:space="0" w:color="auto"/>
        <w:bottom w:val="none" w:sz="0" w:space="0" w:color="auto"/>
        <w:right w:val="none" w:sz="0" w:space="0" w:color="auto"/>
      </w:divBdr>
    </w:div>
    <w:div w:id="1240946574">
      <w:bodyDiv w:val="1"/>
      <w:marLeft w:val="0"/>
      <w:marRight w:val="0"/>
      <w:marTop w:val="0"/>
      <w:marBottom w:val="0"/>
      <w:divBdr>
        <w:top w:val="none" w:sz="0" w:space="0" w:color="auto"/>
        <w:left w:val="none" w:sz="0" w:space="0" w:color="auto"/>
        <w:bottom w:val="none" w:sz="0" w:space="0" w:color="auto"/>
        <w:right w:val="none" w:sz="0" w:space="0" w:color="auto"/>
      </w:divBdr>
    </w:div>
    <w:div w:id="1245840614">
      <w:bodyDiv w:val="1"/>
      <w:marLeft w:val="0"/>
      <w:marRight w:val="0"/>
      <w:marTop w:val="0"/>
      <w:marBottom w:val="0"/>
      <w:divBdr>
        <w:top w:val="none" w:sz="0" w:space="0" w:color="auto"/>
        <w:left w:val="none" w:sz="0" w:space="0" w:color="auto"/>
        <w:bottom w:val="none" w:sz="0" w:space="0" w:color="auto"/>
        <w:right w:val="none" w:sz="0" w:space="0" w:color="auto"/>
      </w:divBdr>
    </w:div>
    <w:div w:id="1251084833">
      <w:bodyDiv w:val="1"/>
      <w:marLeft w:val="0"/>
      <w:marRight w:val="0"/>
      <w:marTop w:val="0"/>
      <w:marBottom w:val="0"/>
      <w:divBdr>
        <w:top w:val="none" w:sz="0" w:space="0" w:color="auto"/>
        <w:left w:val="none" w:sz="0" w:space="0" w:color="auto"/>
        <w:bottom w:val="none" w:sz="0" w:space="0" w:color="auto"/>
        <w:right w:val="none" w:sz="0" w:space="0" w:color="auto"/>
      </w:divBdr>
    </w:div>
    <w:div w:id="1259173594">
      <w:bodyDiv w:val="1"/>
      <w:marLeft w:val="0"/>
      <w:marRight w:val="0"/>
      <w:marTop w:val="0"/>
      <w:marBottom w:val="0"/>
      <w:divBdr>
        <w:top w:val="none" w:sz="0" w:space="0" w:color="auto"/>
        <w:left w:val="none" w:sz="0" w:space="0" w:color="auto"/>
        <w:bottom w:val="none" w:sz="0" w:space="0" w:color="auto"/>
        <w:right w:val="none" w:sz="0" w:space="0" w:color="auto"/>
      </w:divBdr>
    </w:div>
    <w:div w:id="1263799211">
      <w:bodyDiv w:val="1"/>
      <w:marLeft w:val="0"/>
      <w:marRight w:val="0"/>
      <w:marTop w:val="0"/>
      <w:marBottom w:val="0"/>
      <w:divBdr>
        <w:top w:val="none" w:sz="0" w:space="0" w:color="auto"/>
        <w:left w:val="none" w:sz="0" w:space="0" w:color="auto"/>
        <w:bottom w:val="none" w:sz="0" w:space="0" w:color="auto"/>
        <w:right w:val="none" w:sz="0" w:space="0" w:color="auto"/>
      </w:divBdr>
    </w:div>
    <w:div w:id="1265310171">
      <w:bodyDiv w:val="1"/>
      <w:marLeft w:val="0"/>
      <w:marRight w:val="0"/>
      <w:marTop w:val="0"/>
      <w:marBottom w:val="0"/>
      <w:divBdr>
        <w:top w:val="none" w:sz="0" w:space="0" w:color="auto"/>
        <w:left w:val="none" w:sz="0" w:space="0" w:color="auto"/>
        <w:bottom w:val="none" w:sz="0" w:space="0" w:color="auto"/>
        <w:right w:val="none" w:sz="0" w:space="0" w:color="auto"/>
      </w:divBdr>
    </w:div>
    <w:div w:id="1268539141">
      <w:bodyDiv w:val="1"/>
      <w:marLeft w:val="0"/>
      <w:marRight w:val="0"/>
      <w:marTop w:val="0"/>
      <w:marBottom w:val="0"/>
      <w:divBdr>
        <w:top w:val="none" w:sz="0" w:space="0" w:color="auto"/>
        <w:left w:val="none" w:sz="0" w:space="0" w:color="auto"/>
        <w:bottom w:val="none" w:sz="0" w:space="0" w:color="auto"/>
        <w:right w:val="none" w:sz="0" w:space="0" w:color="auto"/>
      </w:divBdr>
    </w:div>
    <w:div w:id="1272008406">
      <w:bodyDiv w:val="1"/>
      <w:marLeft w:val="0"/>
      <w:marRight w:val="0"/>
      <w:marTop w:val="0"/>
      <w:marBottom w:val="0"/>
      <w:divBdr>
        <w:top w:val="none" w:sz="0" w:space="0" w:color="auto"/>
        <w:left w:val="none" w:sz="0" w:space="0" w:color="auto"/>
        <w:bottom w:val="none" w:sz="0" w:space="0" w:color="auto"/>
        <w:right w:val="none" w:sz="0" w:space="0" w:color="auto"/>
      </w:divBdr>
    </w:div>
    <w:div w:id="1282375615">
      <w:bodyDiv w:val="1"/>
      <w:marLeft w:val="0"/>
      <w:marRight w:val="0"/>
      <w:marTop w:val="0"/>
      <w:marBottom w:val="0"/>
      <w:divBdr>
        <w:top w:val="none" w:sz="0" w:space="0" w:color="auto"/>
        <w:left w:val="none" w:sz="0" w:space="0" w:color="auto"/>
        <w:bottom w:val="none" w:sz="0" w:space="0" w:color="auto"/>
        <w:right w:val="none" w:sz="0" w:space="0" w:color="auto"/>
      </w:divBdr>
    </w:div>
    <w:div w:id="1293511446">
      <w:bodyDiv w:val="1"/>
      <w:marLeft w:val="0"/>
      <w:marRight w:val="0"/>
      <w:marTop w:val="0"/>
      <w:marBottom w:val="0"/>
      <w:divBdr>
        <w:top w:val="none" w:sz="0" w:space="0" w:color="auto"/>
        <w:left w:val="none" w:sz="0" w:space="0" w:color="auto"/>
        <w:bottom w:val="none" w:sz="0" w:space="0" w:color="auto"/>
        <w:right w:val="none" w:sz="0" w:space="0" w:color="auto"/>
      </w:divBdr>
    </w:div>
    <w:div w:id="1296135355">
      <w:bodyDiv w:val="1"/>
      <w:marLeft w:val="0"/>
      <w:marRight w:val="0"/>
      <w:marTop w:val="0"/>
      <w:marBottom w:val="0"/>
      <w:divBdr>
        <w:top w:val="none" w:sz="0" w:space="0" w:color="auto"/>
        <w:left w:val="none" w:sz="0" w:space="0" w:color="auto"/>
        <w:bottom w:val="none" w:sz="0" w:space="0" w:color="auto"/>
        <w:right w:val="none" w:sz="0" w:space="0" w:color="auto"/>
      </w:divBdr>
    </w:div>
    <w:div w:id="1307658647">
      <w:bodyDiv w:val="1"/>
      <w:marLeft w:val="0"/>
      <w:marRight w:val="0"/>
      <w:marTop w:val="0"/>
      <w:marBottom w:val="0"/>
      <w:divBdr>
        <w:top w:val="none" w:sz="0" w:space="0" w:color="auto"/>
        <w:left w:val="none" w:sz="0" w:space="0" w:color="auto"/>
        <w:bottom w:val="none" w:sz="0" w:space="0" w:color="auto"/>
        <w:right w:val="none" w:sz="0" w:space="0" w:color="auto"/>
      </w:divBdr>
    </w:div>
    <w:div w:id="1307780162">
      <w:bodyDiv w:val="1"/>
      <w:marLeft w:val="0"/>
      <w:marRight w:val="0"/>
      <w:marTop w:val="0"/>
      <w:marBottom w:val="0"/>
      <w:divBdr>
        <w:top w:val="none" w:sz="0" w:space="0" w:color="auto"/>
        <w:left w:val="none" w:sz="0" w:space="0" w:color="auto"/>
        <w:bottom w:val="none" w:sz="0" w:space="0" w:color="auto"/>
        <w:right w:val="none" w:sz="0" w:space="0" w:color="auto"/>
      </w:divBdr>
    </w:div>
    <w:div w:id="1316880588">
      <w:bodyDiv w:val="1"/>
      <w:marLeft w:val="0"/>
      <w:marRight w:val="0"/>
      <w:marTop w:val="0"/>
      <w:marBottom w:val="0"/>
      <w:divBdr>
        <w:top w:val="none" w:sz="0" w:space="0" w:color="auto"/>
        <w:left w:val="none" w:sz="0" w:space="0" w:color="auto"/>
        <w:bottom w:val="none" w:sz="0" w:space="0" w:color="auto"/>
        <w:right w:val="none" w:sz="0" w:space="0" w:color="auto"/>
      </w:divBdr>
    </w:div>
    <w:div w:id="1326394998">
      <w:bodyDiv w:val="1"/>
      <w:marLeft w:val="0"/>
      <w:marRight w:val="0"/>
      <w:marTop w:val="0"/>
      <w:marBottom w:val="0"/>
      <w:divBdr>
        <w:top w:val="none" w:sz="0" w:space="0" w:color="auto"/>
        <w:left w:val="none" w:sz="0" w:space="0" w:color="auto"/>
        <w:bottom w:val="none" w:sz="0" w:space="0" w:color="auto"/>
        <w:right w:val="none" w:sz="0" w:space="0" w:color="auto"/>
      </w:divBdr>
    </w:div>
    <w:div w:id="1326544060">
      <w:bodyDiv w:val="1"/>
      <w:marLeft w:val="0"/>
      <w:marRight w:val="0"/>
      <w:marTop w:val="0"/>
      <w:marBottom w:val="0"/>
      <w:divBdr>
        <w:top w:val="none" w:sz="0" w:space="0" w:color="auto"/>
        <w:left w:val="none" w:sz="0" w:space="0" w:color="auto"/>
        <w:bottom w:val="none" w:sz="0" w:space="0" w:color="auto"/>
        <w:right w:val="none" w:sz="0" w:space="0" w:color="auto"/>
      </w:divBdr>
    </w:div>
    <w:div w:id="1326934024">
      <w:bodyDiv w:val="1"/>
      <w:marLeft w:val="0"/>
      <w:marRight w:val="0"/>
      <w:marTop w:val="0"/>
      <w:marBottom w:val="0"/>
      <w:divBdr>
        <w:top w:val="none" w:sz="0" w:space="0" w:color="auto"/>
        <w:left w:val="none" w:sz="0" w:space="0" w:color="auto"/>
        <w:bottom w:val="none" w:sz="0" w:space="0" w:color="auto"/>
        <w:right w:val="none" w:sz="0" w:space="0" w:color="auto"/>
      </w:divBdr>
    </w:div>
    <w:div w:id="1333296332">
      <w:bodyDiv w:val="1"/>
      <w:marLeft w:val="0"/>
      <w:marRight w:val="0"/>
      <w:marTop w:val="0"/>
      <w:marBottom w:val="0"/>
      <w:divBdr>
        <w:top w:val="none" w:sz="0" w:space="0" w:color="auto"/>
        <w:left w:val="none" w:sz="0" w:space="0" w:color="auto"/>
        <w:bottom w:val="none" w:sz="0" w:space="0" w:color="auto"/>
        <w:right w:val="none" w:sz="0" w:space="0" w:color="auto"/>
      </w:divBdr>
    </w:div>
    <w:div w:id="1340932320">
      <w:bodyDiv w:val="1"/>
      <w:marLeft w:val="0"/>
      <w:marRight w:val="0"/>
      <w:marTop w:val="0"/>
      <w:marBottom w:val="0"/>
      <w:divBdr>
        <w:top w:val="none" w:sz="0" w:space="0" w:color="auto"/>
        <w:left w:val="none" w:sz="0" w:space="0" w:color="auto"/>
        <w:bottom w:val="none" w:sz="0" w:space="0" w:color="auto"/>
        <w:right w:val="none" w:sz="0" w:space="0" w:color="auto"/>
      </w:divBdr>
    </w:div>
    <w:div w:id="1341815826">
      <w:bodyDiv w:val="1"/>
      <w:marLeft w:val="0"/>
      <w:marRight w:val="0"/>
      <w:marTop w:val="0"/>
      <w:marBottom w:val="0"/>
      <w:divBdr>
        <w:top w:val="none" w:sz="0" w:space="0" w:color="auto"/>
        <w:left w:val="none" w:sz="0" w:space="0" w:color="auto"/>
        <w:bottom w:val="none" w:sz="0" w:space="0" w:color="auto"/>
        <w:right w:val="none" w:sz="0" w:space="0" w:color="auto"/>
      </w:divBdr>
    </w:div>
    <w:div w:id="1343779872">
      <w:bodyDiv w:val="1"/>
      <w:marLeft w:val="0"/>
      <w:marRight w:val="0"/>
      <w:marTop w:val="0"/>
      <w:marBottom w:val="0"/>
      <w:divBdr>
        <w:top w:val="none" w:sz="0" w:space="0" w:color="auto"/>
        <w:left w:val="none" w:sz="0" w:space="0" w:color="auto"/>
        <w:bottom w:val="none" w:sz="0" w:space="0" w:color="auto"/>
        <w:right w:val="none" w:sz="0" w:space="0" w:color="auto"/>
      </w:divBdr>
    </w:div>
    <w:div w:id="1345863374">
      <w:bodyDiv w:val="1"/>
      <w:marLeft w:val="0"/>
      <w:marRight w:val="0"/>
      <w:marTop w:val="0"/>
      <w:marBottom w:val="0"/>
      <w:divBdr>
        <w:top w:val="none" w:sz="0" w:space="0" w:color="auto"/>
        <w:left w:val="none" w:sz="0" w:space="0" w:color="auto"/>
        <w:bottom w:val="none" w:sz="0" w:space="0" w:color="auto"/>
        <w:right w:val="none" w:sz="0" w:space="0" w:color="auto"/>
      </w:divBdr>
    </w:div>
    <w:div w:id="1351641253">
      <w:bodyDiv w:val="1"/>
      <w:marLeft w:val="0"/>
      <w:marRight w:val="0"/>
      <w:marTop w:val="0"/>
      <w:marBottom w:val="0"/>
      <w:divBdr>
        <w:top w:val="none" w:sz="0" w:space="0" w:color="auto"/>
        <w:left w:val="none" w:sz="0" w:space="0" w:color="auto"/>
        <w:bottom w:val="none" w:sz="0" w:space="0" w:color="auto"/>
        <w:right w:val="none" w:sz="0" w:space="0" w:color="auto"/>
      </w:divBdr>
    </w:div>
    <w:div w:id="1359812073">
      <w:bodyDiv w:val="1"/>
      <w:marLeft w:val="0"/>
      <w:marRight w:val="0"/>
      <w:marTop w:val="0"/>
      <w:marBottom w:val="0"/>
      <w:divBdr>
        <w:top w:val="none" w:sz="0" w:space="0" w:color="auto"/>
        <w:left w:val="none" w:sz="0" w:space="0" w:color="auto"/>
        <w:bottom w:val="none" w:sz="0" w:space="0" w:color="auto"/>
        <w:right w:val="none" w:sz="0" w:space="0" w:color="auto"/>
      </w:divBdr>
    </w:div>
    <w:div w:id="1367758176">
      <w:bodyDiv w:val="1"/>
      <w:marLeft w:val="0"/>
      <w:marRight w:val="0"/>
      <w:marTop w:val="0"/>
      <w:marBottom w:val="0"/>
      <w:divBdr>
        <w:top w:val="none" w:sz="0" w:space="0" w:color="auto"/>
        <w:left w:val="none" w:sz="0" w:space="0" w:color="auto"/>
        <w:bottom w:val="none" w:sz="0" w:space="0" w:color="auto"/>
        <w:right w:val="none" w:sz="0" w:space="0" w:color="auto"/>
      </w:divBdr>
    </w:div>
    <w:div w:id="1367829570">
      <w:bodyDiv w:val="1"/>
      <w:marLeft w:val="0"/>
      <w:marRight w:val="0"/>
      <w:marTop w:val="0"/>
      <w:marBottom w:val="0"/>
      <w:divBdr>
        <w:top w:val="none" w:sz="0" w:space="0" w:color="auto"/>
        <w:left w:val="none" w:sz="0" w:space="0" w:color="auto"/>
        <w:bottom w:val="none" w:sz="0" w:space="0" w:color="auto"/>
        <w:right w:val="none" w:sz="0" w:space="0" w:color="auto"/>
      </w:divBdr>
    </w:div>
    <w:div w:id="1373533522">
      <w:bodyDiv w:val="1"/>
      <w:marLeft w:val="0"/>
      <w:marRight w:val="0"/>
      <w:marTop w:val="0"/>
      <w:marBottom w:val="0"/>
      <w:divBdr>
        <w:top w:val="none" w:sz="0" w:space="0" w:color="auto"/>
        <w:left w:val="none" w:sz="0" w:space="0" w:color="auto"/>
        <w:bottom w:val="none" w:sz="0" w:space="0" w:color="auto"/>
        <w:right w:val="none" w:sz="0" w:space="0" w:color="auto"/>
      </w:divBdr>
    </w:div>
    <w:div w:id="1377507927">
      <w:bodyDiv w:val="1"/>
      <w:marLeft w:val="0"/>
      <w:marRight w:val="0"/>
      <w:marTop w:val="0"/>
      <w:marBottom w:val="0"/>
      <w:divBdr>
        <w:top w:val="none" w:sz="0" w:space="0" w:color="auto"/>
        <w:left w:val="none" w:sz="0" w:space="0" w:color="auto"/>
        <w:bottom w:val="none" w:sz="0" w:space="0" w:color="auto"/>
        <w:right w:val="none" w:sz="0" w:space="0" w:color="auto"/>
      </w:divBdr>
    </w:div>
    <w:div w:id="1383671754">
      <w:bodyDiv w:val="1"/>
      <w:marLeft w:val="0"/>
      <w:marRight w:val="0"/>
      <w:marTop w:val="0"/>
      <w:marBottom w:val="0"/>
      <w:divBdr>
        <w:top w:val="none" w:sz="0" w:space="0" w:color="auto"/>
        <w:left w:val="none" w:sz="0" w:space="0" w:color="auto"/>
        <w:bottom w:val="none" w:sz="0" w:space="0" w:color="auto"/>
        <w:right w:val="none" w:sz="0" w:space="0" w:color="auto"/>
      </w:divBdr>
    </w:div>
    <w:div w:id="1385719075">
      <w:bodyDiv w:val="1"/>
      <w:marLeft w:val="0"/>
      <w:marRight w:val="0"/>
      <w:marTop w:val="0"/>
      <w:marBottom w:val="0"/>
      <w:divBdr>
        <w:top w:val="none" w:sz="0" w:space="0" w:color="auto"/>
        <w:left w:val="none" w:sz="0" w:space="0" w:color="auto"/>
        <w:bottom w:val="none" w:sz="0" w:space="0" w:color="auto"/>
        <w:right w:val="none" w:sz="0" w:space="0" w:color="auto"/>
      </w:divBdr>
      <w:divsChild>
        <w:div w:id="466748715">
          <w:marLeft w:val="0"/>
          <w:marRight w:val="0"/>
          <w:marTop w:val="0"/>
          <w:marBottom w:val="0"/>
          <w:divBdr>
            <w:top w:val="none" w:sz="0" w:space="0" w:color="auto"/>
            <w:left w:val="none" w:sz="0" w:space="0" w:color="auto"/>
            <w:bottom w:val="none" w:sz="0" w:space="0" w:color="auto"/>
            <w:right w:val="none" w:sz="0" w:space="0" w:color="auto"/>
          </w:divBdr>
        </w:div>
        <w:div w:id="851643896">
          <w:marLeft w:val="0"/>
          <w:marRight w:val="0"/>
          <w:marTop w:val="0"/>
          <w:marBottom w:val="0"/>
          <w:divBdr>
            <w:top w:val="none" w:sz="0" w:space="0" w:color="auto"/>
            <w:left w:val="none" w:sz="0" w:space="0" w:color="auto"/>
            <w:bottom w:val="none" w:sz="0" w:space="0" w:color="auto"/>
            <w:right w:val="none" w:sz="0" w:space="0" w:color="auto"/>
          </w:divBdr>
        </w:div>
        <w:div w:id="1034423319">
          <w:marLeft w:val="0"/>
          <w:marRight w:val="0"/>
          <w:marTop w:val="0"/>
          <w:marBottom w:val="0"/>
          <w:divBdr>
            <w:top w:val="none" w:sz="0" w:space="0" w:color="auto"/>
            <w:left w:val="none" w:sz="0" w:space="0" w:color="auto"/>
            <w:bottom w:val="none" w:sz="0" w:space="0" w:color="auto"/>
            <w:right w:val="none" w:sz="0" w:space="0" w:color="auto"/>
          </w:divBdr>
        </w:div>
        <w:div w:id="2119374233">
          <w:marLeft w:val="0"/>
          <w:marRight w:val="0"/>
          <w:marTop w:val="0"/>
          <w:marBottom w:val="0"/>
          <w:divBdr>
            <w:top w:val="none" w:sz="0" w:space="0" w:color="auto"/>
            <w:left w:val="none" w:sz="0" w:space="0" w:color="auto"/>
            <w:bottom w:val="none" w:sz="0" w:space="0" w:color="auto"/>
            <w:right w:val="none" w:sz="0" w:space="0" w:color="auto"/>
          </w:divBdr>
        </w:div>
      </w:divsChild>
    </w:div>
    <w:div w:id="1390153459">
      <w:bodyDiv w:val="1"/>
      <w:marLeft w:val="0"/>
      <w:marRight w:val="0"/>
      <w:marTop w:val="0"/>
      <w:marBottom w:val="0"/>
      <w:divBdr>
        <w:top w:val="none" w:sz="0" w:space="0" w:color="auto"/>
        <w:left w:val="none" w:sz="0" w:space="0" w:color="auto"/>
        <w:bottom w:val="none" w:sz="0" w:space="0" w:color="auto"/>
        <w:right w:val="none" w:sz="0" w:space="0" w:color="auto"/>
      </w:divBdr>
    </w:div>
    <w:div w:id="1396007725">
      <w:bodyDiv w:val="1"/>
      <w:marLeft w:val="0"/>
      <w:marRight w:val="0"/>
      <w:marTop w:val="0"/>
      <w:marBottom w:val="0"/>
      <w:divBdr>
        <w:top w:val="none" w:sz="0" w:space="0" w:color="auto"/>
        <w:left w:val="none" w:sz="0" w:space="0" w:color="auto"/>
        <w:bottom w:val="none" w:sz="0" w:space="0" w:color="auto"/>
        <w:right w:val="none" w:sz="0" w:space="0" w:color="auto"/>
      </w:divBdr>
    </w:div>
    <w:div w:id="1414745468">
      <w:bodyDiv w:val="1"/>
      <w:marLeft w:val="0"/>
      <w:marRight w:val="0"/>
      <w:marTop w:val="0"/>
      <w:marBottom w:val="0"/>
      <w:divBdr>
        <w:top w:val="none" w:sz="0" w:space="0" w:color="auto"/>
        <w:left w:val="none" w:sz="0" w:space="0" w:color="auto"/>
        <w:bottom w:val="none" w:sz="0" w:space="0" w:color="auto"/>
        <w:right w:val="none" w:sz="0" w:space="0" w:color="auto"/>
      </w:divBdr>
    </w:div>
    <w:div w:id="1416628310">
      <w:bodyDiv w:val="1"/>
      <w:marLeft w:val="0"/>
      <w:marRight w:val="0"/>
      <w:marTop w:val="0"/>
      <w:marBottom w:val="0"/>
      <w:divBdr>
        <w:top w:val="none" w:sz="0" w:space="0" w:color="auto"/>
        <w:left w:val="none" w:sz="0" w:space="0" w:color="auto"/>
        <w:bottom w:val="none" w:sz="0" w:space="0" w:color="auto"/>
        <w:right w:val="none" w:sz="0" w:space="0" w:color="auto"/>
      </w:divBdr>
    </w:div>
    <w:div w:id="1419056146">
      <w:bodyDiv w:val="1"/>
      <w:marLeft w:val="0"/>
      <w:marRight w:val="0"/>
      <w:marTop w:val="0"/>
      <w:marBottom w:val="0"/>
      <w:divBdr>
        <w:top w:val="none" w:sz="0" w:space="0" w:color="auto"/>
        <w:left w:val="none" w:sz="0" w:space="0" w:color="auto"/>
        <w:bottom w:val="none" w:sz="0" w:space="0" w:color="auto"/>
        <w:right w:val="none" w:sz="0" w:space="0" w:color="auto"/>
      </w:divBdr>
    </w:div>
    <w:div w:id="1422605120">
      <w:bodyDiv w:val="1"/>
      <w:marLeft w:val="0"/>
      <w:marRight w:val="0"/>
      <w:marTop w:val="0"/>
      <w:marBottom w:val="0"/>
      <w:divBdr>
        <w:top w:val="none" w:sz="0" w:space="0" w:color="auto"/>
        <w:left w:val="none" w:sz="0" w:space="0" w:color="auto"/>
        <w:bottom w:val="none" w:sz="0" w:space="0" w:color="auto"/>
        <w:right w:val="none" w:sz="0" w:space="0" w:color="auto"/>
      </w:divBdr>
    </w:div>
    <w:div w:id="1426657649">
      <w:bodyDiv w:val="1"/>
      <w:marLeft w:val="0"/>
      <w:marRight w:val="0"/>
      <w:marTop w:val="0"/>
      <w:marBottom w:val="0"/>
      <w:divBdr>
        <w:top w:val="none" w:sz="0" w:space="0" w:color="auto"/>
        <w:left w:val="none" w:sz="0" w:space="0" w:color="auto"/>
        <w:bottom w:val="none" w:sz="0" w:space="0" w:color="auto"/>
        <w:right w:val="none" w:sz="0" w:space="0" w:color="auto"/>
      </w:divBdr>
    </w:div>
    <w:div w:id="1429081597">
      <w:bodyDiv w:val="1"/>
      <w:marLeft w:val="0"/>
      <w:marRight w:val="0"/>
      <w:marTop w:val="0"/>
      <w:marBottom w:val="0"/>
      <w:divBdr>
        <w:top w:val="none" w:sz="0" w:space="0" w:color="auto"/>
        <w:left w:val="none" w:sz="0" w:space="0" w:color="auto"/>
        <w:bottom w:val="none" w:sz="0" w:space="0" w:color="auto"/>
        <w:right w:val="none" w:sz="0" w:space="0" w:color="auto"/>
      </w:divBdr>
    </w:div>
    <w:div w:id="1429690969">
      <w:bodyDiv w:val="1"/>
      <w:marLeft w:val="0"/>
      <w:marRight w:val="0"/>
      <w:marTop w:val="0"/>
      <w:marBottom w:val="0"/>
      <w:divBdr>
        <w:top w:val="none" w:sz="0" w:space="0" w:color="auto"/>
        <w:left w:val="none" w:sz="0" w:space="0" w:color="auto"/>
        <w:bottom w:val="none" w:sz="0" w:space="0" w:color="auto"/>
        <w:right w:val="none" w:sz="0" w:space="0" w:color="auto"/>
      </w:divBdr>
    </w:div>
    <w:div w:id="1430349540">
      <w:bodyDiv w:val="1"/>
      <w:marLeft w:val="0"/>
      <w:marRight w:val="0"/>
      <w:marTop w:val="0"/>
      <w:marBottom w:val="0"/>
      <w:divBdr>
        <w:top w:val="none" w:sz="0" w:space="0" w:color="auto"/>
        <w:left w:val="none" w:sz="0" w:space="0" w:color="auto"/>
        <w:bottom w:val="none" w:sz="0" w:space="0" w:color="auto"/>
        <w:right w:val="none" w:sz="0" w:space="0" w:color="auto"/>
      </w:divBdr>
    </w:div>
    <w:div w:id="1434014230">
      <w:bodyDiv w:val="1"/>
      <w:marLeft w:val="0"/>
      <w:marRight w:val="0"/>
      <w:marTop w:val="0"/>
      <w:marBottom w:val="0"/>
      <w:divBdr>
        <w:top w:val="none" w:sz="0" w:space="0" w:color="auto"/>
        <w:left w:val="none" w:sz="0" w:space="0" w:color="auto"/>
        <w:bottom w:val="none" w:sz="0" w:space="0" w:color="auto"/>
        <w:right w:val="none" w:sz="0" w:space="0" w:color="auto"/>
      </w:divBdr>
    </w:div>
    <w:div w:id="1440250856">
      <w:bodyDiv w:val="1"/>
      <w:marLeft w:val="0"/>
      <w:marRight w:val="0"/>
      <w:marTop w:val="0"/>
      <w:marBottom w:val="0"/>
      <w:divBdr>
        <w:top w:val="none" w:sz="0" w:space="0" w:color="auto"/>
        <w:left w:val="none" w:sz="0" w:space="0" w:color="auto"/>
        <w:bottom w:val="none" w:sz="0" w:space="0" w:color="auto"/>
        <w:right w:val="none" w:sz="0" w:space="0" w:color="auto"/>
      </w:divBdr>
    </w:div>
    <w:div w:id="1441223589">
      <w:bodyDiv w:val="1"/>
      <w:marLeft w:val="0"/>
      <w:marRight w:val="0"/>
      <w:marTop w:val="0"/>
      <w:marBottom w:val="0"/>
      <w:divBdr>
        <w:top w:val="none" w:sz="0" w:space="0" w:color="auto"/>
        <w:left w:val="none" w:sz="0" w:space="0" w:color="auto"/>
        <w:bottom w:val="none" w:sz="0" w:space="0" w:color="auto"/>
        <w:right w:val="none" w:sz="0" w:space="0" w:color="auto"/>
      </w:divBdr>
    </w:div>
    <w:div w:id="1442844218">
      <w:bodyDiv w:val="1"/>
      <w:marLeft w:val="0"/>
      <w:marRight w:val="0"/>
      <w:marTop w:val="0"/>
      <w:marBottom w:val="0"/>
      <w:divBdr>
        <w:top w:val="none" w:sz="0" w:space="0" w:color="auto"/>
        <w:left w:val="none" w:sz="0" w:space="0" w:color="auto"/>
        <w:bottom w:val="none" w:sz="0" w:space="0" w:color="auto"/>
        <w:right w:val="none" w:sz="0" w:space="0" w:color="auto"/>
      </w:divBdr>
    </w:div>
    <w:div w:id="1452438805">
      <w:bodyDiv w:val="1"/>
      <w:marLeft w:val="0"/>
      <w:marRight w:val="0"/>
      <w:marTop w:val="0"/>
      <w:marBottom w:val="0"/>
      <w:divBdr>
        <w:top w:val="none" w:sz="0" w:space="0" w:color="auto"/>
        <w:left w:val="none" w:sz="0" w:space="0" w:color="auto"/>
        <w:bottom w:val="none" w:sz="0" w:space="0" w:color="auto"/>
        <w:right w:val="none" w:sz="0" w:space="0" w:color="auto"/>
      </w:divBdr>
    </w:div>
    <w:div w:id="1470320221">
      <w:bodyDiv w:val="1"/>
      <w:marLeft w:val="0"/>
      <w:marRight w:val="0"/>
      <w:marTop w:val="0"/>
      <w:marBottom w:val="0"/>
      <w:divBdr>
        <w:top w:val="none" w:sz="0" w:space="0" w:color="auto"/>
        <w:left w:val="none" w:sz="0" w:space="0" w:color="auto"/>
        <w:bottom w:val="none" w:sz="0" w:space="0" w:color="auto"/>
        <w:right w:val="none" w:sz="0" w:space="0" w:color="auto"/>
      </w:divBdr>
    </w:div>
    <w:div w:id="1472673866">
      <w:bodyDiv w:val="1"/>
      <w:marLeft w:val="0"/>
      <w:marRight w:val="0"/>
      <w:marTop w:val="0"/>
      <w:marBottom w:val="0"/>
      <w:divBdr>
        <w:top w:val="none" w:sz="0" w:space="0" w:color="auto"/>
        <w:left w:val="none" w:sz="0" w:space="0" w:color="auto"/>
        <w:bottom w:val="none" w:sz="0" w:space="0" w:color="auto"/>
        <w:right w:val="none" w:sz="0" w:space="0" w:color="auto"/>
      </w:divBdr>
    </w:div>
    <w:div w:id="1473398959">
      <w:bodyDiv w:val="1"/>
      <w:marLeft w:val="0"/>
      <w:marRight w:val="0"/>
      <w:marTop w:val="0"/>
      <w:marBottom w:val="0"/>
      <w:divBdr>
        <w:top w:val="none" w:sz="0" w:space="0" w:color="auto"/>
        <w:left w:val="none" w:sz="0" w:space="0" w:color="auto"/>
        <w:bottom w:val="none" w:sz="0" w:space="0" w:color="auto"/>
        <w:right w:val="none" w:sz="0" w:space="0" w:color="auto"/>
      </w:divBdr>
    </w:div>
    <w:div w:id="1473399856">
      <w:bodyDiv w:val="1"/>
      <w:marLeft w:val="0"/>
      <w:marRight w:val="0"/>
      <w:marTop w:val="0"/>
      <w:marBottom w:val="0"/>
      <w:divBdr>
        <w:top w:val="none" w:sz="0" w:space="0" w:color="auto"/>
        <w:left w:val="none" w:sz="0" w:space="0" w:color="auto"/>
        <w:bottom w:val="none" w:sz="0" w:space="0" w:color="auto"/>
        <w:right w:val="none" w:sz="0" w:space="0" w:color="auto"/>
      </w:divBdr>
    </w:div>
    <w:div w:id="1480732167">
      <w:bodyDiv w:val="1"/>
      <w:marLeft w:val="0"/>
      <w:marRight w:val="0"/>
      <w:marTop w:val="0"/>
      <w:marBottom w:val="0"/>
      <w:divBdr>
        <w:top w:val="none" w:sz="0" w:space="0" w:color="auto"/>
        <w:left w:val="none" w:sz="0" w:space="0" w:color="auto"/>
        <w:bottom w:val="none" w:sz="0" w:space="0" w:color="auto"/>
        <w:right w:val="none" w:sz="0" w:space="0" w:color="auto"/>
      </w:divBdr>
    </w:div>
    <w:div w:id="1482038359">
      <w:bodyDiv w:val="1"/>
      <w:marLeft w:val="0"/>
      <w:marRight w:val="0"/>
      <w:marTop w:val="0"/>
      <w:marBottom w:val="0"/>
      <w:divBdr>
        <w:top w:val="none" w:sz="0" w:space="0" w:color="auto"/>
        <w:left w:val="none" w:sz="0" w:space="0" w:color="auto"/>
        <w:bottom w:val="none" w:sz="0" w:space="0" w:color="auto"/>
        <w:right w:val="none" w:sz="0" w:space="0" w:color="auto"/>
      </w:divBdr>
    </w:div>
    <w:div w:id="1484658967">
      <w:bodyDiv w:val="1"/>
      <w:marLeft w:val="0"/>
      <w:marRight w:val="0"/>
      <w:marTop w:val="0"/>
      <w:marBottom w:val="0"/>
      <w:divBdr>
        <w:top w:val="none" w:sz="0" w:space="0" w:color="auto"/>
        <w:left w:val="none" w:sz="0" w:space="0" w:color="auto"/>
        <w:bottom w:val="none" w:sz="0" w:space="0" w:color="auto"/>
        <w:right w:val="none" w:sz="0" w:space="0" w:color="auto"/>
      </w:divBdr>
    </w:div>
    <w:div w:id="1491097759">
      <w:bodyDiv w:val="1"/>
      <w:marLeft w:val="0"/>
      <w:marRight w:val="0"/>
      <w:marTop w:val="0"/>
      <w:marBottom w:val="0"/>
      <w:divBdr>
        <w:top w:val="none" w:sz="0" w:space="0" w:color="auto"/>
        <w:left w:val="none" w:sz="0" w:space="0" w:color="auto"/>
        <w:bottom w:val="none" w:sz="0" w:space="0" w:color="auto"/>
        <w:right w:val="none" w:sz="0" w:space="0" w:color="auto"/>
      </w:divBdr>
    </w:div>
    <w:div w:id="1497450901">
      <w:bodyDiv w:val="1"/>
      <w:marLeft w:val="0"/>
      <w:marRight w:val="0"/>
      <w:marTop w:val="0"/>
      <w:marBottom w:val="0"/>
      <w:divBdr>
        <w:top w:val="none" w:sz="0" w:space="0" w:color="auto"/>
        <w:left w:val="none" w:sz="0" w:space="0" w:color="auto"/>
        <w:bottom w:val="none" w:sz="0" w:space="0" w:color="auto"/>
        <w:right w:val="none" w:sz="0" w:space="0" w:color="auto"/>
      </w:divBdr>
    </w:div>
    <w:div w:id="1509367246">
      <w:bodyDiv w:val="1"/>
      <w:marLeft w:val="0"/>
      <w:marRight w:val="0"/>
      <w:marTop w:val="0"/>
      <w:marBottom w:val="0"/>
      <w:divBdr>
        <w:top w:val="none" w:sz="0" w:space="0" w:color="auto"/>
        <w:left w:val="none" w:sz="0" w:space="0" w:color="auto"/>
        <w:bottom w:val="none" w:sz="0" w:space="0" w:color="auto"/>
        <w:right w:val="none" w:sz="0" w:space="0" w:color="auto"/>
      </w:divBdr>
    </w:div>
    <w:div w:id="1515463043">
      <w:bodyDiv w:val="1"/>
      <w:marLeft w:val="0"/>
      <w:marRight w:val="0"/>
      <w:marTop w:val="0"/>
      <w:marBottom w:val="0"/>
      <w:divBdr>
        <w:top w:val="none" w:sz="0" w:space="0" w:color="auto"/>
        <w:left w:val="none" w:sz="0" w:space="0" w:color="auto"/>
        <w:bottom w:val="none" w:sz="0" w:space="0" w:color="auto"/>
        <w:right w:val="none" w:sz="0" w:space="0" w:color="auto"/>
      </w:divBdr>
    </w:div>
    <w:div w:id="1527138265">
      <w:bodyDiv w:val="1"/>
      <w:marLeft w:val="0"/>
      <w:marRight w:val="0"/>
      <w:marTop w:val="0"/>
      <w:marBottom w:val="0"/>
      <w:divBdr>
        <w:top w:val="none" w:sz="0" w:space="0" w:color="auto"/>
        <w:left w:val="none" w:sz="0" w:space="0" w:color="auto"/>
        <w:bottom w:val="none" w:sz="0" w:space="0" w:color="auto"/>
        <w:right w:val="none" w:sz="0" w:space="0" w:color="auto"/>
      </w:divBdr>
    </w:div>
    <w:div w:id="1533180880">
      <w:bodyDiv w:val="1"/>
      <w:marLeft w:val="0"/>
      <w:marRight w:val="0"/>
      <w:marTop w:val="0"/>
      <w:marBottom w:val="0"/>
      <w:divBdr>
        <w:top w:val="none" w:sz="0" w:space="0" w:color="auto"/>
        <w:left w:val="none" w:sz="0" w:space="0" w:color="auto"/>
        <w:bottom w:val="none" w:sz="0" w:space="0" w:color="auto"/>
        <w:right w:val="none" w:sz="0" w:space="0" w:color="auto"/>
      </w:divBdr>
    </w:div>
    <w:div w:id="1536381330">
      <w:bodyDiv w:val="1"/>
      <w:marLeft w:val="0"/>
      <w:marRight w:val="0"/>
      <w:marTop w:val="0"/>
      <w:marBottom w:val="0"/>
      <w:divBdr>
        <w:top w:val="none" w:sz="0" w:space="0" w:color="auto"/>
        <w:left w:val="none" w:sz="0" w:space="0" w:color="auto"/>
        <w:bottom w:val="none" w:sz="0" w:space="0" w:color="auto"/>
        <w:right w:val="none" w:sz="0" w:space="0" w:color="auto"/>
      </w:divBdr>
    </w:div>
    <w:div w:id="1551379526">
      <w:bodyDiv w:val="1"/>
      <w:marLeft w:val="0"/>
      <w:marRight w:val="0"/>
      <w:marTop w:val="0"/>
      <w:marBottom w:val="0"/>
      <w:divBdr>
        <w:top w:val="none" w:sz="0" w:space="0" w:color="auto"/>
        <w:left w:val="none" w:sz="0" w:space="0" w:color="auto"/>
        <w:bottom w:val="none" w:sz="0" w:space="0" w:color="auto"/>
        <w:right w:val="none" w:sz="0" w:space="0" w:color="auto"/>
      </w:divBdr>
    </w:div>
    <w:div w:id="1559315525">
      <w:bodyDiv w:val="1"/>
      <w:marLeft w:val="0"/>
      <w:marRight w:val="0"/>
      <w:marTop w:val="0"/>
      <w:marBottom w:val="0"/>
      <w:divBdr>
        <w:top w:val="none" w:sz="0" w:space="0" w:color="auto"/>
        <w:left w:val="none" w:sz="0" w:space="0" w:color="auto"/>
        <w:bottom w:val="none" w:sz="0" w:space="0" w:color="auto"/>
        <w:right w:val="none" w:sz="0" w:space="0" w:color="auto"/>
      </w:divBdr>
    </w:div>
    <w:div w:id="1559827583">
      <w:bodyDiv w:val="1"/>
      <w:marLeft w:val="0"/>
      <w:marRight w:val="0"/>
      <w:marTop w:val="0"/>
      <w:marBottom w:val="0"/>
      <w:divBdr>
        <w:top w:val="none" w:sz="0" w:space="0" w:color="auto"/>
        <w:left w:val="none" w:sz="0" w:space="0" w:color="auto"/>
        <w:bottom w:val="none" w:sz="0" w:space="0" w:color="auto"/>
        <w:right w:val="none" w:sz="0" w:space="0" w:color="auto"/>
      </w:divBdr>
    </w:div>
    <w:div w:id="1565606238">
      <w:bodyDiv w:val="1"/>
      <w:marLeft w:val="0"/>
      <w:marRight w:val="0"/>
      <w:marTop w:val="0"/>
      <w:marBottom w:val="0"/>
      <w:divBdr>
        <w:top w:val="none" w:sz="0" w:space="0" w:color="auto"/>
        <w:left w:val="none" w:sz="0" w:space="0" w:color="auto"/>
        <w:bottom w:val="none" w:sz="0" w:space="0" w:color="auto"/>
        <w:right w:val="none" w:sz="0" w:space="0" w:color="auto"/>
      </w:divBdr>
    </w:div>
    <w:div w:id="1569729326">
      <w:bodyDiv w:val="1"/>
      <w:marLeft w:val="0"/>
      <w:marRight w:val="0"/>
      <w:marTop w:val="0"/>
      <w:marBottom w:val="0"/>
      <w:divBdr>
        <w:top w:val="none" w:sz="0" w:space="0" w:color="auto"/>
        <w:left w:val="none" w:sz="0" w:space="0" w:color="auto"/>
        <w:bottom w:val="none" w:sz="0" w:space="0" w:color="auto"/>
        <w:right w:val="none" w:sz="0" w:space="0" w:color="auto"/>
      </w:divBdr>
    </w:div>
    <w:div w:id="1572538150">
      <w:bodyDiv w:val="1"/>
      <w:marLeft w:val="0"/>
      <w:marRight w:val="0"/>
      <w:marTop w:val="0"/>
      <w:marBottom w:val="0"/>
      <w:divBdr>
        <w:top w:val="none" w:sz="0" w:space="0" w:color="auto"/>
        <w:left w:val="none" w:sz="0" w:space="0" w:color="auto"/>
        <w:bottom w:val="none" w:sz="0" w:space="0" w:color="auto"/>
        <w:right w:val="none" w:sz="0" w:space="0" w:color="auto"/>
      </w:divBdr>
    </w:div>
    <w:div w:id="1574511853">
      <w:bodyDiv w:val="1"/>
      <w:marLeft w:val="0"/>
      <w:marRight w:val="0"/>
      <w:marTop w:val="0"/>
      <w:marBottom w:val="0"/>
      <w:divBdr>
        <w:top w:val="none" w:sz="0" w:space="0" w:color="auto"/>
        <w:left w:val="none" w:sz="0" w:space="0" w:color="auto"/>
        <w:bottom w:val="none" w:sz="0" w:space="0" w:color="auto"/>
        <w:right w:val="none" w:sz="0" w:space="0" w:color="auto"/>
      </w:divBdr>
    </w:div>
    <w:div w:id="1583179836">
      <w:bodyDiv w:val="1"/>
      <w:marLeft w:val="0"/>
      <w:marRight w:val="0"/>
      <w:marTop w:val="0"/>
      <w:marBottom w:val="0"/>
      <w:divBdr>
        <w:top w:val="none" w:sz="0" w:space="0" w:color="auto"/>
        <w:left w:val="none" w:sz="0" w:space="0" w:color="auto"/>
        <w:bottom w:val="none" w:sz="0" w:space="0" w:color="auto"/>
        <w:right w:val="none" w:sz="0" w:space="0" w:color="auto"/>
      </w:divBdr>
    </w:div>
    <w:div w:id="1585996908">
      <w:bodyDiv w:val="1"/>
      <w:marLeft w:val="0"/>
      <w:marRight w:val="0"/>
      <w:marTop w:val="0"/>
      <w:marBottom w:val="0"/>
      <w:divBdr>
        <w:top w:val="none" w:sz="0" w:space="0" w:color="auto"/>
        <w:left w:val="none" w:sz="0" w:space="0" w:color="auto"/>
        <w:bottom w:val="none" w:sz="0" w:space="0" w:color="auto"/>
        <w:right w:val="none" w:sz="0" w:space="0" w:color="auto"/>
      </w:divBdr>
    </w:div>
    <w:div w:id="1589803321">
      <w:bodyDiv w:val="1"/>
      <w:marLeft w:val="0"/>
      <w:marRight w:val="0"/>
      <w:marTop w:val="0"/>
      <w:marBottom w:val="0"/>
      <w:divBdr>
        <w:top w:val="none" w:sz="0" w:space="0" w:color="auto"/>
        <w:left w:val="none" w:sz="0" w:space="0" w:color="auto"/>
        <w:bottom w:val="none" w:sz="0" w:space="0" w:color="auto"/>
        <w:right w:val="none" w:sz="0" w:space="0" w:color="auto"/>
      </w:divBdr>
    </w:div>
    <w:div w:id="1593123951">
      <w:bodyDiv w:val="1"/>
      <w:marLeft w:val="0"/>
      <w:marRight w:val="0"/>
      <w:marTop w:val="0"/>
      <w:marBottom w:val="0"/>
      <w:divBdr>
        <w:top w:val="none" w:sz="0" w:space="0" w:color="auto"/>
        <w:left w:val="none" w:sz="0" w:space="0" w:color="auto"/>
        <w:bottom w:val="none" w:sz="0" w:space="0" w:color="auto"/>
        <w:right w:val="none" w:sz="0" w:space="0" w:color="auto"/>
      </w:divBdr>
    </w:div>
    <w:div w:id="1600023528">
      <w:bodyDiv w:val="1"/>
      <w:marLeft w:val="0"/>
      <w:marRight w:val="0"/>
      <w:marTop w:val="0"/>
      <w:marBottom w:val="0"/>
      <w:divBdr>
        <w:top w:val="none" w:sz="0" w:space="0" w:color="auto"/>
        <w:left w:val="none" w:sz="0" w:space="0" w:color="auto"/>
        <w:bottom w:val="none" w:sz="0" w:space="0" w:color="auto"/>
        <w:right w:val="none" w:sz="0" w:space="0" w:color="auto"/>
      </w:divBdr>
      <w:divsChild>
        <w:div w:id="1184441546">
          <w:marLeft w:val="0"/>
          <w:marRight w:val="0"/>
          <w:marTop w:val="15"/>
          <w:marBottom w:val="0"/>
          <w:divBdr>
            <w:top w:val="none" w:sz="0" w:space="0" w:color="auto"/>
            <w:left w:val="none" w:sz="0" w:space="0" w:color="auto"/>
            <w:bottom w:val="none" w:sz="0" w:space="0" w:color="auto"/>
            <w:right w:val="none" w:sz="0" w:space="0" w:color="auto"/>
          </w:divBdr>
          <w:divsChild>
            <w:div w:id="995886506">
              <w:marLeft w:val="0"/>
              <w:marRight w:val="0"/>
              <w:marTop w:val="0"/>
              <w:marBottom w:val="0"/>
              <w:divBdr>
                <w:top w:val="none" w:sz="0" w:space="0" w:color="auto"/>
                <w:left w:val="none" w:sz="0" w:space="0" w:color="auto"/>
                <w:bottom w:val="none" w:sz="0" w:space="0" w:color="auto"/>
                <w:right w:val="none" w:sz="0" w:space="0" w:color="auto"/>
              </w:divBdr>
              <w:divsChild>
                <w:div w:id="17050321">
                  <w:marLeft w:val="0"/>
                  <w:marRight w:val="0"/>
                  <w:marTop w:val="0"/>
                  <w:marBottom w:val="0"/>
                  <w:divBdr>
                    <w:top w:val="none" w:sz="0" w:space="0" w:color="auto"/>
                    <w:left w:val="none" w:sz="0" w:space="0" w:color="auto"/>
                    <w:bottom w:val="none" w:sz="0" w:space="0" w:color="auto"/>
                    <w:right w:val="none" w:sz="0" w:space="0" w:color="auto"/>
                  </w:divBdr>
                </w:div>
                <w:div w:id="17893655">
                  <w:marLeft w:val="0"/>
                  <w:marRight w:val="0"/>
                  <w:marTop w:val="0"/>
                  <w:marBottom w:val="0"/>
                  <w:divBdr>
                    <w:top w:val="none" w:sz="0" w:space="0" w:color="auto"/>
                    <w:left w:val="none" w:sz="0" w:space="0" w:color="auto"/>
                    <w:bottom w:val="none" w:sz="0" w:space="0" w:color="auto"/>
                    <w:right w:val="none" w:sz="0" w:space="0" w:color="auto"/>
                  </w:divBdr>
                </w:div>
                <w:div w:id="72240690">
                  <w:marLeft w:val="0"/>
                  <w:marRight w:val="0"/>
                  <w:marTop w:val="0"/>
                  <w:marBottom w:val="0"/>
                  <w:divBdr>
                    <w:top w:val="none" w:sz="0" w:space="0" w:color="auto"/>
                    <w:left w:val="none" w:sz="0" w:space="0" w:color="auto"/>
                    <w:bottom w:val="none" w:sz="0" w:space="0" w:color="auto"/>
                    <w:right w:val="none" w:sz="0" w:space="0" w:color="auto"/>
                  </w:divBdr>
                </w:div>
                <w:div w:id="77676140">
                  <w:marLeft w:val="0"/>
                  <w:marRight w:val="0"/>
                  <w:marTop w:val="0"/>
                  <w:marBottom w:val="0"/>
                  <w:divBdr>
                    <w:top w:val="none" w:sz="0" w:space="0" w:color="auto"/>
                    <w:left w:val="none" w:sz="0" w:space="0" w:color="auto"/>
                    <w:bottom w:val="none" w:sz="0" w:space="0" w:color="auto"/>
                    <w:right w:val="none" w:sz="0" w:space="0" w:color="auto"/>
                  </w:divBdr>
                </w:div>
                <w:div w:id="102841920">
                  <w:marLeft w:val="0"/>
                  <w:marRight w:val="0"/>
                  <w:marTop w:val="0"/>
                  <w:marBottom w:val="0"/>
                  <w:divBdr>
                    <w:top w:val="none" w:sz="0" w:space="0" w:color="auto"/>
                    <w:left w:val="none" w:sz="0" w:space="0" w:color="auto"/>
                    <w:bottom w:val="none" w:sz="0" w:space="0" w:color="auto"/>
                    <w:right w:val="none" w:sz="0" w:space="0" w:color="auto"/>
                  </w:divBdr>
                </w:div>
                <w:div w:id="109712411">
                  <w:marLeft w:val="0"/>
                  <w:marRight w:val="0"/>
                  <w:marTop w:val="0"/>
                  <w:marBottom w:val="0"/>
                  <w:divBdr>
                    <w:top w:val="none" w:sz="0" w:space="0" w:color="auto"/>
                    <w:left w:val="none" w:sz="0" w:space="0" w:color="auto"/>
                    <w:bottom w:val="none" w:sz="0" w:space="0" w:color="auto"/>
                    <w:right w:val="none" w:sz="0" w:space="0" w:color="auto"/>
                  </w:divBdr>
                </w:div>
                <w:div w:id="134954157">
                  <w:marLeft w:val="0"/>
                  <w:marRight w:val="0"/>
                  <w:marTop w:val="0"/>
                  <w:marBottom w:val="0"/>
                  <w:divBdr>
                    <w:top w:val="none" w:sz="0" w:space="0" w:color="auto"/>
                    <w:left w:val="none" w:sz="0" w:space="0" w:color="auto"/>
                    <w:bottom w:val="none" w:sz="0" w:space="0" w:color="auto"/>
                    <w:right w:val="none" w:sz="0" w:space="0" w:color="auto"/>
                  </w:divBdr>
                </w:div>
                <w:div w:id="140730282">
                  <w:marLeft w:val="0"/>
                  <w:marRight w:val="0"/>
                  <w:marTop w:val="0"/>
                  <w:marBottom w:val="0"/>
                  <w:divBdr>
                    <w:top w:val="none" w:sz="0" w:space="0" w:color="auto"/>
                    <w:left w:val="none" w:sz="0" w:space="0" w:color="auto"/>
                    <w:bottom w:val="none" w:sz="0" w:space="0" w:color="auto"/>
                    <w:right w:val="none" w:sz="0" w:space="0" w:color="auto"/>
                  </w:divBdr>
                </w:div>
                <w:div w:id="146826079">
                  <w:marLeft w:val="0"/>
                  <w:marRight w:val="0"/>
                  <w:marTop w:val="0"/>
                  <w:marBottom w:val="0"/>
                  <w:divBdr>
                    <w:top w:val="none" w:sz="0" w:space="0" w:color="auto"/>
                    <w:left w:val="none" w:sz="0" w:space="0" w:color="auto"/>
                    <w:bottom w:val="none" w:sz="0" w:space="0" w:color="auto"/>
                    <w:right w:val="none" w:sz="0" w:space="0" w:color="auto"/>
                  </w:divBdr>
                </w:div>
                <w:div w:id="150872359">
                  <w:marLeft w:val="0"/>
                  <w:marRight w:val="0"/>
                  <w:marTop w:val="0"/>
                  <w:marBottom w:val="0"/>
                  <w:divBdr>
                    <w:top w:val="none" w:sz="0" w:space="0" w:color="auto"/>
                    <w:left w:val="none" w:sz="0" w:space="0" w:color="auto"/>
                    <w:bottom w:val="none" w:sz="0" w:space="0" w:color="auto"/>
                    <w:right w:val="none" w:sz="0" w:space="0" w:color="auto"/>
                  </w:divBdr>
                </w:div>
                <w:div w:id="187181867">
                  <w:marLeft w:val="0"/>
                  <w:marRight w:val="0"/>
                  <w:marTop w:val="0"/>
                  <w:marBottom w:val="0"/>
                  <w:divBdr>
                    <w:top w:val="none" w:sz="0" w:space="0" w:color="auto"/>
                    <w:left w:val="none" w:sz="0" w:space="0" w:color="auto"/>
                    <w:bottom w:val="none" w:sz="0" w:space="0" w:color="auto"/>
                    <w:right w:val="none" w:sz="0" w:space="0" w:color="auto"/>
                  </w:divBdr>
                </w:div>
                <w:div w:id="192420189">
                  <w:marLeft w:val="0"/>
                  <w:marRight w:val="0"/>
                  <w:marTop w:val="0"/>
                  <w:marBottom w:val="0"/>
                  <w:divBdr>
                    <w:top w:val="none" w:sz="0" w:space="0" w:color="auto"/>
                    <w:left w:val="none" w:sz="0" w:space="0" w:color="auto"/>
                    <w:bottom w:val="none" w:sz="0" w:space="0" w:color="auto"/>
                    <w:right w:val="none" w:sz="0" w:space="0" w:color="auto"/>
                  </w:divBdr>
                </w:div>
                <w:div w:id="211040878">
                  <w:marLeft w:val="0"/>
                  <w:marRight w:val="0"/>
                  <w:marTop w:val="0"/>
                  <w:marBottom w:val="0"/>
                  <w:divBdr>
                    <w:top w:val="none" w:sz="0" w:space="0" w:color="auto"/>
                    <w:left w:val="none" w:sz="0" w:space="0" w:color="auto"/>
                    <w:bottom w:val="none" w:sz="0" w:space="0" w:color="auto"/>
                    <w:right w:val="none" w:sz="0" w:space="0" w:color="auto"/>
                  </w:divBdr>
                </w:div>
                <w:div w:id="219945857">
                  <w:marLeft w:val="0"/>
                  <w:marRight w:val="0"/>
                  <w:marTop w:val="0"/>
                  <w:marBottom w:val="0"/>
                  <w:divBdr>
                    <w:top w:val="none" w:sz="0" w:space="0" w:color="auto"/>
                    <w:left w:val="none" w:sz="0" w:space="0" w:color="auto"/>
                    <w:bottom w:val="none" w:sz="0" w:space="0" w:color="auto"/>
                    <w:right w:val="none" w:sz="0" w:space="0" w:color="auto"/>
                  </w:divBdr>
                </w:div>
                <w:div w:id="265232080">
                  <w:marLeft w:val="0"/>
                  <w:marRight w:val="0"/>
                  <w:marTop w:val="0"/>
                  <w:marBottom w:val="0"/>
                  <w:divBdr>
                    <w:top w:val="none" w:sz="0" w:space="0" w:color="auto"/>
                    <w:left w:val="none" w:sz="0" w:space="0" w:color="auto"/>
                    <w:bottom w:val="none" w:sz="0" w:space="0" w:color="auto"/>
                    <w:right w:val="none" w:sz="0" w:space="0" w:color="auto"/>
                  </w:divBdr>
                </w:div>
                <w:div w:id="317420712">
                  <w:marLeft w:val="0"/>
                  <w:marRight w:val="0"/>
                  <w:marTop w:val="0"/>
                  <w:marBottom w:val="0"/>
                  <w:divBdr>
                    <w:top w:val="none" w:sz="0" w:space="0" w:color="auto"/>
                    <w:left w:val="none" w:sz="0" w:space="0" w:color="auto"/>
                    <w:bottom w:val="none" w:sz="0" w:space="0" w:color="auto"/>
                    <w:right w:val="none" w:sz="0" w:space="0" w:color="auto"/>
                  </w:divBdr>
                </w:div>
                <w:div w:id="324748905">
                  <w:marLeft w:val="0"/>
                  <w:marRight w:val="0"/>
                  <w:marTop w:val="0"/>
                  <w:marBottom w:val="0"/>
                  <w:divBdr>
                    <w:top w:val="none" w:sz="0" w:space="0" w:color="auto"/>
                    <w:left w:val="none" w:sz="0" w:space="0" w:color="auto"/>
                    <w:bottom w:val="none" w:sz="0" w:space="0" w:color="auto"/>
                    <w:right w:val="none" w:sz="0" w:space="0" w:color="auto"/>
                  </w:divBdr>
                </w:div>
                <w:div w:id="376130876">
                  <w:marLeft w:val="0"/>
                  <w:marRight w:val="0"/>
                  <w:marTop w:val="0"/>
                  <w:marBottom w:val="0"/>
                  <w:divBdr>
                    <w:top w:val="none" w:sz="0" w:space="0" w:color="auto"/>
                    <w:left w:val="none" w:sz="0" w:space="0" w:color="auto"/>
                    <w:bottom w:val="none" w:sz="0" w:space="0" w:color="auto"/>
                    <w:right w:val="none" w:sz="0" w:space="0" w:color="auto"/>
                  </w:divBdr>
                </w:div>
                <w:div w:id="399790869">
                  <w:marLeft w:val="0"/>
                  <w:marRight w:val="0"/>
                  <w:marTop w:val="0"/>
                  <w:marBottom w:val="0"/>
                  <w:divBdr>
                    <w:top w:val="none" w:sz="0" w:space="0" w:color="auto"/>
                    <w:left w:val="none" w:sz="0" w:space="0" w:color="auto"/>
                    <w:bottom w:val="none" w:sz="0" w:space="0" w:color="auto"/>
                    <w:right w:val="none" w:sz="0" w:space="0" w:color="auto"/>
                  </w:divBdr>
                </w:div>
                <w:div w:id="412700739">
                  <w:marLeft w:val="0"/>
                  <w:marRight w:val="0"/>
                  <w:marTop w:val="0"/>
                  <w:marBottom w:val="0"/>
                  <w:divBdr>
                    <w:top w:val="none" w:sz="0" w:space="0" w:color="auto"/>
                    <w:left w:val="none" w:sz="0" w:space="0" w:color="auto"/>
                    <w:bottom w:val="none" w:sz="0" w:space="0" w:color="auto"/>
                    <w:right w:val="none" w:sz="0" w:space="0" w:color="auto"/>
                  </w:divBdr>
                </w:div>
                <w:div w:id="425536384">
                  <w:marLeft w:val="0"/>
                  <w:marRight w:val="0"/>
                  <w:marTop w:val="0"/>
                  <w:marBottom w:val="0"/>
                  <w:divBdr>
                    <w:top w:val="none" w:sz="0" w:space="0" w:color="auto"/>
                    <w:left w:val="none" w:sz="0" w:space="0" w:color="auto"/>
                    <w:bottom w:val="none" w:sz="0" w:space="0" w:color="auto"/>
                    <w:right w:val="none" w:sz="0" w:space="0" w:color="auto"/>
                  </w:divBdr>
                </w:div>
                <w:div w:id="427697452">
                  <w:marLeft w:val="0"/>
                  <w:marRight w:val="0"/>
                  <w:marTop w:val="0"/>
                  <w:marBottom w:val="0"/>
                  <w:divBdr>
                    <w:top w:val="none" w:sz="0" w:space="0" w:color="auto"/>
                    <w:left w:val="none" w:sz="0" w:space="0" w:color="auto"/>
                    <w:bottom w:val="none" w:sz="0" w:space="0" w:color="auto"/>
                    <w:right w:val="none" w:sz="0" w:space="0" w:color="auto"/>
                  </w:divBdr>
                </w:div>
                <w:div w:id="434058681">
                  <w:marLeft w:val="0"/>
                  <w:marRight w:val="0"/>
                  <w:marTop w:val="0"/>
                  <w:marBottom w:val="0"/>
                  <w:divBdr>
                    <w:top w:val="none" w:sz="0" w:space="0" w:color="auto"/>
                    <w:left w:val="none" w:sz="0" w:space="0" w:color="auto"/>
                    <w:bottom w:val="none" w:sz="0" w:space="0" w:color="auto"/>
                    <w:right w:val="none" w:sz="0" w:space="0" w:color="auto"/>
                  </w:divBdr>
                </w:div>
                <w:div w:id="441658137">
                  <w:marLeft w:val="0"/>
                  <w:marRight w:val="0"/>
                  <w:marTop w:val="0"/>
                  <w:marBottom w:val="0"/>
                  <w:divBdr>
                    <w:top w:val="none" w:sz="0" w:space="0" w:color="auto"/>
                    <w:left w:val="none" w:sz="0" w:space="0" w:color="auto"/>
                    <w:bottom w:val="none" w:sz="0" w:space="0" w:color="auto"/>
                    <w:right w:val="none" w:sz="0" w:space="0" w:color="auto"/>
                  </w:divBdr>
                </w:div>
                <w:div w:id="441805362">
                  <w:marLeft w:val="0"/>
                  <w:marRight w:val="0"/>
                  <w:marTop w:val="0"/>
                  <w:marBottom w:val="0"/>
                  <w:divBdr>
                    <w:top w:val="none" w:sz="0" w:space="0" w:color="auto"/>
                    <w:left w:val="none" w:sz="0" w:space="0" w:color="auto"/>
                    <w:bottom w:val="none" w:sz="0" w:space="0" w:color="auto"/>
                    <w:right w:val="none" w:sz="0" w:space="0" w:color="auto"/>
                  </w:divBdr>
                </w:div>
                <w:div w:id="465049308">
                  <w:marLeft w:val="0"/>
                  <w:marRight w:val="0"/>
                  <w:marTop w:val="0"/>
                  <w:marBottom w:val="0"/>
                  <w:divBdr>
                    <w:top w:val="none" w:sz="0" w:space="0" w:color="auto"/>
                    <w:left w:val="none" w:sz="0" w:space="0" w:color="auto"/>
                    <w:bottom w:val="none" w:sz="0" w:space="0" w:color="auto"/>
                    <w:right w:val="none" w:sz="0" w:space="0" w:color="auto"/>
                  </w:divBdr>
                </w:div>
                <w:div w:id="493490136">
                  <w:marLeft w:val="0"/>
                  <w:marRight w:val="0"/>
                  <w:marTop w:val="0"/>
                  <w:marBottom w:val="0"/>
                  <w:divBdr>
                    <w:top w:val="none" w:sz="0" w:space="0" w:color="auto"/>
                    <w:left w:val="none" w:sz="0" w:space="0" w:color="auto"/>
                    <w:bottom w:val="none" w:sz="0" w:space="0" w:color="auto"/>
                    <w:right w:val="none" w:sz="0" w:space="0" w:color="auto"/>
                  </w:divBdr>
                </w:div>
                <w:div w:id="495464054">
                  <w:marLeft w:val="0"/>
                  <w:marRight w:val="0"/>
                  <w:marTop w:val="0"/>
                  <w:marBottom w:val="0"/>
                  <w:divBdr>
                    <w:top w:val="none" w:sz="0" w:space="0" w:color="auto"/>
                    <w:left w:val="none" w:sz="0" w:space="0" w:color="auto"/>
                    <w:bottom w:val="none" w:sz="0" w:space="0" w:color="auto"/>
                    <w:right w:val="none" w:sz="0" w:space="0" w:color="auto"/>
                  </w:divBdr>
                </w:div>
                <w:div w:id="542835751">
                  <w:marLeft w:val="0"/>
                  <w:marRight w:val="0"/>
                  <w:marTop w:val="0"/>
                  <w:marBottom w:val="0"/>
                  <w:divBdr>
                    <w:top w:val="none" w:sz="0" w:space="0" w:color="auto"/>
                    <w:left w:val="none" w:sz="0" w:space="0" w:color="auto"/>
                    <w:bottom w:val="none" w:sz="0" w:space="0" w:color="auto"/>
                    <w:right w:val="none" w:sz="0" w:space="0" w:color="auto"/>
                  </w:divBdr>
                </w:div>
                <w:div w:id="543182009">
                  <w:marLeft w:val="0"/>
                  <w:marRight w:val="0"/>
                  <w:marTop w:val="0"/>
                  <w:marBottom w:val="0"/>
                  <w:divBdr>
                    <w:top w:val="none" w:sz="0" w:space="0" w:color="auto"/>
                    <w:left w:val="none" w:sz="0" w:space="0" w:color="auto"/>
                    <w:bottom w:val="none" w:sz="0" w:space="0" w:color="auto"/>
                    <w:right w:val="none" w:sz="0" w:space="0" w:color="auto"/>
                  </w:divBdr>
                </w:div>
                <w:div w:id="558056883">
                  <w:marLeft w:val="0"/>
                  <w:marRight w:val="0"/>
                  <w:marTop w:val="0"/>
                  <w:marBottom w:val="0"/>
                  <w:divBdr>
                    <w:top w:val="none" w:sz="0" w:space="0" w:color="auto"/>
                    <w:left w:val="none" w:sz="0" w:space="0" w:color="auto"/>
                    <w:bottom w:val="none" w:sz="0" w:space="0" w:color="auto"/>
                    <w:right w:val="none" w:sz="0" w:space="0" w:color="auto"/>
                  </w:divBdr>
                </w:div>
                <w:div w:id="636952764">
                  <w:marLeft w:val="0"/>
                  <w:marRight w:val="0"/>
                  <w:marTop w:val="0"/>
                  <w:marBottom w:val="0"/>
                  <w:divBdr>
                    <w:top w:val="none" w:sz="0" w:space="0" w:color="auto"/>
                    <w:left w:val="none" w:sz="0" w:space="0" w:color="auto"/>
                    <w:bottom w:val="none" w:sz="0" w:space="0" w:color="auto"/>
                    <w:right w:val="none" w:sz="0" w:space="0" w:color="auto"/>
                  </w:divBdr>
                </w:div>
                <w:div w:id="681199094">
                  <w:marLeft w:val="0"/>
                  <w:marRight w:val="0"/>
                  <w:marTop w:val="0"/>
                  <w:marBottom w:val="0"/>
                  <w:divBdr>
                    <w:top w:val="none" w:sz="0" w:space="0" w:color="auto"/>
                    <w:left w:val="none" w:sz="0" w:space="0" w:color="auto"/>
                    <w:bottom w:val="none" w:sz="0" w:space="0" w:color="auto"/>
                    <w:right w:val="none" w:sz="0" w:space="0" w:color="auto"/>
                  </w:divBdr>
                </w:div>
                <w:div w:id="689141465">
                  <w:marLeft w:val="0"/>
                  <w:marRight w:val="0"/>
                  <w:marTop w:val="0"/>
                  <w:marBottom w:val="0"/>
                  <w:divBdr>
                    <w:top w:val="none" w:sz="0" w:space="0" w:color="auto"/>
                    <w:left w:val="none" w:sz="0" w:space="0" w:color="auto"/>
                    <w:bottom w:val="none" w:sz="0" w:space="0" w:color="auto"/>
                    <w:right w:val="none" w:sz="0" w:space="0" w:color="auto"/>
                  </w:divBdr>
                </w:div>
                <w:div w:id="714736669">
                  <w:marLeft w:val="0"/>
                  <w:marRight w:val="0"/>
                  <w:marTop w:val="0"/>
                  <w:marBottom w:val="0"/>
                  <w:divBdr>
                    <w:top w:val="none" w:sz="0" w:space="0" w:color="auto"/>
                    <w:left w:val="none" w:sz="0" w:space="0" w:color="auto"/>
                    <w:bottom w:val="none" w:sz="0" w:space="0" w:color="auto"/>
                    <w:right w:val="none" w:sz="0" w:space="0" w:color="auto"/>
                  </w:divBdr>
                </w:div>
                <w:div w:id="764961429">
                  <w:marLeft w:val="0"/>
                  <w:marRight w:val="0"/>
                  <w:marTop w:val="0"/>
                  <w:marBottom w:val="0"/>
                  <w:divBdr>
                    <w:top w:val="none" w:sz="0" w:space="0" w:color="auto"/>
                    <w:left w:val="none" w:sz="0" w:space="0" w:color="auto"/>
                    <w:bottom w:val="none" w:sz="0" w:space="0" w:color="auto"/>
                    <w:right w:val="none" w:sz="0" w:space="0" w:color="auto"/>
                  </w:divBdr>
                </w:div>
                <w:div w:id="786044767">
                  <w:marLeft w:val="0"/>
                  <w:marRight w:val="0"/>
                  <w:marTop w:val="0"/>
                  <w:marBottom w:val="0"/>
                  <w:divBdr>
                    <w:top w:val="none" w:sz="0" w:space="0" w:color="auto"/>
                    <w:left w:val="none" w:sz="0" w:space="0" w:color="auto"/>
                    <w:bottom w:val="none" w:sz="0" w:space="0" w:color="auto"/>
                    <w:right w:val="none" w:sz="0" w:space="0" w:color="auto"/>
                  </w:divBdr>
                </w:div>
                <w:div w:id="827599501">
                  <w:marLeft w:val="0"/>
                  <w:marRight w:val="0"/>
                  <w:marTop w:val="0"/>
                  <w:marBottom w:val="0"/>
                  <w:divBdr>
                    <w:top w:val="none" w:sz="0" w:space="0" w:color="auto"/>
                    <w:left w:val="none" w:sz="0" w:space="0" w:color="auto"/>
                    <w:bottom w:val="none" w:sz="0" w:space="0" w:color="auto"/>
                    <w:right w:val="none" w:sz="0" w:space="0" w:color="auto"/>
                  </w:divBdr>
                </w:div>
                <w:div w:id="877857886">
                  <w:marLeft w:val="0"/>
                  <w:marRight w:val="0"/>
                  <w:marTop w:val="0"/>
                  <w:marBottom w:val="0"/>
                  <w:divBdr>
                    <w:top w:val="none" w:sz="0" w:space="0" w:color="auto"/>
                    <w:left w:val="none" w:sz="0" w:space="0" w:color="auto"/>
                    <w:bottom w:val="none" w:sz="0" w:space="0" w:color="auto"/>
                    <w:right w:val="none" w:sz="0" w:space="0" w:color="auto"/>
                  </w:divBdr>
                </w:div>
                <w:div w:id="884414077">
                  <w:marLeft w:val="0"/>
                  <w:marRight w:val="0"/>
                  <w:marTop w:val="0"/>
                  <w:marBottom w:val="0"/>
                  <w:divBdr>
                    <w:top w:val="none" w:sz="0" w:space="0" w:color="auto"/>
                    <w:left w:val="none" w:sz="0" w:space="0" w:color="auto"/>
                    <w:bottom w:val="none" w:sz="0" w:space="0" w:color="auto"/>
                    <w:right w:val="none" w:sz="0" w:space="0" w:color="auto"/>
                  </w:divBdr>
                </w:div>
                <w:div w:id="885292901">
                  <w:marLeft w:val="0"/>
                  <w:marRight w:val="0"/>
                  <w:marTop w:val="0"/>
                  <w:marBottom w:val="0"/>
                  <w:divBdr>
                    <w:top w:val="none" w:sz="0" w:space="0" w:color="auto"/>
                    <w:left w:val="none" w:sz="0" w:space="0" w:color="auto"/>
                    <w:bottom w:val="none" w:sz="0" w:space="0" w:color="auto"/>
                    <w:right w:val="none" w:sz="0" w:space="0" w:color="auto"/>
                  </w:divBdr>
                </w:div>
                <w:div w:id="897472410">
                  <w:marLeft w:val="0"/>
                  <w:marRight w:val="0"/>
                  <w:marTop w:val="0"/>
                  <w:marBottom w:val="0"/>
                  <w:divBdr>
                    <w:top w:val="none" w:sz="0" w:space="0" w:color="auto"/>
                    <w:left w:val="none" w:sz="0" w:space="0" w:color="auto"/>
                    <w:bottom w:val="none" w:sz="0" w:space="0" w:color="auto"/>
                    <w:right w:val="none" w:sz="0" w:space="0" w:color="auto"/>
                  </w:divBdr>
                </w:div>
                <w:div w:id="900167266">
                  <w:marLeft w:val="0"/>
                  <w:marRight w:val="0"/>
                  <w:marTop w:val="0"/>
                  <w:marBottom w:val="0"/>
                  <w:divBdr>
                    <w:top w:val="none" w:sz="0" w:space="0" w:color="auto"/>
                    <w:left w:val="none" w:sz="0" w:space="0" w:color="auto"/>
                    <w:bottom w:val="none" w:sz="0" w:space="0" w:color="auto"/>
                    <w:right w:val="none" w:sz="0" w:space="0" w:color="auto"/>
                  </w:divBdr>
                </w:div>
                <w:div w:id="994601265">
                  <w:marLeft w:val="0"/>
                  <w:marRight w:val="0"/>
                  <w:marTop w:val="0"/>
                  <w:marBottom w:val="0"/>
                  <w:divBdr>
                    <w:top w:val="none" w:sz="0" w:space="0" w:color="auto"/>
                    <w:left w:val="none" w:sz="0" w:space="0" w:color="auto"/>
                    <w:bottom w:val="none" w:sz="0" w:space="0" w:color="auto"/>
                    <w:right w:val="none" w:sz="0" w:space="0" w:color="auto"/>
                  </w:divBdr>
                </w:div>
                <w:div w:id="1003434030">
                  <w:marLeft w:val="0"/>
                  <w:marRight w:val="0"/>
                  <w:marTop w:val="0"/>
                  <w:marBottom w:val="0"/>
                  <w:divBdr>
                    <w:top w:val="none" w:sz="0" w:space="0" w:color="auto"/>
                    <w:left w:val="none" w:sz="0" w:space="0" w:color="auto"/>
                    <w:bottom w:val="none" w:sz="0" w:space="0" w:color="auto"/>
                    <w:right w:val="none" w:sz="0" w:space="0" w:color="auto"/>
                  </w:divBdr>
                </w:div>
                <w:div w:id="1005521537">
                  <w:marLeft w:val="0"/>
                  <w:marRight w:val="0"/>
                  <w:marTop w:val="0"/>
                  <w:marBottom w:val="0"/>
                  <w:divBdr>
                    <w:top w:val="none" w:sz="0" w:space="0" w:color="auto"/>
                    <w:left w:val="none" w:sz="0" w:space="0" w:color="auto"/>
                    <w:bottom w:val="none" w:sz="0" w:space="0" w:color="auto"/>
                    <w:right w:val="none" w:sz="0" w:space="0" w:color="auto"/>
                  </w:divBdr>
                </w:div>
                <w:div w:id="1018846388">
                  <w:marLeft w:val="0"/>
                  <w:marRight w:val="0"/>
                  <w:marTop w:val="0"/>
                  <w:marBottom w:val="0"/>
                  <w:divBdr>
                    <w:top w:val="none" w:sz="0" w:space="0" w:color="auto"/>
                    <w:left w:val="none" w:sz="0" w:space="0" w:color="auto"/>
                    <w:bottom w:val="none" w:sz="0" w:space="0" w:color="auto"/>
                    <w:right w:val="none" w:sz="0" w:space="0" w:color="auto"/>
                  </w:divBdr>
                </w:div>
                <w:div w:id="1040974510">
                  <w:marLeft w:val="0"/>
                  <w:marRight w:val="0"/>
                  <w:marTop w:val="0"/>
                  <w:marBottom w:val="0"/>
                  <w:divBdr>
                    <w:top w:val="none" w:sz="0" w:space="0" w:color="auto"/>
                    <w:left w:val="none" w:sz="0" w:space="0" w:color="auto"/>
                    <w:bottom w:val="none" w:sz="0" w:space="0" w:color="auto"/>
                    <w:right w:val="none" w:sz="0" w:space="0" w:color="auto"/>
                  </w:divBdr>
                </w:div>
                <w:div w:id="1044213387">
                  <w:marLeft w:val="0"/>
                  <w:marRight w:val="0"/>
                  <w:marTop w:val="0"/>
                  <w:marBottom w:val="0"/>
                  <w:divBdr>
                    <w:top w:val="none" w:sz="0" w:space="0" w:color="auto"/>
                    <w:left w:val="none" w:sz="0" w:space="0" w:color="auto"/>
                    <w:bottom w:val="none" w:sz="0" w:space="0" w:color="auto"/>
                    <w:right w:val="none" w:sz="0" w:space="0" w:color="auto"/>
                  </w:divBdr>
                </w:div>
                <w:div w:id="1053118756">
                  <w:marLeft w:val="0"/>
                  <w:marRight w:val="0"/>
                  <w:marTop w:val="0"/>
                  <w:marBottom w:val="0"/>
                  <w:divBdr>
                    <w:top w:val="none" w:sz="0" w:space="0" w:color="auto"/>
                    <w:left w:val="none" w:sz="0" w:space="0" w:color="auto"/>
                    <w:bottom w:val="none" w:sz="0" w:space="0" w:color="auto"/>
                    <w:right w:val="none" w:sz="0" w:space="0" w:color="auto"/>
                  </w:divBdr>
                </w:div>
                <w:div w:id="1068652311">
                  <w:marLeft w:val="0"/>
                  <w:marRight w:val="0"/>
                  <w:marTop w:val="0"/>
                  <w:marBottom w:val="0"/>
                  <w:divBdr>
                    <w:top w:val="none" w:sz="0" w:space="0" w:color="auto"/>
                    <w:left w:val="none" w:sz="0" w:space="0" w:color="auto"/>
                    <w:bottom w:val="none" w:sz="0" w:space="0" w:color="auto"/>
                    <w:right w:val="none" w:sz="0" w:space="0" w:color="auto"/>
                  </w:divBdr>
                </w:div>
                <w:div w:id="1094128970">
                  <w:marLeft w:val="0"/>
                  <w:marRight w:val="0"/>
                  <w:marTop w:val="0"/>
                  <w:marBottom w:val="0"/>
                  <w:divBdr>
                    <w:top w:val="none" w:sz="0" w:space="0" w:color="auto"/>
                    <w:left w:val="none" w:sz="0" w:space="0" w:color="auto"/>
                    <w:bottom w:val="none" w:sz="0" w:space="0" w:color="auto"/>
                    <w:right w:val="none" w:sz="0" w:space="0" w:color="auto"/>
                  </w:divBdr>
                </w:div>
                <w:div w:id="1098597986">
                  <w:marLeft w:val="0"/>
                  <w:marRight w:val="0"/>
                  <w:marTop w:val="0"/>
                  <w:marBottom w:val="0"/>
                  <w:divBdr>
                    <w:top w:val="none" w:sz="0" w:space="0" w:color="auto"/>
                    <w:left w:val="none" w:sz="0" w:space="0" w:color="auto"/>
                    <w:bottom w:val="none" w:sz="0" w:space="0" w:color="auto"/>
                    <w:right w:val="none" w:sz="0" w:space="0" w:color="auto"/>
                  </w:divBdr>
                </w:div>
                <w:div w:id="1105154057">
                  <w:marLeft w:val="0"/>
                  <w:marRight w:val="0"/>
                  <w:marTop w:val="0"/>
                  <w:marBottom w:val="0"/>
                  <w:divBdr>
                    <w:top w:val="none" w:sz="0" w:space="0" w:color="auto"/>
                    <w:left w:val="none" w:sz="0" w:space="0" w:color="auto"/>
                    <w:bottom w:val="none" w:sz="0" w:space="0" w:color="auto"/>
                    <w:right w:val="none" w:sz="0" w:space="0" w:color="auto"/>
                  </w:divBdr>
                </w:div>
                <w:div w:id="1117480298">
                  <w:marLeft w:val="0"/>
                  <w:marRight w:val="0"/>
                  <w:marTop w:val="0"/>
                  <w:marBottom w:val="0"/>
                  <w:divBdr>
                    <w:top w:val="none" w:sz="0" w:space="0" w:color="auto"/>
                    <w:left w:val="none" w:sz="0" w:space="0" w:color="auto"/>
                    <w:bottom w:val="none" w:sz="0" w:space="0" w:color="auto"/>
                    <w:right w:val="none" w:sz="0" w:space="0" w:color="auto"/>
                  </w:divBdr>
                </w:div>
                <w:div w:id="1141726549">
                  <w:marLeft w:val="0"/>
                  <w:marRight w:val="0"/>
                  <w:marTop w:val="0"/>
                  <w:marBottom w:val="0"/>
                  <w:divBdr>
                    <w:top w:val="none" w:sz="0" w:space="0" w:color="auto"/>
                    <w:left w:val="none" w:sz="0" w:space="0" w:color="auto"/>
                    <w:bottom w:val="none" w:sz="0" w:space="0" w:color="auto"/>
                    <w:right w:val="none" w:sz="0" w:space="0" w:color="auto"/>
                  </w:divBdr>
                </w:div>
                <w:div w:id="1155146241">
                  <w:marLeft w:val="0"/>
                  <w:marRight w:val="0"/>
                  <w:marTop w:val="0"/>
                  <w:marBottom w:val="0"/>
                  <w:divBdr>
                    <w:top w:val="none" w:sz="0" w:space="0" w:color="auto"/>
                    <w:left w:val="none" w:sz="0" w:space="0" w:color="auto"/>
                    <w:bottom w:val="none" w:sz="0" w:space="0" w:color="auto"/>
                    <w:right w:val="none" w:sz="0" w:space="0" w:color="auto"/>
                  </w:divBdr>
                </w:div>
                <w:div w:id="1196842925">
                  <w:marLeft w:val="0"/>
                  <w:marRight w:val="0"/>
                  <w:marTop w:val="0"/>
                  <w:marBottom w:val="0"/>
                  <w:divBdr>
                    <w:top w:val="none" w:sz="0" w:space="0" w:color="auto"/>
                    <w:left w:val="none" w:sz="0" w:space="0" w:color="auto"/>
                    <w:bottom w:val="none" w:sz="0" w:space="0" w:color="auto"/>
                    <w:right w:val="none" w:sz="0" w:space="0" w:color="auto"/>
                  </w:divBdr>
                </w:div>
                <w:div w:id="1200313785">
                  <w:marLeft w:val="0"/>
                  <w:marRight w:val="0"/>
                  <w:marTop w:val="0"/>
                  <w:marBottom w:val="0"/>
                  <w:divBdr>
                    <w:top w:val="none" w:sz="0" w:space="0" w:color="auto"/>
                    <w:left w:val="none" w:sz="0" w:space="0" w:color="auto"/>
                    <w:bottom w:val="none" w:sz="0" w:space="0" w:color="auto"/>
                    <w:right w:val="none" w:sz="0" w:space="0" w:color="auto"/>
                  </w:divBdr>
                </w:div>
                <w:div w:id="1220509576">
                  <w:marLeft w:val="0"/>
                  <w:marRight w:val="0"/>
                  <w:marTop w:val="0"/>
                  <w:marBottom w:val="0"/>
                  <w:divBdr>
                    <w:top w:val="none" w:sz="0" w:space="0" w:color="auto"/>
                    <w:left w:val="none" w:sz="0" w:space="0" w:color="auto"/>
                    <w:bottom w:val="none" w:sz="0" w:space="0" w:color="auto"/>
                    <w:right w:val="none" w:sz="0" w:space="0" w:color="auto"/>
                  </w:divBdr>
                </w:div>
                <w:div w:id="1229422062">
                  <w:marLeft w:val="0"/>
                  <w:marRight w:val="0"/>
                  <w:marTop w:val="0"/>
                  <w:marBottom w:val="0"/>
                  <w:divBdr>
                    <w:top w:val="none" w:sz="0" w:space="0" w:color="auto"/>
                    <w:left w:val="none" w:sz="0" w:space="0" w:color="auto"/>
                    <w:bottom w:val="none" w:sz="0" w:space="0" w:color="auto"/>
                    <w:right w:val="none" w:sz="0" w:space="0" w:color="auto"/>
                  </w:divBdr>
                </w:div>
                <w:div w:id="1294015867">
                  <w:marLeft w:val="0"/>
                  <w:marRight w:val="0"/>
                  <w:marTop w:val="0"/>
                  <w:marBottom w:val="0"/>
                  <w:divBdr>
                    <w:top w:val="none" w:sz="0" w:space="0" w:color="auto"/>
                    <w:left w:val="none" w:sz="0" w:space="0" w:color="auto"/>
                    <w:bottom w:val="none" w:sz="0" w:space="0" w:color="auto"/>
                    <w:right w:val="none" w:sz="0" w:space="0" w:color="auto"/>
                  </w:divBdr>
                </w:div>
                <w:div w:id="1298074418">
                  <w:marLeft w:val="0"/>
                  <w:marRight w:val="0"/>
                  <w:marTop w:val="0"/>
                  <w:marBottom w:val="0"/>
                  <w:divBdr>
                    <w:top w:val="none" w:sz="0" w:space="0" w:color="auto"/>
                    <w:left w:val="none" w:sz="0" w:space="0" w:color="auto"/>
                    <w:bottom w:val="none" w:sz="0" w:space="0" w:color="auto"/>
                    <w:right w:val="none" w:sz="0" w:space="0" w:color="auto"/>
                  </w:divBdr>
                </w:div>
                <w:div w:id="1313022727">
                  <w:marLeft w:val="0"/>
                  <w:marRight w:val="0"/>
                  <w:marTop w:val="0"/>
                  <w:marBottom w:val="0"/>
                  <w:divBdr>
                    <w:top w:val="none" w:sz="0" w:space="0" w:color="auto"/>
                    <w:left w:val="none" w:sz="0" w:space="0" w:color="auto"/>
                    <w:bottom w:val="none" w:sz="0" w:space="0" w:color="auto"/>
                    <w:right w:val="none" w:sz="0" w:space="0" w:color="auto"/>
                  </w:divBdr>
                </w:div>
                <w:div w:id="1316186187">
                  <w:marLeft w:val="0"/>
                  <w:marRight w:val="0"/>
                  <w:marTop w:val="0"/>
                  <w:marBottom w:val="0"/>
                  <w:divBdr>
                    <w:top w:val="none" w:sz="0" w:space="0" w:color="auto"/>
                    <w:left w:val="none" w:sz="0" w:space="0" w:color="auto"/>
                    <w:bottom w:val="none" w:sz="0" w:space="0" w:color="auto"/>
                    <w:right w:val="none" w:sz="0" w:space="0" w:color="auto"/>
                  </w:divBdr>
                </w:div>
                <w:div w:id="1321419859">
                  <w:marLeft w:val="0"/>
                  <w:marRight w:val="0"/>
                  <w:marTop w:val="0"/>
                  <w:marBottom w:val="0"/>
                  <w:divBdr>
                    <w:top w:val="none" w:sz="0" w:space="0" w:color="auto"/>
                    <w:left w:val="none" w:sz="0" w:space="0" w:color="auto"/>
                    <w:bottom w:val="none" w:sz="0" w:space="0" w:color="auto"/>
                    <w:right w:val="none" w:sz="0" w:space="0" w:color="auto"/>
                  </w:divBdr>
                </w:div>
                <w:div w:id="1325204238">
                  <w:marLeft w:val="0"/>
                  <w:marRight w:val="0"/>
                  <w:marTop w:val="0"/>
                  <w:marBottom w:val="0"/>
                  <w:divBdr>
                    <w:top w:val="none" w:sz="0" w:space="0" w:color="auto"/>
                    <w:left w:val="none" w:sz="0" w:space="0" w:color="auto"/>
                    <w:bottom w:val="none" w:sz="0" w:space="0" w:color="auto"/>
                    <w:right w:val="none" w:sz="0" w:space="0" w:color="auto"/>
                  </w:divBdr>
                </w:div>
                <w:div w:id="1408380101">
                  <w:marLeft w:val="0"/>
                  <w:marRight w:val="0"/>
                  <w:marTop w:val="0"/>
                  <w:marBottom w:val="0"/>
                  <w:divBdr>
                    <w:top w:val="none" w:sz="0" w:space="0" w:color="auto"/>
                    <w:left w:val="none" w:sz="0" w:space="0" w:color="auto"/>
                    <w:bottom w:val="none" w:sz="0" w:space="0" w:color="auto"/>
                    <w:right w:val="none" w:sz="0" w:space="0" w:color="auto"/>
                  </w:divBdr>
                </w:div>
                <w:div w:id="1409159074">
                  <w:marLeft w:val="0"/>
                  <w:marRight w:val="0"/>
                  <w:marTop w:val="0"/>
                  <w:marBottom w:val="0"/>
                  <w:divBdr>
                    <w:top w:val="none" w:sz="0" w:space="0" w:color="auto"/>
                    <w:left w:val="none" w:sz="0" w:space="0" w:color="auto"/>
                    <w:bottom w:val="none" w:sz="0" w:space="0" w:color="auto"/>
                    <w:right w:val="none" w:sz="0" w:space="0" w:color="auto"/>
                  </w:divBdr>
                </w:div>
                <w:div w:id="1435319730">
                  <w:marLeft w:val="0"/>
                  <w:marRight w:val="0"/>
                  <w:marTop w:val="0"/>
                  <w:marBottom w:val="0"/>
                  <w:divBdr>
                    <w:top w:val="none" w:sz="0" w:space="0" w:color="auto"/>
                    <w:left w:val="none" w:sz="0" w:space="0" w:color="auto"/>
                    <w:bottom w:val="none" w:sz="0" w:space="0" w:color="auto"/>
                    <w:right w:val="none" w:sz="0" w:space="0" w:color="auto"/>
                  </w:divBdr>
                </w:div>
                <w:div w:id="1457678910">
                  <w:marLeft w:val="0"/>
                  <w:marRight w:val="0"/>
                  <w:marTop w:val="0"/>
                  <w:marBottom w:val="0"/>
                  <w:divBdr>
                    <w:top w:val="none" w:sz="0" w:space="0" w:color="auto"/>
                    <w:left w:val="none" w:sz="0" w:space="0" w:color="auto"/>
                    <w:bottom w:val="none" w:sz="0" w:space="0" w:color="auto"/>
                    <w:right w:val="none" w:sz="0" w:space="0" w:color="auto"/>
                  </w:divBdr>
                </w:div>
                <w:div w:id="1471630140">
                  <w:marLeft w:val="0"/>
                  <w:marRight w:val="0"/>
                  <w:marTop w:val="0"/>
                  <w:marBottom w:val="0"/>
                  <w:divBdr>
                    <w:top w:val="none" w:sz="0" w:space="0" w:color="auto"/>
                    <w:left w:val="none" w:sz="0" w:space="0" w:color="auto"/>
                    <w:bottom w:val="none" w:sz="0" w:space="0" w:color="auto"/>
                    <w:right w:val="none" w:sz="0" w:space="0" w:color="auto"/>
                  </w:divBdr>
                </w:div>
                <w:div w:id="1494491408">
                  <w:marLeft w:val="0"/>
                  <w:marRight w:val="0"/>
                  <w:marTop w:val="0"/>
                  <w:marBottom w:val="0"/>
                  <w:divBdr>
                    <w:top w:val="none" w:sz="0" w:space="0" w:color="auto"/>
                    <w:left w:val="none" w:sz="0" w:space="0" w:color="auto"/>
                    <w:bottom w:val="none" w:sz="0" w:space="0" w:color="auto"/>
                    <w:right w:val="none" w:sz="0" w:space="0" w:color="auto"/>
                  </w:divBdr>
                </w:div>
                <w:div w:id="1597325050">
                  <w:marLeft w:val="0"/>
                  <w:marRight w:val="0"/>
                  <w:marTop w:val="0"/>
                  <w:marBottom w:val="0"/>
                  <w:divBdr>
                    <w:top w:val="none" w:sz="0" w:space="0" w:color="auto"/>
                    <w:left w:val="none" w:sz="0" w:space="0" w:color="auto"/>
                    <w:bottom w:val="none" w:sz="0" w:space="0" w:color="auto"/>
                    <w:right w:val="none" w:sz="0" w:space="0" w:color="auto"/>
                  </w:divBdr>
                </w:div>
                <w:div w:id="1597518220">
                  <w:marLeft w:val="0"/>
                  <w:marRight w:val="0"/>
                  <w:marTop w:val="0"/>
                  <w:marBottom w:val="0"/>
                  <w:divBdr>
                    <w:top w:val="none" w:sz="0" w:space="0" w:color="auto"/>
                    <w:left w:val="none" w:sz="0" w:space="0" w:color="auto"/>
                    <w:bottom w:val="none" w:sz="0" w:space="0" w:color="auto"/>
                    <w:right w:val="none" w:sz="0" w:space="0" w:color="auto"/>
                  </w:divBdr>
                </w:div>
                <w:div w:id="1649166703">
                  <w:marLeft w:val="0"/>
                  <w:marRight w:val="0"/>
                  <w:marTop w:val="0"/>
                  <w:marBottom w:val="0"/>
                  <w:divBdr>
                    <w:top w:val="none" w:sz="0" w:space="0" w:color="auto"/>
                    <w:left w:val="none" w:sz="0" w:space="0" w:color="auto"/>
                    <w:bottom w:val="none" w:sz="0" w:space="0" w:color="auto"/>
                    <w:right w:val="none" w:sz="0" w:space="0" w:color="auto"/>
                  </w:divBdr>
                </w:div>
                <w:div w:id="1650162906">
                  <w:marLeft w:val="0"/>
                  <w:marRight w:val="0"/>
                  <w:marTop w:val="0"/>
                  <w:marBottom w:val="0"/>
                  <w:divBdr>
                    <w:top w:val="none" w:sz="0" w:space="0" w:color="auto"/>
                    <w:left w:val="none" w:sz="0" w:space="0" w:color="auto"/>
                    <w:bottom w:val="none" w:sz="0" w:space="0" w:color="auto"/>
                    <w:right w:val="none" w:sz="0" w:space="0" w:color="auto"/>
                  </w:divBdr>
                </w:div>
                <w:div w:id="1674189051">
                  <w:marLeft w:val="0"/>
                  <w:marRight w:val="0"/>
                  <w:marTop w:val="0"/>
                  <w:marBottom w:val="0"/>
                  <w:divBdr>
                    <w:top w:val="none" w:sz="0" w:space="0" w:color="auto"/>
                    <w:left w:val="none" w:sz="0" w:space="0" w:color="auto"/>
                    <w:bottom w:val="none" w:sz="0" w:space="0" w:color="auto"/>
                    <w:right w:val="none" w:sz="0" w:space="0" w:color="auto"/>
                  </w:divBdr>
                </w:div>
                <w:div w:id="1694842288">
                  <w:marLeft w:val="0"/>
                  <w:marRight w:val="0"/>
                  <w:marTop w:val="0"/>
                  <w:marBottom w:val="0"/>
                  <w:divBdr>
                    <w:top w:val="none" w:sz="0" w:space="0" w:color="auto"/>
                    <w:left w:val="none" w:sz="0" w:space="0" w:color="auto"/>
                    <w:bottom w:val="none" w:sz="0" w:space="0" w:color="auto"/>
                    <w:right w:val="none" w:sz="0" w:space="0" w:color="auto"/>
                  </w:divBdr>
                </w:div>
                <w:div w:id="1721635887">
                  <w:marLeft w:val="0"/>
                  <w:marRight w:val="0"/>
                  <w:marTop w:val="0"/>
                  <w:marBottom w:val="0"/>
                  <w:divBdr>
                    <w:top w:val="none" w:sz="0" w:space="0" w:color="auto"/>
                    <w:left w:val="none" w:sz="0" w:space="0" w:color="auto"/>
                    <w:bottom w:val="none" w:sz="0" w:space="0" w:color="auto"/>
                    <w:right w:val="none" w:sz="0" w:space="0" w:color="auto"/>
                  </w:divBdr>
                </w:div>
                <w:div w:id="1722830209">
                  <w:marLeft w:val="0"/>
                  <w:marRight w:val="0"/>
                  <w:marTop w:val="0"/>
                  <w:marBottom w:val="0"/>
                  <w:divBdr>
                    <w:top w:val="none" w:sz="0" w:space="0" w:color="auto"/>
                    <w:left w:val="none" w:sz="0" w:space="0" w:color="auto"/>
                    <w:bottom w:val="none" w:sz="0" w:space="0" w:color="auto"/>
                    <w:right w:val="none" w:sz="0" w:space="0" w:color="auto"/>
                  </w:divBdr>
                </w:div>
                <w:div w:id="1768308930">
                  <w:marLeft w:val="0"/>
                  <w:marRight w:val="0"/>
                  <w:marTop w:val="0"/>
                  <w:marBottom w:val="0"/>
                  <w:divBdr>
                    <w:top w:val="none" w:sz="0" w:space="0" w:color="auto"/>
                    <w:left w:val="none" w:sz="0" w:space="0" w:color="auto"/>
                    <w:bottom w:val="none" w:sz="0" w:space="0" w:color="auto"/>
                    <w:right w:val="none" w:sz="0" w:space="0" w:color="auto"/>
                  </w:divBdr>
                </w:div>
                <w:div w:id="1813906151">
                  <w:marLeft w:val="0"/>
                  <w:marRight w:val="0"/>
                  <w:marTop w:val="0"/>
                  <w:marBottom w:val="0"/>
                  <w:divBdr>
                    <w:top w:val="none" w:sz="0" w:space="0" w:color="auto"/>
                    <w:left w:val="none" w:sz="0" w:space="0" w:color="auto"/>
                    <w:bottom w:val="none" w:sz="0" w:space="0" w:color="auto"/>
                    <w:right w:val="none" w:sz="0" w:space="0" w:color="auto"/>
                  </w:divBdr>
                </w:div>
                <w:div w:id="1864201116">
                  <w:marLeft w:val="0"/>
                  <w:marRight w:val="0"/>
                  <w:marTop w:val="0"/>
                  <w:marBottom w:val="0"/>
                  <w:divBdr>
                    <w:top w:val="none" w:sz="0" w:space="0" w:color="auto"/>
                    <w:left w:val="none" w:sz="0" w:space="0" w:color="auto"/>
                    <w:bottom w:val="none" w:sz="0" w:space="0" w:color="auto"/>
                    <w:right w:val="none" w:sz="0" w:space="0" w:color="auto"/>
                  </w:divBdr>
                </w:div>
                <w:div w:id="1873419553">
                  <w:marLeft w:val="0"/>
                  <w:marRight w:val="0"/>
                  <w:marTop w:val="0"/>
                  <w:marBottom w:val="0"/>
                  <w:divBdr>
                    <w:top w:val="none" w:sz="0" w:space="0" w:color="auto"/>
                    <w:left w:val="none" w:sz="0" w:space="0" w:color="auto"/>
                    <w:bottom w:val="none" w:sz="0" w:space="0" w:color="auto"/>
                    <w:right w:val="none" w:sz="0" w:space="0" w:color="auto"/>
                  </w:divBdr>
                </w:div>
                <w:div w:id="1882091744">
                  <w:marLeft w:val="0"/>
                  <w:marRight w:val="0"/>
                  <w:marTop w:val="0"/>
                  <w:marBottom w:val="0"/>
                  <w:divBdr>
                    <w:top w:val="none" w:sz="0" w:space="0" w:color="auto"/>
                    <w:left w:val="none" w:sz="0" w:space="0" w:color="auto"/>
                    <w:bottom w:val="none" w:sz="0" w:space="0" w:color="auto"/>
                    <w:right w:val="none" w:sz="0" w:space="0" w:color="auto"/>
                  </w:divBdr>
                </w:div>
                <w:div w:id="1892885414">
                  <w:marLeft w:val="0"/>
                  <w:marRight w:val="0"/>
                  <w:marTop w:val="0"/>
                  <w:marBottom w:val="0"/>
                  <w:divBdr>
                    <w:top w:val="none" w:sz="0" w:space="0" w:color="auto"/>
                    <w:left w:val="none" w:sz="0" w:space="0" w:color="auto"/>
                    <w:bottom w:val="none" w:sz="0" w:space="0" w:color="auto"/>
                    <w:right w:val="none" w:sz="0" w:space="0" w:color="auto"/>
                  </w:divBdr>
                </w:div>
                <w:div w:id="1924683809">
                  <w:marLeft w:val="0"/>
                  <w:marRight w:val="0"/>
                  <w:marTop w:val="0"/>
                  <w:marBottom w:val="0"/>
                  <w:divBdr>
                    <w:top w:val="none" w:sz="0" w:space="0" w:color="auto"/>
                    <w:left w:val="none" w:sz="0" w:space="0" w:color="auto"/>
                    <w:bottom w:val="none" w:sz="0" w:space="0" w:color="auto"/>
                    <w:right w:val="none" w:sz="0" w:space="0" w:color="auto"/>
                  </w:divBdr>
                </w:div>
                <w:div w:id="1936666083">
                  <w:marLeft w:val="0"/>
                  <w:marRight w:val="0"/>
                  <w:marTop w:val="0"/>
                  <w:marBottom w:val="0"/>
                  <w:divBdr>
                    <w:top w:val="none" w:sz="0" w:space="0" w:color="auto"/>
                    <w:left w:val="none" w:sz="0" w:space="0" w:color="auto"/>
                    <w:bottom w:val="none" w:sz="0" w:space="0" w:color="auto"/>
                    <w:right w:val="none" w:sz="0" w:space="0" w:color="auto"/>
                  </w:divBdr>
                </w:div>
                <w:div w:id="1938097933">
                  <w:marLeft w:val="0"/>
                  <w:marRight w:val="0"/>
                  <w:marTop w:val="0"/>
                  <w:marBottom w:val="0"/>
                  <w:divBdr>
                    <w:top w:val="none" w:sz="0" w:space="0" w:color="auto"/>
                    <w:left w:val="none" w:sz="0" w:space="0" w:color="auto"/>
                    <w:bottom w:val="none" w:sz="0" w:space="0" w:color="auto"/>
                    <w:right w:val="none" w:sz="0" w:space="0" w:color="auto"/>
                  </w:divBdr>
                </w:div>
                <w:div w:id="1938753694">
                  <w:marLeft w:val="0"/>
                  <w:marRight w:val="0"/>
                  <w:marTop w:val="0"/>
                  <w:marBottom w:val="0"/>
                  <w:divBdr>
                    <w:top w:val="none" w:sz="0" w:space="0" w:color="auto"/>
                    <w:left w:val="none" w:sz="0" w:space="0" w:color="auto"/>
                    <w:bottom w:val="none" w:sz="0" w:space="0" w:color="auto"/>
                    <w:right w:val="none" w:sz="0" w:space="0" w:color="auto"/>
                  </w:divBdr>
                </w:div>
                <w:div w:id="1949192821">
                  <w:marLeft w:val="0"/>
                  <w:marRight w:val="0"/>
                  <w:marTop w:val="0"/>
                  <w:marBottom w:val="0"/>
                  <w:divBdr>
                    <w:top w:val="none" w:sz="0" w:space="0" w:color="auto"/>
                    <w:left w:val="none" w:sz="0" w:space="0" w:color="auto"/>
                    <w:bottom w:val="none" w:sz="0" w:space="0" w:color="auto"/>
                    <w:right w:val="none" w:sz="0" w:space="0" w:color="auto"/>
                  </w:divBdr>
                </w:div>
                <w:div w:id="1982880939">
                  <w:marLeft w:val="0"/>
                  <w:marRight w:val="0"/>
                  <w:marTop w:val="0"/>
                  <w:marBottom w:val="0"/>
                  <w:divBdr>
                    <w:top w:val="none" w:sz="0" w:space="0" w:color="auto"/>
                    <w:left w:val="none" w:sz="0" w:space="0" w:color="auto"/>
                    <w:bottom w:val="none" w:sz="0" w:space="0" w:color="auto"/>
                    <w:right w:val="none" w:sz="0" w:space="0" w:color="auto"/>
                  </w:divBdr>
                </w:div>
                <w:div w:id="1994261257">
                  <w:marLeft w:val="0"/>
                  <w:marRight w:val="0"/>
                  <w:marTop w:val="0"/>
                  <w:marBottom w:val="0"/>
                  <w:divBdr>
                    <w:top w:val="none" w:sz="0" w:space="0" w:color="auto"/>
                    <w:left w:val="none" w:sz="0" w:space="0" w:color="auto"/>
                    <w:bottom w:val="none" w:sz="0" w:space="0" w:color="auto"/>
                    <w:right w:val="none" w:sz="0" w:space="0" w:color="auto"/>
                  </w:divBdr>
                </w:div>
                <w:div w:id="2003581365">
                  <w:marLeft w:val="0"/>
                  <w:marRight w:val="0"/>
                  <w:marTop w:val="0"/>
                  <w:marBottom w:val="0"/>
                  <w:divBdr>
                    <w:top w:val="none" w:sz="0" w:space="0" w:color="auto"/>
                    <w:left w:val="none" w:sz="0" w:space="0" w:color="auto"/>
                    <w:bottom w:val="none" w:sz="0" w:space="0" w:color="auto"/>
                    <w:right w:val="none" w:sz="0" w:space="0" w:color="auto"/>
                  </w:divBdr>
                </w:div>
                <w:div w:id="2009138870">
                  <w:marLeft w:val="0"/>
                  <w:marRight w:val="0"/>
                  <w:marTop w:val="0"/>
                  <w:marBottom w:val="0"/>
                  <w:divBdr>
                    <w:top w:val="none" w:sz="0" w:space="0" w:color="auto"/>
                    <w:left w:val="none" w:sz="0" w:space="0" w:color="auto"/>
                    <w:bottom w:val="none" w:sz="0" w:space="0" w:color="auto"/>
                    <w:right w:val="none" w:sz="0" w:space="0" w:color="auto"/>
                  </w:divBdr>
                </w:div>
                <w:div w:id="2035034597">
                  <w:marLeft w:val="0"/>
                  <w:marRight w:val="0"/>
                  <w:marTop w:val="0"/>
                  <w:marBottom w:val="0"/>
                  <w:divBdr>
                    <w:top w:val="none" w:sz="0" w:space="0" w:color="auto"/>
                    <w:left w:val="none" w:sz="0" w:space="0" w:color="auto"/>
                    <w:bottom w:val="none" w:sz="0" w:space="0" w:color="auto"/>
                    <w:right w:val="none" w:sz="0" w:space="0" w:color="auto"/>
                  </w:divBdr>
                </w:div>
                <w:div w:id="2037000138">
                  <w:marLeft w:val="0"/>
                  <w:marRight w:val="0"/>
                  <w:marTop w:val="0"/>
                  <w:marBottom w:val="0"/>
                  <w:divBdr>
                    <w:top w:val="none" w:sz="0" w:space="0" w:color="auto"/>
                    <w:left w:val="none" w:sz="0" w:space="0" w:color="auto"/>
                    <w:bottom w:val="none" w:sz="0" w:space="0" w:color="auto"/>
                    <w:right w:val="none" w:sz="0" w:space="0" w:color="auto"/>
                  </w:divBdr>
                </w:div>
                <w:div w:id="2046365567">
                  <w:marLeft w:val="0"/>
                  <w:marRight w:val="0"/>
                  <w:marTop w:val="0"/>
                  <w:marBottom w:val="0"/>
                  <w:divBdr>
                    <w:top w:val="none" w:sz="0" w:space="0" w:color="auto"/>
                    <w:left w:val="none" w:sz="0" w:space="0" w:color="auto"/>
                    <w:bottom w:val="none" w:sz="0" w:space="0" w:color="auto"/>
                    <w:right w:val="none" w:sz="0" w:space="0" w:color="auto"/>
                  </w:divBdr>
                </w:div>
                <w:div w:id="2054035968">
                  <w:marLeft w:val="0"/>
                  <w:marRight w:val="0"/>
                  <w:marTop w:val="0"/>
                  <w:marBottom w:val="0"/>
                  <w:divBdr>
                    <w:top w:val="none" w:sz="0" w:space="0" w:color="auto"/>
                    <w:left w:val="none" w:sz="0" w:space="0" w:color="auto"/>
                    <w:bottom w:val="none" w:sz="0" w:space="0" w:color="auto"/>
                    <w:right w:val="none" w:sz="0" w:space="0" w:color="auto"/>
                  </w:divBdr>
                </w:div>
                <w:div w:id="2057921907">
                  <w:marLeft w:val="0"/>
                  <w:marRight w:val="0"/>
                  <w:marTop w:val="0"/>
                  <w:marBottom w:val="0"/>
                  <w:divBdr>
                    <w:top w:val="none" w:sz="0" w:space="0" w:color="auto"/>
                    <w:left w:val="none" w:sz="0" w:space="0" w:color="auto"/>
                    <w:bottom w:val="none" w:sz="0" w:space="0" w:color="auto"/>
                    <w:right w:val="none" w:sz="0" w:space="0" w:color="auto"/>
                  </w:divBdr>
                </w:div>
                <w:div w:id="2090468281">
                  <w:marLeft w:val="0"/>
                  <w:marRight w:val="0"/>
                  <w:marTop w:val="0"/>
                  <w:marBottom w:val="0"/>
                  <w:divBdr>
                    <w:top w:val="none" w:sz="0" w:space="0" w:color="auto"/>
                    <w:left w:val="none" w:sz="0" w:space="0" w:color="auto"/>
                    <w:bottom w:val="none" w:sz="0" w:space="0" w:color="auto"/>
                    <w:right w:val="none" w:sz="0" w:space="0" w:color="auto"/>
                  </w:divBdr>
                </w:div>
                <w:div w:id="2108425833">
                  <w:marLeft w:val="0"/>
                  <w:marRight w:val="0"/>
                  <w:marTop w:val="0"/>
                  <w:marBottom w:val="0"/>
                  <w:divBdr>
                    <w:top w:val="none" w:sz="0" w:space="0" w:color="auto"/>
                    <w:left w:val="none" w:sz="0" w:space="0" w:color="auto"/>
                    <w:bottom w:val="none" w:sz="0" w:space="0" w:color="auto"/>
                    <w:right w:val="none" w:sz="0" w:space="0" w:color="auto"/>
                  </w:divBdr>
                </w:div>
                <w:div w:id="2109306535">
                  <w:marLeft w:val="0"/>
                  <w:marRight w:val="0"/>
                  <w:marTop w:val="0"/>
                  <w:marBottom w:val="0"/>
                  <w:divBdr>
                    <w:top w:val="none" w:sz="0" w:space="0" w:color="auto"/>
                    <w:left w:val="none" w:sz="0" w:space="0" w:color="auto"/>
                    <w:bottom w:val="none" w:sz="0" w:space="0" w:color="auto"/>
                    <w:right w:val="none" w:sz="0" w:space="0" w:color="auto"/>
                  </w:divBdr>
                </w:div>
                <w:div w:id="2120181405">
                  <w:marLeft w:val="0"/>
                  <w:marRight w:val="0"/>
                  <w:marTop w:val="0"/>
                  <w:marBottom w:val="0"/>
                  <w:divBdr>
                    <w:top w:val="none" w:sz="0" w:space="0" w:color="auto"/>
                    <w:left w:val="none" w:sz="0" w:space="0" w:color="auto"/>
                    <w:bottom w:val="none" w:sz="0" w:space="0" w:color="auto"/>
                    <w:right w:val="none" w:sz="0" w:space="0" w:color="auto"/>
                  </w:divBdr>
                </w:div>
                <w:div w:id="21266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4119">
      <w:bodyDiv w:val="1"/>
      <w:marLeft w:val="0"/>
      <w:marRight w:val="0"/>
      <w:marTop w:val="0"/>
      <w:marBottom w:val="0"/>
      <w:divBdr>
        <w:top w:val="none" w:sz="0" w:space="0" w:color="auto"/>
        <w:left w:val="none" w:sz="0" w:space="0" w:color="auto"/>
        <w:bottom w:val="none" w:sz="0" w:space="0" w:color="auto"/>
        <w:right w:val="none" w:sz="0" w:space="0" w:color="auto"/>
      </w:divBdr>
    </w:div>
    <w:div w:id="1617640900">
      <w:bodyDiv w:val="1"/>
      <w:marLeft w:val="0"/>
      <w:marRight w:val="0"/>
      <w:marTop w:val="0"/>
      <w:marBottom w:val="0"/>
      <w:divBdr>
        <w:top w:val="none" w:sz="0" w:space="0" w:color="auto"/>
        <w:left w:val="none" w:sz="0" w:space="0" w:color="auto"/>
        <w:bottom w:val="none" w:sz="0" w:space="0" w:color="auto"/>
        <w:right w:val="none" w:sz="0" w:space="0" w:color="auto"/>
      </w:divBdr>
    </w:div>
    <w:div w:id="1620794554">
      <w:bodyDiv w:val="1"/>
      <w:marLeft w:val="0"/>
      <w:marRight w:val="0"/>
      <w:marTop w:val="0"/>
      <w:marBottom w:val="0"/>
      <w:divBdr>
        <w:top w:val="none" w:sz="0" w:space="0" w:color="auto"/>
        <w:left w:val="none" w:sz="0" w:space="0" w:color="auto"/>
        <w:bottom w:val="none" w:sz="0" w:space="0" w:color="auto"/>
        <w:right w:val="none" w:sz="0" w:space="0" w:color="auto"/>
      </w:divBdr>
    </w:div>
    <w:div w:id="1627394580">
      <w:bodyDiv w:val="1"/>
      <w:marLeft w:val="0"/>
      <w:marRight w:val="0"/>
      <w:marTop w:val="0"/>
      <w:marBottom w:val="0"/>
      <w:divBdr>
        <w:top w:val="none" w:sz="0" w:space="0" w:color="auto"/>
        <w:left w:val="none" w:sz="0" w:space="0" w:color="auto"/>
        <w:bottom w:val="none" w:sz="0" w:space="0" w:color="auto"/>
        <w:right w:val="none" w:sz="0" w:space="0" w:color="auto"/>
      </w:divBdr>
      <w:divsChild>
        <w:div w:id="121307538">
          <w:marLeft w:val="0"/>
          <w:marRight w:val="0"/>
          <w:marTop w:val="0"/>
          <w:marBottom w:val="0"/>
          <w:divBdr>
            <w:top w:val="none" w:sz="0" w:space="0" w:color="auto"/>
            <w:left w:val="none" w:sz="0" w:space="0" w:color="auto"/>
            <w:bottom w:val="none" w:sz="0" w:space="0" w:color="auto"/>
            <w:right w:val="none" w:sz="0" w:space="0" w:color="auto"/>
          </w:divBdr>
        </w:div>
        <w:div w:id="129130485">
          <w:marLeft w:val="0"/>
          <w:marRight w:val="0"/>
          <w:marTop w:val="0"/>
          <w:marBottom w:val="0"/>
          <w:divBdr>
            <w:top w:val="none" w:sz="0" w:space="0" w:color="auto"/>
            <w:left w:val="none" w:sz="0" w:space="0" w:color="auto"/>
            <w:bottom w:val="none" w:sz="0" w:space="0" w:color="auto"/>
            <w:right w:val="none" w:sz="0" w:space="0" w:color="auto"/>
          </w:divBdr>
        </w:div>
        <w:div w:id="926498864">
          <w:marLeft w:val="0"/>
          <w:marRight w:val="0"/>
          <w:marTop w:val="0"/>
          <w:marBottom w:val="0"/>
          <w:divBdr>
            <w:top w:val="none" w:sz="0" w:space="0" w:color="auto"/>
            <w:left w:val="none" w:sz="0" w:space="0" w:color="auto"/>
            <w:bottom w:val="none" w:sz="0" w:space="0" w:color="auto"/>
            <w:right w:val="none" w:sz="0" w:space="0" w:color="auto"/>
          </w:divBdr>
        </w:div>
        <w:div w:id="1306818038">
          <w:marLeft w:val="0"/>
          <w:marRight w:val="0"/>
          <w:marTop w:val="0"/>
          <w:marBottom w:val="0"/>
          <w:divBdr>
            <w:top w:val="none" w:sz="0" w:space="0" w:color="auto"/>
            <w:left w:val="none" w:sz="0" w:space="0" w:color="auto"/>
            <w:bottom w:val="none" w:sz="0" w:space="0" w:color="auto"/>
            <w:right w:val="none" w:sz="0" w:space="0" w:color="auto"/>
          </w:divBdr>
        </w:div>
        <w:div w:id="1372270401">
          <w:marLeft w:val="0"/>
          <w:marRight w:val="0"/>
          <w:marTop w:val="0"/>
          <w:marBottom w:val="0"/>
          <w:divBdr>
            <w:top w:val="none" w:sz="0" w:space="0" w:color="auto"/>
            <w:left w:val="none" w:sz="0" w:space="0" w:color="auto"/>
            <w:bottom w:val="none" w:sz="0" w:space="0" w:color="auto"/>
            <w:right w:val="none" w:sz="0" w:space="0" w:color="auto"/>
          </w:divBdr>
        </w:div>
        <w:div w:id="1607228003">
          <w:marLeft w:val="0"/>
          <w:marRight w:val="0"/>
          <w:marTop w:val="0"/>
          <w:marBottom w:val="0"/>
          <w:divBdr>
            <w:top w:val="none" w:sz="0" w:space="0" w:color="auto"/>
            <w:left w:val="none" w:sz="0" w:space="0" w:color="auto"/>
            <w:bottom w:val="none" w:sz="0" w:space="0" w:color="auto"/>
            <w:right w:val="none" w:sz="0" w:space="0" w:color="auto"/>
          </w:divBdr>
        </w:div>
      </w:divsChild>
    </w:div>
    <w:div w:id="1635987225">
      <w:bodyDiv w:val="1"/>
      <w:marLeft w:val="0"/>
      <w:marRight w:val="0"/>
      <w:marTop w:val="0"/>
      <w:marBottom w:val="0"/>
      <w:divBdr>
        <w:top w:val="none" w:sz="0" w:space="0" w:color="auto"/>
        <w:left w:val="none" w:sz="0" w:space="0" w:color="auto"/>
        <w:bottom w:val="none" w:sz="0" w:space="0" w:color="auto"/>
        <w:right w:val="none" w:sz="0" w:space="0" w:color="auto"/>
      </w:divBdr>
    </w:div>
    <w:div w:id="1638685813">
      <w:bodyDiv w:val="1"/>
      <w:marLeft w:val="0"/>
      <w:marRight w:val="0"/>
      <w:marTop w:val="0"/>
      <w:marBottom w:val="0"/>
      <w:divBdr>
        <w:top w:val="none" w:sz="0" w:space="0" w:color="auto"/>
        <w:left w:val="none" w:sz="0" w:space="0" w:color="auto"/>
        <w:bottom w:val="none" w:sz="0" w:space="0" w:color="auto"/>
        <w:right w:val="none" w:sz="0" w:space="0" w:color="auto"/>
      </w:divBdr>
    </w:div>
    <w:div w:id="1654334154">
      <w:bodyDiv w:val="1"/>
      <w:marLeft w:val="0"/>
      <w:marRight w:val="0"/>
      <w:marTop w:val="0"/>
      <w:marBottom w:val="0"/>
      <w:divBdr>
        <w:top w:val="none" w:sz="0" w:space="0" w:color="auto"/>
        <w:left w:val="none" w:sz="0" w:space="0" w:color="auto"/>
        <w:bottom w:val="none" w:sz="0" w:space="0" w:color="auto"/>
        <w:right w:val="none" w:sz="0" w:space="0" w:color="auto"/>
      </w:divBdr>
    </w:div>
    <w:div w:id="1657223945">
      <w:bodyDiv w:val="1"/>
      <w:marLeft w:val="0"/>
      <w:marRight w:val="0"/>
      <w:marTop w:val="0"/>
      <w:marBottom w:val="0"/>
      <w:divBdr>
        <w:top w:val="none" w:sz="0" w:space="0" w:color="auto"/>
        <w:left w:val="none" w:sz="0" w:space="0" w:color="auto"/>
        <w:bottom w:val="none" w:sz="0" w:space="0" w:color="auto"/>
        <w:right w:val="none" w:sz="0" w:space="0" w:color="auto"/>
      </w:divBdr>
    </w:div>
    <w:div w:id="1657760501">
      <w:bodyDiv w:val="1"/>
      <w:marLeft w:val="0"/>
      <w:marRight w:val="0"/>
      <w:marTop w:val="0"/>
      <w:marBottom w:val="0"/>
      <w:divBdr>
        <w:top w:val="none" w:sz="0" w:space="0" w:color="auto"/>
        <w:left w:val="none" w:sz="0" w:space="0" w:color="auto"/>
        <w:bottom w:val="none" w:sz="0" w:space="0" w:color="auto"/>
        <w:right w:val="none" w:sz="0" w:space="0" w:color="auto"/>
      </w:divBdr>
    </w:div>
    <w:div w:id="1672025211">
      <w:bodyDiv w:val="1"/>
      <w:marLeft w:val="0"/>
      <w:marRight w:val="0"/>
      <w:marTop w:val="0"/>
      <w:marBottom w:val="0"/>
      <w:divBdr>
        <w:top w:val="none" w:sz="0" w:space="0" w:color="auto"/>
        <w:left w:val="none" w:sz="0" w:space="0" w:color="auto"/>
        <w:bottom w:val="none" w:sz="0" w:space="0" w:color="auto"/>
        <w:right w:val="none" w:sz="0" w:space="0" w:color="auto"/>
      </w:divBdr>
    </w:div>
    <w:div w:id="1672953540">
      <w:bodyDiv w:val="1"/>
      <w:marLeft w:val="0"/>
      <w:marRight w:val="0"/>
      <w:marTop w:val="0"/>
      <w:marBottom w:val="0"/>
      <w:divBdr>
        <w:top w:val="none" w:sz="0" w:space="0" w:color="auto"/>
        <w:left w:val="none" w:sz="0" w:space="0" w:color="auto"/>
        <w:bottom w:val="none" w:sz="0" w:space="0" w:color="auto"/>
        <w:right w:val="none" w:sz="0" w:space="0" w:color="auto"/>
      </w:divBdr>
    </w:div>
    <w:div w:id="1673415277">
      <w:bodyDiv w:val="1"/>
      <w:marLeft w:val="0"/>
      <w:marRight w:val="0"/>
      <w:marTop w:val="0"/>
      <w:marBottom w:val="0"/>
      <w:divBdr>
        <w:top w:val="none" w:sz="0" w:space="0" w:color="auto"/>
        <w:left w:val="none" w:sz="0" w:space="0" w:color="auto"/>
        <w:bottom w:val="none" w:sz="0" w:space="0" w:color="auto"/>
        <w:right w:val="none" w:sz="0" w:space="0" w:color="auto"/>
      </w:divBdr>
    </w:div>
    <w:div w:id="1678578010">
      <w:bodyDiv w:val="1"/>
      <w:marLeft w:val="0"/>
      <w:marRight w:val="0"/>
      <w:marTop w:val="0"/>
      <w:marBottom w:val="0"/>
      <w:divBdr>
        <w:top w:val="none" w:sz="0" w:space="0" w:color="auto"/>
        <w:left w:val="none" w:sz="0" w:space="0" w:color="auto"/>
        <w:bottom w:val="none" w:sz="0" w:space="0" w:color="auto"/>
        <w:right w:val="none" w:sz="0" w:space="0" w:color="auto"/>
      </w:divBdr>
    </w:div>
    <w:div w:id="1680960382">
      <w:bodyDiv w:val="1"/>
      <w:marLeft w:val="0"/>
      <w:marRight w:val="0"/>
      <w:marTop w:val="0"/>
      <w:marBottom w:val="0"/>
      <w:divBdr>
        <w:top w:val="none" w:sz="0" w:space="0" w:color="auto"/>
        <w:left w:val="none" w:sz="0" w:space="0" w:color="auto"/>
        <w:bottom w:val="none" w:sz="0" w:space="0" w:color="auto"/>
        <w:right w:val="none" w:sz="0" w:space="0" w:color="auto"/>
      </w:divBdr>
      <w:divsChild>
        <w:div w:id="382364406">
          <w:marLeft w:val="0"/>
          <w:marRight w:val="0"/>
          <w:marTop w:val="0"/>
          <w:marBottom w:val="0"/>
          <w:divBdr>
            <w:top w:val="none" w:sz="0" w:space="0" w:color="auto"/>
            <w:left w:val="none" w:sz="0" w:space="0" w:color="auto"/>
            <w:bottom w:val="none" w:sz="0" w:space="0" w:color="auto"/>
            <w:right w:val="none" w:sz="0" w:space="0" w:color="auto"/>
          </w:divBdr>
        </w:div>
        <w:div w:id="1027218367">
          <w:marLeft w:val="0"/>
          <w:marRight w:val="0"/>
          <w:marTop w:val="0"/>
          <w:marBottom w:val="0"/>
          <w:divBdr>
            <w:top w:val="none" w:sz="0" w:space="0" w:color="auto"/>
            <w:left w:val="none" w:sz="0" w:space="0" w:color="auto"/>
            <w:bottom w:val="none" w:sz="0" w:space="0" w:color="auto"/>
            <w:right w:val="none" w:sz="0" w:space="0" w:color="auto"/>
          </w:divBdr>
        </w:div>
        <w:div w:id="1326936011">
          <w:marLeft w:val="0"/>
          <w:marRight w:val="0"/>
          <w:marTop w:val="0"/>
          <w:marBottom w:val="0"/>
          <w:divBdr>
            <w:top w:val="none" w:sz="0" w:space="0" w:color="auto"/>
            <w:left w:val="none" w:sz="0" w:space="0" w:color="auto"/>
            <w:bottom w:val="none" w:sz="0" w:space="0" w:color="auto"/>
            <w:right w:val="none" w:sz="0" w:space="0" w:color="auto"/>
          </w:divBdr>
        </w:div>
        <w:div w:id="1406758232">
          <w:marLeft w:val="0"/>
          <w:marRight w:val="0"/>
          <w:marTop w:val="0"/>
          <w:marBottom w:val="0"/>
          <w:divBdr>
            <w:top w:val="none" w:sz="0" w:space="0" w:color="auto"/>
            <w:left w:val="none" w:sz="0" w:space="0" w:color="auto"/>
            <w:bottom w:val="none" w:sz="0" w:space="0" w:color="auto"/>
            <w:right w:val="none" w:sz="0" w:space="0" w:color="auto"/>
          </w:divBdr>
        </w:div>
        <w:div w:id="1460490278">
          <w:marLeft w:val="0"/>
          <w:marRight w:val="0"/>
          <w:marTop w:val="0"/>
          <w:marBottom w:val="0"/>
          <w:divBdr>
            <w:top w:val="none" w:sz="0" w:space="0" w:color="auto"/>
            <w:left w:val="none" w:sz="0" w:space="0" w:color="auto"/>
            <w:bottom w:val="none" w:sz="0" w:space="0" w:color="auto"/>
            <w:right w:val="none" w:sz="0" w:space="0" w:color="auto"/>
          </w:divBdr>
        </w:div>
        <w:div w:id="1482186737">
          <w:marLeft w:val="0"/>
          <w:marRight w:val="0"/>
          <w:marTop w:val="0"/>
          <w:marBottom w:val="0"/>
          <w:divBdr>
            <w:top w:val="none" w:sz="0" w:space="0" w:color="auto"/>
            <w:left w:val="none" w:sz="0" w:space="0" w:color="auto"/>
            <w:bottom w:val="none" w:sz="0" w:space="0" w:color="auto"/>
            <w:right w:val="none" w:sz="0" w:space="0" w:color="auto"/>
          </w:divBdr>
        </w:div>
        <w:div w:id="1925914501">
          <w:marLeft w:val="0"/>
          <w:marRight w:val="0"/>
          <w:marTop w:val="0"/>
          <w:marBottom w:val="0"/>
          <w:divBdr>
            <w:top w:val="none" w:sz="0" w:space="0" w:color="auto"/>
            <w:left w:val="none" w:sz="0" w:space="0" w:color="auto"/>
            <w:bottom w:val="none" w:sz="0" w:space="0" w:color="auto"/>
            <w:right w:val="none" w:sz="0" w:space="0" w:color="auto"/>
          </w:divBdr>
        </w:div>
        <w:div w:id="2000842820">
          <w:marLeft w:val="0"/>
          <w:marRight w:val="0"/>
          <w:marTop w:val="0"/>
          <w:marBottom w:val="0"/>
          <w:divBdr>
            <w:top w:val="none" w:sz="0" w:space="0" w:color="auto"/>
            <w:left w:val="none" w:sz="0" w:space="0" w:color="auto"/>
            <w:bottom w:val="none" w:sz="0" w:space="0" w:color="auto"/>
            <w:right w:val="none" w:sz="0" w:space="0" w:color="auto"/>
          </w:divBdr>
        </w:div>
        <w:div w:id="2012562669">
          <w:marLeft w:val="0"/>
          <w:marRight w:val="0"/>
          <w:marTop w:val="0"/>
          <w:marBottom w:val="0"/>
          <w:divBdr>
            <w:top w:val="none" w:sz="0" w:space="0" w:color="auto"/>
            <w:left w:val="none" w:sz="0" w:space="0" w:color="auto"/>
            <w:bottom w:val="none" w:sz="0" w:space="0" w:color="auto"/>
            <w:right w:val="none" w:sz="0" w:space="0" w:color="auto"/>
          </w:divBdr>
        </w:div>
      </w:divsChild>
    </w:div>
    <w:div w:id="1682585797">
      <w:bodyDiv w:val="1"/>
      <w:marLeft w:val="0"/>
      <w:marRight w:val="0"/>
      <w:marTop w:val="0"/>
      <w:marBottom w:val="0"/>
      <w:divBdr>
        <w:top w:val="none" w:sz="0" w:space="0" w:color="auto"/>
        <w:left w:val="none" w:sz="0" w:space="0" w:color="auto"/>
        <w:bottom w:val="none" w:sz="0" w:space="0" w:color="auto"/>
        <w:right w:val="none" w:sz="0" w:space="0" w:color="auto"/>
      </w:divBdr>
    </w:div>
    <w:div w:id="1685009034">
      <w:bodyDiv w:val="1"/>
      <w:marLeft w:val="0"/>
      <w:marRight w:val="0"/>
      <w:marTop w:val="0"/>
      <w:marBottom w:val="0"/>
      <w:divBdr>
        <w:top w:val="none" w:sz="0" w:space="0" w:color="auto"/>
        <w:left w:val="none" w:sz="0" w:space="0" w:color="auto"/>
        <w:bottom w:val="none" w:sz="0" w:space="0" w:color="auto"/>
        <w:right w:val="none" w:sz="0" w:space="0" w:color="auto"/>
      </w:divBdr>
    </w:div>
    <w:div w:id="1691640771">
      <w:bodyDiv w:val="1"/>
      <w:marLeft w:val="0"/>
      <w:marRight w:val="0"/>
      <w:marTop w:val="0"/>
      <w:marBottom w:val="0"/>
      <w:divBdr>
        <w:top w:val="none" w:sz="0" w:space="0" w:color="auto"/>
        <w:left w:val="none" w:sz="0" w:space="0" w:color="auto"/>
        <w:bottom w:val="none" w:sz="0" w:space="0" w:color="auto"/>
        <w:right w:val="none" w:sz="0" w:space="0" w:color="auto"/>
      </w:divBdr>
    </w:div>
    <w:div w:id="1699503837">
      <w:bodyDiv w:val="1"/>
      <w:marLeft w:val="0"/>
      <w:marRight w:val="0"/>
      <w:marTop w:val="0"/>
      <w:marBottom w:val="0"/>
      <w:divBdr>
        <w:top w:val="none" w:sz="0" w:space="0" w:color="auto"/>
        <w:left w:val="none" w:sz="0" w:space="0" w:color="auto"/>
        <w:bottom w:val="none" w:sz="0" w:space="0" w:color="auto"/>
        <w:right w:val="none" w:sz="0" w:space="0" w:color="auto"/>
      </w:divBdr>
    </w:div>
    <w:div w:id="1710686935">
      <w:bodyDiv w:val="1"/>
      <w:marLeft w:val="0"/>
      <w:marRight w:val="0"/>
      <w:marTop w:val="0"/>
      <w:marBottom w:val="0"/>
      <w:divBdr>
        <w:top w:val="none" w:sz="0" w:space="0" w:color="auto"/>
        <w:left w:val="none" w:sz="0" w:space="0" w:color="auto"/>
        <w:bottom w:val="none" w:sz="0" w:space="0" w:color="auto"/>
        <w:right w:val="none" w:sz="0" w:space="0" w:color="auto"/>
      </w:divBdr>
    </w:div>
    <w:div w:id="1711025918">
      <w:bodyDiv w:val="1"/>
      <w:marLeft w:val="0"/>
      <w:marRight w:val="0"/>
      <w:marTop w:val="0"/>
      <w:marBottom w:val="0"/>
      <w:divBdr>
        <w:top w:val="none" w:sz="0" w:space="0" w:color="auto"/>
        <w:left w:val="none" w:sz="0" w:space="0" w:color="auto"/>
        <w:bottom w:val="none" w:sz="0" w:space="0" w:color="auto"/>
        <w:right w:val="none" w:sz="0" w:space="0" w:color="auto"/>
      </w:divBdr>
    </w:div>
    <w:div w:id="1718773745">
      <w:bodyDiv w:val="1"/>
      <w:marLeft w:val="0"/>
      <w:marRight w:val="0"/>
      <w:marTop w:val="0"/>
      <w:marBottom w:val="0"/>
      <w:divBdr>
        <w:top w:val="none" w:sz="0" w:space="0" w:color="auto"/>
        <w:left w:val="none" w:sz="0" w:space="0" w:color="auto"/>
        <w:bottom w:val="none" w:sz="0" w:space="0" w:color="auto"/>
        <w:right w:val="none" w:sz="0" w:space="0" w:color="auto"/>
      </w:divBdr>
    </w:div>
    <w:div w:id="1727995526">
      <w:bodyDiv w:val="1"/>
      <w:marLeft w:val="0"/>
      <w:marRight w:val="0"/>
      <w:marTop w:val="0"/>
      <w:marBottom w:val="0"/>
      <w:divBdr>
        <w:top w:val="none" w:sz="0" w:space="0" w:color="auto"/>
        <w:left w:val="none" w:sz="0" w:space="0" w:color="auto"/>
        <w:bottom w:val="none" w:sz="0" w:space="0" w:color="auto"/>
        <w:right w:val="none" w:sz="0" w:space="0" w:color="auto"/>
      </w:divBdr>
    </w:div>
    <w:div w:id="1731073583">
      <w:bodyDiv w:val="1"/>
      <w:marLeft w:val="0"/>
      <w:marRight w:val="0"/>
      <w:marTop w:val="0"/>
      <w:marBottom w:val="0"/>
      <w:divBdr>
        <w:top w:val="none" w:sz="0" w:space="0" w:color="auto"/>
        <w:left w:val="none" w:sz="0" w:space="0" w:color="auto"/>
        <w:bottom w:val="none" w:sz="0" w:space="0" w:color="auto"/>
        <w:right w:val="none" w:sz="0" w:space="0" w:color="auto"/>
      </w:divBdr>
    </w:div>
    <w:div w:id="1740319595">
      <w:bodyDiv w:val="1"/>
      <w:marLeft w:val="0"/>
      <w:marRight w:val="0"/>
      <w:marTop w:val="0"/>
      <w:marBottom w:val="0"/>
      <w:divBdr>
        <w:top w:val="none" w:sz="0" w:space="0" w:color="auto"/>
        <w:left w:val="none" w:sz="0" w:space="0" w:color="auto"/>
        <w:bottom w:val="none" w:sz="0" w:space="0" w:color="auto"/>
        <w:right w:val="none" w:sz="0" w:space="0" w:color="auto"/>
      </w:divBdr>
    </w:div>
    <w:div w:id="1745840046">
      <w:bodyDiv w:val="1"/>
      <w:marLeft w:val="0"/>
      <w:marRight w:val="0"/>
      <w:marTop w:val="0"/>
      <w:marBottom w:val="0"/>
      <w:divBdr>
        <w:top w:val="none" w:sz="0" w:space="0" w:color="auto"/>
        <w:left w:val="none" w:sz="0" w:space="0" w:color="auto"/>
        <w:bottom w:val="none" w:sz="0" w:space="0" w:color="auto"/>
        <w:right w:val="none" w:sz="0" w:space="0" w:color="auto"/>
      </w:divBdr>
    </w:div>
    <w:div w:id="1755584941">
      <w:bodyDiv w:val="1"/>
      <w:marLeft w:val="0"/>
      <w:marRight w:val="0"/>
      <w:marTop w:val="0"/>
      <w:marBottom w:val="0"/>
      <w:divBdr>
        <w:top w:val="none" w:sz="0" w:space="0" w:color="auto"/>
        <w:left w:val="none" w:sz="0" w:space="0" w:color="auto"/>
        <w:bottom w:val="none" w:sz="0" w:space="0" w:color="auto"/>
        <w:right w:val="none" w:sz="0" w:space="0" w:color="auto"/>
      </w:divBdr>
    </w:div>
    <w:div w:id="1756701365">
      <w:bodyDiv w:val="1"/>
      <w:marLeft w:val="0"/>
      <w:marRight w:val="0"/>
      <w:marTop w:val="0"/>
      <w:marBottom w:val="0"/>
      <w:divBdr>
        <w:top w:val="none" w:sz="0" w:space="0" w:color="auto"/>
        <w:left w:val="none" w:sz="0" w:space="0" w:color="auto"/>
        <w:bottom w:val="none" w:sz="0" w:space="0" w:color="auto"/>
        <w:right w:val="none" w:sz="0" w:space="0" w:color="auto"/>
      </w:divBdr>
    </w:div>
    <w:div w:id="1757051631">
      <w:bodyDiv w:val="1"/>
      <w:marLeft w:val="0"/>
      <w:marRight w:val="0"/>
      <w:marTop w:val="0"/>
      <w:marBottom w:val="0"/>
      <w:divBdr>
        <w:top w:val="none" w:sz="0" w:space="0" w:color="auto"/>
        <w:left w:val="none" w:sz="0" w:space="0" w:color="auto"/>
        <w:bottom w:val="none" w:sz="0" w:space="0" w:color="auto"/>
        <w:right w:val="none" w:sz="0" w:space="0" w:color="auto"/>
      </w:divBdr>
    </w:div>
    <w:div w:id="1767143893">
      <w:bodyDiv w:val="1"/>
      <w:marLeft w:val="0"/>
      <w:marRight w:val="0"/>
      <w:marTop w:val="0"/>
      <w:marBottom w:val="0"/>
      <w:divBdr>
        <w:top w:val="none" w:sz="0" w:space="0" w:color="auto"/>
        <w:left w:val="none" w:sz="0" w:space="0" w:color="auto"/>
        <w:bottom w:val="none" w:sz="0" w:space="0" w:color="auto"/>
        <w:right w:val="none" w:sz="0" w:space="0" w:color="auto"/>
      </w:divBdr>
    </w:div>
    <w:div w:id="1774785064">
      <w:bodyDiv w:val="1"/>
      <w:marLeft w:val="0"/>
      <w:marRight w:val="0"/>
      <w:marTop w:val="0"/>
      <w:marBottom w:val="0"/>
      <w:divBdr>
        <w:top w:val="none" w:sz="0" w:space="0" w:color="auto"/>
        <w:left w:val="none" w:sz="0" w:space="0" w:color="auto"/>
        <w:bottom w:val="none" w:sz="0" w:space="0" w:color="auto"/>
        <w:right w:val="none" w:sz="0" w:space="0" w:color="auto"/>
      </w:divBdr>
      <w:divsChild>
        <w:div w:id="656689602">
          <w:marLeft w:val="1440"/>
          <w:marRight w:val="0"/>
          <w:marTop w:val="120"/>
          <w:marBottom w:val="120"/>
          <w:divBdr>
            <w:top w:val="none" w:sz="0" w:space="0" w:color="auto"/>
            <w:left w:val="none" w:sz="0" w:space="0" w:color="auto"/>
            <w:bottom w:val="none" w:sz="0" w:space="0" w:color="auto"/>
            <w:right w:val="none" w:sz="0" w:space="0" w:color="auto"/>
          </w:divBdr>
        </w:div>
        <w:div w:id="909463125">
          <w:marLeft w:val="1440"/>
          <w:marRight w:val="0"/>
          <w:marTop w:val="120"/>
          <w:marBottom w:val="120"/>
          <w:divBdr>
            <w:top w:val="none" w:sz="0" w:space="0" w:color="auto"/>
            <w:left w:val="none" w:sz="0" w:space="0" w:color="auto"/>
            <w:bottom w:val="none" w:sz="0" w:space="0" w:color="auto"/>
            <w:right w:val="none" w:sz="0" w:space="0" w:color="auto"/>
          </w:divBdr>
        </w:div>
        <w:div w:id="1305742052">
          <w:marLeft w:val="1440"/>
          <w:marRight w:val="0"/>
          <w:marTop w:val="120"/>
          <w:marBottom w:val="120"/>
          <w:divBdr>
            <w:top w:val="none" w:sz="0" w:space="0" w:color="auto"/>
            <w:left w:val="none" w:sz="0" w:space="0" w:color="auto"/>
            <w:bottom w:val="none" w:sz="0" w:space="0" w:color="auto"/>
            <w:right w:val="none" w:sz="0" w:space="0" w:color="auto"/>
          </w:divBdr>
        </w:div>
        <w:div w:id="1788625304">
          <w:marLeft w:val="1440"/>
          <w:marRight w:val="0"/>
          <w:marTop w:val="120"/>
          <w:marBottom w:val="120"/>
          <w:divBdr>
            <w:top w:val="none" w:sz="0" w:space="0" w:color="auto"/>
            <w:left w:val="none" w:sz="0" w:space="0" w:color="auto"/>
            <w:bottom w:val="none" w:sz="0" w:space="0" w:color="auto"/>
            <w:right w:val="none" w:sz="0" w:space="0" w:color="auto"/>
          </w:divBdr>
        </w:div>
      </w:divsChild>
    </w:div>
    <w:div w:id="1776319924">
      <w:bodyDiv w:val="1"/>
      <w:marLeft w:val="0"/>
      <w:marRight w:val="0"/>
      <w:marTop w:val="0"/>
      <w:marBottom w:val="0"/>
      <w:divBdr>
        <w:top w:val="none" w:sz="0" w:space="0" w:color="auto"/>
        <w:left w:val="none" w:sz="0" w:space="0" w:color="auto"/>
        <w:bottom w:val="none" w:sz="0" w:space="0" w:color="auto"/>
        <w:right w:val="none" w:sz="0" w:space="0" w:color="auto"/>
      </w:divBdr>
    </w:div>
    <w:div w:id="1787238933">
      <w:bodyDiv w:val="1"/>
      <w:marLeft w:val="0"/>
      <w:marRight w:val="0"/>
      <w:marTop w:val="0"/>
      <w:marBottom w:val="0"/>
      <w:divBdr>
        <w:top w:val="none" w:sz="0" w:space="0" w:color="auto"/>
        <w:left w:val="none" w:sz="0" w:space="0" w:color="auto"/>
        <w:bottom w:val="none" w:sz="0" w:space="0" w:color="auto"/>
        <w:right w:val="none" w:sz="0" w:space="0" w:color="auto"/>
      </w:divBdr>
    </w:div>
    <w:div w:id="1792818597">
      <w:bodyDiv w:val="1"/>
      <w:marLeft w:val="0"/>
      <w:marRight w:val="0"/>
      <w:marTop w:val="0"/>
      <w:marBottom w:val="0"/>
      <w:divBdr>
        <w:top w:val="none" w:sz="0" w:space="0" w:color="auto"/>
        <w:left w:val="none" w:sz="0" w:space="0" w:color="auto"/>
        <w:bottom w:val="none" w:sz="0" w:space="0" w:color="auto"/>
        <w:right w:val="none" w:sz="0" w:space="0" w:color="auto"/>
      </w:divBdr>
    </w:div>
    <w:div w:id="1796483356">
      <w:bodyDiv w:val="1"/>
      <w:marLeft w:val="0"/>
      <w:marRight w:val="0"/>
      <w:marTop w:val="0"/>
      <w:marBottom w:val="0"/>
      <w:divBdr>
        <w:top w:val="none" w:sz="0" w:space="0" w:color="auto"/>
        <w:left w:val="none" w:sz="0" w:space="0" w:color="auto"/>
        <w:bottom w:val="none" w:sz="0" w:space="0" w:color="auto"/>
        <w:right w:val="none" w:sz="0" w:space="0" w:color="auto"/>
      </w:divBdr>
    </w:div>
    <w:div w:id="1800881908">
      <w:bodyDiv w:val="1"/>
      <w:marLeft w:val="0"/>
      <w:marRight w:val="0"/>
      <w:marTop w:val="0"/>
      <w:marBottom w:val="0"/>
      <w:divBdr>
        <w:top w:val="none" w:sz="0" w:space="0" w:color="auto"/>
        <w:left w:val="none" w:sz="0" w:space="0" w:color="auto"/>
        <w:bottom w:val="none" w:sz="0" w:space="0" w:color="auto"/>
        <w:right w:val="none" w:sz="0" w:space="0" w:color="auto"/>
      </w:divBdr>
    </w:div>
    <w:div w:id="1808742901">
      <w:bodyDiv w:val="1"/>
      <w:marLeft w:val="0"/>
      <w:marRight w:val="0"/>
      <w:marTop w:val="0"/>
      <w:marBottom w:val="0"/>
      <w:divBdr>
        <w:top w:val="none" w:sz="0" w:space="0" w:color="auto"/>
        <w:left w:val="none" w:sz="0" w:space="0" w:color="auto"/>
        <w:bottom w:val="none" w:sz="0" w:space="0" w:color="auto"/>
        <w:right w:val="none" w:sz="0" w:space="0" w:color="auto"/>
      </w:divBdr>
    </w:div>
    <w:div w:id="1809350280">
      <w:bodyDiv w:val="1"/>
      <w:marLeft w:val="0"/>
      <w:marRight w:val="0"/>
      <w:marTop w:val="0"/>
      <w:marBottom w:val="0"/>
      <w:divBdr>
        <w:top w:val="none" w:sz="0" w:space="0" w:color="auto"/>
        <w:left w:val="none" w:sz="0" w:space="0" w:color="auto"/>
        <w:bottom w:val="none" w:sz="0" w:space="0" w:color="auto"/>
        <w:right w:val="none" w:sz="0" w:space="0" w:color="auto"/>
      </w:divBdr>
    </w:div>
    <w:div w:id="1811241789">
      <w:bodyDiv w:val="1"/>
      <w:marLeft w:val="0"/>
      <w:marRight w:val="0"/>
      <w:marTop w:val="0"/>
      <w:marBottom w:val="0"/>
      <w:divBdr>
        <w:top w:val="none" w:sz="0" w:space="0" w:color="auto"/>
        <w:left w:val="none" w:sz="0" w:space="0" w:color="auto"/>
        <w:bottom w:val="none" w:sz="0" w:space="0" w:color="auto"/>
        <w:right w:val="none" w:sz="0" w:space="0" w:color="auto"/>
      </w:divBdr>
    </w:div>
    <w:div w:id="1816290159">
      <w:bodyDiv w:val="1"/>
      <w:marLeft w:val="0"/>
      <w:marRight w:val="0"/>
      <w:marTop w:val="0"/>
      <w:marBottom w:val="0"/>
      <w:divBdr>
        <w:top w:val="none" w:sz="0" w:space="0" w:color="auto"/>
        <w:left w:val="none" w:sz="0" w:space="0" w:color="auto"/>
        <w:bottom w:val="none" w:sz="0" w:space="0" w:color="auto"/>
        <w:right w:val="none" w:sz="0" w:space="0" w:color="auto"/>
      </w:divBdr>
    </w:div>
    <w:div w:id="1820883220">
      <w:bodyDiv w:val="1"/>
      <w:marLeft w:val="0"/>
      <w:marRight w:val="0"/>
      <w:marTop w:val="0"/>
      <w:marBottom w:val="0"/>
      <w:divBdr>
        <w:top w:val="none" w:sz="0" w:space="0" w:color="auto"/>
        <w:left w:val="none" w:sz="0" w:space="0" w:color="auto"/>
        <w:bottom w:val="none" w:sz="0" w:space="0" w:color="auto"/>
        <w:right w:val="none" w:sz="0" w:space="0" w:color="auto"/>
      </w:divBdr>
    </w:div>
    <w:div w:id="1827864955">
      <w:bodyDiv w:val="1"/>
      <w:marLeft w:val="0"/>
      <w:marRight w:val="0"/>
      <w:marTop w:val="0"/>
      <w:marBottom w:val="0"/>
      <w:divBdr>
        <w:top w:val="none" w:sz="0" w:space="0" w:color="auto"/>
        <w:left w:val="none" w:sz="0" w:space="0" w:color="auto"/>
        <w:bottom w:val="none" w:sz="0" w:space="0" w:color="auto"/>
        <w:right w:val="none" w:sz="0" w:space="0" w:color="auto"/>
      </w:divBdr>
    </w:div>
    <w:div w:id="1842810297">
      <w:bodyDiv w:val="1"/>
      <w:marLeft w:val="0"/>
      <w:marRight w:val="0"/>
      <w:marTop w:val="0"/>
      <w:marBottom w:val="0"/>
      <w:divBdr>
        <w:top w:val="none" w:sz="0" w:space="0" w:color="auto"/>
        <w:left w:val="none" w:sz="0" w:space="0" w:color="auto"/>
        <w:bottom w:val="none" w:sz="0" w:space="0" w:color="auto"/>
        <w:right w:val="none" w:sz="0" w:space="0" w:color="auto"/>
      </w:divBdr>
    </w:div>
    <w:div w:id="1856461435">
      <w:bodyDiv w:val="1"/>
      <w:marLeft w:val="0"/>
      <w:marRight w:val="0"/>
      <w:marTop w:val="0"/>
      <w:marBottom w:val="0"/>
      <w:divBdr>
        <w:top w:val="none" w:sz="0" w:space="0" w:color="auto"/>
        <w:left w:val="none" w:sz="0" w:space="0" w:color="auto"/>
        <w:bottom w:val="none" w:sz="0" w:space="0" w:color="auto"/>
        <w:right w:val="none" w:sz="0" w:space="0" w:color="auto"/>
      </w:divBdr>
    </w:div>
    <w:div w:id="1857770261">
      <w:bodyDiv w:val="1"/>
      <w:marLeft w:val="0"/>
      <w:marRight w:val="0"/>
      <w:marTop w:val="0"/>
      <w:marBottom w:val="0"/>
      <w:divBdr>
        <w:top w:val="none" w:sz="0" w:space="0" w:color="auto"/>
        <w:left w:val="none" w:sz="0" w:space="0" w:color="auto"/>
        <w:bottom w:val="none" w:sz="0" w:space="0" w:color="auto"/>
        <w:right w:val="none" w:sz="0" w:space="0" w:color="auto"/>
      </w:divBdr>
    </w:div>
    <w:div w:id="1865943153">
      <w:bodyDiv w:val="1"/>
      <w:marLeft w:val="0"/>
      <w:marRight w:val="0"/>
      <w:marTop w:val="0"/>
      <w:marBottom w:val="0"/>
      <w:divBdr>
        <w:top w:val="none" w:sz="0" w:space="0" w:color="auto"/>
        <w:left w:val="none" w:sz="0" w:space="0" w:color="auto"/>
        <w:bottom w:val="none" w:sz="0" w:space="0" w:color="auto"/>
        <w:right w:val="none" w:sz="0" w:space="0" w:color="auto"/>
      </w:divBdr>
    </w:div>
    <w:div w:id="1885143344">
      <w:bodyDiv w:val="1"/>
      <w:marLeft w:val="0"/>
      <w:marRight w:val="0"/>
      <w:marTop w:val="0"/>
      <w:marBottom w:val="0"/>
      <w:divBdr>
        <w:top w:val="none" w:sz="0" w:space="0" w:color="auto"/>
        <w:left w:val="none" w:sz="0" w:space="0" w:color="auto"/>
        <w:bottom w:val="none" w:sz="0" w:space="0" w:color="auto"/>
        <w:right w:val="none" w:sz="0" w:space="0" w:color="auto"/>
      </w:divBdr>
    </w:div>
    <w:div w:id="1887451238">
      <w:bodyDiv w:val="1"/>
      <w:marLeft w:val="0"/>
      <w:marRight w:val="0"/>
      <w:marTop w:val="0"/>
      <w:marBottom w:val="0"/>
      <w:divBdr>
        <w:top w:val="none" w:sz="0" w:space="0" w:color="auto"/>
        <w:left w:val="none" w:sz="0" w:space="0" w:color="auto"/>
        <w:bottom w:val="none" w:sz="0" w:space="0" w:color="auto"/>
        <w:right w:val="none" w:sz="0" w:space="0" w:color="auto"/>
      </w:divBdr>
    </w:div>
    <w:div w:id="1897154926">
      <w:bodyDiv w:val="1"/>
      <w:marLeft w:val="0"/>
      <w:marRight w:val="0"/>
      <w:marTop w:val="0"/>
      <w:marBottom w:val="0"/>
      <w:divBdr>
        <w:top w:val="none" w:sz="0" w:space="0" w:color="auto"/>
        <w:left w:val="none" w:sz="0" w:space="0" w:color="auto"/>
        <w:bottom w:val="none" w:sz="0" w:space="0" w:color="auto"/>
        <w:right w:val="none" w:sz="0" w:space="0" w:color="auto"/>
      </w:divBdr>
    </w:div>
    <w:div w:id="1897473314">
      <w:bodyDiv w:val="1"/>
      <w:marLeft w:val="0"/>
      <w:marRight w:val="0"/>
      <w:marTop w:val="0"/>
      <w:marBottom w:val="0"/>
      <w:divBdr>
        <w:top w:val="none" w:sz="0" w:space="0" w:color="auto"/>
        <w:left w:val="none" w:sz="0" w:space="0" w:color="auto"/>
        <w:bottom w:val="none" w:sz="0" w:space="0" w:color="auto"/>
        <w:right w:val="none" w:sz="0" w:space="0" w:color="auto"/>
      </w:divBdr>
    </w:div>
    <w:div w:id="1897886891">
      <w:bodyDiv w:val="1"/>
      <w:marLeft w:val="0"/>
      <w:marRight w:val="0"/>
      <w:marTop w:val="0"/>
      <w:marBottom w:val="0"/>
      <w:divBdr>
        <w:top w:val="none" w:sz="0" w:space="0" w:color="auto"/>
        <w:left w:val="none" w:sz="0" w:space="0" w:color="auto"/>
        <w:bottom w:val="none" w:sz="0" w:space="0" w:color="auto"/>
        <w:right w:val="none" w:sz="0" w:space="0" w:color="auto"/>
      </w:divBdr>
    </w:div>
    <w:div w:id="1906910961">
      <w:bodyDiv w:val="1"/>
      <w:marLeft w:val="0"/>
      <w:marRight w:val="0"/>
      <w:marTop w:val="0"/>
      <w:marBottom w:val="0"/>
      <w:divBdr>
        <w:top w:val="none" w:sz="0" w:space="0" w:color="auto"/>
        <w:left w:val="none" w:sz="0" w:space="0" w:color="auto"/>
        <w:bottom w:val="none" w:sz="0" w:space="0" w:color="auto"/>
        <w:right w:val="none" w:sz="0" w:space="0" w:color="auto"/>
      </w:divBdr>
    </w:div>
    <w:div w:id="1907182967">
      <w:bodyDiv w:val="1"/>
      <w:marLeft w:val="0"/>
      <w:marRight w:val="0"/>
      <w:marTop w:val="0"/>
      <w:marBottom w:val="0"/>
      <w:divBdr>
        <w:top w:val="none" w:sz="0" w:space="0" w:color="auto"/>
        <w:left w:val="none" w:sz="0" w:space="0" w:color="auto"/>
        <w:bottom w:val="none" w:sz="0" w:space="0" w:color="auto"/>
        <w:right w:val="none" w:sz="0" w:space="0" w:color="auto"/>
      </w:divBdr>
    </w:div>
    <w:div w:id="1909072633">
      <w:bodyDiv w:val="1"/>
      <w:marLeft w:val="0"/>
      <w:marRight w:val="0"/>
      <w:marTop w:val="0"/>
      <w:marBottom w:val="0"/>
      <w:divBdr>
        <w:top w:val="none" w:sz="0" w:space="0" w:color="auto"/>
        <w:left w:val="none" w:sz="0" w:space="0" w:color="auto"/>
        <w:bottom w:val="none" w:sz="0" w:space="0" w:color="auto"/>
        <w:right w:val="none" w:sz="0" w:space="0" w:color="auto"/>
      </w:divBdr>
    </w:div>
    <w:div w:id="1909266403">
      <w:bodyDiv w:val="1"/>
      <w:marLeft w:val="0"/>
      <w:marRight w:val="0"/>
      <w:marTop w:val="0"/>
      <w:marBottom w:val="0"/>
      <w:divBdr>
        <w:top w:val="none" w:sz="0" w:space="0" w:color="auto"/>
        <w:left w:val="none" w:sz="0" w:space="0" w:color="auto"/>
        <w:bottom w:val="none" w:sz="0" w:space="0" w:color="auto"/>
        <w:right w:val="none" w:sz="0" w:space="0" w:color="auto"/>
      </w:divBdr>
    </w:div>
    <w:div w:id="1909726890">
      <w:bodyDiv w:val="1"/>
      <w:marLeft w:val="0"/>
      <w:marRight w:val="0"/>
      <w:marTop w:val="0"/>
      <w:marBottom w:val="0"/>
      <w:divBdr>
        <w:top w:val="none" w:sz="0" w:space="0" w:color="auto"/>
        <w:left w:val="none" w:sz="0" w:space="0" w:color="auto"/>
        <w:bottom w:val="none" w:sz="0" w:space="0" w:color="auto"/>
        <w:right w:val="none" w:sz="0" w:space="0" w:color="auto"/>
      </w:divBdr>
    </w:div>
    <w:div w:id="1911307933">
      <w:bodyDiv w:val="1"/>
      <w:marLeft w:val="0"/>
      <w:marRight w:val="0"/>
      <w:marTop w:val="0"/>
      <w:marBottom w:val="0"/>
      <w:divBdr>
        <w:top w:val="none" w:sz="0" w:space="0" w:color="auto"/>
        <w:left w:val="none" w:sz="0" w:space="0" w:color="auto"/>
        <w:bottom w:val="none" w:sz="0" w:space="0" w:color="auto"/>
        <w:right w:val="none" w:sz="0" w:space="0" w:color="auto"/>
      </w:divBdr>
    </w:div>
    <w:div w:id="1913270694">
      <w:bodyDiv w:val="1"/>
      <w:marLeft w:val="0"/>
      <w:marRight w:val="0"/>
      <w:marTop w:val="0"/>
      <w:marBottom w:val="0"/>
      <w:divBdr>
        <w:top w:val="none" w:sz="0" w:space="0" w:color="auto"/>
        <w:left w:val="none" w:sz="0" w:space="0" w:color="auto"/>
        <w:bottom w:val="none" w:sz="0" w:space="0" w:color="auto"/>
        <w:right w:val="none" w:sz="0" w:space="0" w:color="auto"/>
      </w:divBdr>
    </w:div>
    <w:div w:id="1920946322">
      <w:bodyDiv w:val="1"/>
      <w:marLeft w:val="0"/>
      <w:marRight w:val="0"/>
      <w:marTop w:val="0"/>
      <w:marBottom w:val="0"/>
      <w:divBdr>
        <w:top w:val="none" w:sz="0" w:space="0" w:color="auto"/>
        <w:left w:val="none" w:sz="0" w:space="0" w:color="auto"/>
        <w:bottom w:val="none" w:sz="0" w:space="0" w:color="auto"/>
        <w:right w:val="none" w:sz="0" w:space="0" w:color="auto"/>
      </w:divBdr>
    </w:div>
    <w:div w:id="1924560015">
      <w:bodyDiv w:val="1"/>
      <w:marLeft w:val="0"/>
      <w:marRight w:val="0"/>
      <w:marTop w:val="0"/>
      <w:marBottom w:val="0"/>
      <w:divBdr>
        <w:top w:val="none" w:sz="0" w:space="0" w:color="auto"/>
        <w:left w:val="none" w:sz="0" w:space="0" w:color="auto"/>
        <w:bottom w:val="none" w:sz="0" w:space="0" w:color="auto"/>
        <w:right w:val="none" w:sz="0" w:space="0" w:color="auto"/>
      </w:divBdr>
    </w:div>
    <w:div w:id="1925453268">
      <w:bodyDiv w:val="1"/>
      <w:marLeft w:val="0"/>
      <w:marRight w:val="0"/>
      <w:marTop w:val="0"/>
      <w:marBottom w:val="0"/>
      <w:divBdr>
        <w:top w:val="none" w:sz="0" w:space="0" w:color="auto"/>
        <w:left w:val="none" w:sz="0" w:space="0" w:color="auto"/>
        <w:bottom w:val="none" w:sz="0" w:space="0" w:color="auto"/>
        <w:right w:val="none" w:sz="0" w:space="0" w:color="auto"/>
      </w:divBdr>
    </w:div>
    <w:div w:id="1927305655">
      <w:bodyDiv w:val="1"/>
      <w:marLeft w:val="0"/>
      <w:marRight w:val="0"/>
      <w:marTop w:val="0"/>
      <w:marBottom w:val="0"/>
      <w:divBdr>
        <w:top w:val="none" w:sz="0" w:space="0" w:color="auto"/>
        <w:left w:val="none" w:sz="0" w:space="0" w:color="auto"/>
        <w:bottom w:val="none" w:sz="0" w:space="0" w:color="auto"/>
        <w:right w:val="none" w:sz="0" w:space="0" w:color="auto"/>
      </w:divBdr>
    </w:div>
    <w:div w:id="1934239901">
      <w:bodyDiv w:val="1"/>
      <w:marLeft w:val="0"/>
      <w:marRight w:val="0"/>
      <w:marTop w:val="0"/>
      <w:marBottom w:val="0"/>
      <w:divBdr>
        <w:top w:val="none" w:sz="0" w:space="0" w:color="auto"/>
        <w:left w:val="none" w:sz="0" w:space="0" w:color="auto"/>
        <w:bottom w:val="none" w:sz="0" w:space="0" w:color="auto"/>
        <w:right w:val="none" w:sz="0" w:space="0" w:color="auto"/>
      </w:divBdr>
    </w:div>
    <w:div w:id="1939211538">
      <w:bodyDiv w:val="1"/>
      <w:marLeft w:val="0"/>
      <w:marRight w:val="0"/>
      <w:marTop w:val="0"/>
      <w:marBottom w:val="0"/>
      <w:divBdr>
        <w:top w:val="none" w:sz="0" w:space="0" w:color="auto"/>
        <w:left w:val="none" w:sz="0" w:space="0" w:color="auto"/>
        <w:bottom w:val="none" w:sz="0" w:space="0" w:color="auto"/>
        <w:right w:val="none" w:sz="0" w:space="0" w:color="auto"/>
      </w:divBdr>
    </w:div>
    <w:div w:id="1942641961">
      <w:bodyDiv w:val="1"/>
      <w:marLeft w:val="0"/>
      <w:marRight w:val="0"/>
      <w:marTop w:val="0"/>
      <w:marBottom w:val="0"/>
      <w:divBdr>
        <w:top w:val="none" w:sz="0" w:space="0" w:color="auto"/>
        <w:left w:val="none" w:sz="0" w:space="0" w:color="auto"/>
        <w:bottom w:val="none" w:sz="0" w:space="0" w:color="auto"/>
        <w:right w:val="none" w:sz="0" w:space="0" w:color="auto"/>
      </w:divBdr>
    </w:div>
    <w:div w:id="1944610053">
      <w:bodyDiv w:val="1"/>
      <w:marLeft w:val="0"/>
      <w:marRight w:val="0"/>
      <w:marTop w:val="0"/>
      <w:marBottom w:val="0"/>
      <w:divBdr>
        <w:top w:val="none" w:sz="0" w:space="0" w:color="auto"/>
        <w:left w:val="none" w:sz="0" w:space="0" w:color="auto"/>
        <w:bottom w:val="none" w:sz="0" w:space="0" w:color="auto"/>
        <w:right w:val="none" w:sz="0" w:space="0" w:color="auto"/>
      </w:divBdr>
    </w:div>
    <w:div w:id="1954708481">
      <w:bodyDiv w:val="1"/>
      <w:marLeft w:val="0"/>
      <w:marRight w:val="0"/>
      <w:marTop w:val="0"/>
      <w:marBottom w:val="0"/>
      <w:divBdr>
        <w:top w:val="none" w:sz="0" w:space="0" w:color="auto"/>
        <w:left w:val="none" w:sz="0" w:space="0" w:color="auto"/>
        <w:bottom w:val="none" w:sz="0" w:space="0" w:color="auto"/>
        <w:right w:val="none" w:sz="0" w:space="0" w:color="auto"/>
      </w:divBdr>
    </w:div>
    <w:div w:id="1958564601">
      <w:bodyDiv w:val="1"/>
      <w:marLeft w:val="0"/>
      <w:marRight w:val="0"/>
      <w:marTop w:val="0"/>
      <w:marBottom w:val="0"/>
      <w:divBdr>
        <w:top w:val="none" w:sz="0" w:space="0" w:color="auto"/>
        <w:left w:val="none" w:sz="0" w:space="0" w:color="auto"/>
        <w:bottom w:val="none" w:sz="0" w:space="0" w:color="auto"/>
        <w:right w:val="none" w:sz="0" w:space="0" w:color="auto"/>
      </w:divBdr>
    </w:div>
    <w:div w:id="1963029226">
      <w:bodyDiv w:val="1"/>
      <w:marLeft w:val="0"/>
      <w:marRight w:val="0"/>
      <w:marTop w:val="0"/>
      <w:marBottom w:val="0"/>
      <w:divBdr>
        <w:top w:val="none" w:sz="0" w:space="0" w:color="auto"/>
        <w:left w:val="none" w:sz="0" w:space="0" w:color="auto"/>
        <w:bottom w:val="none" w:sz="0" w:space="0" w:color="auto"/>
        <w:right w:val="none" w:sz="0" w:space="0" w:color="auto"/>
      </w:divBdr>
    </w:div>
    <w:div w:id="1968124057">
      <w:bodyDiv w:val="1"/>
      <w:marLeft w:val="0"/>
      <w:marRight w:val="0"/>
      <w:marTop w:val="0"/>
      <w:marBottom w:val="0"/>
      <w:divBdr>
        <w:top w:val="none" w:sz="0" w:space="0" w:color="auto"/>
        <w:left w:val="none" w:sz="0" w:space="0" w:color="auto"/>
        <w:bottom w:val="none" w:sz="0" w:space="0" w:color="auto"/>
        <w:right w:val="none" w:sz="0" w:space="0" w:color="auto"/>
      </w:divBdr>
    </w:div>
    <w:div w:id="1972200503">
      <w:bodyDiv w:val="1"/>
      <w:marLeft w:val="0"/>
      <w:marRight w:val="0"/>
      <w:marTop w:val="0"/>
      <w:marBottom w:val="0"/>
      <w:divBdr>
        <w:top w:val="none" w:sz="0" w:space="0" w:color="auto"/>
        <w:left w:val="none" w:sz="0" w:space="0" w:color="auto"/>
        <w:bottom w:val="none" w:sz="0" w:space="0" w:color="auto"/>
        <w:right w:val="none" w:sz="0" w:space="0" w:color="auto"/>
      </w:divBdr>
    </w:div>
    <w:div w:id="1974098387">
      <w:bodyDiv w:val="1"/>
      <w:marLeft w:val="0"/>
      <w:marRight w:val="0"/>
      <w:marTop w:val="0"/>
      <w:marBottom w:val="0"/>
      <w:divBdr>
        <w:top w:val="none" w:sz="0" w:space="0" w:color="auto"/>
        <w:left w:val="none" w:sz="0" w:space="0" w:color="auto"/>
        <w:bottom w:val="none" w:sz="0" w:space="0" w:color="auto"/>
        <w:right w:val="none" w:sz="0" w:space="0" w:color="auto"/>
      </w:divBdr>
    </w:div>
    <w:div w:id="1974872157">
      <w:bodyDiv w:val="1"/>
      <w:marLeft w:val="0"/>
      <w:marRight w:val="0"/>
      <w:marTop w:val="0"/>
      <w:marBottom w:val="0"/>
      <w:divBdr>
        <w:top w:val="none" w:sz="0" w:space="0" w:color="auto"/>
        <w:left w:val="none" w:sz="0" w:space="0" w:color="auto"/>
        <w:bottom w:val="none" w:sz="0" w:space="0" w:color="auto"/>
        <w:right w:val="none" w:sz="0" w:space="0" w:color="auto"/>
      </w:divBdr>
    </w:div>
    <w:div w:id="1975601029">
      <w:bodyDiv w:val="1"/>
      <w:marLeft w:val="0"/>
      <w:marRight w:val="0"/>
      <w:marTop w:val="0"/>
      <w:marBottom w:val="0"/>
      <w:divBdr>
        <w:top w:val="none" w:sz="0" w:space="0" w:color="auto"/>
        <w:left w:val="none" w:sz="0" w:space="0" w:color="auto"/>
        <w:bottom w:val="none" w:sz="0" w:space="0" w:color="auto"/>
        <w:right w:val="none" w:sz="0" w:space="0" w:color="auto"/>
      </w:divBdr>
    </w:div>
    <w:div w:id="1975670917">
      <w:bodyDiv w:val="1"/>
      <w:marLeft w:val="0"/>
      <w:marRight w:val="0"/>
      <w:marTop w:val="0"/>
      <w:marBottom w:val="0"/>
      <w:divBdr>
        <w:top w:val="none" w:sz="0" w:space="0" w:color="auto"/>
        <w:left w:val="none" w:sz="0" w:space="0" w:color="auto"/>
        <w:bottom w:val="none" w:sz="0" w:space="0" w:color="auto"/>
        <w:right w:val="none" w:sz="0" w:space="0" w:color="auto"/>
      </w:divBdr>
    </w:div>
    <w:div w:id="1982272429">
      <w:bodyDiv w:val="1"/>
      <w:marLeft w:val="0"/>
      <w:marRight w:val="0"/>
      <w:marTop w:val="0"/>
      <w:marBottom w:val="0"/>
      <w:divBdr>
        <w:top w:val="none" w:sz="0" w:space="0" w:color="auto"/>
        <w:left w:val="none" w:sz="0" w:space="0" w:color="auto"/>
        <w:bottom w:val="none" w:sz="0" w:space="0" w:color="auto"/>
        <w:right w:val="none" w:sz="0" w:space="0" w:color="auto"/>
      </w:divBdr>
    </w:div>
    <w:div w:id="1983458791">
      <w:bodyDiv w:val="1"/>
      <w:marLeft w:val="0"/>
      <w:marRight w:val="0"/>
      <w:marTop w:val="0"/>
      <w:marBottom w:val="0"/>
      <w:divBdr>
        <w:top w:val="none" w:sz="0" w:space="0" w:color="auto"/>
        <w:left w:val="none" w:sz="0" w:space="0" w:color="auto"/>
        <w:bottom w:val="none" w:sz="0" w:space="0" w:color="auto"/>
        <w:right w:val="none" w:sz="0" w:space="0" w:color="auto"/>
      </w:divBdr>
      <w:divsChild>
        <w:div w:id="873348025">
          <w:marLeft w:val="0"/>
          <w:marRight w:val="0"/>
          <w:marTop w:val="0"/>
          <w:marBottom w:val="0"/>
          <w:divBdr>
            <w:top w:val="none" w:sz="0" w:space="0" w:color="auto"/>
            <w:left w:val="none" w:sz="0" w:space="0" w:color="auto"/>
            <w:bottom w:val="none" w:sz="0" w:space="0" w:color="auto"/>
            <w:right w:val="none" w:sz="0" w:space="0" w:color="auto"/>
          </w:divBdr>
        </w:div>
        <w:div w:id="928581462">
          <w:marLeft w:val="0"/>
          <w:marRight w:val="0"/>
          <w:marTop w:val="0"/>
          <w:marBottom w:val="0"/>
          <w:divBdr>
            <w:top w:val="none" w:sz="0" w:space="0" w:color="auto"/>
            <w:left w:val="none" w:sz="0" w:space="0" w:color="auto"/>
            <w:bottom w:val="none" w:sz="0" w:space="0" w:color="auto"/>
            <w:right w:val="none" w:sz="0" w:space="0" w:color="auto"/>
          </w:divBdr>
        </w:div>
        <w:div w:id="966546230">
          <w:marLeft w:val="0"/>
          <w:marRight w:val="0"/>
          <w:marTop w:val="0"/>
          <w:marBottom w:val="0"/>
          <w:divBdr>
            <w:top w:val="none" w:sz="0" w:space="0" w:color="auto"/>
            <w:left w:val="none" w:sz="0" w:space="0" w:color="auto"/>
            <w:bottom w:val="none" w:sz="0" w:space="0" w:color="auto"/>
            <w:right w:val="none" w:sz="0" w:space="0" w:color="auto"/>
          </w:divBdr>
        </w:div>
        <w:div w:id="1007517678">
          <w:marLeft w:val="0"/>
          <w:marRight w:val="0"/>
          <w:marTop w:val="0"/>
          <w:marBottom w:val="0"/>
          <w:divBdr>
            <w:top w:val="none" w:sz="0" w:space="0" w:color="auto"/>
            <w:left w:val="none" w:sz="0" w:space="0" w:color="auto"/>
            <w:bottom w:val="none" w:sz="0" w:space="0" w:color="auto"/>
            <w:right w:val="none" w:sz="0" w:space="0" w:color="auto"/>
          </w:divBdr>
        </w:div>
        <w:div w:id="1269309640">
          <w:marLeft w:val="0"/>
          <w:marRight w:val="0"/>
          <w:marTop w:val="0"/>
          <w:marBottom w:val="0"/>
          <w:divBdr>
            <w:top w:val="none" w:sz="0" w:space="0" w:color="auto"/>
            <w:left w:val="none" w:sz="0" w:space="0" w:color="auto"/>
            <w:bottom w:val="none" w:sz="0" w:space="0" w:color="auto"/>
            <w:right w:val="none" w:sz="0" w:space="0" w:color="auto"/>
          </w:divBdr>
        </w:div>
        <w:div w:id="1343438493">
          <w:marLeft w:val="0"/>
          <w:marRight w:val="0"/>
          <w:marTop w:val="0"/>
          <w:marBottom w:val="0"/>
          <w:divBdr>
            <w:top w:val="none" w:sz="0" w:space="0" w:color="auto"/>
            <w:left w:val="none" w:sz="0" w:space="0" w:color="auto"/>
            <w:bottom w:val="none" w:sz="0" w:space="0" w:color="auto"/>
            <w:right w:val="none" w:sz="0" w:space="0" w:color="auto"/>
          </w:divBdr>
        </w:div>
        <w:div w:id="1557278865">
          <w:marLeft w:val="0"/>
          <w:marRight w:val="0"/>
          <w:marTop w:val="0"/>
          <w:marBottom w:val="0"/>
          <w:divBdr>
            <w:top w:val="none" w:sz="0" w:space="0" w:color="auto"/>
            <w:left w:val="none" w:sz="0" w:space="0" w:color="auto"/>
            <w:bottom w:val="none" w:sz="0" w:space="0" w:color="auto"/>
            <w:right w:val="none" w:sz="0" w:space="0" w:color="auto"/>
          </w:divBdr>
        </w:div>
        <w:div w:id="1933391277">
          <w:marLeft w:val="0"/>
          <w:marRight w:val="0"/>
          <w:marTop w:val="0"/>
          <w:marBottom w:val="0"/>
          <w:divBdr>
            <w:top w:val="none" w:sz="0" w:space="0" w:color="auto"/>
            <w:left w:val="none" w:sz="0" w:space="0" w:color="auto"/>
            <w:bottom w:val="none" w:sz="0" w:space="0" w:color="auto"/>
            <w:right w:val="none" w:sz="0" w:space="0" w:color="auto"/>
          </w:divBdr>
        </w:div>
      </w:divsChild>
    </w:div>
    <w:div w:id="1988245093">
      <w:bodyDiv w:val="1"/>
      <w:marLeft w:val="0"/>
      <w:marRight w:val="0"/>
      <w:marTop w:val="0"/>
      <w:marBottom w:val="0"/>
      <w:divBdr>
        <w:top w:val="none" w:sz="0" w:space="0" w:color="auto"/>
        <w:left w:val="none" w:sz="0" w:space="0" w:color="auto"/>
        <w:bottom w:val="none" w:sz="0" w:space="0" w:color="auto"/>
        <w:right w:val="none" w:sz="0" w:space="0" w:color="auto"/>
      </w:divBdr>
    </w:div>
    <w:div w:id="1992634921">
      <w:bodyDiv w:val="1"/>
      <w:marLeft w:val="0"/>
      <w:marRight w:val="0"/>
      <w:marTop w:val="0"/>
      <w:marBottom w:val="0"/>
      <w:divBdr>
        <w:top w:val="none" w:sz="0" w:space="0" w:color="auto"/>
        <w:left w:val="none" w:sz="0" w:space="0" w:color="auto"/>
        <w:bottom w:val="none" w:sz="0" w:space="0" w:color="auto"/>
        <w:right w:val="none" w:sz="0" w:space="0" w:color="auto"/>
      </w:divBdr>
    </w:div>
    <w:div w:id="2000113278">
      <w:bodyDiv w:val="1"/>
      <w:marLeft w:val="0"/>
      <w:marRight w:val="0"/>
      <w:marTop w:val="0"/>
      <w:marBottom w:val="0"/>
      <w:divBdr>
        <w:top w:val="none" w:sz="0" w:space="0" w:color="auto"/>
        <w:left w:val="none" w:sz="0" w:space="0" w:color="auto"/>
        <w:bottom w:val="none" w:sz="0" w:space="0" w:color="auto"/>
        <w:right w:val="none" w:sz="0" w:space="0" w:color="auto"/>
      </w:divBdr>
    </w:div>
    <w:div w:id="2006856515">
      <w:bodyDiv w:val="1"/>
      <w:marLeft w:val="0"/>
      <w:marRight w:val="0"/>
      <w:marTop w:val="0"/>
      <w:marBottom w:val="0"/>
      <w:divBdr>
        <w:top w:val="none" w:sz="0" w:space="0" w:color="auto"/>
        <w:left w:val="none" w:sz="0" w:space="0" w:color="auto"/>
        <w:bottom w:val="none" w:sz="0" w:space="0" w:color="auto"/>
        <w:right w:val="none" w:sz="0" w:space="0" w:color="auto"/>
      </w:divBdr>
    </w:div>
    <w:div w:id="2007592563">
      <w:bodyDiv w:val="1"/>
      <w:marLeft w:val="0"/>
      <w:marRight w:val="0"/>
      <w:marTop w:val="0"/>
      <w:marBottom w:val="0"/>
      <w:divBdr>
        <w:top w:val="none" w:sz="0" w:space="0" w:color="auto"/>
        <w:left w:val="none" w:sz="0" w:space="0" w:color="auto"/>
        <w:bottom w:val="none" w:sz="0" w:space="0" w:color="auto"/>
        <w:right w:val="none" w:sz="0" w:space="0" w:color="auto"/>
      </w:divBdr>
    </w:div>
    <w:div w:id="2014527758">
      <w:bodyDiv w:val="1"/>
      <w:marLeft w:val="0"/>
      <w:marRight w:val="0"/>
      <w:marTop w:val="0"/>
      <w:marBottom w:val="0"/>
      <w:divBdr>
        <w:top w:val="none" w:sz="0" w:space="0" w:color="auto"/>
        <w:left w:val="none" w:sz="0" w:space="0" w:color="auto"/>
        <w:bottom w:val="none" w:sz="0" w:space="0" w:color="auto"/>
        <w:right w:val="none" w:sz="0" w:space="0" w:color="auto"/>
      </w:divBdr>
    </w:div>
    <w:div w:id="2015300142">
      <w:bodyDiv w:val="1"/>
      <w:marLeft w:val="0"/>
      <w:marRight w:val="0"/>
      <w:marTop w:val="0"/>
      <w:marBottom w:val="0"/>
      <w:divBdr>
        <w:top w:val="none" w:sz="0" w:space="0" w:color="auto"/>
        <w:left w:val="none" w:sz="0" w:space="0" w:color="auto"/>
        <w:bottom w:val="none" w:sz="0" w:space="0" w:color="auto"/>
        <w:right w:val="none" w:sz="0" w:space="0" w:color="auto"/>
      </w:divBdr>
    </w:div>
    <w:div w:id="2018845984">
      <w:bodyDiv w:val="1"/>
      <w:marLeft w:val="0"/>
      <w:marRight w:val="0"/>
      <w:marTop w:val="0"/>
      <w:marBottom w:val="0"/>
      <w:divBdr>
        <w:top w:val="none" w:sz="0" w:space="0" w:color="auto"/>
        <w:left w:val="none" w:sz="0" w:space="0" w:color="auto"/>
        <w:bottom w:val="none" w:sz="0" w:space="0" w:color="auto"/>
        <w:right w:val="none" w:sz="0" w:space="0" w:color="auto"/>
      </w:divBdr>
    </w:div>
    <w:div w:id="2026009069">
      <w:bodyDiv w:val="1"/>
      <w:marLeft w:val="0"/>
      <w:marRight w:val="0"/>
      <w:marTop w:val="0"/>
      <w:marBottom w:val="0"/>
      <w:divBdr>
        <w:top w:val="none" w:sz="0" w:space="0" w:color="auto"/>
        <w:left w:val="none" w:sz="0" w:space="0" w:color="auto"/>
        <w:bottom w:val="none" w:sz="0" w:space="0" w:color="auto"/>
        <w:right w:val="none" w:sz="0" w:space="0" w:color="auto"/>
      </w:divBdr>
    </w:div>
    <w:div w:id="2026058845">
      <w:bodyDiv w:val="1"/>
      <w:marLeft w:val="0"/>
      <w:marRight w:val="0"/>
      <w:marTop w:val="0"/>
      <w:marBottom w:val="0"/>
      <w:divBdr>
        <w:top w:val="none" w:sz="0" w:space="0" w:color="auto"/>
        <w:left w:val="none" w:sz="0" w:space="0" w:color="auto"/>
        <w:bottom w:val="none" w:sz="0" w:space="0" w:color="auto"/>
        <w:right w:val="none" w:sz="0" w:space="0" w:color="auto"/>
      </w:divBdr>
    </w:div>
    <w:div w:id="2037385554">
      <w:bodyDiv w:val="1"/>
      <w:marLeft w:val="0"/>
      <w:marRight w:val="0"/>
      <w:marTop w:val="0"/>
      <w:marBottom w:val="0"/>
      <w:divBdr>
        <w:top w:val="none" w:sz="0" w:space="0" w:color="auto"/>
        <w:left w:val="none" w:sz="0" w:space="0" w:color="auto"/>
        <w:bottom w:val="none" w:sz="0" w:space="0" w:color="auto"/>
        <w:right w:val="none" w:sz="0" w:space="0" w:color="auto"/>
      </w:divBdr>
    </w:div>
    <w:div w:id="2045666556">
      <w:bodyDiv w:val="1"/>
      <w:marLeft w:val="0"/>
      <w:marRight w:val="0"/>
      <w:marTop w:val="0"/>
      <w:marBottom w:val="0"/>
      <w:divBdr>
        <w:top w:val="none" w:sz="0" w:space="0" w:color="auto"/>
        <w:left w:val="none" w:sz="0" w:space="0" w:color="auto"/>
        <w:bottom w:val="none" w:sz="0" w:space="0" w:color="auto"/>
        <w:right w:val="none" w:sz="0" w:space="0" w:color="auto"/>
      </w:divBdr>
    </w:div>
    <w:div w:id="2053768705">
      <w:bodyDiv w:val="1"/>
      <w:marLeft w:val="0"/>
      <w:marRight w:val="0"/>
      <w:marTop w:val="0"/>
      <w:marBottom w:val="0"/>
      <w:divBdr>
        <w:top w:val="none" w:sz="0" w:space="0" w:color="auto"/>
        <w:left w:val="none" w:sz="0" w:space="0" w:color="auto"/>
        <w:bottom w:val="none" w:sz="0" w:space="0" w:color="auto"/>
        <w:right w:val="none" w:sz="0" w:space="0" w:color="auto"/>
      </w:divBdr>
    </w:div>
    <w:div w:id="2056655575">
      <w:bodyDiv w:val="1"/>
      <w:marLeft w:val="0"/>
      <w:marRight w:val="0"/>
      <w:marTop w:val="0"/>
      <w:marBottom w:val="0"/>
      <w:divBdr>
        <w:top w:val="none" w:sz="0" w:space="0" w:color="auto"/>
        <w:left w:val="none" w:sz="0" w:space="0" w:color="auto"/>
        <w:bottom w:val="none" w:sz="0" w:space="0" w:color="auto"/>
        <w:right w:val="none" w:sz="0" w:space="0" w:color="auto"/>
      </w:divBdr>
    </w:div>
    <w:div w:id="2062172057">
      <w:bodyDiv w:val="1"/>
      <w:marLeft w:val="0"/>
      <w:marRight w:val="0"/>
      <w:marTop w:val="0"/>
      <w:marBottom w:val="0"/>
      <w:divBdr>
        <w:top w:val="none" w:sz="0" w:space="0" w:color="auto"/>
        <w:left w:val="none" w:sz="0" w:space="0" w:color="auto"/>
        <w:bottom w:val="none" w:sz="0" w:space="0" w:color="auto"/>
        <w:right w:val="none" w:sz="0" w:space="0" w:color="auto"/>
      </w:divBdr>
    </w:div>
    <w:div w:id="2064712811">
      <w:bodyDiv w:val="1"/>
      <w:marLeft w:val="0"/>
      <w:marRight w:val="0"/>
      <w:marTop w:val="0"/>
      <w:marBottom w:val="0"/>
      <w:divBdr>
        <w:top w:val="none" w:sz="0" w:space="0" w:color="auto"/>
        <w:left w:val="none" w:sz="0" w:space="0" w:color="auto"/>
        <w:bottom w:val="none" w:sz="0" w:space="0" w:color="auto"/>
        <w:right w:val="none" w:sz="0" w:space="0" w:color="auto"/>
      </w:divBdr>
    </w:div>
    <w:div w:id="2066685805">
      <w:bodyDiv w:val="1"/>
      <w:marLeft w:val="0"/>
      <w:marRight w:val="0"/>
      <w:marTop w:val="0"/>
      <w:marBottom w:val="0"/>
      <w:divBdr>
        <w:top w:val="none" w:sz="0" w:space="0" w:color="auto"/>
        <w:left w:val="none" w:sz="0" w:space="0" w:color="auto"/>
        <w:bottom w:val="none" w:sz="0" w:space="0" w:color="auto"/>
        <w:right w:val="none" w:sz="0" w:space="0" w:color="auto"/>
      </w:divBdr>
    </w:div>
    <w:div w:id="2085835057">
      <w:bodyDiv w:val="1"/>
      <w:marLeft w:val="0"/>
      <w:marRight w:val="0"/>
      <w:marTop w:val="0"/>
      <w:marBottom w:val="0"/>
      <w:divBdr>
        <w:top w:val="none" w:sz="0" w:space="0" w:color="auto"/>
        <w:left w:val="none" w:sz="0" w:space="0" w:color="auto"/>
        <w:bottom w:val="none" w:sz="0" w:space="0" w:color="auto"/>
        <w:right w:val="none" w:sz="0" w:space="0" w:color="auto"/>
      </w:divBdr>
    </w:div>
    <w:div w:id="2086339112">
      <w:bodyDiv w:val="1"/>
      <w:marLeft w:val="0"/>
      <w:marRight w:val="0"/>
      <w:marTop w:val="0"/>
      <w:marBottom w:val="0"/>
      <w:divBdr>
        <w:top w:val="none" w:sz="0" w:space="0" w:color="auto"/>
        <w:left w:val="none" w:sz="0" w:space="0" w:color="auto"/>
        <w:bottom w:val="none" w:sz="0" w:space="0" w:color="auto"/>
        <w:right w:val="none" w:sz="0" w:space="0" w:color="auto"/>
      </w:divBdr>
    </w:div>
    <w:div w:id="2088183244">
      <w:bodyDiv w:val="1"/>
      <w:marLeft w:val="0"/>
      <w:marRight w:val="0"/>
      <w:marTop w:val="0"/>
      <w:marBottom w:val="0"/>
      <w:divBdr>
        <w:top w:val="none" w:sz="0" w:space="0" w:color="auto"/>
        <w:left w:val="none" w:sz="0" w:space="0" w:color="auto"/>
        <w:bottom w:val="none" w:sz="0" w:space="0" w:color="auto"/>
        <w:right w:val="none" w:sz="0" w:space="0" w:color="auto"/>
      </w:divBdr>
    </w:div>
    <w:div w:id="2094542477">
      <w:bodyDiv w:val="1"/>
      <w:marLeft w:val="0"/>
      <w:marRight w:val="0"/>
      <w:marTop w:val="0"/>
      <w:marBottom w:val="0"/>
      <w:divBdr>
        <w:top w:val="none" w:sz="0" w:space="0" w:color="auto"/>
        <w:left w:val="none" w:sz="0" w:space="0" w:color="auto"/>
        <w:bottom w:val="none" w:sz="0" w:space="0" w:color="auto"/>
        <w:right w:val="none" w:sz="0" w:space="0" w:color="auto"/>
      </w:divBdr>
    </w:div>
    <w:div w:id="2097288135">
      <w:bodyDiv w:val="1"/>
      <w:marLeft w:val="0"/>
      <w:marRight w:val="0"/>
      <w:marTop w:val="0"/>
      <w:marBottom w:val="0"/>
      <w:divBdr>
        <w:top w:val="none" w:sz="0" w:space="0" w:color="auto"/>
        <w:left w:val="none" w:sz="0" w:space="0" w:color="auto"/>
        <w:bottom w:val="none" w:sz="0" w:space="0" w:color="auto"/>
        <w:right w:val="none" w:sz="0" w:space="0" w:color="auto"/>
      </w:divBdr>
    </w:div>
    <w:div w:id="2099207156">
      <w:bodyDiv w:val="1"/>
      <w:marLeft w:val="0"/>
      <w:marRight w:val="0"/>
      <w:marTop w:val="0"/>
      <w:marBottom w:val="0"/>
      <w:divBdr>
        <w:top w:val="none" w:sz="0" w:space="0" w:color="auto"/>
        <w:left w:val="none" w:sz="0" w:space="0" w:color="auto"/>
        <w:bottom w:val="none" w:sz="0" w:space="0" w:color="auto"/>
        <w:right w:val="none" w:sz="0" w:space="0" w:color="auto"/>
      </w:divBdr>
    </w:div>
    <w:div w:id="2119710945">
      <w:bodyDiv w:val="1"/>
      <w:marLeft w:val="0"/>
      <w:marRight w:val="0"/>
      <w:marTop w:val="0"/>
      <w:marBottom w:val="0"/>
      <w:divBdr>
        <w:top w:val="none" w:sz="0" w:space="0" w:color="auto"/>
        <w:left w:val="none" w:sz="0" w:space="0" w:color="auto"/>
        <w:bottom w:val="none" w:sz="0" w:space="0" w:color="auto"/>
        <w:right w:val="none" w:sz="0" w:space="0" w:color="auto"/>
      </w:divBdr>
    </w:div>
    <w:div w:id="2121222274">
      <w:bodyDiv w:val="1"/>
      <w:marLeft w:val="0"/>
      <w:marRight w:val="0"/>
      <w:marTop w:val="0"/>
      <w:marBottom w:val="0"/>
      <w:divBdr>
        <w:top w:val="none" w:sz="0" w:space="0" w:color="auto"/>
        <w:left w:val="none" w:sz="0" w:space="0" w:color="auto"/>
        <w:bottom w:val="none" w:sz="0" w:space="0" w:color="auto"/>
        <w:right w:val="none" w:sz="0" w:space="0" w:color="auto"/>
      </w:divBdr>
      <w:divsChild>
        <w:div w:id="985818679">
          <w:marLeft w:val="0"/>
          <w:marRight w:val="0"/>
          <w:marTop w:val="0"/>
          <w:marBottom w:val="0"/>
          <w:divBdr>
            <w:top w:val="none" w:sz="0" w:space="0" w:color="auto"/>
            <w:left w:val="none" w:sz="0" w:space="0" w:color="auto"/>
            <w:bottom w:val="none" w:sz="0" w:space="0" w:color="auto"/>
            <w:right w:val="none" w:sz="0" w:space="0" w:color="auto"/>
          </w:divBdr>
          <w:divsChild>
            <w:div w:id="1989704524">
              <w:marLeft w:val="0"/>
              <w:marRight w:val="0"/>
              <w:marTop w:val="0"/>
              <w:marBottom w:val="0"/>
              <w:divBdr>
                <w:top w:val="none" w:sz="0" w:space="0" w:color="auto"/>
                <w:left w:val="none" w:sz="0" w:space="0" w:color="auto"/>
                <w:bottom w:val="none" w:sz="0" w:space="0" w:color="auto"/>
                <w:right w:val="none" w:sz="0" w:space="0" w:color="auto"/>
              </w:divBdr>
              <w:divsChild>
                <w:div w:id="1758093025">
                  <w:marLeft w:val="0"/>
                  <w:marRight w:val="0"/>
                  <w:marTop w:val="0"/>
                  <w:marBottom w:val="0"/>
                  <w:divBdr>
                    <w:top w:val="none" w:sz="0" w:space="0" w:color="auto"/>
                    <w:left w:val="none" w:sz="0" w:space="0" w:color="auto"/>
                    <w:bottom w:val="none" w:sz="0" w:space="0" w:color="auto"/>
                    <w:right w:val="none" w:sz="0" w:space="0" w:color="auto"/>
                  </w:divBdr>
                  <w:divsChild>
                    <w:div w:id="472451649">
                      <w:marLeft w:val="0"/>
                      <w:marRight w:val="0"/>
                      <w:marTop w:val="0"/>
                      <w:marBottom w:val="0"/>
                      <w:divBdr>
                        <w:top w:val="none" w:sz="0" w:space="0" w:color="auto"/>
                        <w:left w:val="none" w:sz="0" w:space="0" w:color="auto"/>
                        <w:bottom w:val="none" w:sz="0" w:space="0" w:color="auto"/>
                        <w:right w:val="none" w:sz="0" w:space="0" w:color="auto"/>
                      </w:divBdr>
                      <w:divsChild>
                        <w:div w:id="20347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433572">
          <w:marLeft w:val="0"/>
          <w:marRight w:val="0"/>
          <w:marTop w:val="0"/>
          <w:marBottom w:val="0"/>
          <w:divBdr>
            <w:top w:val="none" w:sz="0" w:space="0" w:color="auto"/>
            <w:left w:val="none" w:sz="0" w:space="0" w:color="auto"/>
            <w:bottom w:val="none" w:sz="0" w:space="0" w:color="auto"/>
            <w:right w:val="none" w:sz="0" w:space="0" w:color="auto"/>
          </w:divBdr>
          <w:divsChild>
            <w:div w:id="377050367">
              <w:marLeft w:val="0"/>
              <w:marRight w:val="0"/>
              <w:marTop w:val="0"/>
              <w:marBottom w:val="0"/>
              <w:divBdr>
                <w:top w:val="none" w:sz="0" w:space="0" w:color="auto"/>
                <w:left w:val="none" w:sz="0" w:space="0" w:color="auto"/>
                <w:bottom w:val="none" w:sz="0" w:space="0" w:color="auto"/>
                <w:right w:val="none" w:sz="0" w:space="0" w:color="auto"/>
              </w:divBdr>
              <w:divsChild>
                <w:div w:id="1570194744">
                  <w:marLeft w:val="0"/>
                  <w:marRight w:val="0"/>
                  <w:marTop w:val="0"/>
                  <w:marBottom w:val="0"/>
                  <w:divBdr>
                    <w:top w:val="none" w:sz="0" w:space="0" w:color="auto"/>
                    <w:left w:val="none" w:sz="0" w:space="0" w:color="auto"/>
                    <w:bottom w:val="none" w:sz="0" w:space="0" w:color="auto"/>
                    <w:right w:val="none" w:sz="0" w:space="0" w:color="auto"/>
                  </w:divBdr>
                  <w:divsChild>
                    <w:div w:id="1821730035">
                      <w:marLeft w:val="0"/>
                      <w:marRight w:val="0"/>
                      <w:marTop w:val="0"/>
                      <w:marBottom w:val="0"/>
                      <w:divBdr>
                        <w:top w:val="none" w:sz="0" w:space="0" w:color="auto"/>
                        <w:left w:val="none" w:sz="0" w:space="0" w:color="auto"/>
                        <w:bottom w:val="none" w:sz="0" w:space="0" w:color="auto"/>
                        <w:right w:val="none" w:sz="0" w:space="0" w:color="auto"/>
                      </w:divBdr>
                      <w:divsChild>
                        <w:div w:id="1851749193">
                          <w:marLeft w:val="0"/>
                          <w:marRight w:val="0"/>
                          <w:marTop w:val="0"/>
                          <w:marBottom w:val="0"/>
                          <w:divBdr>
                            <w:top w:val="none" w:sz="0" w:space="0" w:color="auto"/>
                            <w:left w:val="none" w:sz="0" w:space="0" w:color="auto"/>
                            <w:bottom w:val="none" w:sz="0" w:space="0" w:color="auto"/>
                            <w:right w:val="none" w:sz="0" w:space="0" w:color="auto"/>
                          </w:divBdr>
                          <w:divsChild>
                            <w:div w:id="1611162724">
                              <w:marLeft w:val="0"/>
                              <w:marRight w:val="300"/>
                              <w:marTop w:val="180"/>
                              <w:marBottom w:val="0"/>
                              <w:divBdr>
                                <w:top w:val="none" w:sz="0" w:space="0" w:color="auto"/>
                                <w:left w:val="none" w:sz="0" w:space="0" w:color="auto"/>
                                <w:bottom w:val="none" w:sz="0" w:space="0" w:color="auto"/>
                                <w:right w:val="none" w:sz="0" w:space="0" w:color="auto"/>
                              </w:divBdr>
                              <w:divsChild>
                                <w:div w:id="5726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605840">
      <w:bodyDiv w:val="1"/>
      <w:marLeft w:val="0"/>
      <w:marRight w:val="0"/>
      <w:marTop w:val="0"/>
      <w:marBottom w:val="0"/>
      <w:divBdr>
        <w:top w:val="none" w:sz="0" w:space="0" w:color="auto"/>
        <w:left w:val="none" w:sz="0" w:space="0" w:color="auto"/>
        <w:bottom w:val="none" w:sz="0" w:space="0" w:color="auto"/>
        <w:right w:val="none" w:sz="0" w:space="0" w:color="auto"/>
      </w:divBdr>
    </w:div>
    <w:div w:id="2124953518">
      <w:bodyDiv w:val="1"/>
      <w:marLeft w:val="0"/>
      <w:marRight w:val="0"/>
      <w:marTop w:val="0"/>
      <w:marBottom w:val="0"/>
      <w:divBdr>
        <w:top w:val="none" w:sz="0" w:space="0" w:color="auto"/>
        <w:left w:val="none" w:sz="0" w:space="0" w:color="auto"/>
        <w:bottom w:val="none" w:sz="0" w:space="0" w:color="auto"/>
        <w:right w:val="none" w:sz="0" w:space="0" w:color="auto"/>
      </w:divBdr>
    </w:div>
    <w:div w:id="2140758339">
      <w:bodyDiv w:val="1"/>
      <w:marLeft w:val="0"/>
      <w:marRight w:val="0"/>
      <w:marTop w:val="0"/>
      <w:marBottom w:val="0"/>
      <w:divBdr>
        <w:top w:val="none" w:sz="0" w:space="0" w:color="auto"/>
        <w:left w:val="none" w:sz="0" w:space="0" w:color="auto"/>
        <w:bottom w:val="none" w:sz="0" w:space="0" w:color="auto"/>
        <w:right w:val="none" w:sz="0" w:space="0" w:color="auto"/>
      </w:divBdr>
    </w:div>
    <w:div w:id="214094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V:\Divizioni%20i%20Makroekonomise\18.%20ERP\2021%20ERP\ALB%20-%2030.11.2020Draft%20ERP_2021-2023.docx" TargetMode="External"/><Relationship Id="rId18" Type="http://schemas.openxmlformats.org/officeDocument/2006/relationships/header" Target="header4.xm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V:\Divizioni%20i%20Makroekonomise\18.%20ERP\2021%20ERP\ALB%20-%2030.11.2020Draft%20ERP_2021-2023.docx" TargetMode="External"/><Relationship Id="rId25" Type="http://schemas.openxmlformats.org/officeDocument/2006/relationships/chart" Target="charts/chart5.xml"/><Relationship Id="rId33" Type="http://schemas.openxmlformats.org/officeDocument/2006/relationships/image" Target="media/image3.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V:\Divizioni%20i%20Makroekonomise\18.%20ERP\2021%20ERP\ALB%20-%2030.11.2020Draft%20ERP_2021-2023.docx" TargetMode="External"/><Relationship Id="rId20" Type="http://schemas.openxmlformats.org/officeDocument/2006/relationships/header" Target="header6.xm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4.xml"/><Relationship Id="rId32" Type="http://schemas.openxmlformats.org/officeDocument/2006/relationships/image" Target="media/image2.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V:\Divizioni%20i%20Makroekonomise\18.%20ERP\2021%20ERP\ALB%20-%2030.11.2020Draft%20ERP_2021-2023.docx"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V:\Divizioni%20i%20Makroekonomise\18.%20ERP\2021%20ERP\ALB%20-%2030.11.2020Draft%20ERP_2021-2023.docx"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header" Target="header8.xml"/></Relationships>
</file>

<file path=word/_rels/footnotes.xml.rels><?xml version="1.0" encoding="UTF-8" standalone="yes"?>
<Relationships xmlns="http://schemas.openxmlformats.org/package/2006/relationships"><Relationship Id="rId3" Type="http://schemas.openxmlformats.org/officeDocument/2006/relationships/hyperlink" Target="https://www.doingbusiness.org/content/dam/doingBusiness/country/k/kosovo/KSV.pdf" TargetMode="External"/><Relationship Id="rId2" Type="http://schemas.openxmlformats.org/officeDocument/2006/relationships/hyperlink" Target="https://openknowledge.worldbank.org/bitstream/handle/10986/34644/153774.pdf" TargetMode="External"/><Relationship Id="rId1" Type="http://schemas.openxmlformats.org/officeDocument/2006/relationships/hyperlink" Target="https://kryeministri-ks.net/wp-content/uploads/2020/06/Vendimet-e-Mbledhjes-s%C3%AB-2-t%C3%AB-t%C3%AB-Qeveris%C3%AB-s%C3%AB-Republik%C3%ABs-s%C3%AB-Kosov%C3%ABs-2020.pdf" TargetMode="External"/><Relationship Id="rId4" Type="http://schemas.openxmlformats.org/officeDocument/2006/relationships/hyperlink" Target="https://openknowledge.worldbank.org/bitstream/handle/10986/34644/153774.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lkete.bucaj\Desktop\ERP%202021-2023\GRAFIKET-ERP\Grafiku%201-Ekonomia%20e%20Jashtm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alkete.bucaj\Desktop\ERP%202021-2023\GRAFIKET-ERP\Grafiku%2010-11Hyrat%20Shpenzimet.xlsx" TargetMode="External"/><Relationship Id="rId2" Type="http://schemas.microsoft.com/office/2011/relationships/chartColorStyle" Target="colors4.xml"/><Relationship Id="rId1" Type="http://schemas.microsoft.com/office/2011/relationships/chartStyle" Target="style4.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alkete.bucaj\Desktop\ERP%202021-2023\GRAFIKET-ERP\Grafiku%2010-11Hyrat%20Shpenzimet.xlsx" TargetMode="External"/><Relationship Id="rId2" Type="http://schemas.microsoft.com/office/2011/relationships/chartColorStyle" Target="colors5.xml"/><Relationship Id="rId1" Type="http://schemas.microsoft.com/office/2011/relationships/chartStyle" Target="style5.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alkete.bucaj\Desktop\ERP%202021-2023\GRAFIKET-ERP\Grafiku%202-INFLACION_DATABAZ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lkete.bucaj\Desktop\ERP%202021-2023\GRAFIKET-ERP\Grafiku%203-TREGU%20I%20PUNES_fi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lkete.bucaj\Desktop\ERP%202021-2023\GRAFIKET-ERP\Grafiku%204-GDP_GRAPH_Projection.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alkete.bucaj\Desktop\ERP%202021-2023\GRAFIKET-ERP\Grafiku%205-%20HHI.xlsx" TargetMode="External"/><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lkete.bucaj\Desktop\ERP%202021-2023\GRAFIKET-ERP\Grafiku%206-Trade%20Openness%20Index.xlsx" TargetMode="External"/><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alkete.bucaj\Desktop\ERP%202021-2023\GRAFIKET-ERP\Grafiku%207-%20Financial%20account.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lkete.bucaj\Desktop\ERP%202021-2023\GRAFIKET-ERP\Grafiku%208-ERP%20International%20Investments%20Position.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lkete.bucaj\AppData\Local\Microsoft\Windows\INetCache\Content.Outlook\45K3X879\Grafiku.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GB" sz="1000"/>
              <a:t>v-m-v, %</a:t>
            </a:r>
          </a:p>
        </c:rich>
      </c:tx>
      <c:layout>
        <c:manualLayout>
          <c:xMode val="edge"/>
          <c:yMode val="edge"/>
          <c:x val="1.8352059925093634E-2"/>
          <c:y val="7.0069152314864765E-3"/>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961478597946792E-2"/>
          <c:y val="0.11692242114236999"/>
          <c:w val="0.91749715742461035"/>
          <c:h val="0.7429865544300569"/>
        </c:manualLayout>
      </c:layout>
      <c:barChart>
        <c:barDir val="col"/>
        <c:grouping val="clustered"/>
        <c:varyColors val="0"/>
        <c:ser>
          <c:idx val="0"/>
          <c:order val="0"/>
          <c:tx>
            <c:strRef>
              <c:f>'[Grafiku 1-Ekonomia e Jashtme.xlsx]english'!$A$2</c:f>
              <c:strCache>
                <c:ptCount val="1"/>
                <c:pt idx="0">
                  <c:v>Ekonomia Botërore</c:v>
                </c:pt>
              </c:strCache>
            </c:strRef>
          </c:tx>
          <c:spPr>
            <a:solidFill>
              <a:schemeClr val="accent1"/>
            </a:solidFill>
            <a:ln>
              <a:noFill/>
            </a:ln>
            <a:effectLst/>
          </c:spPr>
          <c:invertIfNegative val="0"/>
          <c:cat>
            <c:numRef>
              <c:f>'[Grafiku 1-Ekonomia e Jashtme.xlsx]english'!$C$1:$H$1</c:f>
              <c:numCache>
                <c:formatCode>General</c:formatCode>
                <c:ptCount val="6"/>
                <c:pt idx="0">
                  <c:v>2017</c:v>
                </c:pt>
                <c:pt idx="1">
                  <c:v>2018</c:v>
                </c:pt>
                <c:pt idx="2">
                  <c:v>2019</c:v>
                </c:pt>
                <c:pt idx="3">
                  <c:v>2020</c:v>
                </c:pt>
                <c:pt idx="4">
                  <c:v>2021</c:v>
                </c:pt>
                <c:pt idx="5">
                  <c:v>2022</c:v>
                </c:pt>
              </c:numCache>
            </c:numRef>
          </c:cat>
          <c:val>
            <c:numRef>
              <c:f>'[Grafiku 1-Ekonomia e Jashtme.xlsx]english'!$C$2:$H$2</c:f>
              <c:numCache>
                <c:formatCode>_-* #,##0.0_-;\-* #,##0.0_-;_-* "-"??_-;_-@_-</c:formatCode>
                <c:ptCount val="6"/>
                <c:pt idx="0">
                  <c:v>3.9</c:v>
                </c:pt>
                <c:pt idx="1">
                  <c:v>3.6</c:v>
                </c:pt>
                <c:pt idx="2">
                  <c:v>2.9</c:v>
                </c:pt>
                <c:pt idx="3" formatCode="General">
                  <c:v>-4.3</c:v>
                </c:pt>
                <c:pt idx="4" formatCode="General">
                  <c:v>4.5999999999999996</c:v>
                </c:pt>
                <c:pt idx="5" formatCode="General">
                  <c:v>3.6</c:v>
                </c:pt>
              </c:numCache>
            </c:numRef>
          </c:val>
          <c:extLst>
            <c:ext xmlns:c16="http://schemas.microsoft.com/office/drawing/2014/chart" uri="{C3380CC4-5D6E-409C-BE32-E72D297353CC}">
              <c16:uniqueId val="{00000000-D85C-471B-899F-E406B17CAF23}"/>
            </c:ext>
          </c:extLst>
        </c:ser>
        <c:ser>
          <c:idx val="2"/>
          <c:order val="2"/>
          <c:tx>
            <c:strRef>
              <c:f>'[Grafiku 1-Ekonomia e Jashtme.xlsx]english'!$A$4</c:f>
              <c:strCache>
                <c:ptCount val="1"/>
                <c:pt idx="0">
                  <c:v>Bashkimi Evropian</c:v>
                </c:pt>
              </c:strCache>
            </c:strRef>
          </c:tx>
          <c:spPr>
            <a:solidFill>
              <a:schemeClr val="accent5"/>
            </a:solidFill>
            <a:ln>
              <a:noFill/>
            </a:ln>
            <a:effectLst/>
          </c:spPr>
          <c:invertIfNegative val="0"/>
          <c:cat>
            <c:numRef>
              <c:f>'[Grafiku 1-Ekonomia e Jashtme.xlsx]english'!$C$1:$H$1</c:f>
              <c:numCache>
                <c:formatCode>General</c:formatCode>
                <c:ptCount val="6"/>
                <c:pt idx="0">
                  <c:v>2017</c:v>
                </c:pt>
                <c:pt idx="1">
                  <c:v>2018</c:v>
                </c:pt>
                <c:pt idx="2">
                  <c:v>2019</c:v>
                </c:pt>
                <c:pt idx="3">
                  <c:v>2020</c:v>
                </c:pt>
                <c:pt idx="4">
                  <c:v>2021</c:v>
                </c:pt>
                <c:pt idx="5">
                  <c:v>2022</c:v>
                </c:pt>
              </c:numCache>
            </c:numRef>
          </c:cat>
          <c:val>
            <c:numRef>
              <c:f>'[Grafiku 1-Ekonomia e Jashtme.xlsx]english'!$C$4:$H$4</c:f>
              <c:numCache>
                <c:formatCode>_-* #,##0.0_-;\-* #,##0.0_-;_-* "-"??_-;_-@_-</c:formatCode>
                <c:ptCount val="6"/>
                <c:pt idx="0">
                  <c:v>2.9</c:v>
                </c:pt>
                <c:pt idx="1">
                  <c:v>2.2999999999999998</c:v>
                </c:pt>
                <c:pt idx="2">
                  <c:v>1.7</c:v>
                </c:pt>
                <c:pt idx="3" formatCode="General">
                  <c:v>-7.4</c:v>
                </c:pt>
                <c:pt idx="4" formatCode="General">
                  <c:v>4.0999999999999996</c:v>
                </c:pt>
                <c:pt idx="5" formatCode="0.0">
                  <c:v>3</c:v>
                </c:pt>
              </c:numCache>
            </c:numRef>
          </c:val>
          <c:extLst>
            <c:ext xmlns:c16="http://schemas.microsoft.com/office/drawing/2014/chart" uri="{C3380CC4-5D6E-409C-BE32-E72D297353CC}">
              <c16:uniqueId val="{00000001-D85C-471B-899F-E406B17CAF23}"/>
            </c:ext>
          </c:extLst>
        </c:ser>
        <c:ser>
          <c:idx val="3"/>
          <c:order val="3"/>
          <c:tx>
            <c:strRef>
              <c:f>'[Grafiku 1-Ekonomia e Jashtme.xlsx]english'!$A$5</c:f>
              <c:strCache>
                <c:ptCount val="1"/>
                <c:pt idx="0">
                  <c:v>Euro Zona</c:v>
                </c:pt>
              </c:strCache>
            </c:strRef>
          </c:tx>
          <c:spPr>
            <a:solidFill>
              <a:schemeClr val="accent1">
                <a:lumMod val="60000"/>
              </a:schemeClr>
            </a:solidFill>
            <a:ln>
              <a:noFill/>
            </a:ln>
            <a:effectLst/>
          </c:spPr>
          <c:invertIfNegative val="0"/>
          <c:cat>
            <c:numRef>
              <c:f>'[Grafiku 1-Ekonomia e Jashtme.xlsx]english'!$C$1:$H$1</c:f>
              <c:numCache>
                <c:formatCode>General</c:formatCode>
                <c:ptCount val="6"/>
                <c:pt idx="0">
                  <c:v>2017</c:v>
                </c:pt>
                <c:pt idx="1">
                  <c:v>2018</c:v>
                </c:pt>
                <c:pt idx="2">
                  <c:v>2019</c:v>
                </c:pt>
                <c:pt idx="3">
                  <c:v>2020</c:v>
                </c:pt>
                <c:pt idx="4">
                  <c:v>2021</c:v>
                </c:pt>
                <c:pt idx="5">
                  <c:v>2022</c:v>
                </c:pt>
              </c:numCache>
            </c:numRef>
          </c:cat>
          <c:val>
            <c:numRef>
              <c:f>'[Grafiku 1-Ekonomia e Jashtme.xlsx]english'!$C$5:$H$5</c:f>
              <c:numCache>
                <c:formatCode>_-* #,##0.0_-;\-* #,##0.0_-;_-* "-"??_-;_-@_-</c:formatCode>
                <c:ptCount val="6"/>
                <c:pt idx="0">
                  <c:v>2.5</c:v>
                </c:pt>
                <c:pt idx="1">
                  <c:v>1.9</c:v>
                </c:pt>
                <c:pt idx="2">
                  <c:v>1.2</c:v>
                </c:pt>
                <c:pt idx="3" formatCode="General">
                  <c:v>-7.8</c:v>
                </c:pt>
                <c:pt idx="4" formatCode="General">
                  <c:v>4.2</c:v>
                </c:pt>
                <c:pt idx="5" formatCode="0.0">
                  <c:v>3</c:v>
                </c:pt>
              </c:numCache>
            </c:numRef>
          </c:val>
          <c:extLst>
            <c:ext xmlns:c16="http://schemas.microsoft.com/office/drawing/2014/chart" uri="{C3380CC4-5D6E-409C-BE32-E72D297353CC}">
              <c16:uniqueId val="{00000002-D85C-471B-899F-E406B17CAF23}"/>
            </c:ext>
          </c:extLst>
        </c:ser>
        <c:dLbls>
          <c:showLegendKey val="0"/>
          <c:showVal val="0"/>
          <c:showCatName val="0"/>
          <c:showSerName val="0"/>
          <c:showPercent val="0"/>
          <c:showBubbleSize val="0"/>
        </c:dLbls>
        <c:gapWidth val="219"/>
        <c:overlap val="-27"/>
        <c:axId val="112737312"/>
        <c:axId val="110642904"/>
        <c:extLst>
          <c:ext xmlns:c15="http://schemas.microsoft.com/office/drawing/2012/chart" uri="{02D57815-91ED-43cb-92C2-25804820EDAC}">
            <c15:filteredBarSeries>
              <c15:ser>
                <c:idx val="1"/>
                <c:order val="1"/>
                <c:tx>
                  <c:strRef>
                    <c:extLst>
                      <c:ext uri="{02D57815-91ED-43cb-92C2-25804820EDAC}">
                        <c15:formulaRef>
                          <c15:sqref>'[Grafiku 1-Ekonomia e Jashtme.xlsx]english'!$A$3</c15:sqref>
                        </c15:formulaRef>
                      </c:ext>
                    </c:extLst>
                    <c:strCache>
                      <c:ptCount val="1"/>
                    </c:strCache>
                  </c:strRef>
                </c:tx>
                <c:spPr>
                  <a:solidFill>
                    <a:schemeClr val="accent3"/>
                  </a:solidFill>
                  <a:ln>
                    <a:noFill/>
                  </a:ln>
                  <a:effectLst/>
                </c:spPr>
                <c:invertIfNegative val="0"/>
                <c:cat>
                  <c:numRef>
                    <c:extLst>
                      <c:ext uri="{02D57815-91ED-43cb-92C2-25804820EDAC}">
                        <c15:formulaRef>
                          <c15:sqref>'[Grafiku 1-Ekonomia e Jashtme.xlsx]english'!$C$1:$H$1</c15:sqref>
                        </c15:formulaRef>
                      </c:ext>
                    </c:extLst>
                    <c:numCache>
                      <c:formatCode>General</c:formatCode>
                      <c:ptCount val="6"/>
                      <c:pt idx="0">
                        <c:v>2017</c:v>
                      </c:pt>
                      <c:pt idx="1">
                        <c:v>2018</c:v>
                      </c:pt>
                      <c:pt idx="2">
                        <c:v>2019</c:v>
                      </c:pt>
                      <c:pt idx="3">
                        <c:v>2020</c:v>
                      </c:pt>
                      <c:pt idx="4">
                        <c:v>2021</c:v>
                      </c:pt>
                      <c:pt idx="5">
                        <c:v>2022</c:v>
                      </c:pt>
                    </c:numCache>
                  </c:numRef>
                </c:cat>
                <c:val>
                  <c:numRef>
                    <c:extLst>
                      <c:ext uri="{02D57815-91ED-43cb-92C2-25804820EDAC}">
                        <c15:formulaRef>
                          <c15:sqref>'[Grafiku 1-Ekonomia e Jashtme.xlsx]english'!$C$3:$H$3</c15:sqref>
                        </c15:formulaRef>
                      </c:ext>
                    </c:extLst>
                    <c:numCache>
                      <c:formatCode>General</c:formatCode>
                      <c:ptCount val="6"/>
                    </c:numCache>
                  </c:numRef>
                </c:val>
                <c:extLst>
                  <c:ext xmlns:c16="http://schemas.microsoft.com/office/drawing/2014/chart" uri="{C3380CC4-5D6E-409C-BE32-E72D297353CC}">
                    <c16:uniqueId val="{00000003-D85C-471B-899F-E406B17CAF23}"/>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'[Grafiku 1-Ekonomia e Jashtme.xlsx]english'!$A$6</c15:sqref>
                        </c15:formulaRef>
                      </c:ext>
                    </c:extLst>
                    <c:strCache>
                      <c:ptCount val="1"/>
                    </c:strCache>
                  </c:strRef>
                </c:tx>
                <c:spPr>
                  <a:solidFill>
                    <a:schemeClr val="accent3">
                      <a:lumMod val="60000"/>
                    </a:schemeClr>
                  </a:solidFill>
                  <a:ln>
                    <a:noFill/>
                  </a:ln>
                  <a:effectLst/>
                </c:spPr>
                <c:invertIfNegative val="0"/>
                <c:cat>
                  <c:numRef>
                    <c:extLst xmlns:c15="http://schemas.microsoft.com/office/drawing/2012/chart">
                      <c:ext xmlns:c15="http://schemas.microsoft.com/office/drawing/2012/chart" uri="{02D57815-91ED-43cb-92C2-25804820EDAC}">
                        <c15:formulaRef>
                          <c15:sqref>'[Grafiku 1-Ekonomia e Jashtme.xlsx]english'!$C$1:$H$1</c15:sqref>
                        </c15:formulaRef>
                      </c:ext>
                    </c:extLst>
                    <c:numCache>
                      <c:formatCode>General</c:formatCode>
                      <c:ptCount val="6"/>
                      <c:pt idx="0">
                        <c:v>2017</c:v>
                      </c:pt>
                      <c:pt idx="1">
                        <c:v>2018</c:v>
                      </c:pt>
                      <c:pt idx="2">
                        <c:v>2019</c:v>
                      </c:pt>
                      <c:pt idx="3">
                        <c:v>2020</c:v>
                      </c:pt>
                      <c:pt idx="4">
                        <c:v>2021</c:v>
                      </c:pt>
                      <c:pt idx="5">
                        <c:v>2022</c:v>
                      </c:pt>
                    </c:numCache>
                  </c:numRef>
                </c:cat>
                <c:val>
                  <c:numRef>
                    <c:extLst xmlns:c15="http://schemas.microsoft.com/office/drawing/2012/chart">
                      <c:ext xmlns:c15="http://schemas.microsoft.com/office/drawing/2012/chart" uri="{02D57815-91ED-43cb-92C2-25804820EDAC}">
                        <c15:formulaRef>
                          <c15:sqref>'[Grafiku 1-Ekonomia e Jashtme.xlsx]english'!$B$6:$G$6</c15:sqref>
                        </c15:formulaRef>
                      </c:ext>
                    </c:extLst>
                    <c:numCache>
                      <c:formatCode>General</c:formatCode>
                      <c:ptCount val="6"/>
                    </c:numCache>
                  </c:numRef>
                </c:val>
                <c:extLst xmlns:c15="http://schemas.microsoft.com/office/drawing/2012/chart">
                  <c:ext xmlns:c16="http://schemas.microsoft.com/office/drawing/2014/chart" uri="{C3380CC4-5D6E-409C-BE32-E72D297353CC}">
                    <c16:uniqueId val="{00000004-D85C-471B-899F-E406B17CAF23}"/>
                  </c:ext>
                </c:extLst>
              </c15:ser>
            </c15:filteredBarSeries>
          </c:ext>
        </c:extLst>
      </c:barChart>
      <c:catAx>
        <c:axId val="112737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10642904"/>
        <c:crosses val="autoZero"/>
        <c:auto val="1"/>
        <c:lblAlgn val="ctr"/>
        <c:lblOffset val="100"/>
        <c:noMultiLvlLbl val="0"/>
      </c:catAx>
      <c:valAx>
        <c:axId val="110642904"/>
        <c:scaling>
          <c:orientation val="minMax"/>
          <c:max val="6"/>
          <c:min val="-9"/>
        </c:scaling>
        <c:delete val="0"/>
        <c:axPos val="l"/>
        <c:majorGridlines>
          <c:spPr>
            <a:ln w="9525" cap="flat" cmpd="sng" algn="ctr">
              <a:solidFill>
                <a:schemeClr val="tx1">
                  <a:lumMod val="15000"/>
                  <a:lumOff val="85000"/>
                </a:schemeClr>
              </a:solidFill>
              <a:prstDash val="dash"/>
              <a:round/>
            </a:ln>
            <a:effectLst/>
          </c:spPr>
        </c:majorGridlines>
        <c:numFmt formatCode="_-* #,##0.0_-;\-* #,##0.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2737312"/>
        <c:crosses val="autoZero"/>
        <c:crossBetween val="between"/>
        <c:majorUnit val="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976039175024893E-2"/>
          <c:y val="6.0706401766004413E-2"/>
          <c:w val="0.83712867051983564"/>
          <c:h val="0.71233248161860552"/>
        </c:manualLayout>
      </c:layout>
      <c:barChart>
        <c:barDir val="col"/>
        <c:grouping val="stacked"/>
        <c:varyColors val="0"/>
        <c:ser>
          <c:idx val="0"/>
          <c:order val="0"/>
          <c:tx>
            <c:strRef>
              <c:f>'Tabela 1.'!$K$5:$L$5</c:f>
              <c:strCache>
                <c:ptCount val="2"/>
                <c:pt idx="1">
                  <c:v>Tatimet direkte</c:v>
                </c:pt>
              </c:strCache>
            </c:strRef>
          </c:tx>
          <c:spPr>
            <a:solidFill>
              <a:schemeClr val="accent1"/>
            </a:solidFill>
            <a:ln>
              <a:noFill/>
            </a:ln>
            <a:effectLst/>
          </c:spPr>
          <c:invertIfNegative val="0"/>
          <c:cat>
            <c:strRef>
              <c:f>'Tabela 1.'!$P$4:$T$4</c:f>
              <c:strCache>
                <c:ptCount val="5"/>
                <c:pt idx="0">
                  <c:v>2019</c:v>
                </c:pt>
                <c:pt idx="1">
                  <c:v>2020 R.Bud</c:v>
                </c:pt>
                <c:pt idx="2">
                  <c:v>2021 P.</c:v>
                </c:pt>
                <c:pt idx="3">
                  <c:v>2022 P</c:v>
                </c:pt>
                <c:pt idx="4">
                  <c:v>2023 P</c:v>
                </c:pt>
              </c:strCache>
            </c:strRef>
          </c:cat>
          <c:val>
            <c:numRef>
              <c:f>'Tabela 1.'!$P$5:$T$5</c:f>
              <c:numCache>
                <c:formatCode>0%</c:formatCode>
                <c:ptCount val="5"/>
                <c:pt idx="0">
                  <c:v>0.15478522088175636</c:v>
                </c:pt>
                <c:pt idx="1">
                  <c:v>0.15790379561347617</c:v>
                </c:pt>
                <c:pt idx="2">
                  <c:v>0.15662614939535149</c:v>
                </c:pt>
                <c:pt idx="3">
                  <c:v>0.15924221429290689</c:v>
                </c:pt>
                <c:pt idx="4">
                  <c:v>0.16077468697000097</c:v>
                </c:pt>
              </c:numCache>
            </c:numRef>
          </c:val>
          <c:extLst>
            <c:ext xmlns:c16="http://schemas.microsoft.com/office/drawing/2014/chart" uri="{C3380CC4-5D6E-409C-BE32-E72D297353CC}">
              <c16:uniqueId val="{00000000-7597-4A95-B52D-9071BCC23E25}"/>
            </c:ext>
          </c:extLst>
        </c:ser>
        <c:ser>
          <c:idx val="1"/>
          <c:order val="1"/>
          <c:tx>
            <c:strRef>
              <c:f>'Tabela 1.'!$K$6:$L$6</c:f>
              <c:strCache>
                <c:ptCount val="2"/>
                <c:pt idx="1">
                  <c:v>Tatimet indirekte</c:v>
                </c:pt>
              </c:strCache>
            </c:strRef>
          </c:tx>
          <c:spPr>
            <a:solidFill>
              <a:schemeClr val="accent2"/>
            </a:solidFill>
            <a:ln>
              <a:noFill/>
            </a:ln>
            <a:effectLst/>
          </c:spPr>
          <c:invertIfNegative val="0"/>
          <c:cat>
            <c:strRef>
              <c:f>'Tabela 1.'!$P$4:$T$4</c:f>
              <c:strCache>
                <c:ptCount val="5"/>
                <c:pt idx="0">
                  <c:v>2019</c:v>
                </c:pt>
                <c:pt idx="1">
                  <c:v>2020 R.Bud</c:v>
                </c:pt>
                <c:pt idx="2">
                  <c:v>2021 P.</c:v>
                </c:pt>
                <c:pt idx="3">
                  <c:v>2022 P</c:v>
                </c:pt>
                <c:pt idx="4">
                  <c:v>2023 P</c:v>
                </c:pt>
              </c:strCache>
            </c:strRef>
          </c:cat>
          <c:val>
            <c:numRef>
              <c:f>'Tabela 1.'!$P$6:$T$6</c:f>
              <c:numCache>
                <c:formatCode>0%</c:formatCode>
                <c:ptCount val="5"/>
                <c:pt idx="0">
                  <c:v>0.74956204426637141</c:v>
                </c:pt>
                <c:pt idx="1">
                  <c:v>0.73938847661529816</c:v>
                </c:pt>
                <c:pt idx="2">
                  <c:v>0.74884574929987524</c:v>
                </c:pt>
                <c:pt idx="3">
                  <c:v>0.7472951970889149</c:v>
                </c:pt>
                <c:pt idx="4">
                  <c:v>0.74510542551522951</c:v>
                </c:pt>
              </c:numCache>
            </c:numRef>
          </c:val>
          <c:extLst>
            <c:ext xmlns:c16="http://schemas.microsoft.com/office/drawing/2014/chart" uri="{C3380CC4-5D6E-409C-BE32-E72D297353CC}">
              <c16:uniqueId val="{00000001-7597-4A95-B52D-9071BCC23E25}"/>
            </c:ext>
          </c:extLst>
        </c:ser>
        <c:ser>
          <c:idx val="2"/>
          <c:order val="2"/>
          <c:tx>
            <c:strRef>
              <c:f>'Tabela 1.'!$L$7</c:f>
              <c:strCache>
                <c:ptCount val="1"/>
                <c:pt idx="0">
                  <c:v>Te hryat Jo Tatimore</c:v>
                </c:pt>
              </c:strCache>
            </c:strRef>
          </c:tx>
          <c:spPr>
            <a:solidFill>
              <a:schemeClr val="accent3"/>
            </a:solidFill>
            <a:ln>
              <a:noFill/>
            </a:ln>
            <a:effectLst/>
          </c:spPr>
          <c:invertIfNegative val="0"/>
          <c:cat>
            <c:strRef>
              <c:f>'Tabela 1.'!$P$4:$T$4</c:f>
              <c:strCache>
                <c:ptCount val="5"/>
                <c:pt idx="0">
                  <c:v>2019</c:v>
                </c:pt>
                <c:pt idx="1">
                  <c:v>2020 R.Bud</c:v>
                </c:pt>
                <c:pt idx="2">
                  <c:v>2021 P.</c:v>
                </c:pt>
                <c:pt idx="3">
                  <c:v>2022 P</c:v>
                </c:pt>
                <c:pt idx="4">
                  <c:v>2023 P</c:v>
                </c:pt>
              </c:strCache>
            </c:strRef>
          </c:cat>
          <c:val>
            <c:numRef>
              <c:f>'Tabela 1.'!$P$7:$T$7</c:f>
              <c:numCache>
                <c:formatCode>0%</c:formatCode>
                <c:ptCount val="5"/>
                <c:pt idx="0">
                  <c:v>0.11366323490070379</c:v>
                </c:pt>
                <c:pt idx="1">
                  <c:v>0.10562687271450064</c:v>
                </c:pt>
                <c:pt idx="2">
                  <c:v>0.11361774040790437</c:v>
                </c:pt>
                <c:pt idx="3">
                  <c:v>0.11238456645121933</c:v>
                </c:pt>
                <c:pt idx="4">
                  <c:v>0.11326373581767524</c:v>
                </c:pt>
              </c:numCache>
            </c:numRef>
          </c:val>
          <c:extLst>
            <c:ext xmlns:c16="http://schemas.microsoft.com/office/drawing/2014/chart" uri="{C3380CC4-5D6E-409C-BE32-E72D297353CC}">
              <c16:uniqueId val="{00000002-7597-4A95-B52D-9071BCC23E25}"/>
            </c:ext>
          </c:extLst>
        </c:ser>
        <c:ser>
          <c:idx val="3"/>
          <c:order val="3"/>
          <c:tx>
            <c:strRef>
              <c:f>'Tabela 1.'!$L$8</c:f>
              <c:strCache>
                <c:ptCount val="1"/>
                <c:pt idx="0">
                  <c:v>Rimbursimet</c:v>
                </c:pt>
              </c:strCache>
            </c:strRef>
          </c:tx>
          <c:spPr>
            <a:solidFill>
              <a:schemeClr val="accent4"/>
            </a:solidFill>
            <a:ln>
              <a:noFill/>
            </a:ln>
            <a:effectLst/>
          </c:spPr>
          <c:invertIfNegative val="0"/>
          <c:cat>
            <c:strRef>
              <c:f>'Tabela 1.'!$P$4:$T$4</c:f>
              <c:strCache>
                <c:ptCount val="5"/>
                <c:pt idx="0">
                  <c:v>2019</c:v>
                </c:pt>
                <c:pt idx="1">
                  <c:v>2020 R.Bud</c:v>
                </c:pt>
                <c:pt idx="2">
                  <c:v>2021 P.</c:v>
                </c:pt>
                <c:pt idx="3">
                  <c:v>2022 P</c:v>
                </c:pt>
                <c:pt idx="4">
                  <c:v>2023 P</c:v>
                </c:pt>
              </c:strCache>
            </c:strRef>
          </c:cat>
          <c:val>
            <c:numRef>
              <c:f>'Tabela 1.'!$P$8:$T$8</c:f>
              <c:numCache>
                <c:formatCode>0%</c:formatCode>
                <c:ptCount val="5"/>
                <c:pt idx="0">
                  <c:v>-2.4101094581843382E-2</c:v>
                </c:pt>
                <c:pt idx="1">
                  <c:v>-2.2158798593928729E-2</c:v>
                </c:pt>
                <c:pt idx="2">
                  <c:v>-2.4657214926809636E-2</c:v>
                </c:pt>
                <c:pt idx="3">
                  <c:v>-2.4166682613486659E-2</c:v>
                </c:pt>
                <c:pt idx="4">
                  <c:v>-2.4149160188469576E-2</c:v>
                </c:pt>
              </c:numCache>
            </c:numRef>
          </c:val>
          <c:extLst>
            <c:ext xmlns:c16="http://schemas.microsoft.com/office/drawing/2014/chart" uri="{C3380CC4-5D6E-409C-BE32-E72D297353CC}">
              <c16:uniqueId val="{00000003-7597-4A95-B52D-9071BCC23E25}"/>
            </c:ext>
          </c:extLst>
        </c:ser>
        <c:dLbls>
          <c:showLegendKey val="0"/>
          <c:showVal val="0"/>
          <c:showCatName val="0"/>
          <c:showSerName val="0"/>
          <c:showPercent val="0"/>
          <c:showBubbleSize val="0"/>
        </c:dLbls>
        <c:gapWidth val="150"/>
        <c:overlap val="100"/>
        <c:axId val="151730216"/>
        <c:axId val="151734920"/>
      </c:barChart>
      <c:lineChart>
        <c:grouping val="standard"/>
        <c:varyColors val="0"/>
        <c:ser>
          <c:idx val="4"/>
          <c:order val="4"/>
          <c:tx>
            <c:strRef>
              <c:f>'Tabela 1.'!$K$9:$L$9</c:f>
              <c:strCache>
                <c:ptCount val="2"/>
                <c:pt idx="1">
                  <c:v>Te hyrat buxhetore y-o-y boshti I djathte %</c:v>
                </c:pt>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'Tabela 1.'!$P$4:$T$4</c:f>
              <c:strCache>
                <c:ptCount val="5"/>
                <c:pt idx="0">
                  <c:v>2019</c:v>
                </c:pt>
                <c:pt idx="1">
                  <c:v>2020 R.Bud</c:v>
                </c:pt>
                <c:pt idx="2">
                  <c:v>2021 P.</c:v>
                </c:pt>
                <c:pt idx="3">
                  <c:v>2022 P</c:v>
                </c:pt>
                <c:pt idx="4">
                  <c:v>2023 P</c:v>
                </c:pt>
              </c:strCache>
            </c:strRef>
          </c:cat>
          <c:val>
            <c:numRef>
              <c:f>'Tabela 1.'!$P$9:$T$9</c:f>
              <c:numCache>
                <c:formatCode>0.0%</c:formatCode>
                <c:ptCount val="5"/>
                <c:pt idx="0">
                  <c:v>7.488135183209188E-2</c:v>
                </c:pt>
                <c:pt idx="1">
                  <c:v>-5.2783464426667925E-2</c:v>
                </c:pt>
                <c:pt idx="2">
                  <c:v>5.4473659899342941E-2</c:v>
                </c:pt>
                <c:pt idx="3">
                  <c:v>6.1561337911097525E-2</c:v>
                </c:pt>
                <c:pt idx="4">
                  <c:v>4.7827767850408431E-2</c:v>
                </c:pt>
              </c:numCache>
            </c:numRef>
          </c:val>
          <c:smooth val="1"/>
          <c:extLst>
            <c:ext xmlns:c16="http://schemas.microsoft.com/office/drawing/2014/chart" uri="{C3380CC4-5D6E-409C-BE32-E72D297353CC}">
              <c16:uniqueId val="{00000004-7597-4A95-B52D-9071BCC23E25}"/>
            </c:ext>
          </c:extLst>
        </c:ser>
        <c:dLbls>
          <c:showLegendKey val="0"/>
          <c:showVal val="0"/>
          <c:showCatName val="0"/>
          <c:showSerName val="0"/>
          <c:showPercent val="0"/>
          <c:showBubbleSize val="0"/>
        </c:dLbls>
        <c:marker val="1"/>
        <c:smooth val="0"/>
        <c:axId val="151734136"/>
        <c:axId val="151729824"/>
      </c:lineChart>
      <c:catAx>
        <c:axId val="151730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734920"/>
        <c:crosses val="autoZero"/>
        <c:auto val="1"/>
        <c:lblAlgn val="ctr"/>
        <c:lblOffset val="100"/>
        <c:noMultiLvlLbl val="0"/>
      </c:catAx>
      <c:valAx>
        <c:axId val="151734920"/>
        <c:scaling>
          <c:orientation val="minMax"/>
        </c:scaling>
        <c:delete val="0"/>
        <c:axPos val="l"/>
        <c:majorGridlines>
          <c:spPr>
            <a:ln w="9525" cap="flat" cmpd="sng" algn="ctr">
              <a:solidFill>
                <a:schemeClr val="tx1">
                  <a:lumMod val="15000"/>
                  <a:lumOff val="85000"/>
                </a:schemeClr>
              </a:solidFill>
              <a:prstDash val="dash"/>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730216"/>
        <c:crosses val="autoZero"/>
        <c:crossBetween val="between"/>
      </c:valAx>
      <c:valAx>
        <c:axId val="151729824"/>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734136"/>
        <c:crosses val="max"/>
        <c:crossBetween val="between"/>
      </c:valAx>
      <c:catAx>
        <c:axId val="151734136"/>
        <c:scaling>
          <c:orientation val="minMax"/>
        </c:scaling>
        <c:delete val="1"/>
        <c:axPos val="b"/>
        <c:numFmt formatCode="General" sourceLinked="1"/>
        <c:majorTickMark val="out"/>
        <c:minorTickMark val="none"/>
        <c:tickLblPos val="nextTo"/>
        <c:crossAx val="151729824"/>
        <c:crosses val="autoZero"/>
        <c:auto val="1"/>
        <c:lblAlgn val="ctr"/>
        <c:lblOffset val="100"/>
        <c:noMultiLvlLbl val="0"/>
      </c:catAx>
      <c:spPr>
        <a:noFill/>
        <a:ln>
          <a:noFill/>
        </a:ln>
        <a:effectLst/>
      </c:spPr>
    </c:plotArea>
    <c:legend>
      <c:legendPos val="b"/>
      <c:layout>
        <c:manualLayout>
          <c:xMode val="edge"/>
          <c:yMode val="edge"/>
          <c:x val="2.6832020997375337E-2"/>
          <c:y val="0.80150189559638374"/>
          <c:w val="0.94911373578302738"/>
          <c:h val="0.1707203266258384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592932231982385E-2"/>
          <c:y val="5.3527980535279802E-2"/>
          <c:w val="0.80902887139107615"/>
          <c:h val="0.61541161369427366"/>
        </c:manualLayout>
      </c:layout>
      <c:barChart>
        <c:barDir val="col"/>
        <c:grouping val="stacked"/>
        <c:varyColors val="0"/>
        <c:ser>
          <c:idx val="0"/>
          <c:order val="0"/>
          <c:tx>
            <c:strRef>
              <c:f>'Tabela 1.'!$L$13</c:f>
              <c:strCache>
                <c:ptCount val="1"/>
                <c:pt idx="0">
                  <c:v>Shpenzimet Rrjedhese</c:v>
                </c:pt>
              </c:strCache>
            </c:strRef>
          </c:tx>
          <c:spPr>
            <a:solidFill>
              <a:schemeClr val="accent1"/>
            </a:solidFill>
            <a:ln>
              <a:noFill/>
            </a:ln>
            <a:effectLst/>
          </c:spPr>
          <c:invertIfNegative val="0"/>
          <c:cat>
            <c:strRef>
              <c:f>'Tabela 1.'!$P$12:$T$12</c:f>
              <c:strCache>
                <c:ptCount val="5"/>
                <c:pt idx="0">
                  <c:v>2019</c:v>
                </c:pt>
                <c:pt idx="1">
                  <c:v>2020 R.Bud</c:v>
                </c:pt>
                <c:pt idx="2">
                  <c:v>2021 P.</c:v>
                </c:pt>
                <c:pt idx="3">
                  <c:v>2022 P</c:v>
                </c:pt>
                <c:pt idx="4">
                  <c:v>2023 P</c:v>
                </c:pt>
              </c:strCache>
            </c:strRef>
          </c:cat>
          <c:val>
            <c:numRef>
              <c:f>'Tabela 1.'!$P$13:$T$13</c:f>
              <c:numCache>
                <c:formatCode>0.0%</c:formatCode>
                <c:ptCount val="5"/>
                <c:pt idx="0">
                  <c:v>0.7350437096774235</c:v>
                </c:pt>
                <c:pt idx="1">
                  <c:v>0.71000732521955756</c:v>
                </c:pt>
                <c:pt idx="2">
                  <c:v>0.7286102492224118</c:v>
                </c:pt>
                <c:pt idx="3">
                  <c:v>0.69349300915315304</c:v>
                </c:pt>
                <c:pt idx="4">
                  <c:v>0.67982079361484105</c:v>
                </c:pt>
              </c:numCache>
            </c:numRef>
          </c:val>
          <c:extLst>
            <c:ext xmlns:c16="http://schemas.microsoft.com/office/drawing/2014/chart" uri="{C3380CC4-5D6E-409C-BE32-E72D297353CC}">
              <c16:uniqueId val="{00000000-3009-47E3-A352-091DF0174C89}"/>
            </c:ext>
          </c:extLst>
        </c:ser>
        <c:ser>
          <c:idx val="1"/>
          <c:order val="1"/>
          <c:tx>
            <c:strRef>
              <c:f>'Tabela 1.'!$L$14</c:f>
              <c:strCache>
                <c:ptCount val="1"/>
                <c:pt idx="0">
                  <c:v>Shpenzimet Kapitale</c:v>
                </c:pt>
              </c:strCache>
            </c:strRef>
          </c:tx>
          <c:spPr>
            <a:solidFill>
              <a:schemeClr val="accent2"/>
            </a:solidFill>
            <a:ln>
              <a:noFill/>
            </a:ln>
            <a:effectLst/>
          </c:spPr>
          <c:invertIfNegative val="0"/>
          <c:cat>
            <c:strRef>
              <c:f>'Tabela 1.'!$P$12:$T$12</c:f>
              <c:strCache>
                <c:ptCount val="5"/>
                <c:pt idx="0">
                  <c:v>2019</c:v>
                </c:pt>
                <c:pt idx="1">
                  <c:v>2020 R.Bud</c:v>
                </c:pt>
                <c:pt idx="2">
                  <c:v>2021 P.</c:v>
                </c:pt>
                <c:pt idx="3">
                  <c:v>2022 P</c:v>
                </c:pt>
                <c:pt idx="4">
                  <c:v>2023 P</c:v>
                </c:pt>
              </c:strCache>
            </c:strRef>
          </c:cat>
          <c:val>
            <c:numRef>
              <c:f>'Tabela 1.'!$P$14:$T$14</c:f>
              <c:numCache>
                <c:formatCode>0.0%</c:formatCode>
                <c:ptCount val="5"/>
                <c:pt idx="0">
                  <c:v>0.25375446636491916</c:v>
                </c:pt>
                <c:pt idx="1">
                  <c:v>0.27854606424688699</c:v>
                </c:pt>
                <c:pt idx="2">
                  <c:v>0.25544353968451861</c:v>
                </c:pt>
                <c:pt idx="3">
                  <c:v>0.28578068366932557</c:v>
                </c:pt>
                <c:pt idx="4">
                  <c:v>0.29511446053124529</c:v>
                </c:pt>
              </c:numCache>
            </c:numRef>
          </c:val>
          <c:extLst>
            <c:ext xmlns:c16="http://schemas.microsoft.com/office/drawing/2014/chart" uri="{C3380CC4-5D6E-409C-BE32-E72D297353CC}">
              <c16:uniqueId val="{00000001-3009-47E3-A352-091DF0174C89}"/>
            </c:ext>
          </c:extLst>
        </c:ser>
        <c:ser>
          <c:idx val="2"/>
          <c:order val="2"/>
          <c:tx>
            <c:strRef>
              <c:f>'Tabela 1.'!$L$15</c:f>
              <c:strCache>
                <c:ptCount val="1"/>
                <c:pt idx="0">
                  <c:v>Interesi</c:v>
                </c:pt>
              </c:strCache>
            </c:strRef>
          </c:tx>
          <c:spPr>
            <a:solidFill>
              <a:schemeClr val="accent3"/>
            </a:solidFill>
            <a:ln>
              <a:noFill/>
            </a:ln>
            <a:effectLst/>
          </c:spPr>
          <c:invertIfNegative val="0"/>
          <c:cat>
            <c:strRef>
              <c:f>'Tabela 1.'!$P$12:$T$12</c:f>
              <c:strCache>
                <c:ptCount val="5"/>
                <c:pt idx="0">
                  <c:v>2019</c:v>
                </c:pt>
                <c:pt idx="1">
                  <c:v>2020 R.Bud</c:v>
                </c:pt>
                <c:pt idx="2">
                  <c:v>2021 P.</c:v>
                </c:pt>
                <c:pt idx="3">
                  <c:v>2022 P</c:v>
                </c:pt>
                <c:pt idx="4">
                  <c:v>2023 P</c:v>
                </c:pt>
              </c:strCache>
            </c:strRef>
          </c:cat>
          <c:val>
            <c:numRef>
              <c:f>'Tabela 1.'!$P$15:$T$15</c:f>
              <c:numCache>
                <c:formatCode>0.0%</c:formatCode>
                <c:ptCount val="5"/>
                <c:pt idx="0">
                  <c:v>1.1201823957657195E-2</c:v>
                </c:pt>
                <c:pt idx="1">
                  <c:v>1.1446610533555399E-2</c:v>
                </c:pt>
                <c:pt idx="2">
                  <c:v>1.5946211093069537E-2</c:v>
                </c:pt>
                <c:pt idx="3">
                  <c:v>2.0726307177521358E-2</c:v>
                </c:pt>
                <c:pt idx="4">
                  <c:v>2.5064745853913675E-2</c:v>
                </c:pt>
              </c:numCache>
            </c:numRef>
          </c:val>
          <c:extLst>
            <c:ext xmlns:c16="http://schemas.microsoft.com/office/drawing/2014/chart" uri="{C3380CC4-5D6E-409C-BE32-E72D297353CC}">
              <c16:uniqueId val="{00000002-3009-47E3-A352-091DF0174C89}"/>
            </c:ext>
          </c:extLst>
        </c:ser>
        <c:dLbls>
          <c:showLegendKey val="0"/>
          <c:showVal val="0"/>
          <c:showCatName val="0"/>
          <c:showSerName val="0"/>
          <c:showPercent val="0"/>
          <c:showBubbleSize val="0"/>
        </c:dLbls>
        <c:gapWidth val="150"/>
        <c:overlap val="100"/>
        <c:axId val="151735312"/>
        <c:axId val="151735704"/>
      </c:barChart>
      <c:lineChart>
        <c:grouping val="standard"/>
        <c:varyColors val="0"/>
        <c:ser>
          <c:idx val="3"/>
          <c:order val="3"/>
          <c:tx>
            <c:strRef>
              <c:f>'Tabela 1.'!$K$16:$L$16</c:f>
              <c:strCache>
                <c:ptCount val="2"/>
                <c:pt idx="1">
                  <c:v>Shpenzimet Buxhetore v-m-v boshti djathte</c:v>
                </c:pt>
              </c:strCache>
            </c:strRef>
          </c:tx>
          <c:spPr>
            <a:ln w="28575" cap="rnd">
              <a:solidFill>
                <a:schemeClr val="accent4"/>
              </a:solidFill>
              <a:round/>
            </a:ln>
            <a:effectLst/>
          </c:spPr>
          <c:marker>
            <c:symbol val="none"/>
          </c:marker>
          <c:cat>
            <c:strRef>
              <c:f>'Tabela 1.'!$P$12:$T$12</c:f>
              <c:strCache>
                <c:ptCount val="5"/>
                <c:pt idx="0">
                  <c:v>2019</c:v>
                </c:pt>
                <c:pt idx="1">
                  <c:v>2020 R.Bud</c:v>
                </c:pt>
                <c:pt idx="2">
                  <c:v>2021 P.</c:v>
                </c:pt>
                <c:pt idx="3">
                  <c:v>2022 P</c:v>
                </c:pt>
                <c:pt idx="4">
                  <c:v>2023 P</c:v>
                </c:pt>
              </c:strCache>
            </c:strRef>
          </c:cat>
          <c:val>
            <c:numRef>
              <c:f>'Tabela 1.'!$P$16:$T$16</c:f>
              <c:numCache>
                <c:formatCode>0.0%</c:formatCode>
                <c:ptCount val="5"/>
                <c:pt idx="0">
                  <c:v>7.3999999999999996E-2</c:v>
                </c:pt>
                <c:pt idx="1">
                  <c:v>0.2517106912837308</c:v>
                </c:pt>
                <c:pt idx="2">
                  <c:v>-7.9278936220070428E-2</c:v>
                </c:pt>
                <c:pt idx="3">
                  <c:v>-1.5278917600894726E-2</c:v>
                </c:pt>
                <c:pt idx="4">
                  <c:v>2.4802578883242665E-2</c:v>
                </c:pt>
              </c:numCache>
            </c:numRef>
          </c:val>
          <c:smooth val="1"/>
          <c:extLst>
            <c:ext xmlns:c16="http://schemas.microsoft.com/office/drawing/2014/chart" uri="{C3380CC4-5D6E-409C-BE32-E72D297353CC}">
              <c16:uniqueId val="{00000003-3009-47E3-A352-091DF0174C89}"/>
            </c:ext>
          </c:extLst>
        </c:ser>
        <c:dLbls>
          <c:showLegendKey val="0"/>
          <c:showVal val="0"/>
          <c:showCatName val="0"/>
          <c:showSerName val="0"/>
          <c:showPercent val="0"/>
          <c:showBubbleSize val="0"/>
        </c:dLbls>
        <c:marker val="1"/>
        <c:smooth val="0"/>
        <c:axId val="151731000"/>
        <c:axId val="151729040"/>
      </c:lineChart>
      <c:catAx>
        <c:axId val="151735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735704"/>
        <c:crosses val="autoZero"/>
        <c:auto val="1"/>
        <c:lblAlgn val="ctr"/>
        <c:lblOffset val="100"/>
        <c:noMultiLvlLbl val="0"/>
      </c:catAx>
      <c:valAx>
        <c:axId val="15173570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735312"/>
        <c:crosses val="autoZero"/>
        <c:crossBetween val="between"/>
      </c:valAx>
      <c:valAx>
        <c:axId val="151729040"/>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731000"/>
        <c:crosses val="max"/>
        <c:crossBetween val="between"/>
      </c:valAx>
      <c:catAx>
        <c:axId val="151731000"/>
        <c:scaling>
          <c:orientation val="minMax"/>
        </c:scaling>
        <c:delete val="1"/>
        <c:axPos val="b"/>
        <c:numFmt formatCode="General" sourceLinked="1"/>
        <c:majorTickMark val="out"/>
        <c:minorTickMark val="none"/>
        <c:tickLblPos val="nextTo"/>
        <c:crossAx val="151729040"/>
        <c:crosses val="autoZero"/>
        <c:auto val="1"/>
        <c:lblAlgn val="ctr"/>
        <c:lblOffset val="100"/>
        <c:noMultiLvlLbl val="0"/>
      </c:catAx>
      <c:spPr>
        <a:noFill/>
        <a:ln>
          <a:noFill/>
        </a:ln>
        <a:effectLst/>
      </c:spPr>
    </c:plotArea>
    <c:legend>
      <c:legendPos val="b"/>
      <c:layout>
        <c:manualLayout>
          <c:xMode val="edge"/>
          <c:yMode val="edge"/>
          <c:x val="3.3635331485490763E-2"/>
          <c:y val="0.79642508190125871"/>
          <c:w val="0.91871864528317493"/>
          <c:h val="0.145180757514799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116794450679105E-2"/>
          <c:y val="0.14660630782288542"/>
          <c:w val="0.90541446687859961"/>
          <c:h val="0.80713308724790378"/>
        </c:manualLayout>
      </c:layout>
      <c:lineChart>
        <c:grouping val="standard"/>
        <c:varyColors val="0"/>
        <c:ser>
          <c:idx val="0"/>
          <c:order val="0"/>
          <c:tx>
            <c:strRef>
              <c:f>'graph_inflacioni baze'!$AA$181</c:f>
              <c:strCache>
                <c:ptCount val="1"/>
                <c:pt idx="0">
                  <c:v>Inflacioni Total</c:v>
                </c:pt>
              </c:strCache>
            </c:strRef>
          </c:tx>
          <c:spPr>
            <a:ln w="25400"/>
          </c:spPr>
          <c:marker>
            <c:symbol val="none"/>
          </c:marker>
          <c:cat>
            <c:strRef>
              <c:f>'graph_inflacioni baze'!$Z$207:$Z$221</c:f>
              <c:strCache>
                <c:ptCount val="15"/>
                <c:pt idx="0">
                  <c:v>2017Q1</c:v>
                </c:pt>
                <c:pt idx="1">
                  <c:v>2017Q2</c:v>
                </c:pt>
                <c:pt idx="2">
                  <c:v>2017Q3</c:v>
                </c:pt>
                <c:pt idx="3">
                  <c:v>2017Q4</c:v>
                </c:pt>
                <c:pt idx="4">
                  <c:v>2018Q1</c:v>
                </c:pt>
                <c:pt idx="5">
                  <c:v>2018Q2</c:v>
                </c:pt>
                <c:pt idx="6">
                  <c:v>2018Q3</c:v>
                </c:pt>
                <c:pt idx="7">
                  <c:v>2018Q4</c:v>
                </c:pt>
                <c:pt idx="8">
                  <c:v>2019Q1 </c:v>
                </c:pt>
                <c:pt idx="9">
                  <c:v>2019Q2</c:v>
                </c:pt>
                <c:pt idx="10">
                  <c:v>2019Q3</c:v>
                </c:pt>
                <c:pt idx="11">
                  <c:v>2019Q4</c:v>
                </c:pt>
                <c:pt idx="12">
                  <c:v>2020Q1</c:v>
                </c:pt>
                <c:pt idx="13">
                  <c:v>2020Q2</c:v>
                </c:pt>
                <c:pt idx="14">
                  <c:v>2020Q3</c:v>
                </c:pt>
              </c:strCache>
            </c:strRef>
          </c:cat>
          <c:val>
            <c:numRef>
              <c:f>'graph_inflacioni baze'!$AA$207:$AA$221</c:f>
              <c:numCache>
                <c:formatCode>0.0</c:formatCode>
                <c:ptCount val="15"/>
                <c:pt idx="0">
                  <c:v>1.5895051272224459</c:v>
                </c:pt>
                <c:pt idx="1">
                  <c:v>1.9061550141782939</c:v>
                </c:pt>
                <c:pt idx="2">
                  <c:v>1.6700780409547367</c:v>
                </c:pt>
                <c:pt idx="3">
                  <c:v>0.72587829109008373</c:v>
                </c:pt>
                <c:pt idx="4">
                  <c:v>-3.2647668529243536E-2</c:v>
                </c:pt>
                <c:pt idx="5">
                  <c:v>0.72282549837889842</c:v>
                </c:pt>
                <c:pt idx="6">
                  <c:v>1.3796035541681813</c:v>
                </c:pt>
                <c:pt idx="7">
                  <c:v>2.1611001964636576</c:v>
                </c:pt>
                <c:pt idx="8">
                  <c:v>3.2285725345245653</c:v>
                </c:pt>
                <c:pt idx="9">
                  <c:v>3.2583925346315525</c:v>
                </c:pt>
                <c:pt idx="10">
                  <c:v>2.560111942215356</c:v>
                </c:pt>
                <c:pt idx="11">
                  <c:v>1.6690641553013252</c:v>
                </c:pt>
                <c:pt idx="12">
                  <c:v>1.0749137598343135</c:v>
                </c:pt>
                <c:pt idx="13">
                  <c:v>0.18915587978825718</c:v>
                </c:pt>
                <c:pt idx="14">
                  <c:v>-0.34719292652778028</c:v>
                </c:pt>
              </c:numCache>
            </c:numRef>
          </c:val>
          <c:smooth val="1"/>
          <c:extLst>
            <c:ext xmlns:c16="http://schemas.microsoft.com/office/drawing/2014/chart" uri="{C3380CC4-5D6E-409C-BE32-E72D297353CC}">
              <c16:uniqueId val="{00000000-EC95-4972-9D19-B0C432233389}"/>
            </c:ext>
          </c:extLst>
        </c:ser>
        <c:ser>
          <c:idx val="1"/>
          <c:order val="1"/>
          <c:tx>
            <c:strRef>
              <c:f>'graph_inflacioni baze'!$AB$181</c:f>
              <c:strCache>
                <c:ptCount val="1"/>
                <c:pt idx="0">
                  <c:v>Inflacioni pa ushqim &amp; transport</c:v>
                </c:pt>
              </c:strCache>
            </c:strRef>
          </c:tx>
          <c:spPr>
            <a:ln w="25400"/>
          </c:spPr>
          <c:marker>
            <c:symbol val="none"/>
          </c:marker>
          <c:cat>
            <c:strRef>
              <c:f>'graph_inflacioni baze'!$Z$207:$Z$221</c:f>
              <c:strCache>
                <c:ptCount val="15"/>
                <c:pt idx="0">
                  <c:v>2017Q1</c:v>
                </c:pt>
                <c:pt idx="1">
                  <c:v>2017Q2</c:v>
                </c:pt>
                <c:pt idx="2">
                  <c:v>2017Q3</c:v>
                </c:pt>
                <c:pt idx="3">
                  <c:v>2017Q4</c:v>
                </c:pt>
                <c:pt idx="4">
                  <c:v>2018Q1</c:v>
                </c:pt>
                <c:pt idx="5">
                  <c:v>2018Q2</c:v>
                </c:pt>
                <c:pt idx="6">
                  <c:v>2018Q3</c:v>
                </c:pt>
                <c:pt idx="7">
                  <c:v>2018Q4</c:v>
                </c:pt>
                <c:pt idx="8">
                  <c:v>2019Q1 </c:v>
                </c:pt>
                <c:pt idx="9">
                  <c:v>2019Q2</c:v>
                </c:pt>
                <c:pt idx="10">
                  <c:v>2019Q3</c:v>
                </c:pt>
                <c:pt idx="11">
                  <c:v>2019Q4</c:v>
                </c:pt>
                <c:pt idx="12">
                  <c:v>2020Q1</c:v>
                </c:pt>
                <c:pt idx="13">
                  <c:v>2020Q2</c:v>
                </c:pt>
                <c:pt idx="14">
                  <c:v>2020Q3</c:v>
                </c:pt>
              </c:strCache>
            </c:strRef>
          </c:cat>
          <c:val>
            <c:numRef>
              <c:f>'graph_inflacioni baze'!$AB$207:$AB$221</c:f>
              <c:numCache>
                <c:formatCode>0.0</c:formatCode>
                <c:ptCount val="15"/>
                <c:pt idx="0">
                  <c:v>0.86949149467232534</c:v>
                </c:pt>
                <c:pt idx="1">
                  <c:v>1.5473732091188037</c:v>
                </c:pt>
                <c:pt idx="2">
                  <c:v>2.0671949377789676</c:v>
                </c:pt>
                <c:pt idx="3">
                  <c:v>-0.15493213973758838</c:v>
                </c:pt>
                <c:pt idx="4">
                  <c:v>-0.70939972055716893</c:v>
                </c:pt>
                <c:pt idx="5">
                  <c:v>0.21464844866582547</c:v>
                </c:pt>
                <c:pt idx="6">
                  <c:v>-0.24267635824543055</c:v>
                </c:pt>
                <c:pt idx="7">
                  <c:v>0.26605939436910031</c:v>
                </c:pt>
                <c:pt idx="8">
                  <c:v>0.62746733040723124</c:v>
                </c:pt>
                <c:pt idx="9">
                  <c:v>1.5250419371855968</c:v>
                </c:pt>
                <c:pt idx="10">
                  <c:v>1.2645734210904018</c:v>
                </c:pt>
                <c:pt idx="11">
                  <c:v>1.1118923953059208</c:v>
                </c:pt>
                <c:pt idx="12">
                  <c:v>0.7811428779759636</c:v>
                </c:pt>
                <c:pt idx="13">
                  <c:v>0.52756069605979972</c:v>
                </c:pt>
                <c:pt idx="14">
                  <c:v>0.81007021155565051</c:v>
                </c:pt>
              </c:numCache>
            </c:numRef>
          </c:val>
          <c:smooth val="1"/>
          <c:extLst>
            <c:ext xmlns:c16="http://schemas.microsoft.com/office/drawing/2014/chart" uri="{C3380CC4-5D6E-409C-BE32-E72D297353CC}">
              <c16:uniqueId val="{00000001-EC95-4972-9D19-B0C432233389}"/>
            </c:ext>
          </c:extLst>
        </c:ser>
        <c:ser>
          <c:idx val="2"/>
          <c:order val="2"/>
          <c:tx>
            <c:strRef>
              <c:f>'graph_inflacioni baze'!$AC$182</c:f>
              <c:strCache>
                <c:ptCount val="1"/>
                <c:pt idx="0">
                  <c:v>Inflacioni pa transport</c:v>
                </c:pt>
              </c:strCache>
            </c:strRef>
          </c:tx>
          <c:marker>
            <c:symbol val="none"/>
          </c:marker>
          <c:val>
            <c:numRef>
              <c:f>'graph_inflacioni baze'!$AC$207:$AC$221</c:f>
              <c:numCache>
                <c:formatCode>0.0</c:formatCode>
                <c:ptCount val="15"/>
                <c:pt idx="0">
                  <c:v>0.97133982172582878</c:v>
                </c:pt>
                <c:pt idx="1">
                  <c:v>1.7161273978602158</c:v>
                </c:pt>
                <c:pt idx="2">
                  <c:v>1.8168599421520086</c:v>
                </c:pt>
                <c:pt idx="3">
                  <c:v>0.82193487427633849</c:v>
                </c:pt>
                <c:pt idx="4">
                  <c:v>-0.12601244743809156</c:v>
                </c:pt>
                <c:pt idx="5">
                  <c:v>0.36729975577721358</c:v>
                </c:pt>
                <c:pt idx="6">
                  <c:v>0.75314043547329845</c:v>
                </c:pt>
                <c:pt idx="7">
                  <c:v>1.4656455317108019</c:v>
                </c:pt>
                <c:pt idx="8">
                  <c:v>3.3825358408858808</c:v>
                </c:pt>
                <c:pt idx="9">
                  <c:v>4.0087720396844899</c:v>
                </c:pt>
                <c:pt idx="10">
                  <c:v>3.4522941007386474</c:v>
                </c:pt>
                <c:pt idx="11">
                  <c:v>2.3480590170874041</c:v>
                </c:pt>
                <c:pt idx="12">
                  <c:v>1.1950403735550008</c:v>
                </c:pt>
                <c:pt idx="13">
                  <c:v>1.3743162738905523</c:v>
                </c:pt>
                <c:pt idx="14">
                  <c:v>0.68109757075428179</c:v>
                </c:pt>
              </c:numCache>
            </c:numRef>
          </c:val>
          <c:smooth val="0"/>
          <c:extLst>
            <c:ext xmlns:c16="http://schemas.microsoft.com/office/drawing/2014/chart" uri="{C3380CC4-5D6E-409C-BE32-E72D297353CC}">
              <c16:uniqueId val="{00000002-EC95-4972-9D19-B0C432233389}"/>
            </c:ext>
          </c:extLst>
        </c:ser>
        <c:dLbls>
          <c:showLegendKey val="0"/>
          <c:showVal val="0"/>
          <c:showCatName val="0"/>
          <c:showSerName val="0"/>
          <c:showPercent val="0"/>
          <c:showBubbleSize val="0"/>
        </c:dLbls>
        <c:smooth val="0"/>
        <c:axId val="112561704"/>
        <c:axId val="111391824"/>
      </c:lineChart>
      <c:catAx>
        <c:axId val="112561704"/>
        <c:scaling>
          <c:orientation val="minMax"/>
        </c:scaling>
        <c:delete val="0"/>
        <c:axPos val="b"/>
        <c:numFmt formatCode="General" sourceLinked="0"/>
        <c:majorTickMark val="out"/>
        <c:minorTickMark val="none"/>
        <c:tickLblPos val="nextTo"/>
        <c:txPr>
          <a:bodyPr rot="1740000"/>
          <a:lstStyle/>
          <a:p>
            <a:pPr>
              <a:defRPr/>
            </a:pPr>
            <a:endParaRPr lang="en-US"/>
          </a:p>
        </c:txPr>
        <c:crossAx val="111391824"/>
        <c:crosses val="autoZero"/>
        <c:auto val="1"/>
        <c:lblAlgn val="ctr"/>
        <c:lblOffset val="100"/>
        <c:noMultiLvlLbl val="0"/>
      </c:catAx>
      <c:valAx>
        <c:axId val="111391824"/>
        <c:scaling>
          <c:orientation val="minMax"/>
        </c:scaling>
        <c:delete val="0"/>
        <c:axPos val="l"/>
        <c:majorGridlines>
          <c:spPr>
            <a:ln>
              <a:prstDash val="dash"/>
            </a:ln>
          </c:spPr>
        </c:majorGridlines>
        <c:title>
          <c:tx>
            <c:rich>
              <a:bodyPr rot="0" vert="horz"/>
              <a:lstStyle/>
              <a:p>
                <a:pPr>
                  <a:defRPr/>
                </a:pPr>
                <a:r>
                  <a:rPr lang="en-US" i="1"/>
                  <a:t>v-m-v,</a:t>
                </a:r>
                <a:r>
                  <a:rPr lang="en-US" i="1" baseline="0"/>
                  <a:t> %</a:t>
                </a:r>
                <a:endParaRPr lang="en-US" i="1"/>
              </a:p>
            </c:rich>
          </c:tx>
          <c:layout>
            <c:manualLayout>
              <c:xMode val="edge"/>
              <c:yMode val="edge"/>
              <c:x val="5.7866177856937496E-3"/>
              <c:y val="3.0994493753758616E-2"/>
            </c:manualLayout>
          </c:layout>
          <c:overlay val="0"/>
        </c:title>
        <c:numFmt formatCode="0.0" sourceLinked="1"/>
        <c:majorTickMark val="out"/>
        <c:minorTickMark val="none"/>
        <c:tickLblPos val="nextTo"/>
        <c:crossAx val="112561704"/>
        <c:crosses val="autoZero"/>
        <c:crossBetween val="between"/>
      </c:valAx>
    </c:plotArea>
    <c:legend>
      <c:legendPos val="t"/>
      <c:layout>
        <c:manualLayout>
          <c:xMode val="edge"/>
          <c:yMode val="edge"/>
          <c:x val="7.9369258594165285E-2"/>
          <c:y val="2.9166733650635025E-2"/>
          <c:w val="0.89999991958111414"/>
          <c:h val="8.5431626647436532E-2"/>
        </c:manualLayout>
      </c:layout>
      <c:overlay val="0"/>
      <c:txPr>
        <a:bodyPr/>
        <a:lstStyle/>
        <a:p>
          <a:pPr>
            <a:defRPr sz="1000"/>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87581949258444"/>
          <c:y val="4.8545038815181359E-2"/>
          <c:w val="0.8574185534886184"/>
          <c:h val="0.68729579789148432"/>
        </c:manualLayout>
      </c:layout>
      <c:barChart>
        <c:barDir val="col"/>
        <c:grouping val="clustered"/>
        <c:varyColors val="0"/>
        <c:ser>
          <c:idx val="0"/>
          <c:order val="0"/>
          <c:tx>
            <c:strRef>
              <c:f>'[Grafiku 3-TREGU I PUNES_fin.XLSX]pagat bruto pa outliers'!$AO$96</c:f>
              <c:strCache>
                <c:ptCount val="1"/>
                <c:pt idx="0">
                  <c:v>Sektori Publik</c:v>
                </c:pt>
              </c:strCache>
            </c:strRef>
          </c:tx>
          <c:invertIfNegative val="0"/>
          <c:cat>
            <c:strRef>
              <c:f>'[Grafiku 3-TREGU I PUNES_fin.XLSX]pagat bruto pa outliers'!$AN$98:$AN$108</c:f>
              <c:strCache>
                <c:ptCount val="11"/>
                <c:pt idx="0">
                  <c:v>2018Q1</c:v>
                </c:pt>
                <c:pt idx="1">
                  <c:v>2018Q2</c:v>
                </c:pt>
                <c:pt idx="2">
                  <c:v>2018Q3</c:v>
                </c:pt>
                <c:pt idx="3">
                  <c:v>2018Q4</c:v>
                </c:pt>
                <c:pt idx="4">
                  <c:v>2019Q1</c:v>
                </c:pt>
                <c:pt idx="5">
                  <c:v>2019Q2</c:v>
                </c:pt>
                <c:pt idx="6">
                  <c:v>2019Q3</c:v>
                </c:pt>
                <c:pt idx="7">
                  <c:v>2019Q4</c:v>
                </c:pt>
                <c:pt idx="8">
                  <c:v>2020Q1</c:v>
                </c:pt>
                <c:pt idx="9">
                  <c:v>2020Q2</c:v>
                </c:pt>
                <c:pt idx="10">
                  <c:v>2020Q3</c:v>
                </c:pt>
              </c:strCache>
            </c:strRef>
          </c:cat>
          <c:val>
            <c:numRef>
              <c:f>'[Grafiku 3-TREGU I PUNES_fin.XLSX]pagat bruto pa outliers'!$AO$98:$AO$108</c:f>
              <c:numCache>
                <c:formatCode>_(* #,##0.00_);_(* \(#,##0.00\);_(* "-"??_);_(@_)</c:formatCode>
                <c:ptCount val="11"/>
                <c:pt idx="0">
                  <c:v>570.90349244140828</c:v>
                </c:pt>
                <c:pt idx="1">
                  <c:v>596.56547375211017</c:v>
                </c:pt>
                <c:pt idx="2">
                  <c:v>582.79036578634316</c:v>
                </c:pt>
                <c:pt idx="3">
                  <c:v>604.32058580185958</c:v>
                </c:pt>
                <c:pt idx="4">
                  <c:v>585.22141385626946</c:v>
                </c:pt>
                <c:pt idx="5">
                  <c:v>597.58698889879736</c:v>
                </c:pt>
                <c:pt idx="6">
                  <c:v>607.5456038176502</c:v>
                </c:pt>
                <c:pt idx="7">
                  <c:v>564.68203595656416</c:v>
                </c:pt>
                <c:pt idx="8">
                  <c:v>588.54692546008323</c:v>
                </c:pt>
                <c:pt idx="9">
                  <c:v>653.83110814255997</c:v>
                </c:pt>
                <c:pt idx="10">
                  <c:v>638.79180960703138</c:v>
                </c:pt>
              </c:numCache>
            </c:numRef>
          </c:val>
          <c:extLst>
            <c:ext xmlns:c16="http://schemas.microsoft.com/office/drawing/2014/chart" uri="{C3380CC4-5D6E-409C-BE32-E72D297353CC}">
              <c16:uniqueId val="{00000000-9CE2-4D14-BA81-396B0F7BD3F7}"/>
            </c:ext>
          </c:extLst>
        </c:ser>
        <c:ser>
          <c:idx val="1"/>
          <c:order val="1"/>
          <c:tx>
            <c:strRef>
              <c:f>'[Grafiku 3-TREGU I PUNES_fin.XLSX]pagat bruto pa outliers'!$AP$96</c:f>
              <c:strCache>
                <c:ptCount val="1"/>
                <c:pt idx="0">
                  <c:v>Sektori Privat</c:v>
                </c:pt>
              </c:strCache>
            </c:strRef>
          </c:tx>
          <c:invertIfNegative val="0"/>
          <c:cat>
            <c:strRef>
              <c:f>'[Grafiku 3-TREGU I PUNES_fin.XLSX]pagat bruto pa outliers'!$AN$98:$AN$108</c:f>
              <c:strCache>
                <c:ptCount val="11"/>
                <c:pt idx="0">
                  <c:v>2018Q1</c:v>
                </c:pt>
                <c:pt idx="1">
                  <c:v>2018Q2</c:v>
                </c:pt>
                <c:pt idx="2">
                  <c:v>2018Q3</c:v>
                </c:pt>
                <c:pt idx="3">
                  <c:v>2018Q4</c:v>
                </c:pt>
                <c:pt idx="4">
                  <c:v>2019Q1</c:v>
                </c:pt>
                <c:pt idx="5">
                  <c:v>2019Q2</c:v>
                </c:pt>
                <c:pt idx="6">
                  <c:v>2019Q3</c:v>
                </c:pt>
                <c:pt idx="7">
                  <c:v>2019Q4</c:v>
                </c:pt>
                <c:pt idx="8">
                  <c:v>2020Q1</c:v>
                </c:pt>
                <c:pt idx="9">
                  <c:v>2020Q2</c:v>
                </c:pt>
                <c:pt idx="10">
                  <c:v>2020Q3</c:v>
                </c:pt>
              </c:strCache>
            </c:strRef>
          </c:cat>
          <c:val>
            <c:numRef>
              <c:f>'[Grafiku 3-TREGU I PUNES_fin.XLSX]pagat bruto pa outliers'!$AP$98:$AP$108</c:f>
              <c:numCache>
                <c:formatCode>_(* #,##0.00_);_(* \(#,##0.00\);_(* "-"??_);_(@_)</c:formatCode>
                <c:ptCount val="11"/>
                <c:pt idx="0">
                  <c:v>413.45364927443524</c:v>
                </c:pt>
                <c:pt idx="1">
                  <c:v>419.26448553193541</c:v>
                </c:pt>
                <c:pt idx="2">
                  <c:v>419.68901061755957</c:v>
                </c:pt>
                <c:pt idx="3">
                  <c:v>434.4756807983884</c:v>
                </c:pt>
                <c:pt idx="4">
                  <c:v>563.10896926135786</c:v>
                </c:pt>
                <c:pt idx="5">
                  <c:v>571.91376966969585</c:v>
                </c:pt>
                <c:pt idx="6">
                  <c:v>550.09173568757842</c:v>
                </c:pt>
                <c:pt idx="7">
                  <c:v>567.1544255315672</c:v>
                </c:pt>
                <c:pt idx="8">
                  <c:v>567.30110133103699</c:v>
                </c:pt>
                <c:pt idx="9">
                  <c:v>545.10505616246724</c:v>
                </c:pt>
                <c:pt idx="10">
                  <c:v>553.55602186890258</c:v>
                </c:pt>
              </c:numCache>
            </c:numRef>
          </c:val>
          <c:extLst>
            <c:ext xmlns:c16="http://schemas.microsoft.com/office/drawing/2014/chart" uri="{C3380CC4-5D6E-409C-BE32-E72D297353CC}">
              <c16:uniqueId val="{00000001-9CE2-4D14-BA81-396B0F7BD3F7}"/>
            </c:ext>
          </c:extLst>
        </c:ser>
        <c:ser>
          <c:idx val="2"/>
          <c:order val="2"/>
          <c:tx>
            <c:strRef>
              <c:f>'[Grafiku 3-TREGU I PUNES_fin.XLSX]pagat bruto pa outliers'!$AQ$96</c:f>
              <c:strCache>
                <c:ptCount val="1"/>
                <c:pt idx="0">
                  <c:v>Tjetër</c:v>
                </c:pt>
              </c:strCache>
            </c:strRef>
          </c:tx>
          <c:invertIfNegative val="0"/>
          <c:cat>
            <c:strRef>
              <c:f>'[Grafiku 3-TREGU I PUNES_fin.XLSX]pagat bruto pa outliers'!$AN$98:$AN$108</c:f>
              <c:strCache>
                <c:ptCount val="11"/>
                <c:pt idx="0">
                  <c:v>2018Q1</c:v>
                </c:pt>
                <c:pt idx="1">
                  <c:v>2018Q2</c:v>
                </c:pt>
                <c:pt idx="2">
                  <c:v>2018Q3</c:v>
                </c:pt>
                <c:pt idx="3">
                  <c:v>2018Q4</c:v>
                </c:pt>
                <c:pt idx="4">
                  <c:v>2019Q1</c:v>
                </c:pt>
                <c:pt idx="5">
                  <c:v>2019Q2</c:v>
                </c:pt>
                <c:pt idx="6">
                  <c:v>2019Q3</c:v>
                </c:pt>
                <c:pt idx="7">
                  <c:v>2019Q4</c:v>
                </c:pt>
                <c:pt idx="8">
                  <c:v>2020Q1</c:v>
                </c:pt>
                <c:pt idx="9">
                  <c:v>2020Q2</c:v>
                </c:pt>
                <c:pt idx="10">
                  <c:v>2020Q3</c:v>
                </c:pt>
              </c:strCache>
            </c:strRef>
          </c:cat>
          <c:val>
            <c:numRef>
              <c:f>'[Grafiku 3-TREGU I PUNES_fin.XLSX]pagat bruto pa outliers'!$AQ$98:$AQ$108</c:f>
              <c:numCache>
                <c:formatCode>_(* #,##0.00_);_(* \(#,##0.00\);_(* "-"??_);_(@_)</c:formatCode>
                <c:ptCount val="11"/>
                <c:pt idx="0">
                  <c:v>782.03816065811986</c:v>
                </c:pt>
                <c:pt idx="1">
                  <c:v>784.32282884432948</c:v>
                </c:pt>
                <c:pt idx="2">
                  <c:v>793.81195978944186</c:v>
                </c:pt>
                <c:pt idx="3">
                  <c:v>943.37992659128099</c:v>
                </c:pt>
                <c:pt idx="4">
                  <c:v>709.46691228843451</c:v>
                </c:pt>
                <c:pt idx="5">
                  <c:v>810.61834600867587</c:v>
                </c:pt>
                <c:pt idx="6">
                  <c:v>824.92974695767418</c:v>
                </c:pt>
                <c:pt idx="7">
                  <c:v>688.67683363990022</c:v>
                </c:pt>
                <c:pt idx="8">
                  <c:v>903.92771784910792</c:v>
                </c:pt>
                <c:pt idx="9">
                  <c:v>910.2664107042159</c:v>
                </c:pt>
                <c:pt idx="10">
                  <c:v>911.31899112847145</c:v>
                </c:pt>
              </c:numCache>
            </c:numRef>
          </c:val>
          <c:extLst>
            <c:ext xmlns:c16="http://schemas.microsoft.com/office/drawing/2014/chart" uri="{C3380CC4-5D6E-409C-BE32-E72D297353CC}">
              <c16:uniqueId val="{00000002-9CE2-4D14-BA81-396B0F7BD3F7}"/>
            </c:ext>
          </c:extLst>
        </c:ser>
        <c:dLbls>
          <c:showLegendKey val="0"/>
          <c:showVal val="0"/>
          <c:showCatName val="0"/>
          <c:showSerName val="0"/>
          <c:showPercent val="0"/>
          <c:showBubbleSize val="0"/>
        </c:dLbls>
        <c:gapWidth val="219"/>
        <c:overlap val="-27"/>
        <c:axId val="111394176"/>
        <c:axId val="111394960"/>
      </c:barChart>
      <c:lineChart>
        <c:grouping val="standard"/>
        <c:varyColors val="0"/>
        <c:ser>
          <c:idx val="3"/>
          <c:order val="3"/>
          <c:tx>
            <c:strRef>
              <c:f>'[Grafiku 3-TREGU I PUNES_fin.XLSX]pagat bruto pa outliers'!$AR$96</c:f>
              <c:strCache>
                <c:ptCount val="1"/>
                <c:pt idx="0">
                  <c:v>Mesatarja</c:v>
                </c:pt>
              </c:strCache>
            </c:strRef>
          </c:tx>
          <c:marker>
            <c:symbol val="none"/>
          </c:marker>
          <c:cat>
            <c:numRef>
              <c:f>'[Grafiku 3-TREGU I PUNES_fin.XLSX]pagat bruto pa outliers'!$AX$97:$AX$104</c:f>
              <c:numCache>
                <c:formatCode>General</c:formatCode>
                <c:ptCount val="8"/>
                <c:pt idx="0">
                  <c:v>2012</c:v>
                </c:pt>
                <c:pt idx="1">
                  <c:v>2013</c:v>
                </c:pt>
                <c:pt idx="2">
                  <c:v>2014</c:v>
                </c:pt>
                <c:pt idx="3">
                  <c:v>2015</c:v>
                </c:pt>
                <c:pt idx="4">
                  <c:v>2016</c:v>
                </c:pt>
                <c:pt idx="5">
                  <c:v>2017</c:v>
                </c:pt>
                <c:pt idx="6">
                  <c:v>2018</c:v>
                </c:pt>
                <c:pt idx="7">
                  <c:v>2019</c:v>
                </c:pt>
              </c:numCache>
            </c:numRef>
          </c:cat>
          <c:val>
            <c:numRef>
              <c:f>'[Grafiku 3-TREGU I PUNES_fin.XLSX]pagat bruto pa outliers'!$AR$98:$AR$108</c:f>
              <c:numCache>
                <c:formatCode>_(* #,##0.00_);_(* \(#,##0.00\);_(* "-"??_);_(@_)</c:formatCode>
                <c:ptCount val="11"/>
                <c:pt idx="0">
                  <c:v>466.15770996682193</c:v>
                </c:pt>
                <c:pt idx="1">
                  <c:v>476.07625504310812</c:v>
                </c:pt>
                <c:pt idx="2">
                  <c:v>471.31784264045052</c:v>
                </c:pt>
                <c:pt idx="3">
                  <c:v>489.86559827956251</c:v>
                </c:pt>
                <c:pt idx="4">
                  <c:v>571.21497757039879</c:v>
                </c:pt>
                <c:pt idx="5">
                  <c:v>581.86304373758639</c:v>
                </c:pt>
                <c:pt idx="6">
                  <c:v>569.08168319331082</c:v>
                </c:pt>
                <c:pt idx="7">
                  <c:v>568.1460329930311</c:v>
                </c:pt>
                <c:pt idx="8">
                  <c:v>576.69650787753687</c:v>
                </c:pt>
                <c:pt idx="9">
                  <c:v>579.41086780045123</c:v>
                </c:pt>
                <c:pt idx="10">
                  <c:v>579.21952149378046</c:v>
                </c:pt>
              </c:numCache>
            </c:numRef>
          </c:val>
          <c:smooth val="0"/>
          <c:extLst>
            <c:ext xmlns:c16="http://schemas.microsoft.com/office/drawing/2014/chart" uri="{C3380CC4-5D6E-409C-BE32-E72D297353CC}">
              <c16:uniqueId val="{00000003-9CE2-4D14-BA81-396B0F7BD3F7}"/>
            </c:ext>
          </c:extLst>
        </c:ser>
        <c:dLbls>
          <c:showLegendKey val="0"/>
          <c:showVal val="0"/>
          <c:showCatName val="0"/>
          <c:showSerName val="0"/>
          <c:showPercent val="0"/>
          <c:showBubbleSize val="0"/>
        </c:dLbls>
        <c:marker val="1"/>
        <c:smooth val="0"/>
        <c:axId val="111394176"/>
        <c:axId val="111394960"/>
      </c:lineChart>
      <c:catAx>
        <c:axId val="111394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11394960"/>
        <c:crosses val="autoZero"/>
        <c:auto val="1"/>
        <c:lblAlgn val="ctr"/>
        <c:lblOffset val="100"/>
        <c:noMultiLvlLbl val="0"/>
      </c:catAx>
      <c:valAx>
        <c:axId val="111394960"/>
        <c:scaling>
          <c:orientation val="minMax"/>
        </c:scaling>
        <c:delete val="0"/>
        <c:axPos val="l"/>
        <c:majorGridlines>
          <c:spPr>
            <a:ln w="9525" cap="flat" cmpd="sng" algn="ctr">
              <a:solidFill>
                <a:schemeClr val="tx1">
                  <a:lumMod val="15000"/>
                  <a:lumOff val="85000"/>
                </a:schemeClr>
              </a:solidFill>
              <a:prstDash val="dash"/>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Eur</a:t>
                </a:r>
              </a:p>
            </c:rich>
          </c:tx>
          <c:layout/>
          <c:overlay val="0"/>
          <c:spPr>
            <a:noFill/>
            <a:ln>
              <a:noFill/>
            </a:ln>
            <a:effectLst/>
          </c:spPr>
        </c:title>
        <c:numFmt formatCode="_(* #,##0_);_(* \(#,##0\);_(* &quot;-&quot;_);_(@_)"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113941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820476504819652E-2"/>
          <c:y val="7.9283770393146102E-2"/>
          <c:w val="0.85006418612209145"/>
          <c:h val="0.73811191255536379"/>
        </c:manualLayout>
      </c:layout>
      <c:barChart>
        <c:barDir val="col"/>
        <c:grouping val="stacked"/>
        <c:varyColors val="0"/>
        <c:ser>
          <c:idx val="1"/>
          <c:order val="0"/>
          <c:tx>
            <c:strRef>
              <c:f>Sheet1!$Q$14</c:f>
              <c:strCache>
                <c:ptCount val="1"/>
                <c:pt idx="0">
                  <c:v>Konsumi privat</c:v>
                </c:pt>
              </c:strCache>
            </c:strRef>
          </c:tx>
          <c:invertIfNegative val="0"/>
          <c:cat>
            <c:numRef>
              <c:f>Sheet1!$U$12:$AA$12</c:f>
              <c:numCache>
                <c:formatCode>General</c:formatCode>
                <c:ptCount val="7"/>
                <c:pt idx="0">
                  <c:v>2017</c:v>
                </c:pt>
                <c:pt idx="1">
                  <c:v>2018</c:v>
                </c:pt>
                <c:pt idx="2">
                  <c:v>2019</c:v>
                </c:pt>
                <c:pt idx="3">
                  <c:v>2020</c:v>
                </c:pt>
                <c:pt idx="4">
                  <c:v>2021</c:v>
                </c:pt>
                <c:pt idx="5">
                  <c:v>2022</c:v>
                </c:pt>
                <c:pt idx="6">
                  <c:v>2023</c:v>
                </c:pt>
              </c:numCache>
            </c:numRef>
          </c:cat>
          <c:val>
            <c:numRef>
              <c:f>Sheet1!$U$14:$AA$14</c:f>
              <c:numCache>
                <c:formatCode>_(* #,##0.00_);_(* \(#,##0.00\);_(* "-"??_);_(@_)</c:formatCode>
                <c:ptCount val="7"/>
                <c:pt idx="0">
                  <c:v>1.5683546400968387</c:v>
                </c:pt>
                <c:pt idx="1">
                  <c:v>4.0225136032679085</c:v>
                </c:pt>
                <c:pt idx="2">
                  <c:v>0.22598836457276006</c:v>
                </c:pt>
                <c:pt idx="3">
                  <c:v>-0.33182072763855885</c:v>
                </c:pt>
                <c:pt idx="4">
                  <c:v>1.2162221475320993</c:v>
                </c:pt>
                <c:pt idx="5">
                  <c:v>2.8106233187947609</c:v>
                </c:pt>
                <c:pt idx="6">
                  <c:v>2.2628633195175709</c:v>
                </c:pt>
              </c:numCache>
            </c:numRef>
          </c:val>
          <c:extLst>
            <c:ext xmlns:c16="http://schemas.microsoft.com/office/drawing/2014/chart" uri="{C3380CC4-5D6E-409C-BE32-E72D297353CC}">
              <c16:uniqueId val="{00000000-1A53-4C04-B0AA-E29616346C9C}"/>
            </c:ext>
          </c:extLst>
        </c:ser>
        <c:ser>
          <c:idx val="2"/>
          <c:order val="1"/>
          <c:tx>
            <c:strRef>
              <c:f>Sheet1!$Q$15</c:f>
              <c:strCache>
                <c:ptCount val="1"/>
                <c:pt idx="0">
                  <c:v>Konsumi publik </c:v>
                </c:pt>
              </c:strCache>
            </c:strRef>
          </c:tx>
          <c:invertIfNegative val="0"/>
          <c:cat>
            <c:numRef>
              <c:f>Sheet1!$U$12:$AA$12</c:f>
              <c:numCache>
                <c:formatCode>General</c:formatCode>
                <c:ptCount val="7"/>
                <c:pt idx="0">
                  <c:v>2017</c:v>
                </c:pt>
                <c:pt idx="1">
                  <c:v>2018</c:v>
                </c:pt>
                <c:pt idx="2">
                  <c:v>2019</c:v>
                </c:pt>
                <c:pt idx="3">
                  <c:v>2020</c:v>
                </c:pt>
                <c:pt idx="4">
                  <c:v>2021</c:v>
                </c:pt>
                <c:pt idx="5">
                  <c:v>2022</c:v>
                </c:pt>
                <c:pt idx="6">
                  <c:v>2023</c:v>
                </c:pt>
              </c:numCache>
            </c:numRef>
          </c:cat>
          <c:val>
            <c:numRef>
              <c:f>Sheet1!$U$15:$AA$15</c:f>
              <c:numCache>
                <c:formatCode>0.00</c:formatCode>
                <c:ptCount val="7"/>
                <c:pt idx="0">
                  <c:v>-7.7429273198057244E-2</c:v>
                </c:pt>
                <c:pt idx="1">
                  <c:v>1.2005176257815047</c:v>
                </c:pt>
                <c:pt idx="2">
                  <c:v>1.3428466505402179</c:v>
                </c:pt>
                <c:pt idx="3">
                  <c:v>0.18489768661105752</c:v>
                </c:pt>
                <c:pt idx="4">
                  <c:v>0.23964695694766833</c:v>
                </c:pt>
                <c:pt idx="5">
                  <c:v>0.46502014219659904</c:v>
                </c:pt>
                <c:pt idx="6">
                  <c:v>0.37192752087835235</c:v>
                </c:pt>
              </c:numCache>
            </c:numRef>
          </c:val>
          <c:extLst>
            <c:ext xmlns:c16="http://schemas.microsoft.com/office/drawing/2014/chart" uri="{C3380CC4-5D6E-409C-BE32-E72D297353CC}">
              <c16:uniqueId val="{00000001-1A53-4C04-B0AA-E29616346C9C}"/>
            </c:ext>
          </c:extLst>
        </c:ser>
        <c:ser>
          <c:idx val="3"/>
          <c:order val="2"/>
          <c:tx>
            <c:strRef>
              <c:f>Sheet1!$Q$16</c:f>
              <c:strCache>
                <c:ptCount val="1"/>
                <c:pt idx="0">
                  <c:v>Investimet Private </c:v>
                </c:pt>
              </c:strCache>
            </c:strRef>
          </c:tx>
          <c:invertIfNegative val="0"/>
          <c:cat>
            <c:numRef>
              <c:f>Sheet1!$U$12:$AA$12</c:f>
              <c:numCache>
                <c:formatCode>General</c:formatCode>
                <c:ptCount val="7"/>
                <c:pt idx="0">
                  <c:v>2017</c:v>
                </c:pt>
                <c:pt idx="1">
                  <c:v>2018</c:v>
                </c:pt>
                <c:pt idx="2">
                  <c:v>2019</c:v>
                </c:pt>
                <c:pt idx="3">
                  <c:v>2020</c:v>
                </c:pt>
                <c:pt idx="4">
                  <c:v>2021</c:v>
                </c:pt>
                <c:pt idx="5">
                  <c:v>2022</c:v>
                </c:pt>
                <c:pt idx="6">
                  <c:v>2023</c:v>
                </c:pt>
              </c:numCache>
            </c:numRef>
          </c:cat>
          <c:val>
            <c:numRef>
              <c:f>Sheet1!$U$16:$AA$16</c:f>
              <c:numCache>
                <c:formatCode>_(* #,##0.00_);_(* \(#,##0.00\);_(* "-"??_);_(@_)</c:formatCode>
                <c:ptCount val="7"/>
                <c:pt idx="0">
                  <c:v>1.8955749752614883</c:v>
                </c:pt>
                <c:pt idx="1">
                  <c:v>1.3355052604423108</c:v>
                </c:pt>
                <c:pt idx="2">
                  <c:v>2.0399052057091995</c:v>
                </c:pt>
                <c:pt idx="3">
                  <c:v>-4.0992348893978239</c:v>
                </c:pt>
                <c:pt idx="4">
                  <c:v>1.9985372015667695</c:v>
                </c:pt>
                <c:pt idx="5">
                  <c:v>1.4833491002630734</c:v>
                </c:pt>
                <c:pt idx="6">
                  <c:v>1.4328705397810872</c:v>
                </c:pt>
              </c:numCache>
            </c:numRef>
          </c:val>
          <c:extLst>
            <c:ext xmlns:c16="http://schemas.microsoft.com/office/drawing/2014/chart" uri="{C3380CC4-5D6E-409C-BE32-E72D297353CC}">
              <c16:uniqueId val="{00000002-1A53-4C04-B0AA-E29616346C9C}"/>
            </c:ext>
          </c:extLst>
        </c:ser>
        <c:ser>
          <c:idx val="4"/>
          <c:order val="3"/>
          <c:tx>
            <c:strRef>
              <c:f>Sheet1!$Q$17</c:f>
              <c:strCache>
                <c:ptCount val="1"/>
                <c:pt idx="0">
                  <c:v>Investimet Publike </c:v>
                </c:pt>
              </c:strCache>
            </c:strRef>
          </c:tx>
          <c:invertIfNegative val="0"/>
          <c:cat>
            <c:numRef>
              <c:f>Sheet1!$U$12:$AA$12</c:f>
              <c:numCache>
                <c:formatCode>General</c:formatCode>
                <c:ptCount val="7"/>
                <c:pt idx="0">
                  <c:v>2017</c:v>
                </c:pt>
                <c:pt idx="1">
                  <c:v>2018</c:v>
                </c:pt>
                <c:pt idx="2">
                  <c:v>2019</c:v>
                </c:pt>
                <c:pt idx="3">
                  <c:v>2020</c:v>
                </c:pt>
                <c:pt idx="4">
                  <c:v>2021</c:v>
                </c:pt>
                <c:pt idx="5">
                  <c:v>2022</c:v>
                </c:pt>
                <c:pt idx="6">
                  <c:v>2023</c:v>
                </c:pt>
              </c:numCache>
            </c:numRef>
          </c:cat>
          <c:val>
            <c:numRef>
              <c:f>Sheet1!$U$17:$Y$17</c:f>
              <c:numCache>
                <c:formatCode>_(* #,##0.00_);_(* \(#,##0.00\);_(* "-"??_);_(@_)</c:formatCode>
                <c:ptCount val="5"/>
                <c:pt idx="0">
                  <c:v>-0.37829070684846994</c:v>
                </c:pt>
                <c:pt idx="1">
                  <c:v>0.95951025273999313</c:v>
                </c:pt>
                <c:pt idx="2">
                  <c:v>-0.11751734128437989</c:v>
                </c:pt>
                <c:pt idx="3">
                  <c:v>-1.6839041469063414</c:v>
                </c:pt>
                <c:pt idx="4">
                  <c:v>2.0354527508802032</c:v>
                </c:pt>
              </c:numCache>
            </c:numRef>
          </c:val>
          <c:extLst>
            <c:ext xmlns:c16="http://schemas.microsoft.com/office/drawing/2014/chart" uri="{C3380CC4-5D6E-409C-BE32-E72D297353CC}">
              <c16:uniqueId val="{00000003-1A53-4C04-B0AA-E29616346C9C}"/>
            </c:ext>
          </c:extLst>
        </c:ser>
        <c:ser>
          <c:idx val="5"/>
          <c:order val="4"/>
          <c:tx>
            <c:strRef>
              <c:f>Sheet1!$Q$18</c:f>
              <c:strCache>
                <c:ptCount val="1"/>
                <c:pt idx="0">
                  <c:v>Importi M&amp;SH</c:v>
                </c:pt>
              </c:strCache>
            </c:strRef>
          </c:tx>
          <c:invertIfNegative val="0"/>
          <c:cat>
            <c:numRef>
              <c:f>Sheet1!$U$12:$AA$12</c:f>
              <c:numCache>
                <c:formatCode>General</c:formatCode>
                <c:ptCount val="7"/>
                <c:pt idx="0">
                  <c:v>2017</c:v>
                </c:pt>
                <c:pt idx="1">
                  <c:v>2018</c:v>
                </c:pt>
                <c:pt idx="2">
                  <c:v>2019</c:v>
                </c:pt>
                <c:pt idx="3">
                  <c:v>2020</c:v>
                </c:pt>
                <c:pt idx="4">
                  <c:v>2021</c:v>
                </c:pt>
                <c:pt idx="5">
                  <c:v>2022</c:v>
                </c:pt>
                <c:pt idx="6">
                  <c:v>2023</c:v>
                </c:pt>
              </c:numCache>
            </c:numRef>
          </c:cat>
          <c:val>
            <c:numRef>
              <c:f>Sheet1!$U$18:$AA$18</c:f>
              <c:numCache>
                <c:formatCode>_(* #,##0.00_);_(* \(#,##0.00\);_(* "-"??_);_(@_)</c:formatCode>
                <c:ptCount val="7"/>
                <c:pt idx="0">
                  <c:v>-2.7551023554235465</c:v>
                </c:pt>
                <c:pt idx="1">
                  <c:v>-4.7334694959385155</c:v>
                </c:pt>
                <c:pt idx="2">
                  <c:v>-3.0914316214219086</c:v>
                </c:pt>
                <c:pt idx="3">
                  <c:v>4.0328618283044602</c:v>
                </c:pt>
                <c:pt idx="4">
                  <c:v>-3.9214304337908237</c:v>
                </c:pt>
                <c:pt idx="5">
                  <c:v>-3.2365445533531427</c:v>
                </c:pt>
                <c:pt idx="6">
                  <c:v>-2.1950216827787026</c:v>
                </c:pt>
              </c:numCache>
            </c:numRef>
          </c:val>
          <c:extLst>
            <c:ext xmlns:c16="http://schemas.microsoft.com/office/drawing/2014/chart" uri="{C3380CC4-5D6E-409C-BE32-E72D297353CC}">
              <c16:uniqueId val="{00000004-1A53-4C04-B0AA-E29616346C9C}"/>
            </c:ext>
          </c:extLst>
        </c:ser>
        <c:ser>
          <c:idx val="6"/>
          <c:order val="5"/>
          <c:tx>
            <c:strRef>
              <c:f>Sheet1!$Q$19</c:f>
              <c:strCache>
                <c:ptCount val="1"/>
                <c:pt idx="0">
                  <c:v>Eksporti M&amp;SH</c:v>
                </c:pt>
              </c:strCache>
            </c:strRef>
          </c:tx>
          <c:invertIfNegative val="0"/>
          <c:cat>
            <c:numRef>
              <c:f>Sheet1!$U$12:$AA$12</c:f>
              <c:numCache>
                <c:formatCode>General</c:formatCode>
                <c:ptCount val="7"/>
                <c:pt idx="0">
                  <c:v>2017</c:v>
                </c:pt>
                <c:pt idx="1">
                  <c:v>2018</c:v>
                </c:pt>
                <c:pt idx="2">
                  <c:v>2019</c:v>
                </c:pt>
                <c:pt idx="3">
                  <c:v>2020</c:v>
                </c:pt>
                <c:pt idx="4">
                  <c:v>2021</c:v>
                </c:pt>
                <c:pt idx="5">
                  <c:v>2022</c:v>
                </c:pt>
                <c:pt idx="6">
                  <c:v>2023</c:v>
                </c:pt>
              </c:numCache>
            </c:numRef>
          </c:cat>
          <c:val>
            <c:numRef>
              <c:f>Sheet1!$U$19:$AA$19</c:f>
              <c:numCache>
                <c:formatCode>_(* #,##0.00_);_(* \(#,##0.00\);_(* "-"??_);_(@_)</c:formatCode>
                <c:ptCount val="7"/>
                <c:pt idx="0">
                  <c:v>3.9699893073874648</c:v>
                </c:pt>
                <c:pt idx="1">
                  <c:v>1.0181013112147013</c:v>
                </c:pt>
                <c:pt idx="2">
                  <c:v>4.538351860910109</c:v>
                </c:pt>
                <c:pt idx="3">
                  <c:v>-4.9055600024832344</c:v>
                </c:pt>
                <c:pt idx="4">
                  <c:v>3.667764022070473</c:v>
                </c:pt>
                <c:pt idx="5">
                  <c:v>1.5900708752911201</c:v>
                </c:pt>
                <c:pt idx="6">
                  <c:v>1.6168062938539545</c:v>
                </c:pt>
              </c:numCache>
            </c:numRef>
          </c:val>
          <c:extLst>
            <c:ext xmlns:c16="http://schemas.microsoft.com/office/drawing/2014/chart" uri="{C3380CC4-5D6E-409C-BE32-E72D297353CC}">
              <c16:uniqueId val="{00000005-1A53-4C04-B0AA-E29616346C9C}"/>
            </c:ext>
          </c:extLst>
        </c:ser>
        <c:dLbls>
          <c:showLegendKey val="0"/>
          <c:showVal val="0"/>
          <c:showCatName val="0"/>
          <c:showSerName val="0"/>
          <c:showPercent val="0"/>
          <c:showBubbleSize val="0"/>
        </c:dLbls>
        <c:gapWidth val="150"/>
        <c:overlap val="100"/>
        <c:axId val="111393784"/>
        <c:axId val="111394568"/>
      </c:barChart>
      <c:lineChart>
        <c:grouping val="standard"/>
        <c:varyColors val="0"/>
        <c:ser>
          <c:idx val="0"/>
          <c:order val="6"/>
          <c:tx>
            <c:strRef>
              <c:f>Sheet1!$Q$13</c:f>
              <c:strCache>
                <c:ptCount val="1"/>
                <c:pt idx="0">
                  <c:v>Rritja Real e GDP-së, djathtas</c:v>
                </c:pt>
              </c:strCache>
            </c:strRef>
          </c:tx>
          <c:spPr>
            <a:ln>
              <a:solidFill>
                <a:schemeClr val="tx1"/>
              </a:solidFill>
            </a:ln>
          </c:spPr>
          <c:marker>
            <c:spPr>
              <a:solidFill>
                <a:schemeClr val="tx1"/>
              </a:solidFill>
            </c:spPr>
          </c:marker>
          <c:cat>
            <c:numRef>
              <c:f>Sheet1!$U$12:$Y$12</c:f>
              <c:numCache>
                <c:formatCode>General</c:formatCode>
                <c:ptCount val="5"/>
                <c:pt idx="0">
                  <c:v>2017</c:v>
                </c:pt>
                <c:pt idx="1">
                  <c:v>2018</c:v>
                </c:pt>
                <c:pt idx="2">
                  <c:v>2019</c:v>
                </c:pt>
                <c:pt idx="3">
                  <c:v>2020</c:v>
                </c:pt>
                <c:pt idx="4">
                  <c:v>2021</c:v>
                </c:pt>
              </c:numCache>
            </c:numRef>
          </c:cat>
          <c:val>
            <c:numRef>
              <c:f>Sheet1!$U$13:$AA$13</c:f>
              <c:numCache>
                <c:formatCode>0.0%</c:formatCode>
                <c:ptCount val="7"/>
                <c:pt idx="0">
                  <c:v>4.2263914499649724E-2</c:v>
                </c:pt>
                <c:pt idx="1">
                  <c:v>3.8167105817053848E-2</c:v>
                </c:pt>
                <c:pt idx="2">
                  <c:v>4.9403732673605649E-2</c:v>
                </c:pt>
                <c:pt idx="3">
                  <c:v>-6.7015150291228731E-2</c:v>
                </c:pt>
                <c:pt idx="4">
                  <c:v>5.2270679167459644E-2</c:v>
                </c:pt>
                <c:pt idx="5">
                  <c:v>4.1015509994754895E-2</c:v>
                </c:pt>
                <c:pt idx="6">
                  <c:v>4.1796113108929278E-2</c:v>
                </c:pt>
              </c:numCache>
            </c:numRef>
          </c:val>
          <c:smooth val="0"/>
          <c:extLst>
            <c:ext xmlns:c16="http://schemas.microsoft.com/office/drawing/2014/chart" uri="{C3380CC4-5D6E-409C-BE32-E72D297353CC}">
              <c16:uniqueId val="{00000006-1A53-4C04-B0AA-E29616346C9C}"/>
            </c:ext>
          </c:extLst>
        </c:ser>
        <c:dLbls>
          <c:showLegendKey val="0"/>
          <c:showVal val="0"/>
          <c:showCatName val="0"/>
          <c:showSerName val="0"/>
          <c:showPercent val="0"/>
          <c:showBubbleSize val="0"/>
        </c:dLbls>
        <c:marker val="1"/>
        <c:smooth val="0"/>
        <c:axId val="112929424"/>
        <c:axId val="111392608"/>
      </c:lineChart>
      <c:catAx>
        <c:axId val="111393784"/>
        <c:scaling>
          <c:orientation val="minMax"/>
        </c:scaling>
        <c:delete val="0"/>
        <c:axPos val="b"/>
        <c:numFmt formatCode="General" sourceLinked="1"/>
        <c:majorTickMark val="out"/>
        <c:minorTickMark val="none"/>
        <c:tickLblPos val="nextTo"/>
        <c:crossAx val="111394568"/>
        <c:crosses val="autoZero"/>
        <c:auto val="1"/>
        <c:lblAlgn val="ctr"/>
        <c:lblOffset val="100"/>
        <c:noMultiLvlLbl val="0"/>
      </c:catAx>
      <c:valAx>
        <c:axId val="111394568"/>
        <c:scaling>
          <c:orientation val="minMax"/>
        </c:scaling>
        <c:delete val="0"/>
        <c:axPos val="l"/>
        <c:majorGridlines>
          <c:spPr>
            <a:ln>
              <a:prstDash val="dash"/>
            </a:ln>
          </c:spPr>
        </c:majorGridlines>
        <c:title>
          <c:tx>
            <c:rich>
              <a:bodyPr rot="0" vert="horz"/>
              <a:lstStyle/>
              <a:p>
                <a:pPr>
                  <a:defRPr/>
                </a:pPr>
                <a:r>
                  <a:rPr lang="en-US"/>
                  <a:t>p.p</a:t>
                </a:r>
              </a:p>
            </c:rich>
          </c:tx>
          <c:layout>
            <c:manualLayout>
              <c:xMode val="edge"/>
              <c:yMode val="edge"/>
              <c:x val="0"/>
              <c:y val="9.381649533318384E-4"/>
            </c:manualLayout>
          </c:layout>
          <c:overlay val="0"/>
        </c:title>
        <c:numFmt formatCode="_(* #,##0.00_);_(* \(#,##0.00\);_(* &quot;-&quot;??_);_(@_)" sourceLinked="1"/>
        <c:majorTickMark val="out"/>
        <c:minorTickMark val="none"/>
        <c:tickLblPos val="nextTo"/>
        <c:txPr>
          <a:bodyPr/>
          <a:lstStyle/>
          <a:p>
            <a:pPr>
              <a:defRPr sz="800"/>
            </a:pPr>
            <a:endParaRPr lang="en-US"/>
          </a:p>
        </c:txPr>
        <c:crossAx val="111393784"/>
        <c:crosses val="autoZero"/>
        <c:crossBetween val="between"/>
        <c:majorUnit val="2"/>
        <c:minorUnit val="2"/>
      </c:valAx>
      <c:valAx>
        <c:axId val="111392608"/>
        <c:scaling>
          <c:orientation val="minMax"/>
        </c:scaling>
        <c:delete val="0"/>
        <c:axPos val="r"/>
        <c:title>
          <c:tx>
            <c:rich>
              <a:bodyPr rot="0" vert="horz"/>
              <a:lstStyle/>
              <a:p>
                <a:pPr>
                  <a:defRPr/>
                </a:pPr>
                <a:r>
                  <a:rPr lang="en-US"/>
                  <a:t>v-m-v,</a:t>
                </a:r>
                <a:r>
                  <a:rPr lang="en-US" baseline="0"/>
                  <a:t> %</a:t>
                </a:r>
                <a:endParaRPr lang="en-US"/>
              </a:p>
            </c:rich>
          </c:tx>
          <c:layout>
            <c:manualLayout>
              <c:xMode val="edge"/>
              <c:yMode val="edge"/>
              <c:x val="0.92154329295648274"/>
              <c:y val="9.381649533318384E-4"/>
            </c:manualLayout>
          </c:layout>
          <c:overlay val="0"/>
        </c:title>
        <c:numFmt formatCode="0.0%" sourceLinked="1"/>
        <c:majorTickMark val="out"/>
        <c:minorTickMark val="none"/>
        <c:tickLblPos val="nextTo"/>
        <c:txPr>
          <a:bodyPr/>
          <a:lstStyle/>
          <a:p>
            <a:pPr>
              <a:defRPr sz="800"/>
            </a:pPr>
            <a:endParaRPr lang="en-US"/>
          </a:p>
        </c:txPr>
        <c:crossAx val="112929424"/>
        <c:crosses val="max"/>
        <c:crossBetween val="between"/>
      </c:valAx>
      <c:catAx>
        <c:axId val="112929424"/>
        <c:scaling>
          <c:orientation val="minMax"/>
        </c:scaling>
        <c:delete val="1"/>
        <c:axPos val="b"/>
        <c:numFmt formatCode="General" sourceLinked="1"/>
        <c:majorTickMark val="out"/>
        <c:minorTickMark val="none"/>
        <c:tickLblPos val="nextTo"/>
        <c:crossAx val="111392608"/>
        <c:crosses val="autoZero"/>
        <c:auto val="1"/>
        <c:lblAlgn val="ctr"/>
        <c:lblOffset val="100"/>
        <c:noMultiLvlLbl val="0"/>
      </c:catAx>
    </c:plotArea>
    <c:legend>
      <c:legendPos val="b"/>
      <c:layout>
        <c:manualLayout>
          <c:xMode val="edge"/>
          <c:yMode val="edge"/>
          <c:x val="7.688265223830261E-2"/>
          <c:y val="0.83044560106233622"/>
          <c:w val="0.92072478976020322"/>
          <c:h val="0.14872105990842627"/>
        </c:manualLayout>
      </c:layout>
      <c:overlay val="0"/>
      <c:txPr>
        <a:bodyPr/>
        <a:lstStyle/>
        <a:p>
          <a:pPr>
            <a:defRPr sz="800"/>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44597199949548"/>
          <c:y val="0.15276625172890737"/>
          <c:w val="0.8375319074818165"/>
          <c:h val="0.59084795417170366"/>
        </c:manualLayout>
      </c:layout>
      <c:lineChart>
        <c:grouping val="standard"/>
        <c:varyColors val="0"/>
        <c:ser>
          <c:idx val="0"/>
          <c:order val="0"/>
          <c:tx>
            <c:strRef>
              <c:f>HHI!$C$9</c:f>
              <c:strCache>
                <c:ptCount val="1"/>
                <c:pt idx="0">
                  <c:v>Seksionet</c:v>
                </c:pt>
              </c:strCache>
            </c:strRef>
          </c:tx>
          <c:spPr>
            <a:ln w="22225" cap="rnd" cmpd="sng" algn="ctr">
              <a:solidFill>
                <a:schemeClr val="accent1"/>
              </a:solidFill>
              <a:round/>
            </a:ln>
            <a:effectLst/>
          </c:spPr>
          <c:marker>
            <c:symbol val="none"/>
          </c:marker>
          <c:cat>
            <c:strRef>
              <c:f>HHI!$D$8:$J$8</c:f>
              <c:strCache>
                <c:ptCount val="7"/>
                <c:pt idx="0">
                  <c:v>2014</c:v>
                </c:pt>
                <c:pt idx="1">
                  <c:v>2015</c:v>
                </c:pt>
                <c:pt idx="2">
                  <c:v>2016</c:v>
                </c:pt>
                <c:pt idx="3">
                  <c:v>2017</c:v>
                </c:pt>
                <c:pt idx="4">
                  <c:v>2018</c:v>
                </c:pt>
                <c:pt idx="5">
                  <c:v>2019</c:v>
                </c:pt>
                <c:pt idx="6">
                  <c:v>2020*</c:v>
                </c:pt>
              </c:strCache>
            </c:strRef>
          </c:cat>
          <c:val>
            <c:numRef>
              <c:f>HHI!$D$9:$J$9</c:f>
              <c:numCache>
                <c:formatCode>0.00</c:formatCode>
                <c:ptCount val="7"/>
                <c:pt idx="0">
                  <c:v>0.30015674236329137</c:v>
                </c:pt>
                <c:pt idx="1">
                  <c:v>0.26982136581577276</c:v>
                </c:pt>
                <c:pt idx="2">
                  <c:v>0.19592397524999039</c:v>
                </c:pt>
                <c:pt idx="3">
                  <c:v>0.19165873912880091</c:v>
                </c:pt>
                <c:pt idx="4">
                  <c:v>0.17149148132442196</c:v>
                </c:pt>
                <c:pt idx="5">
                  <c:v>0.17305913736994785</c:v>
                </c:pt>
                <c:pt idx="6">
                  <c:v>0.18573322832079411</c:v>
                </c:pt>
              </c:numCache>
            </c:numRef>
          </c:val>
          <c:smooth val="0"/>
          <c:extLst>
            <c:ext xmlns:c16="http://schemas.microsoft.com/office/drawing/2014/chart" uri="{C3380CC4-5D6E-409C-BE32-E72D297353CC}">
              <c16:uniqueId val="{00000000-2298-4AF7-8958-2EC58F39B337}"/>
            </c:ext>
          </c:extLst>
        </c:ser>
        <c:ser>
          <c:idx val="1"/>
          <c:order val="1"/>
          <c:tx>
            <c:strRef>
              <c:f>HHI!$C$10</c:f>
              <c:strCache>
                <c:ptCount val="1"/>
                <c:pt idx="0">
                  <c:v>Kapitujt</c:v>
                </c:pt>
              </c:strCache>
            </c:strRef>
          </c:tx>
          <c:spPr>
            <a:ln w="22225" cap="rnd" cmpd="sng" algn="ctr">
              <a:solidFill>
                <a:schemeClr val="accent2"/>
              </a:solidFill>
              <a:round/>
            </a:ln>
            <a:effectLst/>
          </c:spPr>
          <c:marker>
            <c:symbol val="none"/>
          </c:marker>
          <c:cat>
            <c:strRef>
              <c:f>HHI!$D$8:$J$8</c:f>
              <c:strCache>
                <c:ptCount val="7"/>
                <c:pt idx="0">
                  <c:v>2014</c:v>
                </c:pt>
                <c:pt idx="1">
                  <c:v>2015</c:v>
                </c:pt>
                <c:pt idx="2">
                  <c:v>2016</c:v>
                </c:pt>
                <c:pt idx="3">
                  <c:v>2017</c:v>
                </c:pt>
                <c:pt idx="4">
                  <c:v>2018</c:v>
                </c:pt>
                <c:pt idx="5">
                  <c:v>2019</c:v>
                </c:pt>
                <c:pt idx="6">
                  <c:v>2020*</c:v>
                </c:pt>
              </c:strCache>
            </c:strRef>
          </c:cat>
          <c:val>
            <c:numRef>
              <c:f>HHI!$D$10:$J$10</c:f>
              <c:numCache>
                <c:formatCode>0.00</c:formatCode>
                <c:ptCount val="7"/>
                <c:pt idx="0">
                  <c:v>0.18145412298087757</c:v>
                </c:pt>
                <c:pt idx="1">
                  <c:v>0.15004395732645931</c:v>
                </c:pt>
                <c:pt idx="2">
                  <c:v>7.6725087323283522E-2</c:v>
                </c:pt>
                <c:pt idx="3">
                  <c:v>8.6813171512056947E-2</c:v>
                </c:pt>
                <c:pt idx="4">
                  <c:v>7.2659722856622602E-2</c:v>
                </c:pt>
                <c:pt idx="5">
                  <c:v>8.0490145308040717E-2</c:v>
                </c:pt>
                <c:pt idx="6">
                  <c:v>9.0851347595902243E-2</c:v>
                </c:pt>
              </c:numCache>
            </c:numRef>
          </c:val>
          <c:smooth val="0"/>
          <c:extLst>
            <c:ext xmlns:c16="http://schemas.microsoft.com/office/drawing/2014/chart" uri="{C3380CC4-5D6E-409C-BE32-E72D297353CC}">
              <c16:uniqueId val="{00000001-2298-4AF7-8958-2EC58F39B337}"/>
            </c:ext>
          </c:extLst>
        </c:ser>
        <c:ser>
          <c:idx val="2"/>
          <c:order val="2"/>
          <c:tx>
            <c:strRef>
              <c:f>HHI!$C$11</c:f>
              <c:strCache>
                <c:ptCount val="1"/>
                <c:pt idx="0">
                  <c:v>Shtetet</c:v>
                </c:pt>
              </c:strCache>
            </c:strRef>
          </c:tx>
          <c:spPr>
            <a:ln w="22225" cap="rnd" cmpd="sng" algn="ctr">
              <a:solidFill>
                <a:schemeClr val="accent3"/>
              </a:solidFill>
              <a:round/>
            </a:ln>
            <a:effectLst/>
          </c:spPr>
          <c:marker>
            <c:symbol val="none"/>
          </c:marker>
          <c:cat>
            <c:strRef>
              <c:f>HHI!$D$8:$J$8</c:f>
              <c:strCache>
                <c:ptCount val="7"/>
                <c:pt idx="0">
                  <c:v>2014</c:v>
                </c:pt>
                <c:pt idx="1">
                  <c:v>2015</c:v>
                </c:pt>
                <c:pt idx="2">
                  <c:v>2016</c:v>
                </c:pt>
                <c:pt idx="3">
                  <c:v>2017</c:v>
                </c:pt>
                <c:pt idx="4">
                  <c:v>2018</c:v>
                </c:pt>
                <c:pt idx="5">
                  <c:v>2019</c:v>
                </c:pt>
                <c:pt idx="6">
                  <c:v>2020*</c:v>
                </c:pt>
              </c:strCache>
            </c:strRef>
          </c:cat>
          <c:val>
            <c:numRef>
              <c:f>HHI!$D$11:$J$11</c:f>
              <c:numCache>
                <c:formatCode>0.00</c:formatCode>
                <c:ptCount val="7"/>
                <c:pt idx="0">
                  <c:v>9.2320291334334253E-2</c:v>
                </c:pt>
                <c:pt idx="1">
                  <c:v>7.5782663057314764E-2</c:v>
                </c:pt>
                <c:pt idx="2">
                  <c:v>8.2568122144082073E-2</c:v>
                </c:pt>
                <c:pt idx="3">
                  <c:v>9.0117125378123705E-2</c:v>
                </c:pt>
                <c:pt idx="4">
                  <c:v>8.3986529578697594E-2</c:v>
                </c:pt>
                <c:pt idx="5">
                  <c:v>7.9969094803182941E-2</c:v>
                </c:pt>
                <c:pt idx="6">
                  <c:v>9.6934240915211856E-2</c:v>
                </c:pt>
              </c:numCache>
            </c:numRef>
          </c:val>
          <c:smooth val="0"/>
          <c:extLst>
            <c:ext xmlns:c16="http://schemas.microsoft.com/office/drawing/2014/chart" uri="{C3380CC4-5D6E-409C-BE32-E72D297353CC}">
              <c16:uniqueId val="{00000002-2298-4AF7-8958-2EC58F39B337}"/>
            </c:ext>
          </c:extLst>
        </c:ser>
        <c:dLbls>
          <c:showLegendKey val="0"/>
          <c:showVal val="0"/>
          <c:showCatName val="0"/>
          <c:showSerName val="0"/>
          <c:showPercent val="0"/>
          <c:showBubbleSize val="0"/>
        </c:dLbls>
        <c:smooth val="0"/>
        <c:axId val="112930208"/>
        <c:axId val="112931776"/>
        <c:extLst>
          <c:ext xmlns:c15="http://schemas.microsoft.com/office/drawing/2012/chart" uri="{02D57815-91ED-43cb-92C2-25804820EDAC}">
            <c15:filteredLineSeries>
              <c15:ser>
                <c:idx val="3"/>
                <c:order val="3"/>
                <c:tx>
                  <c:strRef>
                    <c:extLst>
                      <c:ext uri="{02D57815-91ED-43cb-92C2-25804820EDAC}">
                        <c15:formulaRef>
                          <c15:sqref>HHI!$B$12</c15:sqref>
                        </c15:formulaRef>
                      </c:ext>
                    </c:extLst>
                    <c:strCache>
                      <c:ptCount val="1"/>
                    </c:strCache>
                  </c:strRef>
                </c:tx>
                <c:spPr>
                  <a:ln w="22225" cap="rnd" cmpd="sng" algn="ctr">
                    <a:solidFill>
                      <a:schemeClr val="accent4"/>
                    </a:solidFill>
                    <a:round/>
                  </a:ln>
                  <a:effectLst/>
                </c:spPr>
                <c:marker>
                  <c:symbol val="none"/>
                </c:marker>
                <c:cat>
                  <c:strRef>
                    <c:extLst>
                      <c:ext uri="{02D57815-91ED-43cb-92C2-25804820EDAC}">
                        <c15:formulaRef>
                          <c15:sqref>HHI!$D$8:$J$8</c15:sqref>
                        </c15:formulaRef>
                      </c:ext>
                    </c:extLst>
                    <c:strCache>
                      <c:ptCount val="7"/>
                      <c:pt idx="0">
                        <c:v>2014</c:v>
                      </c:pt>
                      <c:pt idx="1">
                        <c:v>2015</c:v>
                      </c:pt>
                      <c:pt idx="2">
                        <c:v>2016</c:v>
                      </c:pt>
                      <c:pt idx="3">
                        <c:v>2017</c:v>
                      </c:pt>
                      <c:pt idx="4">
                        <c:v>2018</c:v>
                      </c:pt>
                      <c:pt idx="5">
                        <c:v>2019</c:v>
                      </c:pt>
                      <c:pt idx="6">
                        <c:v>2020*</c:v>
                      </c:pt>
                    </c:strCache>
                  </c:strRef>
                </c:cat>
                <c:val>
                  <c:numRef>
                    <c:extLst>
                      <c:ext uri="{02D57815-91ED-43cb-92C2-25804820EDAC}">
                        <c15:formulaRef>
                          <c15:sqref>HHI!$D$12:$H$12</c15:sqref>
                        </c15:formulaRef>
                      </c:ext>
                    </c:extLst>
                    <c:numCache>
                      <c:formatCode>General</c:formatCode>
                      <c:ptCount val="5"/>
                    </c:numCache>
                  </c:numRef>
                </c:val>
                <c:smooth val="0"/>
                <c:extLst>
                  <c:ext xmlns:c16="http://schemas.microsoft.com/office/drawing/2014/chart" uri="{C3380CC4-5D6E-409C-BE32-E72D297353CC}">
                    <c16:uniqueId val="{00000003-2298-4AF7-8958-2EC58F39B337}"/>
                  </c:ext>
                </c:extLst>
              </c15:ser>
            </c15:filteredLineSeries>
          </c:ext>
        </c:extLst>
      </c:lineChart>
      <c:catAx>
        <c:axId val="11293020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112931776"/>
        <c:crosses val="autoZero"/>
        <c:auto val="1"/>
        <c:lblAlgn val="ctr"/>
        <c:lblOffset val="100"/>
        <c:noMultiLvlLbl val="0"/>
      </c:catAx>
      <c:valAx>
        <c:axId val="112931776"/>
        <c:scaling>
          <c:orientation val="minMax"/>
        </c:scaling>
        <c:delete val="0"/>
        <c:axPos val="l"/>
        <c:majorGridlines>
          <c:spPr>
            <a:ln>
              <a:solidFill>
                <a:schemeClr val="dk1">
                  <a:lumMod val="15000"/>
                  <a:lumOff val="85000"/>
                </a:schemeClr>
              </a:solidFill>
              <a:prstDash val="dash"/>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112930208"/>
        <c:crosses val="autoZero"/>
        <c:crossBetween val="between"/>
      </c:valAx>
      <c:spPr>
        <a:solidFill>
          <a:schemeClr val="bg1"/>
        </a:solid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247594050743664E-2"/>
          <c:y val="5.0925925925925923E-2"/>
          <c:w val="0.87209842519685044"/>
          <c:h val="0.67963764946048411"/>
        </c:manualLayout>
      </c:layout>
      <c:lineChart>
        <c:grouping val="standard"/>
        <c:varyColors val="0"/>
        <c:ser>
          <c:idx val="0"/>
          <c:order val="0"/>
          <c:tx>
            <c:strRef>
              <c:f>Sheet1!$G$7</c:f>
              <c:strCache>
                <c:ptCount val="1"/>
                <c:pt idx="0">
                  <c:v>Shqipëria</c:v>
                </c:pt>
              </c:strCache>
            </c:strRef>
          </c:tx>
          <c:spPr>
            <a:ln w="28575" cap="rnd">
              <a:solidFill>
                <a:schemeClr val="accent1"/>
              </a:solidFill>
              <a:round/>
            </a:ln>
            <a:effectLst/>
          </c:spPr>
          <c:marker>
            <c:symbol val="none"/>
          </c:marker>
          <c:cat>
            <c:strRef>
              <c:f>Sheet1!$L$6:$S$6</c:f>
              <c:strCache>
                <c:ptCount val="8"/>
                <c:pt idx="0">
                  <c:v>2012</c:v>
                </c:pt>
                <c:pt idx="1">
                  <c:v>2013</c:v>
                </c:pt>
                <c:pt idx="2">
                  <c:v>2014</c:v>
                </c:pt>
                <c:pt idx="3">
                  <c:v>2015</c:v>
                </c:pt>
                <c:pt idx="4">
                  <c:v>2016</c:v>
                </c:pt>
                <c:pt idx="5">
                  <c:v>2017</c:v>
                </c:pt>
                <c:pt idx="6">
                  <c:v>2018</c:v>
                </c:pt>
                <c:pt idx="7">
                  <c:v>2019</c:v>
                </c:pt>
              </c:strCache>
            </c:strRef>
          </c:cat>
          <c:val>
            <c:numRef>
              <c:f>Sheet1!$L$7:$S$7</c:f>
              <c:numCache>
                <c:formatCode>General</c:formatCode>
                <c:ptCount val="8"/>
                <c:pt idx="0">
                  <c:v>76.510201018902166</c:v>
                </c:pt>
                <c:pt idx="1">
                  <c:v>75.873733516985425</c:v>
                </c:pt>
                <c:pt idx="2">
                  <c:v>75.407865592763073</c:v>
                </c:pt>
                <c:pt idx="3">
                  <c:v>71.80102967111938</c:v>
                </c:pt>
                <c:pt idx="4">
                  <c:v>74.809856726525254</c:v>
                </c:pt>
                <c:pt idx="5">
                  <c:v>78.194248641577005</c:v>
                </c:pt>
                <c:pt idx="6">
                  <c:v>76.801046891657379</c:v>
                </c:pt>
                <c:pt idx="7">
                  <c:v>76.72829955517787</c:v>
                </c:pt>
              </c:numCache>
            </c:numRef>
          </c:val>
          <c:smooth val="0"/>
          <c:extLst>
            <c:ext xmlns:c16="http://schemas.microsoft.com/office/drawing/2014/chart" uri="{C3380CC4-5D6E-409C-BE32-E72D297353CC}">
              <c16:uniqueId val="{00000000-E1D4-4C90-812B-3634678DA0D1}"/>
            </c:ext>
          </c:extLst>
        </c:ser>
        <c:ser>
          <c:idx val="1"/>
          <c:order val="1"/>
          <c:tx>
            <c:strRef>
              <c:f>Sheet1!$G$8</c:f>
              <c:strCache>
                <c:ptCount val="1"/>
                <c:pt idx="0">
                  <c:v>Bosnja Dhe H.</c:v>
                </c:pt>
              </c:strCache>
            </c:strRef>
          </c:tx>
          <c:spPr>
            <a:ln w="28575" cap="rnd">
              <a:solidFill>
                <a:schemeClr val="accent2"/>
              </a:solidFill>
              <a:round/>
            </a:ln>
            <a:effectLst/>
          </c:spPr>
          <c:marker>
            <c:symbol val="none"/>
          </c:marker>
          <c:cat>
            <c:strRef>
              <c:f>Sheet1!$L$6:$S$6</c:f>
              <c:strCache>
                <c:ptCount val="8"/>
                <c:pt idx="0">
                  <c:v>2012</c:v>
                </c:pt>
                <c:pt idx="1">
                  <c:v>2013</c:v>
                </c:pt>
                <c:pt idx="2">
                  <c:v>2014</c:v>
                </c:pt>
                <c:pt idx="3">
                  <c:v>2015</c:v>
                </c:pt>
                <c:pt idx="4">
                  <c:v>2016</c:v>
                </c:pt>
                <c:pt idx="5">
                  <c:v>2017</c:v>
                </c:pt>
                <c:pt idx="6">
                  <c:v>2018</c:v>
                </c:pt>
                <c:pt idx="7">
                  <c:v>2019</c:v>
                </c:pt>
              </c:strCache>
            </c:strRef>
          </c:cat>
          <c:val>
            <c:numRef>
              <c:f>Sheet1!$L$8:$S$8</c:f>
              <c:numCache>
                <c:formatCode>General</c:formatCode>
                <c:ptCount val="8"/>
                <c:pt idx="0">
                  <c:v>88.145103995734999</c:v>
                </c:pt>
                <c:pt idx="1">
                  <c:v>87.931238324232694</c:v>
                </c:pt>
                <c:pt idx="2">
                  <c:v>90.613870317716007</c:v>
                </c:pt>
                <c:pt idx="3">
                  <c:v>88.198300937075459</c:v>
                </c:pt>
                <c:pt idx="4">
                  <c:v>87.945570660697442</c:v>
                </c:pt>
                <c:pt idx="5">
                  <c:v>97.874177837195703</c:v>
                </c:pt>
                <c:pt idx="6">
                  <c:v>99.224083370028936</c:v>
                </c:pt>
                <c:pt idx="7">
                  <c:v>95.880618276988059</c:v>
                </c:pt>
              </c:numCache>
            </c:numRef>
          </c:val>
          <c:smooth val="0"/>
          <c:extLst>
            <c:ext xmlns:c16="http://schemas.microsoft.com/office/drawing/2014/chart" uri="{C3380CC4-5D6E-409C-BE32-E72D297353CC}">
              <c16:uniqueId val="{00000001-E1D4-4C90-812B-3634678DA0D1}"/>
            </c:ext>
          </c:extLst>
        </c:ser>
        <c:ser>
          <c:idx val="2"/>
          <c:order val="2"/>
          <c:tx>
            <c:strRef>
              <c:f>Sheet1!$G$9</c:f>
              <c:strCache>
                <c:ptCount val="1"/>
                <c:pt idx="0">
                  <c:v>Euro Zona</c:v>
                </c:pt>
              </c:strCache>
            </c:strRef>
          </c:tx>
          <c:spPr>
            <a:ln w="28575" cap="rnd">
              <a:solidFill>
                <a:schemeClr val="accent3"/>
              </a:solidFill>
              <a:round/>
            </a:ln>
            <a:effectLst/>
          </c:spPr>
          <c:marker>
            <c:symbol val="none"/>
          </c:marker>
          <c:cat>
            <c:strRef>
              <c:f>Sheet1!$L$6:$S$6</c:f>
              <c:strCache>
                <c:ptCount val="8"/>
                <c:pt idx="0">
                  <c:v>2012</c:v>
                </c:pt>
                <c:pt idx="1">
                  <c:v>2013</c:v>
                </c:pt>
                <c:pt idx="2">
                  <c:v>2014</c:v>
                </c:pt>
                <c:pt idx="3">
                  <c:v>2015</c:v>
                </c:pt>
                <c:pt idx="4">
                  <c:v>2016</c:v>
                </c:pt>
                <c:pt idx="5">
                  <c:v>2017</c:v>
                </c:pt>
                <c:pt idx="6">
                  <c:v>2018</c:v>
                </c:pt>
                <c:pt idx="7">
                  <c:v>2019</c:v>
                </c:pt>
              </c:strCache>
            </c:strRef>
          </c:cat>
          <c:val>
            <c:numRef>
              <c:f>Sheet1!$L$9:$S$9</c:f>
              <c:numCache>
                <c:formatCode>General</c:formatCode>
                <c:ptCount val="8"/>
                <c:pt idx="0">
                  <c:v>83.319806741493807</c:v>
                </c:pt>
                <c:pt idx="1">
                  <c:v>82.855414802962912</c:v>
                </c:pt>
                <c:pt idx="2">
                  <c:v>83.562047336540076</c:v>
                </c:pt>
                <c:pt idx="3">
                  <c:v>84.889433165160696</c:v>
                </c:pt>
                <c:pt idx="4">
                  <c:v>83.666236289843326</c:v>
                </c:pt>
                <c:pt idx="5">
                  <c:v>86.934774253229548</c:v>
                </c:pt>
                <c:pt idx="6">
                  <c:v>88.299386461692094</c:v>
                </c:pt>
                <c:pt idx="7">
                  <c:v>88.1432045269177</c:v>
                </c:pt>
              </c:numCache>
            </c:numRef>
          </c:val>
          <c:smooth val="0"/>
          <c:extLst>
            <c:ext xmlns:c16="http://schemas.microsoft.com/office/drawing/2014/chart" uri="{C3380CC4-5D6E-409C-BE32-E72D297353CC}">
              <c16:uniqueId val="{00000002-E1D4-4C90-812B-3634678DA0D1}"/>
            </c:ext>
          </c:extLst>
        </c:ser>
        <c:ser>
          <c:idx val="3"/>
          <c:order val="3"/>
          <c:tx>
            <c:strRef>
              <c:f>Sheet1!$G$10</c:f>
              <c:strCache>
                <c:ptCount val="1"/>
                <c:pt idx="0">
                  <c:v>Maqedonia e Veriut</c:v>
                </c:pt>
              </c:strCache>
            </c:strRef>
          </c:tx>
          <c:spPr>
            <a:ln w="28575" cap="rnd">
              <a:solidFill>
                <a:schemeClr val="accent4"/>
              </a:solidFill>
              <a:round/>
            </a:ln>
            <a:effectLst/>
          </c:spPr>
          <c:marker>
            <c:symbol val="none"/>
          </c:marker>
          <c:cat>
            <c:strRef>
              <c:f>Sheet1!$L$6:$S$6</c:f>
              <c:strCache>
                <c:ptCount val="8"/>
                <c:pt idx="0">
                  <c:v>2012</c:v>
                </c:pt>
                <c:pt idx="1">
                  <c:v>2013</c:v>
                </c:pt>
                <c:pt idx="2">
                  <c:v>2014</c:v>
                </c:pt>
                <c:pt idx="3">
                  <c:v>2015</c:v>
                </c:pt>
                <c:pt idx="4">
                  <c:v>2016</c:v>
                </c:pt>
                <c:pt idx="5">
                  <c:v>2017</c:v>
                </c:pt>
                <c:pt idx="6">
                  <c:v>2018</c:v>
                </c:pt>
                <c:pt idx="7">
                  <c:v>2019</c:v>
                </c:pt>
              </c:strCache>
            </c:strRef>
          </c:cat>
          <c:val>
            <c:numRef>
              <c:f>Sheet1!$L$10:$S$10</c:f>
              <c:numCache>
                <c:formatCode>General</c:formatCode>
                <c:ptCount val="8"/>
                <c:pt idx="0">
                  <c:v>112.21483470215534</c:v>
                </c:pt>
                <c:pt idx="1">
                  <c:v>104.85722995630526</c:v>
                </c:pt>
                <c:pt idx="2">
                  <c:v>112.53792896929862</c:v>
                </c:pt>
                <c:pt idx="3">
                  <c:v>113.69844387910275</c:v>
                </c:pt>
                <c:pt idx="4">
                  <c:v>116.18540841802638</c:v>
                </c:pt>
                <c:pt idx="5">
                  <c:v>124.13728389628965</c:v>
                </c:pt>
                <c:pt idx="6">
                  <c:v>133.73010988476614</c:v>
                </c:pt>
                <c:pt idx="7">
                  <c:v>137.27659147438516</c:v>
                </c:pt>
              </c:numCache>
            </c:numRef>
          </c:val>
          <c:smooth val="0"/>
          <c:extLst>
            <c:ext xmlns:c16="http://schemas.microsoft.com/office/drawing/2014/chart" uri="{C3380CC4-5D6E-409C-BE32-E72D297353CC}">
              <c16:uniqueId val="{00000003-E1D4-4C90-812B-3634678DA0D1}"/>
            </c:ext>
          </c:extLst>
        </c:ser>
        <c:ser>
          <c:idx val="4"/>
          <c:order val="4"/>
          <c:tx>
            <c:strRef>
              <c:f>Sheet1!$G$11</c:f>
              <c:strCache>
                <c:ptCount val="1"/>
                <c:pt idx="0">
                  <c:v>Mali I Zi</c:v>
                </c:pt>
              </c:strCache>
            </c:strRef>
          </c:tx>
          <c:spPr>
            <a:ln w="28575" cap="rnd">
              <a:solidFill>
                <a:schemeClr val="accent5"/>
              </a:solidFill>
              <a:round/>
            </a:ln>
            <a:effectLst/>
          </c:spPr>
          <c:marker>
            <c:symbol val="none"/>
          </c:marker>
          <c:cat>
            <c:strRef>
              <c:f>Sheet1!$L$6:$S$6</c:f>
              <c:strCache>
                <c:ptCount val="8"/>
                <c:pt idx="0">
                  <c:v>2012</c:v>
                </c:pt>
                <c:pt idx="1">
                  <c:v>2013</c:v>
                </c:pt>
                <c:pt idx="2">
                  <c:v>2014</c:v>
                </c:pt>
                <c:pt idx="3">
                  <c:v>2015</c:v>
                </c:pt>
                <c:pt idx="4">
                  <c:v>2016</c:v>
                </c:pt>
                <c:pt idx="5">
                  <c:v>2017</c:v>
                </c:pt>
                <c:pt idx="6">
                  <c:v>2018</c:v>
                </c:pt>
                <c:pt idx="7">
                  <c:v>2019</c:v>
                </c:pt>
              </c:strCache>
            </c:strRef>
          </c:cat>
          <c:val>
            <c:numRef>
              <c:f>Sheet1!$L$11:$S$11</c:f>
              <c:numCache>
                <c:formatCode>General</c:formatCode>
                <c:ptCount val="8"/>
                <c:pt idx="0">
                  <c:v>111.76604451328738</c:v>
                </c:pt>
                <c:pt idx="1">
                  <c:v>102.77093015544176</c:v>
                </c:pt>
                <c:pt idx="2">
                  <c:v>100.12761999836897</c:v>
                </c:pt>
                <c:pt idx="3">
                  <c:v>102.68897735183246</c:v>
                </c:pt>
                <c:pt idx="4">
                  <c:v>103.67291890267896</c:v>
                </c:pt>
                <c:pt idx="5">
                  <c:v>105.55496499143658</c:v>
                </c:pt>
                <c:pt idx="6">
                  <c:v>109.60929675990161</c:v>
                </c:pt>
                <c:pt idx="7">
                  <c:v>109.45390277998794</c:v>
                </c:pt>
              </c:numCache>
            </c:numRef>
          </c:val>
          <c:smooth val="0"/>
          <c:extLst>
            <c:ext xmlns:c16="http://schemas.microsoft.com/office/drawing/2014/chart" uri="{C3380CC4-5D6E-409C-BE32-E72D297353CC}">
              <c16:uniqueId val="{00000004-E1D4-4C90-812B-3634678DA0D1}"/>
            </c:ext>
          </c:extLst>
        </c:ser>
        <c:ser>
          <c:idx val="5"/>
          <c:order val="5"/>
          <c:tx>
            <c:strRef>
              <c:f>Sheet1!$H$12</c:f>
              <c:strCache>
                <c:ptCount val="1"/>
                <c:pt idx="0">
                  <c:v>Serbia</c:v>
                </c:pt>
              </c:strCache>
            </c:strRef>
          </c:tx>
          <c:spPr>
            <a:ln w="28575" cap="rnd">
              <a:solidFill>
                <a:schemeClr val="accent6"/>
              </a:solidFill>
              <a:round/>
            </a:ln>
            <a:effectLst/>
          </c:spPr>
          <c:marker>
            <c:symbol val="none"/>
          </c:marker>
          <c:cat>
            <c:strRef>
              <c:f>Sheet1!$L$6:$S$6</c:f>
              <c:strCache>
                <c:ptCount val="8"/>
                <c:pt idx="0">
                  <c:v>2012</c:v>
                </c:pt>
                <c:pt idx="1">
                  <c:v>2013</c:v>
                </c:pt>
                <c:pt idx="2">
                  <c:v>2014</c:v>
                </c:pt>
                <c:pt idx="3">
                  <c:v>2015</c:v>
                </c:pt>
                <c:pt idx="4">
                  <c:v>2016</c:v>
                </c:pt>
                <c:pt idx="5">
                  <c:v>2017</c:v>
                </c:pt>
                <c:pt idx="6">
                  <c:v>2018</c:v>
                </c:pt>
                <c:pt idx="7">
                  <c:v>2019</c:v>
                </c:pt>
              </c:strCache>
            </c:strRef>
          </c:cat>
          <c:val>
            <c:numRef>
              <c:f>Sheet1!$L$12:$S$12</c:f>
              <c:numCache>
                <c:formatCode>General</c:formatCode>
                <c:ptCount val="8"/>
                <c:pt idx="0">
                  <c:v>85.470824472247529</c:v>
                </c:pt>
                <c:pt idx="1">
                  <c:v>87.920273514503705</c:v>
                </c:pt>
                <c:pt idx="2">
                  <c:v>92.231420742515581</c:v>
                </c:pt>
                <c:pt idx="3">
                  <c:v>97.52841695736447</c:v>
                </c:pt>
                <c:pt idx="4">
                  <c:v>102.04022560324771</c:v>
                </c:pt>
                <c:pt idx="5">
                  <c:v>107.67286338869188</c:v>
                </c:pt>
                <c:pt idx="6">
                  <c:v>110.06842437495172</c:v>
                </c:pt>
                <c:pt idx="7">
                  <c:v>112.6441269445412</c:v>
                </c:pt>
              </c:numCache>
            </c:numRef>
          </c:val>
          <c:smooth val="0"/>
          <c:extLst>
            <c:ext xmlns:c16="http://schemas.microsoft.com/office/drawing/2014/chart" uri="{C3380CC4-5D6E-409C-BE32-E72D297353CC}">
              <c16:uniqueId val="{00000005-E1D4-4C90-812B-3634678DA0D1}"/>
            </c:ext>
          </c:extLst>
        </c:ser>
        <c:ser>
          <c:idx val="6"/>
          <c:order val="6"/>
          <c:tx>
            <c:strRef>
              <c:f>Sheet1!$G$13</c:f>
              <c:strCache>
                <c:ptCount val="1"/>
                <c:pt idx="0">
                  <c:v>Kosova</c:v>
                </c:pt>
              </c:strCache>
            </c:strRef>
          </c:tx>
          <c:spPr>
            <a:ln w="28575" cap="rnd">
              <a:solidFill>
                <a:schemeClr val="accent1">
                  <a:lumMod val="60000"/>
                </a:schemeClr>
              </a:solidFill>
              <a:round/>
            </a:ln>
            <a:effectLst/>
          </c:spPr>
          <c:marker>
            <c:symbol val="none"/>
          </c:marker>
          <c:cat>
            <c:strRef>
              <c:f>Sheet1!$L$6:$S$6</c:f>
              <c:strCache>
                <c:ptCount val="8"/>
                <c:pt idx="0">
                  <c:v>2012</c:v>
                </c:pt>
                <c:pt idx="1">
                  <c:v>2013</c:v>
                </c:pt>
                <c:pt idx="2">
                  <c:v>2014</c:v>
                </c:pt>
                <c:pt idx="3">
                  <c:v>2015</c:v>
                </c:pt>
                <c:pt idx="4">
                  <c:v>2016</c:v>
                </c:pt>
                <c:pt idx="5">
                  <c:v>2017</c:v>
                </c:pt>
                <c:pt idx="6">
                  <c:v>2018</c:v>
                </c:pt>
                <c:pt idx="7">
                  <c:v>2019</c:v>
                </c:pt>
              </c:strCache>
            </c:strRef>
          </c:cat>
          <c:val>
            <c:numRef>
              <c:f>Sheet1!$L$13:$S$13</c:f>
              <c:numCache>
                <c:formatCode>General</c:formatCode>
                <c:ptCount val="8"/>
                <c:pt idx="0">
                  <c:v>77.154661184470612</c:v>
                </c:pt>
                <c:pt idx="1">
                  <c:v>71.595389178838275</c:v>
                </c:pt>
                <c:pt idx="2">
                  <c:v>73.720700493938025</c:v>
                </c:pt>
                <c:pt idx="3">
                  <c:v>72.329946616152924</c:v>
                </c:pt>
                <c:pt idx="4">
                  <c:v>74.613268315184271</c:v>
                </c:pt>
                <c:pt idx="5">
                  <c:v>79.182712546188753</c:v>
                </c:pt>
                <c:pt idx="6">
                  <c:v>82.007403993398853</c:v>
                </c:pt>
                <c:pt idx="7">
                  <c:v>83.826769874004185</c:v>
                </c:pt>
              </c:numCache>
            </c:numRef>
          </c:val>
          <c:smooth val="0"/>
          <c:extLst>
            <c:ext xmlns:c16="http://schemas.microsoft.com/office/drawing/2014/chart" uri="{C3380CC4-5D6E-409C-BE32-E72D297353CC}">
              <c16:uniqueId val="{00000006-E1D4-4C90-812B-3634678DA0D1}"/>
            </c:ext>
          </c:extLst>
        </c:ser>
        <c:dLbls>
          <c:showLegendKey val="0"/>
          <c:showVal val="0"/>
          <c:showCatName val="0"/>
          <c:showSerName val="0"/>
          <c:showPercent val="0"/>
          <c:showBubbleSize val="0"/>
        </c:dLbls>
        <c:smooth val="0"/>
        <c:axId val="112930992"/>
        <c:axId val="112934520"/>
      </c:lineChart>
      <c:catAx>
        <c:axId val="11293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934520"/>
        <c:crosses val="autoZero"/>
        <c:auto val="1"/>
        <c:lblAlgn val="ctr"/>
        <c:lblOffset val="100"/>
        <c:noMultiLvlLbl val="0"/>
      </c:catAx>
      <c:valAx>
        <c:axId val="112934520"/>
        <c:scaling>
          <c:orientation val="minMax"/>
          <c:max val="140"/>
          <c:min val="60"/>
        </c:scaling>
        <c:delete val="0"/>
        <c:axPos val="l"/>
        <c:majorGridlines>
          <c:spPr>
            <a:ln w="9525" cap="flat" cmpd="sng" algn="ctr">
              <a:solidFill>
                <a:schemeClr val="tx1">
                  <a:lumMod val="15000"/>
                  <a:lumOff val="85000"/>
                </a:schemeClr>
              </a:solidFill>
              <a:prstDash val="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930992"/>
        <c:crosses val="autoZero"/>
        <c:crossBetween val="between"/>
      </c:valAx>
      <c:spPr>
        <a:noFill/>
        <a:ln>
          <a:noFill/>
        </a:ln>
        <a:effectLst/>
      </c:spPr>
    </c:plotArea>
    <c:legend>
      <c:legendPos val="r"/>
      <c:layout>
        <c:manualLayout>
          <c:xMode val="edge"/>
          <c:yMode val="edge"/>
          <c:x val="3.1901574803149604E-2"/>
          <c:y val="0.84230132691746884"/>
          <c:w val="0.95420953630796146"/>
          <c:h val="0.1487306794983960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70787258150109"/>
          <c:y val="6.2785388127853878E-2"/>
          <c:w val="0.76858425483699788"/>
          <c:h val="0.61471479164419518"/>
        </c:manualLayout>
      </c:layout>
      <c:barChart>
        <c:barDir val="col"/>
        <c:grouping val="stacked"/>
        <c:varyColors val="0"/>
        <c:ser>
          <c:idx val="1"/>
          <c:order val="1"/>
          <c:tx>
            <c:strRef>
              <c:f>BiP_Llogaria_financiare!$D$149</c:f>
              <c:strCache>
                <c:ptCount val="1"/>
                <c:pt idx="0">
                  <c:v>Investimet Direkte Net</c:v>
                </c:pt>
              </c:strCache>
            </c:strRef>
          </c:tx>
          <c:spPr>
            <a:solidFill>
              <a:srgbClr val="C0504D"/>
            </a:solidFill>
            <a:ln w="25400">
              <a:noFill/>
            </a:ln>
          </c:spPr>
          <c:invertIfNegative val="0"/>
          <c:cat>
            <c:strRef>
              <c:f>BiP_Llogaria_financiare!$B$152:$B$161</c:f>
              <c:strCache>
                <c:ptCount val="10"/>
                <c:pt idx="0">
                  <c:v>2018 Q1</c:v>
                </c:pt>
                <c:pt idx="1">
                  <c:v>2018 Q2</c:v>
                </c:pt>
                <c:pt idx="2">
                  <c:v>2018 Q3</c:v>
                </c:pt>
                <c:pt idx="3">
                  <c:v>2018 Q4</c:v>
                </c:pt>
                <c:pt idx="4">
                  <c:v>2019 Q1</c:v>
                </c:pt>
                <c:pt idx="5">
                  <c:v>2019 Q2</c:v>
                </c:pt>
                <c:pt idx="6">
                  <c:v>2019 Q3</c:v>
                </c:pt>
                <c:pt idx="7">
                  <c:v>2019 Q4</c:v>
                </c:pt>
                <c:pt idx="8">
                  <c:v>2020 Q1</c:v>
                </c:pt>
                <c:pt idx="9">
                  <c:v>2020 Q2</c:v>
                </c:pt>
              </c:strCache>
            </c:strRef>
          </c:cat>
          <c:val>
            <c:numRef>
              <c:f>BiP_Llogaria_financiare!$D$152:$D$161</c:f>
              <c:numCache>
                <c:formatCode>#,##0.0</c:formatCode>
                <c:ptCount val="10"/>
                <c:pt idx="0">
                  <c:v>-21.527045121329333</c:v>
                </c:pt>
                <c:pt idx="1">
                  <c:v>-51.835343376791549</c:v>
                </c:pt>
                <c:pt idx="2">
                  <c:v>-81.711915395601608</c:v>
                </c:pt>
                <c:pt idx="3">
                  <c:v>-70.754884059783478</c:v>
                </c:pt>
                <c:pt idx="4">
                  <c:v>-61.065190559962133</c:v>
                </c:pt>
                <c:pt idx="5">
                  <c:v>-29.514258280824379</c:v>
                </c:pt>
                <c:pt idx="6">
                  <c:v>-73.025340161343777</c:v>
                </c:pt>
                <c:pt idx="7">
                  <c:v>-24.768738909314596</c:v>
                </c:pt>
                <c:pt idx="8">
                  <c:v>-96.400670818634893</c:v>
                </c:pt>
                <c:pt idx="9">
                  <c:v>-60.43614133842874</c:v>
                </c:pt>
              </c:numCache>
            </c:numRef>
          </c:val>
          <c:extLst>
            <c:ext xmlns:c16="http://schemas.microsoft.com/office/drawing/2014/chart" uri="{C3380CC4-5D6E-409C-BE32-E72D297353CC}">
              <c16:uniqueId val="{00000000-98F5-416D-A668-87534008AEFC}"/>
            </c:ext>
          </c:extLst>
        </c:ser>
        <c:ser>
          <c:idx val="2"/>
          <c:order val="2"/>
          <c:tx>
            <c:strRef>
              <c:f>BiP_Llogaria_financiare!$E$149</c:f>
              <c:strCache>
                <c:ptCount val="1"/>
                <c:pt idx="0">
                  <c:v>Investmet Portfolio N et</c:v>
                </c:pt>
              </c:strCache>
            </c:strRef>
          </c:tx>
          <c:spPr>
            <a:solidFill>
              <a:srgbClr val="9BBB59"/>
            </a:solidFill>
            <a:ln w="25400">
              <a:noFill/>
            </a:ln>
          </c:spPr>
          <c:invertIfNegative val="0"/>
          <c:cat>
            <c:strRef>
              <c:f>BiP_Llogaria_financiare!$B$152:$B$161</c:f>
              <c:strCache>
                <c:ptCount val="10"/>
                <c:pt idx="0">
                  <c:v>2018 Q1</c:v>
                </c:pt>
                <c:pt idx="1">
                  <c:v>2018 Q2</c:v>
                </c:pt>
                <c:pt idx="2">
                  <c:v>2018 Q3</c:v>
                </c:pt>
                <c:pt idx="3">
                  <c:v>2018 Q4</c:v>
                </c:pt>
                <c:pt idx="4">
                  <c:v>2019 Q1</c:v>
                </c:pt>
                <c:pt idx="5">
                  <c:v>2019 Q2</c:v>
                </c:pt>
                <c:pt idx="6">
                  <c:v>2019 Q3</c:v>
                </c:pt>
                <c:pt idx="7">
                  <c:v>2019 Q4</c:v>
                </c:pt>
                <c:pt idx="8">
                  <c:v>2020 Q1</c:v>
                </c:pt>
                <c:pt idx="9">
                  <c:v>2020 Q2</c:v>
                </c:pt>
              </c:strCache>
            </c:strRef>
          </c:cat>
          <c:val>
            <c:numRef>
              <c:f>BiP_Llogaria_financiare!$E$152:$E$161</c:f>
              <c:numCache>
                <c:formatCode>#,##0.0</c:formatCode>
                <c:ptCount val="10"/>
                <c:pt idx="0">
                  <c:v>48.387430770023315</c:v>
                </c:pt>
                <c:pt idx="1">
                  <c:v>11.481515638840254</c:v>
                </c:pt>
                <c:pt idx="2">
                  <c:v>-81.266215544063186</c:v>
                </c:pt>
                <c:pt idx="3">
                  <c:v>-178.46350136859417</c:v>
                </c:pt>
                <c:pt idx="4">
                  <c:v>71.060997875200059</c:v>
                </c:pt>
                <c:pt idx="5">
                  <c:v>-102.71946338547968</c:v>
                </c:pt>
                <c:pt idx="6">
                  <c:v>8.0164294743663937</c:v>
                </c:pt>
                <c:pt idx="7">
                  <c:v>82.628974791320303</c:v>
                </c:pt>
                <c:pt idx="8">
                  <c:v>-17.365323444437962</c:v>
                </c:pt>
                <c:pt idx="9">
                  <c:v>-371.77812412514118</c:v>
                </c:pt>
              </c:numCache>
            </c:numRef>
          </c:val>
          <c:extLst>
            <c:ext xmlns:c16="http://schemas.microsoft.com/office/drawing/2014/chart" uri="{C3380CC4-5D6E-409C-BE32-E72D297353CC}">
              <c16:uniqueId val="{00000001-98F5-416D-A668-87534008AEFC}"/>
            </c:ext>
          </c:extLst>
        </c:ser>
        <c:ser>
          <c:idx val="3"/>
          <c:order val="3"/>
          <c:tx>
            <c:strRef>
              <c:f>BiP_Llogaria_financiare!$F$149</c:f>
              <c:strCache>
                <c:ptCount val="1"/>
                <c:pt idx="0">
                  <c:v>Investimet Tjera Net</c:v>
                </c:pt>
              </c:strCache>
            </c:strRef>
          </c:tx>
          <c:spPr>
            <a:solidFill>
              <a:srgbClr val="8064A2"/>
            </a:solidFill>
            <a:ln w="25400">
              <a:noFill/>
            </a:ln>
          </c:spPr>
          <c:invertIfNegative val="0"/>
          <c:cat>
            <c:strRef>
              <c:f>BiP_Llogaria_financiare!$B$152:$B$161</c:f>
              <c:strCache>
                <c:ptCount val="10"/>
                <c:pt idx="0">
                  <c:v>2018 Q1</c:v>
                </c:pt>
                <c:pt idx="1">
                  <c:v>2018 Q2</c:v>
                </c:pt>
                <c:pt idx="2">
                  <c:v>2018 Q3</c:v>
                </c:pt>
                <c:pt idx="3">
                  <c:v>2018 Q4</c:v>
                </c:pt>
                <c:pt idx="4">
                  <c:v>2019 Q1</c:v>
                </c:pt>
                <c:pt idx="5">
                  <c:v>2019 Q2</c:v>
                </c:pt>
                <c:pt idx="6">
                  <c:v>2019 Q3</c:v>
                </c:pt>
                <c:pt idx="7">
                  <c:v>2019 Q4</c:v>
                </c:pt>
                <c:pt idx="8">
                  <c:v>2020 Q1</c:v>
                </c:pt>
                <c:pt idx="9">
                  <c:v>2020 Q2</c:v>
                </c:pt>
              </c:strCache>
            </c:strRef>
          </c:cat>
          <c:val>
            <c:numRef>
              <c:f>BiP_Llogaria_financiare!$F$152:$F$161</c:f>
              <c:numCache>
                <c:formatCode>#,##0.0</c:formatCode>
                <c:ptCount val="10"/>
                <c:pt idx="0">
                  <c:v>-93.991301233327832</c:v>
                </c:pt>
                <c:pt idx="1">
                  <c:v>-126.85316459228922</c:v>
                </c:pt>
                <c:pt idx="2">
                  <c:v>10.679444548467263</c:v>
                </c:pt>
                <c:pt idx="3">
                  <c:v>213.56547103753724</c:v>
                </c:pt>
                <c:pt idx="4">
                  <c:v>-152.19234918287327</c:v>
                </c:pt>
                <c:pt idx="5">
                  <c:v>-108.6683579443802</c:v>
                </c:pt>
                <c:pt idx="6">
                  <c:v>117.529461866921</c:v>
                </c:pt>
                <c:pt idx="7">
                  <c:v>14.513433982217137</c:v>
                </c:pt>
                <c:pt idx="8">
                  <c:v>29.085754671769138</c:v>
                </c:pt>
                <c:pt idx="9">
                  <c:v>185.57401759639944</c:v>
                </c:pt>
              </c:numCache>
            </c:numRef>
          </c:val>
          <c:extLst>
            <c:ext xmlns:c16="http://schemas.microsoft.com/office/drawing/2014/chart" uri="{C3380CC4-5D6E-409C-BE32-E72D297353CC}">
              <c16:uniqueId val="{00000002-98F5-416D-A668-87534008AEFC}"/>
            </c:ext>
          </c:extLst>
        </c:ser>
        <c:ser>
          <c:idx val="4"/>
          <c:order val="4"/>
          <c:tx>
            <c:strRef>
              <c:f>BiP_Llogaria_financiare!$G$149</c:f>
              <c:strCache>
                <c:ptCount val="1"/>
                <c:pt idx="0">
                  <c:v>Asetet Rezervë Net</c:v>
                </c:pt>
              </c:strCache>
            </c:strRef>
          </c:tx>
          <c:spPr>
            <a:solidFill>
              <a:srgbClr val="4BACC6"/>
            </a:solidFill>
            <a:ln w="25400">
              <a:noFill/>
            </a:ln>
          </c:spPr>
          <c:invertIfNegative val="0"/>
          <c:cat>
            <c:strRef>
              <c:f>BiP_Llogaria_financiare!$B$152:$B$161</c:f>
              <c:strCache>
                <c:ptCount val="10"/>
                <c:pt idx="0">
                  <c:v>2018 Q1</c:v>
                </c:pt>
                <c:pt idx="1">
                  <c:v>2018 Q2</c:v>
                </c:pt>
                <c:pt idx="2">
                  <c:v>2018 Q3</c:v>
                </c:pt>
                <c:pt idx="3">
                  <c:v>2018 Q4</c:v>
                </c:pt>
                <c:pt idx="4">
                  <c:v>2019 Q1</c:v>
                </c:pt>
                <c:pt idx="5">
                  <c:v>2019 Q2</c:v>
                </c:pt>
                <c:pt idx="6">
                  <c:v>2019 Q3</c:v>
                </c:pt>
                <c:pt idx="7">
                  <c:v>2019 Q4</c:v>
                </c:pt>
                <c:pt idx="8">
                  <c:v>2020 Q1</c:v>
                </c:pt>
                <c:pt idx="9">
                  <c:v>2020 Q2</c:v>
                </c:pt>
              </c:strCache>
            </c:strRef>
          </c:cat>
          <c:val>
            <c:numRef>
              <c:f>BiP_Llogaria_financiare!$G$152:$G$161</c:f>
              <c:numCache>
                <c:formatCode>#,##0.0</c:formatCode>
                <c:ptCount val="10"/>
                <c:pt idx="0">
                  <c:v>29.350597740001199</c:v>
                </c:pt>
                <c:pt idx="1">
                  <c:v>-13.727767780001582</c:v>
                </c:pt>
                <c:pt idx="2">
                  <c:v>207.16932008375503</c:v>
                </c:pt>
                <c:pt idx="3">
                  <c:v>-136.02092115375382</c:v>
                </c:pt>
                <c:pt idx="4">
                  <c:v>118.05782846278184</c:v>
                </c:pt>
                <c:pt idx="5">
                  <c:v>119.9668375005707</c:v>
                </c:pt>
                <c:pt idx="6">
                  <c:v>56.034823394571326</c:v>
                </c:pt>
                <c:pt idx="7">
                  <c:v>-198.83158984689942</c:v>
                </c:pt>
                <c:pt idx="8">
                  <c:v>-18.790906409509986</c:v>
                </c:pt>
                <c:pt idx="9">
                  <c:v>57.463192278232924</c:v>
                </c:pt>
              </c:numCache>
            </c:numRef>
          </c:val>
          <c:extLst>
            <c:ext xmlns:c16="http://schemas.microsoft.com/office/drawing/2014/chart" uri="{C3380CC4-5D6E-409C-BE32-E72D297353CC}">
              <c16:uniqueId val="{00000003-98F5-416D-A668-87534008AEFC}"/>
            </c:ext>
          </c:extLst>
        </c:ser>
        <c:dLbls>
          <c:showLegendKey val="0"/>
          <c:showVal val="0"/>
          <c:showCatName val="0"/>
          <c:showSerName val="0"/>
          <c:showPercent val="0"/>
          <c:showBubbleSize val="0"/>
        </c:dLbls>
        <c:gapWidth val="150"/>
        <c:overlap val="100"/>
        <c:axId val="112932560"/>
        <c:axId val="112932952"/>
      </c:barChart>
      <c:lineChart>
        <c:grouping val="standard"/>
        <c:varyColors val="0"/>
        <c:ser>
          <c:idx val="0"/>
          <c:order val="0"/>
          <c:tx>
            <c:strRef>
              <c:f>BiP_Llogaria_financiare!$C$149</c:f>
              <c:strCache>
                <c:ptCount val="1"/>
                <c:pt idx="0">
                  <c:v>Bilanci I Llogarisë Financiare</c:v>
                </c:pt>
              </c:strCache>
            </c:strRef>
          </c:tx>
          <c:spPr>
            <a:ln w="28575" cap="rnd">
              <a:solidFill>
                <a:schemeClr val="accent1"/>
              </a:solidFill>
              <a:round/>
            </a:ln>
            <a:effectLst/>
          </c:spPr>
          <c:marker>
            <c:symbol val="none"/>
          </c:marker>
          <c:cat>
            <c:strRef>
              <c:f>BiP_Llogaria_financiare!$B$152:$B$161</c:f>
              <c:strCache>
                <c:ptCount val="10"/>
                <c:pt idx="0">
                  <c:v>2018 Q1</c:v>
                </c:pt>
                <c:pt idx="1">
                  <c:v>2018 Q2</c:v>
                </c:pt>
                <c:pt idx="2">
                  <c:v>2018 Q3</c:v>
                </c:pt>
                <c:pt idx="3">
                  <c:v>2018 Q4</c:v>
                </c:pt>
                <c:pt idx="4">
                  <c:v>2019 Q1</c:v>
                </c:pt>
                <c:pt idx="5">
                  <c:v>2019 Q2</c:v>
                </c:pt>
                <c:pt idx="6">
                  <c:v>2019 Q3</c:v>
                </c:pt>
                <c:pt idx="7">
                  <c:v>2019 Q4</c:v>
                </c:pt>
                <c:pt idx="8">
                  <c:v>2020 Q1</c:v>
                </c:pt>
                <c:pt idx="9">
                  <c:v>2020 Q2</c:v>
                </c:pt>
              </c:strCache>
            </c:strRef>
          </c:cat>
          <c:val>
            <c:numRef>
              <c:f>BiP_Llogaria_financiare!$C$152:$C$161</c:f>
              <c:numCache>
                <c:formatCode>#,##0.0</c:formatCode>
                <c:ptCount val="10"/>
                <c:pt idx="0">
                  <c:v>-37.780317844632648</c:v>
                </c:pt>
                <c:pt idx="1">
                  <c:v>-180.93476011024211</c:v>
                </c:pt>
                <c:pt idx="2">
                  <c:v>54.870633692557476</c:v>
                </c:pt>
                <c:pt idx="3">
                  <c:v>-171.67383554459428</c:v>
                </c:pt>
                <c:pt idx="4">
                  <c:v>-24.138713404853505</c:v>
                </c:pt>
                <c:pt idx="5">
                  <c:v>-120.93524211011359</c:v>
                </c:pt>
                <c:pt idx="6">
                  <c:v>108.55537457451496</c:v>
                </c:pt>
                <c:pt idx="7">
                  <c:v>-126.45791998267656</c:v>
                </c:pt>
                <c:pt idx="8">
                  <c:v>-103.4711460008137</c:v>
                </c:pt>
                <c:pt idx="9">
                  <c:v>-189.17705558893761</c:v>
                </c:pt>
              </c:numCache>
            </c:numRef>
          </c:val>
          <c:smooth val="1"/>
          <c:extLst>
            <c:ext xmlns:c16="http://schemas.microsoft.com/office/drawing/2014/chart" uri="{C3380CC4-5D6E-409C-BE32-E72D297353CC}">
              <c16:uniqueId val="{00000004-98F5-416D-A668-87534008AEFC}"/>
            </c:ext>
          </c:extLst>
        </c:ser>
        <c:dLbls>
          <c:showLegendKey val="0"/>
          <c:showVal val="0"/>
          <c:showCatName val="0"/>
          <c:showSerName val="0"/>
          <c:showPercent val="0"/>
          <c:showBubbleSize val="0"/>
        </c:dLbls>
        <c:marker val="1"/>
        <c:smooth val="0"/>
        <c:axId val="112933736"/>
        <c:axId val="112935304"/>
      </c:lineChart>
      <c:catAx>
        <c:axId val="11293256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a:pPr>
            <a:endParaRPr lang="en-US"/>
          </a:p>
        </c:txPr>
        <c:crossAx val="112932952"/>
        <c:crosses val="autoZero"/>
        <c:auto val="1"/>
        <c:lblAlgn val="ctr"/>
        <c:lblOffset val="100"/>
        <c:noMultiLvlLbl val="0"/>
      </c:catAx>
      <c:valAx>
        <c:axId val="112932952"/>
        <c:scaling>
          <c:orientation val="minMax"/>
        </c:scaling>
        <c:delete val="0"/>
        <c:axPos val="l"/>
        <c:majorGridlines>
          <c:spPr>
            <a:ln w="9525" cap="flat" cmpd="sng" algn="ctr">
              <a:solidFill>
                <a:schemeClr val="tx1">
                  <a:lumMod val="15000"/>
                  <a:lumOff val="85000"/>
                </a:schemeClr>
              </a:solidFill>
              <a:prstDash val="dash"/>
              <a:round/>
            </a:ln>
            <a:effectLst/>
          </c:spPr>
        </c:majorGridlines>
        <c:title>
          <c:tx>
            <c:rich>
              <a:bodyPr/>
              <a:lstStyle/>
              <a:p>
                <a:pPr>
                  <a:defRPr/>
                </a:pPr>
                <a:r>
                  <a:rPr lang="en-US"/>
                  <a:t>mln Eur</a:t>
                </a:r>
              </a:p>
            </c:rich>
          </c:tx>
          <c:layout/>
          <c:overlay val="0"/>
        </c:title>
        <c:numFmt formatCode="#,##0.0" sourceLinked="1"/>
        <c:majorTickMark val="none"/>
        <c:minorTickMark val="none"/>
        <c:tickLblPos val="nextTo"/>
        <c:spPr>
          <a:ln w="9525">
            <a:noFill/>
          </a:ln>
        </c:spPr>
        <c:txPr>
          <a:bodyPr rot="-60000000" vert="horz"/>
          <a:lstStyle/>
          <a:p>
            <a:pPr>
              <a:defRPr/>
            </a:pPr>
            <a:endParaRPr lang="en-US"/>
          </a:p>
        </c:txPr>
        <c:crossAx val="112932560"/>
        <c:crosses val="autoZero"/>
        <c:crossBetween val="between"/>
      </c:valAx>
      <c:catAx>
        <c:axId val="112933736"/>
        <c:scaling>
          <c:orientation val="minMax"/>
        </c:scaling>
        <c:delete val="1"/>
        <c:axPos val="b"/>
        <c:numFmt formatCode="General" sourceLinked="1"/>
        <c:majorTickMark val="out"/>
        <c:minorTickMark val="none"/>
        <c:tickLblPos val="nextTo"/>
        <c:crossAx val="112935304"/>
        <c:crosses val="autoZero"/>
        <c:auto val="1"/>
        <c:lblAlgn val="ctr"/>
        <c:lblOffset val="100"/>
        <c:noMultiLvlLbl val="0"/>
      </c:catAx>
      <c:valAx>
        <c:axId val="112935304"/>
        <c:scaling>
          <c:orientation val="minMax"/>
        </c:scaling>
        <c:delete val="0"/>
        <c:axPos val="r"/>
        <c:title>
          <c:tx>
            <c:rich>
              <a:bodyPr/>
              <a:lstStyle/>
              <a:p>
                <a:pPr>
                  <a:defRPr/>
                </a:pPr>
                <a:r>
                  <a:rPr lang="en-US"/>
                  <a:t>mln Eur</a:t>
                </a:r>
              </a:p>
            </c:rich>
          </c:tx>
          <c:layout/>
          <c:overlay val="0"/>
        </c:title>
        <c:numFmt formatCode="#,##0.0" sourceLinked="1"/>
        <c:majorTickMark val="out"/>
        <c:minorTickMark val="none"/>
        <c:tickLblPos val="nextTo"/>
        <c:spPr>
          <a:ln w="9525">
            <a:noFill/>
          </a:ln>
        </c:spPr>
        <c:txPr>
          <a:bodyPr rot="-60000000" vert="horz"/>
          <a:lstStyle/>
          <a:p>
            <a:pPr>
              <a:defRPr/>
            </a:pPr>
            <a:endParaRPr lang="en-US"/>
          </a:p>
        </c:txPr>
        <c:crossAx val="112933736"/>
        <c:crosses val="max"/>
        <c:crossBetween val="between"/>
      </c:valAx>
      <c:spPr>
        <a:noFill/>
        <a:ln w="25400">
          <a:noFill/>
        </a:ln>
      </c:spPr>
    </c:plotArea>
    <c:legend>
      <c:legendPos val="b"/>
      <c:layout>
        <c:manualLayout>
          <c:xMode val="edge"/>
          <c:yMode val="edge"/>
          <c:x val="5.8554024496937883E-2"/>
          <c:y val="0.80757559414662194"/>
          <c:w val="0.94144597550306208"/>
          <c:h val="0.16464692769568187"/>
        </c:manualLayout>
      </c:layout>
      <c:overlay val="0"/>
      <c:spPr>
        <a:noFill/>
        <a:ln w="25400">
          <a:noFill/>
        </a:ln>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05160781282704"/>
          <c:y val="5.4401582591493573E-2"/>
          <c:w val="0.69295417827372807"/>
          <c:h val="0.65685630355808178"/>
        </c:manualLayout>
      </c:layout>
      <c:barChart>
        <c:barDir val="col"/>
        <c:grouping val="stacked"/>
        <c:varyColors val="0"/>
        <c:ser>
          <c:idx val="0"/>
          <c:order val="0"/>
          <c:tx>
            <c:strRef>
              <c:f>'Bazuar në BPM6'!$G$55</c:f>
              <c:strCache>
                <c:ptCount val="1"/>
                <c:pt idx="0">
                  <c:v>Asetet</c:v>
                </c:pt>
              </c:strCache>
            </c:strRef>
          </c:tx>
          <c:spPr>
            <a:solidFill>
              <a:srgbClr val="4F81BD"/>
            </a:solidFill>
            <a:ln w="25400">
              <a:noFill/>
            </a:ln>
          </c:spPr>
          <c:invertIfNegative val="0"/>
          <c:cat>
            <c:multiLvlStrRef>
              <c:f>'Bazuar në BPM6'!$E$82:$F$97</c:f>
              <c:multiLvlStrCache>
                <c:ptCount val="16"/>
                <c:lvl>
                  <c:pt idx="0">
                    <c:v>TM1</c:v>
                  </c:pt>
                  <c:pt idx="1">
                    <c:v>TM2</c:v>
                  </c:pt>
                  <c:pt idx="2">
                    <c:v>TM3</c:v>
                  </c:pt>
                  <c:pt idx="3">
                    <c:v>TM4</c:v>
                  </c:pt>
                  <c:pt idx="4">
                    <c:v>TM1</c:v>
                  </c:pt>
                  <c:pt idx="5">
                    <c:v>TM2</c:v>
                  </c:pt>
                  <c:pt idx="6">
                    <c:v>TM3</c:v>
                  </c:pt>
                  <c:pt idx="7">
                    <c:v>TM4</c:v>
                  </c:pt>
                  <c:pt idx="8">
                    <c:v>TM1</c:v>
                  </c:pt>
                  <c:pt idx="9">
                    <c:v>TM2</c:v>
                  </c:pt>
                  <c:pt idx="10">
                    <c:v>TM3</c:v>
                  </c:pt>
                  <c:pt idx="11">
                    <c:v>TM4</c:v>
                  </c:pt>
                  <c:pt idx="12">
                    <c:v>TM1</c:v>
                  </c:pt>
                  <c:pt idx="13">
                    <c:v>TM2</c:v>
                  </c:pt>
                  <c:pt idx="14">
                    <c:v>TM3</c:v>
                  </c:pt>
                  <c:pt idx="15">
                    <c:v>TM4</c:v>
                  </c:pt>
                </c:lvl>
                <c:lvl>
                  <c:pt idx="0">
                    <c:v>2017</c:v>
                  </c:pt>
                  <c:pt idx="4">
                    <c:v>2018</c:v>
                  </c:pt>
                  <c:pt idx="8">
                    <c:v>2019</c:v>
                  </c:pt>
                  <c:pt idx="12">
                    <c:v>2020</c:v>
                  </c:pt>
                </c:lvl>
              </c:multiLvlStrCache>
            </c:multiLvlStrRef>
          </c:cat>
          <c:val>
            <c:numRef>
              <c:f>'Bazuar në BPM6'!$G$58:$G$71</c:f>
              <c:numCache>
                <c:formatCode>#,##0.0</c:formatCode>
                <c:ptCount val="14"/>
                <c:pt idx="0">
                  <c:v>4689.118058503168</c:v>
                </c:pt>
                <c:pt idx="1">
                  <c:v>4664.3266880702477</c:v>
                </c:pt>
                <c:pt idx="2">
                  <c:v>4861.8143344620712</c:v>
                </c:pt>
                <c:pt idx="3">
                  <c:v>4837.942588489338</c:v>
                </c:pt>
                <c:pt idx="4">
                  <c:v>4776.906558204264</c:v>
                </c:pt>
                <c:pt idx="5">
                  <c:v>4755.3007342252567</c:v>
                </c:pt>
                <c:pt idx="6">
                  <c:v>5005.7683875793655</c:v>
                </c:pt>
                <c:pt idx="7">
                  <c:v>4766.1630668146108</c:v>
                </c:pt>
                <c:pt idx="8">
                  <c:v>4890.5407685950404</c:v>
                </c:pt>
                <c:pt idx="9">
                  <c:v>4912.2524767880504</c:v>
                </c:pt>
                <c:pt idx="10">
                  <c:v>5185.1779999905139</c:v>
                </c:pt>
                <c:pt idx="11">
                  <c:v>5163.3150151302398</c:v>
                </c:pt>
                <c:pt idx="12">
                  <c:v>5054.329732382952</c:v>
                </c:pt>
                <c:pt idx="13">
                  <c:v>5076.3217270535679</c:v>
                </c:pt>
              </c:numCache>
            </c:numRef>
          </c:val>
          <c:extLst>
            <c:ext xmlns:c16="http://schemas.microsoft.com/office/drawing/2014/chart" uri="{C3380CC4-5D6E-409C-BE32-E72D297353CC}">
              <c16:uniqueId val="{00000000-4EB3-4B84-AAF7-C8C0CF98FC59}"/>
            </c:ext>
          </c:extLst>
        </c:ser>
        <c:ser>
          <c:idx val="1"/>
          <c:order val="1"/>
          <c:tx>
            <c:strRef>
              <c:f>'Bazuar në BPM6'!$H$55</c:f>
              <c:strCache>
                <c:ptCount val="1"/>
                <c:pt idx="0">
                  <c:v>Detyrimet</c:v>
                </c:pt>
              </c:strCache>
            </c:strRef>
          </c:tx>
          <c:spPr>
            <a:solidFill>
              <a:srgbClr val="C0504D"/>
            </a:solidFill>
            <a:ln w="25400">
              <a:noFill/>
            </a:ln>
          </c:spPr>
          <c:invertIfNegative val="0"/>
          <c:cat>
            <c:multiLvlStrRef>
              <c:f>'Bazuar në BPM6'!$E$82:$F$97</c:f>
              <c:multiLvlStrCache>
                <c:ptCount val="16"/>
                <c:lvl>
                  <c:pt idx="0">
                    <c:v>TM1</c:v>
                  </c:pt>
                  <c:pt idx="1">
                    <c:v>TM2</c:v>
                  </c:pt>
                  <c:pt idx="2">
                    <c:v>TM3</c:v>
                  </c:pt>
                  <c:pt idx="3">
                    <c:v>TM4</c:v>
                  </c:pt>
                  <c:pt idx="4">
                    <c:v>TM1</c:v>
                  </c:pt>
                  <c:pt idx="5">
                    <c:v>TM2</c:v>
                  </c:pt>
                  <c:pt idx="6">
                    <c:v>TM3</c:v>
                  </c:pt>
                  <c:pt idx="7">
                    <c:v>TM4</c:v>
                  </c:pt>
                  <c:pt idx="8">
                    <c:v>TM1</c:v>
                  </c:pt>
                  <c:pt idx="9">
                    <c:v>TM2</c:v>
                  </c:pt>
                  <c:pt idx="10">
                    <c:v>TM3</c:v>
                  </c:pt>
                  <c:pt idx="11">
                    <c:v>TM4</c:v>
                  </c:pt>
                  <c:pt idx="12">
                    <c:v>TM1</c:v>
                  </c:pt>
                  <c:pt idx="13">
                    <c:v>TM2</c:v>
                  </c:pt>
                  <c:pt idx="14">
                    <c:v>TM3</c:v>
                  </c:pt>
                  <c:pt idx="15">
                    <c:v>TM4</c:v>
                  </c:pt>
                </c:lvl>
                <c:lvl>
                  <c:pt idx="0">
                    <c:v>2017</c:v>
                  </c:pt>
                  <c:pt idx="4">
                    <c:v>2018</c:v>
                  </c:pt>
                  <c:pt idx="8">
                    <c:v>2019</c:v>
                  </c:pt>
                  <c:pt idx="12">
                    <c:v>2020</c:v>
                  </c:pt>
                </c:lvl>
              </c:multiLvlStrCache>
            </c:multiLvlStrRef>
          </c:cat>
          <c:val>
            <c:numRef>
              <c:f>'Bazuar në BPM6'!$H$58:$H$71</c:f>
              <c:numCache>
                <c:formatCode>General</c:formatCode>
                <c:ptCount val="14"/>
                <c:pt idx="0">
                  <c:v>-4745.8837143385299</c:v>
                </c:pt>
                <c:pt idx="1">
                  <c:v>-4846.7940838596096</c:v>
                </c:pt>
                <c:pt idx="2">
                  <c:v>-4853.4251590524746</c:v>
                </c:pt>
                <c:pt idx="3">
                  <c:v>-4937.8544541525507</c:v>
                </c:pt>
                <c:pt idx="4">
                  <c:v>-4900.9855975942319</c:v>
                </c:pt>
                <c:pt idx="5">
                  <c:v>-5012.4314356602499</c:v>
                </c:pt>
                <c:pt idx="6">
                  <c:v>-5132.2420831297095</c:v>
                </c:pt>
                <c:pt idx="7">
                  <c:v>-5175.6051152846976</c:v>
                </c:pt>
                <c:pt idx="8">
                  <c:v>-5238.2122355472111</c:v>
                </c:pt>
                <c:pt idx="9">
                  <c:v>-5374.6924940313147</c:v>
                </c:pt>
                <c:pt idx="10">
                  <c:v>-5489.7726116169742</c:v>
                </c:pt>
                <c:pt idx="11">
                  <c:v>-5573.3827387684141</c:v>
                </c:pt>
                <c:pt idx="12">
                  <c:v>-5646.5556769696768</c:v>
                </c:pt>
                <c:pt idx="13">
                  <c:v>-5786.0624380941172</c:v>
                </c:pt>
              </c:numCache>
            </c:numRef>
          </c:val>
          <c:extLst>
            <c:ext xmlns:c16="http://schemas.microsoft.com/office/drawing/2014/chart" uri="{C3380CC4-5D6E-409C-BE32-E72D297353CC}">
              <c16:uniqueId val="{00000001-4EB3-4B84-AAF7-C8C0CF98FC59}"/>
            </c:ext>
          </c:extLst>
        </c:ser>
        <c:dLbls>
          <c:showLegendKey val="0"/>
          <c:showVal val="0"/>
          <c:showCatName val="0"/>
          <c:showSerName val="0"/>
          <c:showPercent val="0"/>
          <c:showBubbleSize val="0"/>
        </c:dLbls>
        <c:gapWidth val="150"/>
        <c:overlap val="100"/>
        <c:axId val="112936872"/>
        <c:axId val="112935696"/>
      </c:barChart>
      <c:lineChart>
        <c:grouping val="standard"/>
        <c:varyColors val="0"/>
        <c:ser>
          <c:idx val="2"/>
          <c:order val="2"/>
          <c:tx>
            <c:strRef>
              <c:f>'Bazuar në BPM6'!$I$55</c:f>
              <c:strCache>
                <c:ptCount val="1"/>
                <c:pt idx="0">
                  <c:v>Net</c:v>
                </c:pt>
              </c:strCache>
            </c:strRef>
          </c:tx>
          <c:spPr>
            <a:ln w="28575" cap="rnd">
              <a:solidFill>
                <a:schemeClr val="accent3"/>
              </a:solidFill>
              <a:round/>
            </a:ln>
            <a:effectLst/>
          </c:spPr>
          <c:marker>
            <c:symbol val="none"/>
          </c:marker>
          <c:cat>
            <c:multiLvlStrRef>
              <c:f>'Bazuar në BPM6'!$E$82:$F$95</c:f>
              <c:multiLvlStrCache>
                <c:ptCount val="14"/>
                <c:lvl>
                  <c:pt idx="0">
                    <c:v>TM1</c:v>
                  </c:pt>
                  <c:pt idx="1">
                    <c:v>TM2</c:v>
                  </c:pt>
                  <c:pt idx="2">
                    <c:v>TM3</c:v>
                  </c:pt>
                  <c:pt idx="3">
                    <c:v>TM4</c:v>
                  </c:pt>
                  <c:pt idx="4">
                    <c:v>TM1</c:v>
                  </c:pt>
                  <c:pt idx="5">
                    <c:v>TM2</c:v>
                  </c:pt>
                  <c:pt idx="6">
                    <c:v>TM3</c:v>
                  </c:pt>
                  <c:pt idx="7">
                    <c:v>TM4</c:v>
                  </c:pt>
                  <c:pt idx="8">
                    <c:v>TM1</c:v>
                  </c:pt>
                  <c:pt idx="9">
                    <c:v>TM2</c:v>
                  </c:pt>
                  <c:pt idx="10">
                    <c:v>TM3</c:v>
                  </c:pt>
                  <c:pt idx="11">
                    <c:v>TM4</c:v>
                  </c:pt>
                  <c:pt idx="12">
                    <c:v>TM1</c:v>
                  </c:pt>
                  <c:pt idx="13">
                    <c:v>TM2</c:v>
                  </c:pt>
                </c:lvl>
                <c:lvl>
                  <c:pt idx="0">
                    <c:v>2017</c:v>
                  </c:pt>
                  <c:pt idx="4">
                    <c:v>2018</c:v>
                  </c:pt>
                  <c:pt idx="8">
                    <c:v>2019</c:v>
                  </c:pt>
                  <c:pt idx="12">
                    <c:v>2020</c:v>
                  </c:pt>
                </c:lvl>
              </c:multiLvlStrCache>
            </c:multiLvlStrRef>
          </c:cat>
          <c:val>
            <c:numRef>
              <c:f>'Bazuar në BPM6'!$I$58:$I$71</c:f>
              <c:numCache>
                <c:formatCode>#,##0.0</c:formatCode>
                <c:ptCount val="14"/>
                <c:pt idx="0">
                  <c:v>-56.76565583536194</c:v>
                </c:pt>
                <c:pt idx="1">
                  <c:v>-182.46739578936194</c:v>
                </c:pt>
                <c:pt idx="2">
                  <c:v>8.3891754095966462</c:v>
                </c:pt>
                <c:pt idx="3">
                  <c:v>-99.911865663212666</c:v>
                </c:pt>
                <c:pt idx="4">
                  <c:v>-124.07903938996787</c:v>
                </c:pt>
                <c:pt idx="5">
                  <c:v>-257.13070143499317</c:v>
                </c:pt>
                <c:pt idx="6">
                  <c:v>-126.47369555034402</c:v>
                </c:pt>
                <c:pt idx="7">
                  <c:v>-409.44204847008677</c:v>
                </c:pt>
                <c:pt idx="8">
                  <c:v>-347.6714669521707</c:v>
                </c:pt>
                <c:pt idx="9">
                  <c:v>-462.44001724326426</c:v>
                </c:pt>
                <c:pt idx="10">
                  <c:v>-304.59461162646039</c:v>
                </c:pt>
                <c:pt idx="11">
                  <c:v>-410.06772363817436</c:v>
                </c:pt>
                <c:pt idx="12">
                  <c:v>-592.22594458672484</c:v>
                </c:pt>
                <c:pt idx="13">
                  <c:v>-709.74071104054929</c:v>
                </c:pt>
              </c:numCache>
            </c:numRef>
          </c:val>
          <c:smooth val="0"/>
          <c:extLst>
            <c:ext xmlns:c16="http://schemas.microsoft.com/office/drawing/2014/chart" uri="{C3380CC4-5D6E-409C-BE32-E72D297353CC}">
              <c16:uniqueId val="{00000002-4EB3-4B84-AAF7-C8C0CF98FC59}"/>
            </c:ext>
          </c:extLst>
        </c:ser>
        <c:dLbls>
          <c:showLegendKey val="0"/>
          <c:showVal val="0"/>
          <c:showCatName val="0"/>
          <c:showSerName val="0"/>
          <c:showPercent val="0"/>
          <c:showBubbleSize val="0"/>
        </c:dLbls>
        <c:marker val="1"/>
        <c:smooth val="0"/>
        <c:axId val="112936088"/>
        <c:axId val="112930600"/>
      </c:lineChart>
      <c:catAx>
        <c:axId val="11293687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12935696"/>
        <c:crosses val="autoZero"/>
        <c:auto val="1"/>
        <c:lblAlgn val="ctr"/>
        <c:lblOffset val="100"/>
        <c:noMultiLvlLbl val="0"/>
      </c:catAx>
      <c:valAx>
        <c:axId val="112935696"/>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sz="800"/>
                </a:pPr>
                <a:r>
                  <a:rPr lang="en-US" sz="800"/>
                  <a:t>mln Eur</a:t>
                </a:r>
              </a:p>
            </c:rich>
          </c:tx>
          <c:layout>
            <c:manualLayout>
              <c:xMode val="edge"/>
              <c:yMode val="edge"/>
              <c:x val="1.7041581458759374E-2"/>
              <c:y val="1.17662406442518E-2"/>
            </c:manualLayout>
          </c:layout>
          <c:overlay val="0"/>
        </c:title>
        <c:numFmt formatCode="#,##0.0" sourceLinked="1"/>
        <c:majorTickMark val="none"/>
        <c:minorTickMark val="none"/>
        <c:tickLblPos val="nextTo"/>
        <c:spPr>
          <a:ln w="9525">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12936872"/>
        <c:crosses val="autoZero"/>
        <c:crossBetween val="between"/>
      </c:valAx>
      <c:catAx>
        <c:axId val="112936088"/>
        <c:scaling>
          <c:orientation val="minMax"/>
        </c:scaling>
        <c:delete val="1"/>
        <c:axPos val="b"/>
        <c:numFmt formatCode="General" sourceLinked="1"/>
        <c:majorTickMark val="out"/>
        <c:minorTickMark val="none"/>
        <c:tickLblPos val="nextTo"/>
        <c:crossAx val="112930600"/>
        <c:crosses val="autoZero"/>
        <c:auto val="1"/>
        <c:lblAlgn val="ctr"/>
        <c:lblOffset val="100"/>
        <c:noMultiLvlLbl val="0"/>
      </c:catAx>
      <c:valAx>
        <c:axId val="112930600"/>
        <c:scaling>
          <c:orientation val="minMax"/>
          <c:min val="-1000"/>
        </c:scaling>
        <c:delete val="0"/>
        <c:axPos val="r"/>
        <c:title>
          <c:tx>
            <c:rich>
              <a:bodyPr/>
              <a:lstStyle/>
              <a:p>
                <a:pPr>
                  <a:defRPr sz="800"/>
                </a:pPr>
                <a:r>
                  <a:rPr lang="en-US" sz="800" b="0"/>
                  <a:t>mln Eur</a:t>
                </a:r>
              </a:p>
            </c:rich>
          </c:tx>
          <c:layout>
            <c:manualLayout>
              <c:xMode val="edge"/>
              <c:yMode val="edge"/>
              <c:x val="0.9413597840147282"/>
              <c:y val="3.334190051169408E-3"/>
            </c:manualLayout>
          </c:layout>
          <c:overlay val="0"/>
        </c:title>
        <c:numFmt formatCode="#,##0.0" sourceLinked="1"/>
        <c:majorTickMark val="out"/>
        <c:minorTickMark val="none"/>
        <c:tickLblPos val="nextTo"/>
        <c:spPr>
          <a:ln w="9525">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12936088"/>
        <c:crosses val="max"/>
        <c:crossBetween val="between"/>
      </c:valAx>
      <c:spPr>
        <a:noFill/>
        <a:ln w="25400">
          <a:noFill/>
        </a:ln>
      </c:spPr>
    </c:plotArea>
    <c:legend>
      <c:legendPos val="b"/>
      <c:layout>
        <c:manualLayout>
          <c:xMode val="edge"/>
          <c:yMode val="edge"/>
          <c:x val="0.25748335679894319"/>
          <c:y val="0.8975355824424387"/>
          <c:w val="0.47675926891588882"/>
          <c:h val="7.2024411582698455E-2"/>
        </c:manualLayout>
      </c:layout>
      <c:overlay val="0"/>
      <c:spPr>
        <a:noFill/>
        <a:ln w="25400">
          <a:noFill/>
        </a:ln>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0617420625585247E-2"/>
          <c:y val="2.5412288481004724E-2"/>
          <c:w val="0.90755567482881705"/>
          <c:h val="0.62079492623149068"/>
        </c:manualLayout>
      </c:layout>
      <c:barChart>
        <c:barDir val="col"/>
        <c:grouping val="stacked"/>
        <c:varyColors val="0"/>
        <c:ser>
          <c:idx val="0"/>
          <c:order val="0"/>
          <c:tx>
            <c:strRef>
              <c:f>Graph!$C$2</c:f>
              <c:strCache>
                <c:ptCount val="1"/>
                <c:pt idx="0">
                  <c:v>Kontributi-Ekonomitë Familjare</c:v>
                </c:pt>
              </c:strCache>
            </c:strRef>
          </c:tx>
          <c:spPr>
            <a:solidFill>
              <a:srgbClr val="4F81BD"/>
            </a:solidFill>
            <a:ln w="25400">
              <a:noFill/>
            </a:ln>
          </c:spPr>
          <c:invertIfNegative val="0"/>
          <c:cat>
            <c:strRef>
              <c:f>Graph!$B$4:$B$42</c:f>
              <c:strCache>
                <c:ptCount val="39"/>
                <c:pt idx="0">
                  <c:v>Q1 2011</c:v>
                </c:pt>
                <c:pt idx="1">
                  <c:v>Q2 2011</c:v>
                </c:pt>
                <c:pt idx="2">
                  <c:v>Q3 2011</c:v>
                </c:pt>
                <c:pt idx="3">
                  <c:v>Q4 2011</c:v>
                </c:pt>
                <c:pt idx="4">
                  <c:v>Q1 2012</c:v>
                </c:pt>
                <c:pt idx="5">
                  <c:v>Q2 2012</c:v>
                </c:pt>
                <c:pt idx="6">
                  <c:v>Q3 2012</c:v>
                </c:pt>
                <c:pt idx="7">
                  <c:v>Q4 2012</c:v>
                </c:pt>
                <c:pt idx="8">
                  <c:v>Q1 2013</c:v>
                </c:pt>
                <c:pt idx="9">
                  <c:v>Q2 2013</c:v>
                </c:pt>
                <c:pt idx="10">
                  <c:v>Q3 2013</c:v>
                </c:pt>
                <c:pt idx="11">
                  <c:v>Q4 2013</c:v>
                </c:pt>
                <c:pt idx="12">
                  <c:v>Q1 2014</c:v>
                </c:pt>
                <c:pt idx="13">
                  <c:v>Q2 2014</c:v>
                </c:pt>
                <c:pt idx="14">
                  <c:v>Q3 2014</c:v>
                </c:pt>
                <c:pt idx="15">
                  <c:v>Q4 2014</c:v>
                </c:pt>
                <c:pt idx="16">
                  <c:v>Q1 2015</c:v>
                </c:pt>
                <c:pt idx="17">
                  <c:v>Q2 2015</c:v>
                </c:pt>
                <c:pt idx="18">
                  <c:v>Q3 2015</c:v>
                </c:pt>
                <c:pt idx="19">
                  <c:v>Q4 2015</c:v>
                </c:pt>
                <c:pt idx="20">
                  <c:v>Q1 2016</c:v>
                </c:pt>
                <c:pt idx="21">
                  <c:v>Q2 2016</c:v>
                </c:pt>
                <c:pt idx="22">
                  <c:v>Q3 2016</c:v>
                </c:pt>
                <c:pt idx="23">
                  <c:v>Q4 2016</c:v>
                </c:pt>
                <c:pt idx="24">
                  <c:v>Q1 2017</c:v>
                </c:pt>
                <c:pt idx="25">
                  <c:v>Q2 2017</c:v>
                </c:pt>
                <c:pt idx="26">
                  <c:v>Q3 2017</c:v>
                </c:pt>
                <c:pt idx="27">
                  <c:v>Q4 2017</c:v>
                </c:pt>
                <c:pt idx="28">
                  <c:v>Q1 2018</c:v>
                </c:pt>
                <c:pt idx="29">
                  <c:v>Q2 2018</c:v>
                </c:pt>
                <c:pt idx="30">
                  <c:v>Q3 2018</c:v>
                </c:pt>
                <c:pt idx="31">
                  <c:v>Q4 2018</c:v>
                </c:pt>
                <c:pt idx="32">
                  <c:v>Q1 2019</c:v>
                </c:pt>
                <c:pt idx="33">
                  <c:v>Q2 2019</c:v>
                </c:pt>
                <c:pt idx="34">
                  <c:v>Q3 2019</c:v>
                </c:pt>
                <c:pt idx="35">
                  <c:v>Q4 2019</c:v>
                </c:pt>
                <c:pt idx="36">
                  <c:v>Q1 2020</c:v>
                </c:pt>
                <c:pt idx="37">
                  <c:v>Q2 2020</c:v>
                </c:pt>
                <c:pt idx="38">
                  <c:v>Q3 2020</c:v>
                </c:pt>
              </c:strCache>
            </c:strRef>
          </c:cat>
          <c:val>
            <c:numRef>
              <c:f>Graph!$C$4:$C$42</c:f>
              <c:numCache>
                <c:formatCode>0</c:formatCode>
                <c:ptCount val="39"/>
                <c:pt idx="0">
                  <c:v>3.9365801549128401</c:v>
                </c:pt>
                <c:pt idx="1">
                  <c:v>4.9651806165679755</c:v>
                </c:pt>
                <c:pt idx="2">
                  <c:v>5.3953717981593741</c:v>
                </c:pt>
                <c:pt idx="3">
                  <c:v>5.260682156349727</c:v>
                </c:pt>
                <c:pt idx="4">
                  <c:v>4.9476632753689849</c:v>
                </c:pt>
                <c:pt idx="5">
                  <c:v>3.4666959418539451</c:v>
                </c:pt>
                <c:pt idx="6">
                  <c:v>2.5879717301307434</c:v>
                </c:pt>
                <c:pt idx="7">
                  <c:v>1.8647234407501463</c:v>
                </c:pt>
                <c:pt idx="8">
                  <c:v>1.8695906206405144</c:v>
                </c:pt>
                <c:pt idx="9">
                  <c:v>1.3243035455384937</c:v>
                </c:pt>
                <c:pt idx="10">
                  <c:v>0.81231941923869211</c:v>
                </c:pt>
                <c:pt idx="11">
                  <c:v>1.2074062419978124</c:v>
                </c:pt>
                <c:pt idx="12">
                  <c:v>1.0666642478416537</c:v>
                </c:pt>
                <c:pt idx="13">
                  <c:v>1.7098541271112662</c:v>
                </c:pt>
                <c:pt idx="14">
                  <c:v>2.9444176210618713</c:v>
                </c:pt>
                <c:pt idx="15">
                  <c:v>3.9551137249005013</c:v>
                </c:pt>
                <c:pt idx="16">
                  <c:v>3.3283210918500075</c:v>
                </c:pt>
                <c:pt idx="17">
                  <c:v>3.5784067226742793</c:v>
                </c:pt>
                <c:pt idx="18">
                  <c:v>2.9610452959504796</c:v>
                </c:pt>
                <c:pt idx="19">
                  <c:v>3.1338998949322177</c:v>
                </c:pt>
                <c:pt idx="20">
                  <c:v>4.6391696495713379</c:v>
                </c:pt>
                <c:pt idx="21">
                  <c:v>4.9982745081360713</c:v>
                </c:pt>
                <c:pt idx="22">
                  <c:v>5.7844739461054129</c:v>
                </c:pt>
                <c:pt idx="23">
                  <c:v>5.0645704358281671</c:v>
                </c:pt>
                <c:pt idx="24">
                  <c:v>4.8091409027659644</c:v>
                </c:pt>
                <c:pt idx="25">
                  <c:v>4.3471574020222636</c:v>
                </c:pt>
                <c:pt idx="26">
                  <c:v>4.3532255749505246</c:v>
                </c:pt>
                <c:pt idx="27">
                  <c:v>4.5405425563249473</c:v>
                </c:pt>
                <c:pt idx="28">
                  <c:v>4.5231071516461236</c:v>
                </c:pt>
                <c:pt idx="29">
                  <c:v>4.3058427221282436</c:v>
                </c:pt>
                <c:pt idx="30">
                  <c:v>4.0891290505534998</c:v>
                </c:pt>
                <c:pt idx="31">
                  <c:v>4.0528279919513333</c:v>
                </c:pt>
                <c:pt idx="32">
                  <c:v>3.8489051165398793</c:v>
                </c:pt>
                <c:pt idx="33">
                  <c:v>3.7152118916919754</c:v>
                </c:pt>
                <c:pt idx="34">
                  <c:v>3.902801481477252</c:v>
                </c:pt>
                <c:pt idx="35">
                  <c:v>3.755252541600012</c:v>
                </c:pt>
                <c:pt idx="36">
                  <c:v>3.856563827750735</c:v>
                </c:pt>
                <c:pt idx="37">
                  <c:v>2.4319422373462487</c:v>
                </c:pt>
                <c:pt idx="38">
                  <c:v>2.7598853304903321</c:v>
                </c:pt>
              </c:numCache>
            </c:numRef>
          </c:val>
          <c:extLst>
            <c:ext xmlns:c16="http://schemas.microsoft.com/office/drawing/2014/chart" uri="{C3380CC4-5D6E-409C-BE32-E72D297353CC}">
              <c16:uniqueId val="{00000000-F13E-4ACD-B5AC-4888C5BD8EF6}"/>
            </c:ext>
          </c:extLst>
        </c:ser>
        <c:ser>
          <c:idx val="1"/>
          <c:order val="1"/>
          <c:tx>
            <c:strRef>
              <c:f>Graph!$D$2</c:f>
              <c:strCache>
                <c:ptCount val="1"/>
                <c:pt idx="0">
                  <c:v>Kontributi- Korporatat Jo Financiare</c:v>
                </c:pt>
              </c:strCache>
            </c:strRef>
          </c:tx>
          <c:spPr>
            <a:solidFill>
              <a:srgbClr val="C0504D"/>
            </a:solidFill>
            <a:ln w="25400">
              <a:noFill/>
            </a:ln>
          </c:spPr>
          <c:invertIfNegative val="0"/>
          <c:cat>
            <c:strRef>
              <c:f>Graph!$B$4:$B$42</c:f>
              <c:strCache>
                <c:ptCount val="39"/>
                <c:pt idx="0">
                  <c:v>Q1 2011</c:v>
                </c:pt>
                <c:pt idx="1">
                  <c:v>Q2 2011</c:v>
                </c:pt>
                <c:pt idx="2">
                  <c:v>Q3 2011</c:v>
                </c:pt>
                <c:pt idx="3">
                  <c:v>Q4 2011</c:v>
                </c:pt>
                <c:pt idx="4">
                  <c:v>Q1 2012</c:v>
                </c:pt>
                <c:pt idx="5">
                  <c:v>Q2 2012</c:v>
                </c:pt>
                <c:pt idx="6">
                  <c:v>Q3 2012</c:v>
                </c:pt>
                <c:pt idx="7">
                  <c:v>Q4 2012</c:v>
                </c:pt>
                <c:pt idx="8">
                  <c:v>Q1 2013</c:v>
                </c:pt>
                <c:pt idx="9">
                  <c:v>Q2 2013</c:v>
                </c:pt>
                <c:pt idx="10">
                  <c:v>Q3 2013</c:v>
                </c:pt>
                <c:pt idx="11">
                  <c:v>Q4 2013</c:v>
                </c:pt>
                <c:pt idx="12">
                  <c:v>Q1 2014</c:v>
                </c:pt>
                <c:pt idx="13">
                  <c:v>Q2 2014</c:v>
                </c:pt>
                <c:pt idx="14">
                  <c:v>Q3 2014</c:v>
                </c:pt>
                <c:pt idx="15">
                  <c:v>Q4 2014</c:v>
                </c:pt>
                <c:pt idx="16">
                  <c:v>Q1 2015</c:v>
                </c:pt>
                <c:pt idx="17">
                  <c:v>Q2 2015</c:v>
                </c:pt>
                <c:pt idx="18">
                  <c:v>Q3 2015</c:v>
                </c:pt>
                <c:pt idx="19">
                  <c:v>Q4 2015</c:v>
                </c:pt>
                <c:pt idx="20">
                  <c:v>Q1 2016</c:v>
                </c:pt>
                <c:pt idx="21">
                  <c:v>Q2 2016</c:v>
                </c:pt>
                <c:pt idx="22">
                  <c:v>Q3 2016</c:v>
                </c:pt>
                <c:pt idx="23">
                  <c:v>Q4 2016</c:v>
                </c:pt>
                <c:pt idx="24">
                  <c:v>Q1 2017</c:v>
                </c:pt>
                <c:pt idx="25">
                  <c:v>Q2 2017</c:v>
                </c:pt>
                <c:pt idx="26">
                  <c:v>Q3 2017</c:v>
                </c:pt>
                <c:pt idx="27">
                  <c:v>Q4 2017</c:v>
                </c:pt>
                <c:pt idx="28">
                  <c:v>Q1 2018</c:v>
                </c:pt>
                <c:pt idx="29">
                  <c:v>Q2 2018</c:v>
                </c:pt>
                <c:pt idx="30">
                  <c:v>Q3 2018</c:v>
                </c:pt>
                <c:pt idx="31">
                  <c:v>Q4 2018</c:v>
                </c:pt>
                <c:pt idx="32">
                  <c:v>Q1 2019</c:v>
                </c:pt>
                <c:pt idx="33">
                  <c:v>Q2 2019</c:v>
                </c:pt>
                <c:pt idx="34">
                  <c:v>Q3 2019</c:v>
                </c:pt>
                <c:pt idx="35">
                  <c:v>Q4 2019</c:v>
                </c:pt>
                <c:pt idx="36">
                  <c:v>Q1 2020</c:v>
                </c:pt>
                <c:pt idx="37">
                  <c:v>Q2 2020</c:v>
                </c:pt>
                <c:pt idx="38">
                  <c:v>Q3 2020</c:v>
                </c:pt>
              </c:strCache>
            </c:strRef>
          </c:cat>
          <c:val>
            <c:numRef>
              <c:f>Graph!$D$4:$D$42</c:f>
              <c:numCache>
                <c:formatCode>0</c:formatCode>
                <c:ptCount val="39"/>
                <c:pt idx="0">
                  <c:v>9.0103382472714859</c:v>
                </c:pt>
                <c:pt idx="1">
                  <c:v>9.5051479811515147</c:v>
                </c:pt>
                <c:pt idx="2">
                  <c:v>9.6756160664588524</c:v>
                </c:pt>
                <c:pt idx="3">
                  <c:v>8.4306760393906437</c:v>
                </c:pt>
                <c:pt idx="4">
                  <c:v>5.8335001694928357</c:v>
                </c:pt>
                <c:pt idx="5">
                  <c:v>4.3188268035166013</c:v>
                </c:pt>
                <c:pt idx="6">
                  <c:v>2.5621491220298118</c:v>
                </c:pt>
                <c:pt idx="7">
                  <c:v>2.5189200958297655</c:v>
                </c:pt>
                <c:pt idx="8">
                  <c:v>2.4384929506682371</c:v>
                </c:pt>
                <c:pt idx="9">
                  <c:v>2.0986718844972474</c:v>
                </c:pt>
                <c:pt idx="10">
                  <c:v>2.1284518167841866</c:v>
                </c:pt>
                <c:pt idx="11">
                  <c:v>1.3987674931565326</c:v>
                </c:pt>
                <c:pt idx="12">
                  <c:v>1.509273324663154</c:v>
                </c:pt>
                <c:pt idx="13">
                  <c:v>1.9041215247863741</c:v>
                </c:pt>
                <c:pt idx="14">
                  <c:v>1.6715784241774021</c:v>
                </c:pt>
                <c:pt idx="15">
                  <c:v>2.1181138087244484</c:v>
                </c:pt>
                <c:pt idx="16">
                  <c:v>2.5448913887983196</c:v>
                </c:pt>
                <c:pt idx="17">
                  <c:v>4.0827726974080578</c:v>
                </c:pt>
                <c:pt idx="18">
                  <c:v>4.7548318532112184</c:v>
                </c:pt>
                <c:pt idx="19">
                  <c:v>4.0771055422915641</c:v>
                </c:pt>
                <c:pt idx="20">
                  <c:v>4.0700394071072639</c:v>
                </c:pt>
                <c:pt idx="21">
                  <c:v>3.3155561307804513</c:v>
                </c:pt>
                <c:pt idx="22">
                  <c:v>3.9517405554591796</c:v>
                </c:pt>
                <c:pt idx="23">
                  <c:v>5.5148406454385341</c:v>
                </c:pt>
                <c:pt idx="24">
                  <c:v>6.2595730867709074</c:v>
                </c:pt>
                <c:pt idx="25">
                  <c:v>5.8979402817036357</c:v>
                </c:pt>
                <c:pt idx="26">
                  <c:v>5.8332411363576107</c:v>
                </c:pt>
                <c:pt idx="27">
                  <c:v>7.0116178121288177</c:v>
                </c:pt>
                <c:pt idx="28">
                  <c:v>5.97054878487344</c:v>
                </c:pt>
                <c:pt idx="29">
                  <c:v>7.0161504676012658</c:v>
                </c:pt>
                <c:pt idx="30">
                  <c:v>7.3830498474645694</c:v>
                </c:pt>
                <c:pt idx="31">
                  <c:v>6.7793655548353549</c:v>
                </c:pt>
                <c:pt idx="32">
                  <c:v>7.6124240825855463</c:v>
                </c:pt>
                <c:pt idx="33">
                  <c:v>6.7818359444929044</c:v>
                </c:pt>
                <c:pt idx="34">
                  <c:v>6.2505614539019785</c:v>
                </c:pt>
                <c:pt idx="35">
                  <c:v>6.2115188179746221</c:v>
                </c:pt>
                <c:pt idx="36">
                  <c:v>5.3245623576299241</c:v>
                </c:pt>
                <c:pt idx="37">
                  <c:v>3.9975591738659118</c:v>
                </c:pt>
                <c:pt idx="38">
                  <c:v>4.9795404172536264</c:v>
                </c:pt>
              </c:numCache>
            </c:numRef>
          </c:val>
          <c:extLst>
            <c:ext xmlns:c16="http://schemas.microsoft.com/office/drawing/2014/chart" uri="{C3380CC4-5D6E-409C-BE32-E72D297353CC}">
              <c16:uniqueId val="{00000001-F13E-4ACD-B5AC-4888C5BD8EF6}"/>
            </c:ext>
          </c:extLst>
        </c:ser>
        <c:dLbls>
          <c:showLegendKey val="0"/>
          <c:showVal val="0"/>
          <c:showCatName val="0"/>
          <c:showSerName val="0"/>
          <c:showPercent val="0"/>
          <c:showBubbleSize val="0"/>
        </c:dLbls>
        <c:gapWidth val="219"/>
        <c:overlap val="100"/>
        <c:axId val="112934912"/>
        <c:axId val="151730608"/>
      </c:barChart>
      <c:lineChart>
        <c:grouping val="standard"/>
        <c:varyColors val="0"/>
        <c:ser>
          <c:idx val="2"/>
          <c:order val="2"/>
          <c:tx>
            <c:strRef>
              <c:f>Graph!$E$2</c:f>
              <c:strCache>
                <c:ptCount val="1"/>
                <c:pt idx="0">
                  <c:v>Sektori Privat- rritja e kreditimit</c:v>
                </c:pt>
              </c:strCache>
            </c:strRef>
          </c:tx>
          <c:spPr>
            <a:ln w="28575" cap="rnd">
              <a:solidFill>
                <a:schemeClr val="accent3"/>
              </a:solidFill>
              <a:round/>
            </a:ln>
            <a:effectLst/>
          </c:spPr>
          <c:marker>
            <c:symbol val="none"/>
          </c:marker>
          <c:cat>
            <c:strRef>
              <c:f>Graph!$B$4:$B$42</c:f>
              <c:strCache>
                <c:ptCount val="39"/>
                <c:pt idx="0">
                  <c:v>Q1 2011</c:v>
                </c:pt>
                <c:pt idx="1">
                  <c:v>Q2 2011</c:v>
                </c:pt>
                <c:pt idx="2">
                  <c:v>Q3 2011</c:v>
                </c:pt>
                <c:pt idx="3">
                  <c:v>Q4 2011</c:v>
                </c:pt>
                <c:pt idx="4">
                  <c:v>Q1 2012</c:v>
                </c:pt>
                <c:pt idx="5">
                  <c:v>Q2 2012</c:v>
                </c:pt>
                <c:pt idx="6">
                  <c:v>Q3 2012</c:v>
                </c:pt>
                <c:pt idx="7">
                  <c:v>Q4 2012</c:v>
                </c:pt>
                <c:pt idx="8">
                  <c:v>Q1 2013</c:v>
                </c:pt>
                <c:pt idx="9">
                  <c:v>Q2 2013</c:v>
                </c:pt>
                <c:pt idx="10">
                  <c:v>Q3 2013</c:v>
                </c:pt>
                <c:pt idx="11">
                  <c:v>Q4 2013</c:v>
                </c:pt>
                <c:pt idx="12">
                  <c:v>Q1 2014</c:v>
                </c:pt>
                <c:pt idx="13">
                  <c:v>Q2 2014</c:v>
                </c:pt>
                <c:pt idx="14">
                  <c:v>Q3 2014</c:v>
                </c:pt>
                <c:pt idx="15">
                  <c:v>Q4 2014</c:v>
                </c:pt>
                <c:pt idx="16">
                  <c:v>Q1 2015</c:v>
                </c:pt>
                <c:pt idx="17">
                  <c:v>Q2 2015</c:v>
                </c:pt>
                <c:pt idx="18">
                  <c:v>Q3 2015</c:v>
                </c:pt>
                <c:pt idx="19">
                  <c:v>Q4 2015</c:v>
                </c:pt>
                <c:pt idx="20">
                  <c:v>Q1 2016</c:v>
                </c:pt>
                <c:pt idx="21">
                  <c:v>Q2 2016</c:v>
                </c:pt>
                <c:pt idx="22">
                  <c:v>Q3 2016</c:v>
                </c:pt>
                <c:pt idx="23">
                  <c:v>Q4 2016</c:v>
                </c:pt>
                <c:pt idx="24">
                  <c:v>Q1 2017</c:v>
                </c:pt>
                <c:pt idx="25">
                  <c:v>Q2 2017</c:v>
                </c:pt>
                <c:pt idx="26">
                  <c:v>Q3 2017</c:v>
                </c:pt>
                <c:pt idx="27">
                  <c:v>Q4 2017</c:v>
                </c:pt>
                <c:pt idx="28">
                  <c:v>Q1 2018</c:v>
                </c:pt>
                <c:pt idx="29">
                  <c:v>Q2 2018</c:v>
                </c:pt>
                <c:pt idx="30">
                  <c:v>Q3 2018</c:v>
                </c:pt>
                <c:pt idx="31">
                  <c:v>Q4 2018</c:v>
                </c:pt>
                <c:pt idx="32">
                  <c:v>Q1 2019</c:v>
                </c:pt>
                <c:pt idx="33">
                  <c:v>Q2 2019</c:v>
                </c:pt>
                <c:pt idx="34">
                  <c:v>Q3 2019</c:v>
                </c:pt>
                <c:pt idx="35">
                  <c:v>Q4 2019</c:v>
                </c:pt>
                <c:pt idx="36">
                  <c:v>Q1 2020</c:v>
                </c:pt>
                <c:pt idx="37">
                  <c:v>Q2 2020</c:v>
                </c:pt>
                <c:pt idx="38">
                  <c:v>Q3 2020</c:v>
                </c:pt>
              </c:strCache>
            </c:strRef>
          </c:cat>
          <c:val>
            <c:numRef>
              <c:f>Graph!$E$4:$E$42</c:f>
              <c:numCache>
                <c:formatCode>0</c:formatCode>
                <c:ptCount val="39"/>
                <c:pt idx="0">
                  <c:v>13.244893627783894</c:v>
                </c:pt>
                <c:pt idx="1">
                  <c:v>15.677366004687677</c:v>
                </c:pt>
                <c:pt idx="2">
                  <c:v>16.753774836567679</c:v>
                </c:pt>
                <c:pt idx="3">
                  <c:v>16.411782631407924</c:v>
                </c:pt>
                <c:pt idx="4">
                  <c:v>13.477876824727941</c:v>
                </c:pt>
                <c:pt idx="5">
                  <c:v>9.317473946203414</c:v>
                </c:pt>
                <c:pt idx="6">
                  <c:v>6.1809953513569882</c:v>
                </c:pt>
                <c:pt idx="7">
                  <c:v>3.8482211607136385</c:v>
                </c:pt>
                <c:pt idx="8">
                  <c:v>3.8192550549001059</c:v>
                </c:pt>
                <c:pt idx="9">
                  <c:v>2.7863994073501264</c:v>
                </c:pt>
                <c:pt idx="10">
                  <c:v>2.2333909624681514</c:v>
                </c:pt>
                <c:pt idx="11">
                  <c:v>2.4035701501331497</c:v>
                </c:pt>
                <c:pt idx="12">
                  <c:v>2.4232733643673399</c:v>
                </c:pt>
                <c:pt idx="13">
                  <c:v>3.514887409964973</c:v>
                </c:pt>
                <c:pt idx="14">
                  <c:v>3.171990117013701</c:v>
                </c:pt>
                <c:pt idx="15">
                  <c:v>4.2384133413976066</c:v>
                </c:pt>
                <c:pt idx="16">
                  <c:v>4.252138758308055</c:v>
                </c:pt>
                <c:pt idx="17">
                  <c:v>6.0980412645339932</c:v>
                </c:pt>
                <c:pt idx="18">
                  <c:v>7.4540228069818637</c:v>
                </c:pt>
                <c:pt idx="19">
                  <c:v>7.2863332198331854</c:v>
                </c:pt>
                <c:pt idx="20">
                  <c:v>8.7586799819204586</c:v>
                </c:pt>
                <c:pt idx="21">
                  <c:v>8.3962796163181039</c:v>
                </c:pt>
                <c:pt idx="22">
                  <c:v>9.589635969782794</c:v>
                </c:pt>
                <c:pt idx="23">
                  <c:v>10.421393847460925</c:v>
                </c:pt>
                <c:pt idx="24">
                  <c:v>10.851593008651461</c:v>
                </c:pt>
                <c:pt idx="25">
                  <c:v>9.9842106607567871</c:v>
                </c:pt>
                <c:pt idx="26">
                  <c:v>10.197586421622585</c:v>
                </c:pt>
                <c:pt idx="27">
                  <c:v>11.46085489653672</c:v>
                </c:pt>
                <c:pt idx="28">
                  <c:v>10.43040362239247</c:v>
                </c:pt>
                <c:pt idx="29">
                  <c:v>11.325429802563502</c:v>
                </c:pt>
                <c:pt idx="30">
                  <c:v>11.381192502635539</c:v>
                </c:pt>
                <c:pt idx="31">
                  <c:v>10.861523859544642</c:v>
                </c:pt>
                <c:pt idx="32">
                  <c:v>11.4355148128928</c:v>
                </c:pt>
                <c:pt idx="33">
                  <c:v>10.47330082524487</c:v>
                </c:pt>
                <c:pt idx="34">
                  <c:v>10.296462620253344</c:v>
                </c:pt>
                <c:pt idx="35">
                  <c:v>10.031631777876537</c:v>
                </c:pt>
                <c:pt idx="36">
                  <c:v>9.1774175017605089</c:v>
                </c:pt>
                <c:pt idx="37">
                  <c:v>6.3742883106324477</c:v>
                </c:pt>
                <c:pt idx="38">
                  <c:v>7.6202747927085479</c:v>
                </c:pt>
              </c:numCache>
            </c:numRef>
          </c:val>
          <c:smooth val="0"/>
          <c:extLst>
            <c:ext xmlns:c16="http://schemas.microsoft.com/office/drawing/2014/chart" uri="{C3380CC4-5D6E-409C-BE32-E72D297353CC}">
              <c16:uniqueId val="{00000002-F13E-4ACD-B5AC-4888C5BD8EF6}"/>
            </c:ext>
          </c:extLst>
        </c:ser>
        <c:dLbls>
          <c:showLegendKey val="0"/>
          <c:showVal val="0"/>
          <c:showCatName val="0"/>
          <c:showSerName val="0"/>
          <c:showPercent val="0"/>
          <c:showBubbleSize val="0"/>
        </c:dLbls>
        <c:marker val="1"/>
        <c:smooth val="0"/>
        <c:axId val="112934912"/>
        <c:axId val="151730608"/>
      </c:lineChart>
      <c:lineChart>
        <c:grouping val="standard"/>
        <c:varyColors val="0"/>
        <c:ser>
          <c:idx val="3"/>
          <c:order val="3"/>
          <c:tx>
            <c:strRef>
              <c:f>Graph!$F$2</c:f>
              <c:strCache>
                <c:ptCount val="1"/>
                <c:pt idx="0">
                  <c:v>Norma mesatare e kreditimit (%)- boshti I djathtë</c:v>
                </c:pt>
              </c:strCache>
            </c:strRef>
          </c:tx>
          <c:spPr>
            <a:ln w="28575" cap="rnd">
              <a:solidFill>
                <a:schemeClr val="accent4"/>
              </a:solidFill>
              <a:round/>
            </a:ln>
            <a:effectLst/>
          </c:spPr>
          <c:marker>
            <c:symbol val="none"/>
          </c:marker>
          <c:cat>
            <c:strRef>
              <c:f>Graph!$B$4:$B$42</c:f>
              <c:strCache>
                <c:ptCount val="39"/>
                <c:pt idx="0">
                  <c:v>Q1 2011</c:v>
                </c:pt>
                <c:pt idx="1">
                  <c:v>Q2 2011</c:v>
                </c:pt>
                <c:pt idx="2">
                  <c:v>Q3 2011</c:v>
                </c:pt>
                <c:pt idx="3">
                  <c:v>Q4 2011</c:v>
                </c:pt>
                <c:pt idx="4">
                  <c:v>Q1 2012</c:v>
                </c:pt>
                <c:pt idx="5">
                  <c:v>Q2 2012</c:v>
                </c:pt>
                <c:pt idx="6">
                  <c:v>Q3 2012</c:v>
                </c:pt>
                <c:pt idx="7">
                  <c:v>Q4 2012</c:v>
                </c:pt>
                <c:pt idx="8">
                  <c:v>Q1 2013</c:v>
                </c:pt>
                <c:pt idx="9">
                  <c:v>Q2 2013</c:v>
                </c:pt>
                <c:pt idx="10">
                  <c:v>Q3 2013</c:v>
                </c:pt>
                <c:pt idx="11">
                  <c:v>Q4 2013</c:v>
                </c:pt>
                <c:pt idx="12">
                  <c:v>Q1 2014</c:v>
                </c:pt>
                <c:pt idx="13">
                  <c:v>Q2 2014</c:v>
                </c:pt>
                <c:pt idx="14">
                  <c:v>Q3 2014</c:v>
                </c:pt>
                <c:pt idx="15">
                  <c:v>Q4 2014</c:v>
                </c:pt>
                <c:pt idx="16">
                  <c:v>Q1 2015</c:v>
                </c:pt>
                <c:pt idx="17">
                  <c:v>Q2 2015</c:v>
                </c:pt>
                <c:pt idx="18">
                  <c:v>Q3 2015</c:v>
                </c:pt>
                <c:pt idx="19">
                  <c:v>Q4 2015</c:v>
                </c:pt>
                <c:pt idx="20">
                  <c:v>Q1 2016</c:v>
                </c:pt>
                <c:pt idx="21">
                  <c:v>Q2 2016</c:v>
                </c:pt>
                <c:pt idx="22">
                  <c:v>Q3 2016</c:v>
                </c:pt>
                <c:pt idx="23">
                  <c:v>Q4 2016</c:v>
                </c:pt>
                <c:pt idx="24">
                  <c:v>Q1 2017</c:v>
                </c:pt>
                <c:pt idx="25">
                  <c:v>Q2 2017</c:v>
                </c:pt>
                <c:pt idx="26">
                  <c:v>Q3 2017</c:v>
                </c:pt>
                <c:pt idx="27">
                  <c:v>Q4 2017</c:v>
                </c:pt>
                <c:pt idx="28">
                  <c:v>Q1 2018</c:v>
                </c:pt>
                <c:pt idx="29">
                  <c:v>Q2 2018</c:v>
                </c:pt>
                <c:pt idx="30">
                  <c:v>Q3 2018</c:v>
                </c:pt>
                <c:pt idx="31">
                  <c:v>Q4 2018</c:v>
                </c:pt>
                <c:pt idx="32">
                  <c:v>Q1 2019</c:v>
                </c:pt>
                <c:pt idx="33">
                  <c:v>Q2 2019</c:v>
                </c:pt>
                <c:pt idx="34">
                  <c:v>Q3 2019</c:v>
                </c:pt>
                <c:pt idx="35">
                  <c:v>Q4 2019</c:v>
                </c:pt>
                <c:pt idx="36">
                  <c:v>Q1 2020</c:v>
                </c:pt>
                <c:pt idx="37">
                  <c:v>Q2 2020</c:v>
                </c:pt>
                <c:pt idx="38">
                  <c:v>Q3 2020</c:v>
                </c:pt>
              </c:strCache>
            </c:strRef>
          </c:cat>
          <c:val>
            <c:numRef>
              <c:f>Graph!$F$4:$F$42</c:f>
              <c:numCache>
                <c:formatCode>0</c:formatCode>
                <c:ptCount val="39"/>
                <c:pt idx="0">
                  <c:v>13.711400000000001</c:v>
                </c:pt>
                <c:pt idx="1">
                  <c:v>13.456099999999999</c:v>
                </c:pt>
                <c:pt idx="2">
                  <c:v>13.549700000000001</c:v>
                </c:pt>
                <c:pt idx="3">
                  <c:v>13.300999999999998</c:v>
                </c:pt>
                <c:pt idx="4">
                  <c:v>13.167033333333332</c:v>
                </c:pt>
                <c:pt idx="5">
                  <c:v>12.483966666666667</c:v>
                </c:pt>
                <c:pt idx="6">
                  <c:v>12.614166666666668</c:v>
                </c:pt>
                <c:pt idx="7">
                  <c:v>12.399000000000001</c:v>
                </c:pt>
                <c:pt idx="8">
                  <c:v>12.617066666666666</c:v>
                </c:pt>
                <c:pt idx="9">
                  <c:v>11.691600000000001</c:v>
                </c:pt>
                <c:pt idx="10">
                  <c:v>11.786566666666667</c:v>
                </c:pt>
                <c:pt idx="11">
                  <c:v>11.184100000000001</c:v>
                </c:pt>
                <c:pt idx="12">
                  <c:v>11.364800000000001</c:v>
                </c:pt>
                <c:pt idx="13">
                  <c:v>10.567466666666666</c:v>
                </c:pt>
                <c:pt idx="14">
                  <c:v>10.686466666666666</c:v>
                </c:pt>
                <c:pt idx="15">
                  <c:v>9.83503333333333</c:v>
                </c:pt>
                <c:pt idx="16">
                  <c:v>9.317966666666667</c:v>
                </c:pt>
                <c:pt idx="17">
                  <c:v>7.9676333333333318</c:v>
                </c:pt>
                <c:pt idx="18">
                  <c:v>7.966966666666667</c:v>
                </c:pt>
                <c:pt idx="19">
                  <c:v>8.0247000000000011</c:v>
                </c:pt>
                <c:pt idx="20">
                  <c:v>7.8075666666666672</c:v>
                </c:pt>
                <c:pt idx="21">
                  <c:v>7.4834666666666658</c:v>
                </c:pt>
                <c:pt idx="22">
                  <c:v>7.3220333333333336</c:v>
                </c:pt>
                <c:pt idx="23">
                  <c:v>7.2708666666666675</c:v>
                </c:pt>
                <c:pt idx="24">
                  <c:v>7.2484999999999991</c:v>
                </c:pt>
                <c:pt idx="25">
                  <c:v>6.7106333333333339</c:v>
                </c:pt>
                <c:pt idx="26">
                  <c:v>6.579066666666666</c:v>
                </c:pt>
                <c:pt idx="27">
                  <c:v>6.7886333333333324</c:v>
                </c:pt>
                <c:pt idx="28">
                  <c:v>6.9382999999999999</c:v>
                </c:pt>
                <c:pt idx="29">
                  <c:v>6.6645333333333303</c:v>
                </c:pt>
                <c:pt idx="30">
                  <c:v>6.6703999999999999</c:v>
                </c:pt>
                <c:pt idx="31">
                  <c:v>6.3089666666666693</c:v>
                </c:pt>
                <c:pt idx="32">
                  <c:v>6.7445333333333304</c:v>
                </c:pt>
                <c:pt idx="33">
                  <c:v>6.4434666666666693</c:v>
                </c:pt>
                <c:pt idx="34">
                  <c:v>6.4242333330000001</c:v>
                </c:pt>
                <c:pt idx="35">
                  <c:v>6.4305891448725294</c:v>
                </c:pt>
                <c:pt idx="36">
                  <c:v>6.3610520602439395</c:v>
                </c:pt>
                <c:pt idx="37">
                  <c:v>6.1618901563285498</c:v>
                </c:pt>
                <c:pt idx="38">
                  <c:v>6.1899333333333297</c:v>
                </c:pt>
              </c:numCache>
            </c:numRef>
          </c:val>
          <c:smooth val="0"/>
          <c:extLst>
            <c:ext xmlns:c16="http://schemas.microsoft.com/office/drawing/2014/chart" uri="{C3380CC4-5D6E-409C-BE32-E72D297353CC}">
              <c16:uniqueId val="{00000003-F13E-4ACD-B5AC-4888C5BD8EF6}"/>
            </c:ext>
          </c:extLst>
        </c:ser>
        <c:ser>
          <c:idx val="4"/>
          <c:order val="4"/>
          <c:tx>
            <c:strRef>
              <c:f>Graph!$G$2</c:f>
              <c:strCache>
                <c:ptCount val="1"/>
                <c:pt idx="0">
                  <c:v>Norma mesatare e depozitave (%)- boshti I djathtë</c:v>
                </c:pt>
              </c:strCache>
            </c:strRef>
          </c:tx>
          <c:spPr>
            <a:ln w="28575" cap="rnd">
              <a:solidFill>
                <a:schemeClr val="accent5"/>
              </a:solidFill>
              <a:round/>
            </a:ln>
            <a:effectLst/>
          </c:spPr>
          <c:marker>
            <c:symbol val="none"/>
          </c:marker>
          <c:cat>
            <c:strRef>
              <c:f>Graph!$B$4:$B$42</c:f>
              <c:strCache>
                <c:ptCount val="39"/>
                <c:pt idx="0">
                  <c:v>Q1 2011</c:v>
                </c:pt>
                <c:pt idx="1">
                  <c:v>Q2 2011</c:v>
                </c:pt>
                <c:pt idx="2">
                  <c:v>Q3 2011</c:v>
                </c:pt>
                <c:pt idx="3">
                  <c:v>Q4 2011</c:v>
                </c:pt>
                <c:pt idx="4">
                  <c:v>Q1 2012</c:v>
                </c:pt>
                <c:pt idx="5">
                  <c:v>Q2 2012</c:v>
                </c:pt>
                <c:pt idx="6">
                  <c:v>Q3 2012</c:v>
                </c:pt>
                <c:pt idx="7">
                  <c:v>Q4 2012</c:v>
                </c:pt>
                <c:pt idx="8">
                  <c:v>Q1 2013</c:v>
                </c:pt>
                <c:pt idx="9">
                  <c:v>Q2 2013</c:v>
                </c:pt>
                <c:pt idx="10">
                  <c:v>Q3 2013</c:v>
                </c:pt>
                <c:pt idx="11">
                  <c:v>Q4 2013</c:v>
                </c:pt>
                <c:pt idx="12">
                  <c:v>Q1 2014</c:v>
                </c:pt>
                <c:pt idx="13">
                  <c:v>Q2 2014</c:v>
                </c:pt>
                <c:pt idx="14">
                  <c:v>Q3 2014</c:v>
                </c:pt>
                <c:pt idx="15">
                  <c:v>Q4 2014</c:v>
                </c:pt>
                <c:pt idx="16">
                  <c:v>Q1 2015</c:v>
                </c:pt>
                <c:pt idx="17">
                  <c:v>Q2 2015</c:v>
                </c:pt>
                <c:pt idx="18">
                  <c:v>Q3 2015</c:v>
                </c:pt>
                <c:pt idx="19">
                  <c:v>Q4 2015</c:v>
                </c:pt>
                <c:pt idx="20">
                  <c:v>Q1 2016</c:v>
                </c:pt>
                <c:pt idx="21">
                  <c:v>Q2 2016</c:v>
                </c:pt>
                <c:pt idx="22">
                  <c:v>Q3 2016</c:v>
                </c:pt>
                <c:pt idx="23">
                  <c:v>Q4 2016</c:v>
                </c:pt>
                <c:pt idx="24">
                  <c:v>Q1 2017</c:v>
                </c:pt>
                <c:pt idx="25">
                  <c:v>Q2 2017</c:v>
                </c:pt>
                <c:pt idx="26">
                  <c:v>Q3 2017</c:v>
                </c:pt>
                <c:pt idx="27">
                  <c:v>Q4 2017</c:v>
                </c:pt>
                <c:pt idx="28">
                  <c:v>Q1 2018</c:v>
                </c:pt>
                <c:pt idx="29">
                  <c:v>Q2 2018</c:v>
                </c:pt>
                <c:pt idx="30">
                  <c:v>Q3 2018</c:v>
                </c:pt>
                <c:pt idx="31">
                  <c:v>Q4 2018</c:v>
                </c:pt>
                <c:pt idx="32">
                  <c:v>Q1 2019</c:v>
                </c:pt>
                <c:pt idx="33">
                  <c:v>Q2 2019</c:v>
                </c:pt>
                <c:pt idx="34">
                  <c:v>Q3 2019</c:v>
                </c:pt>
                <c:pt idx="35">
                  <c:v>Q4 2019</c:v>
                </c:pt>
                <c:pt idx="36">
                  <c:v>Q1 2020</c:v>
                </c:pt>
                <c:pt idx="37">
                  <c:v>Q2 2020</c:v>
                </c:pt>
                <c:pt idx="38">
                  <c:v>Q3 2020</c:v>
                </c:pt>
              </c:strCache>
            </c:strRef>
          </c:cat>
          <c:val>
            <c:numRef>
              <c:f>Graph!$G$4:$G$42</c:f>
              <c:numCache>
                <c:formatCode>0</c:formatCode>
                <c:ptCount val="39"/>
                <c:pt idx="0">
                  <c:v>3.4804000000000004</c:v>
                </c:pt>
                <c:pt idx="1">
                  <c:v>3.4963000000000002</c:v>
                </c:pt>
                <c:pt idx="2">
                  <c:v>3.5301999999999998</c:v>
                </c:pt>
                <c:pt idx="3">
                  <c:v>3.6368999999999998</c:v>
                </c:pt>
                <c:pt idx="4">
                  <c:v>3.3145333333333333</c:v>
                </c:pt>
                <c:pt idx="5">
                  <c:v>3.6093666666666664</c:v>
                </c:pt>
                <c:pt idx="6">
                  <c:v>3.8279666666666672</c:v>
                </c:pt>
                <c:pt idx="7">
                  <c:v>3.6506999999999996</c:v>
                </c:pt>
                <c:pt idx="8">
                  <c:v>3.6351666666666662</c:v>
                </c:pt>
                <c:pt idx="9">
                  <c:v>3.5379666666666671</c:v>
                </c:pt>
                <c:pt idx="10">
                  <c:v>3.4901333333333331</c:v>
                </c:pt>
                <c:pt idx="11">
                  <c:v>3.0258000000000003</c:v>
                </c:pt>
                <c:pt idx="12">
                  <c:v>2.0966666666666667</c:v>
                </c:pt>
                <c:pt idx="13">
                  <c:v>0.65859999999999996</c:v>
                </c:pt>
                <c:pt idx="14">
                  <c:v>0.91349999999999987</c:v>
                </c:pt>
                <c:pt idx="15">
                  <c:v>0.779233333333333</c:v>
                </c:pt>
                <c:pt idx="16">
                  <c:v>0.81043333333333312</c:v>
                </c:pt>
                <c:pt idx="17">
                  <c:v>0.84726666666666661</c:v>
                </c:pt>
                <c:pt idx="18">
                  <c:v>0.91963333333333319</c:v>
                </c:pt>
                <c:pt idx="19">
                  <c:v>1.0292666666666666</c:v>
                </c:pt>
                <c:pt idx="20">
                  <c:v>0.94216666666666671</c:v>
                </c:pt>
                <c:pt idx="21">
                  <c:v>0.89160000000000006</c:v>
                </c:pt>
                <c:pt idx="22">
                  <c:v>1.1548</c:v>
                </c:pt>
                <c:pt idx="23">
                  <c:v>1.0476666666666665</c:v>
                </c:pt>
                <c:pt idx="24">
                  <c:v>0.94473333333333331</c:v>
                </c:pt>
                <c:pt idx="25">
                  <c:v>1.0048333333333332</c:v>
                </c:pt>
                <c:pt idx="26">
                  <c:v>1.0651999999999999</c:v>
                </c:pt>
                <c:pt idx="27">
                  <c:v>1.1263666666666667</c:v>
                </c:pt>
                <c:pt idx="28">
                  <c:v>1.1323999999999999</c:v>
                </c:pt>
                <c:pt idx="29">
                  <c:v>1.2406333333333301</c:v>
                </c:pt>
                <c:pt idx="30">
                  <c:v>1.4667666666666666</c:v>
                </c:pt>
                <c:pt idx="31">
                  <c:v>1.40343333333333</c:v>
                </c:pt>
                <c:pt idx="32">
                  <c:v>1.4696</c:v>
                </c:pt>
                <c:pt idx="33">
                  <c:v>1.3694333333333299</c:v>
                </c:pt>
                <c:pt idx="34">
                  <c:v>1.4498</c:v>
                </c:pt>
                <c:pt idx="35">
                  <c:v>1.5369000000000002</c:v>
                </c:pt>
                <c:pt idx="36">
                  <c:v>1.4851368071037201</c:v>
                </c:pt>
                <c:pt idx="37">
                  <c:v>1.47687868700634</c:v>
                </c:pt>
                <c:pt idx="38">
                  <c:v>1.4329333333333301</c:v>
                </c:pt>
              </c:numCache>
            </c:numRef>
          </c:val>
          <c:smooth val="0"/>
          <c:extLst>
            <c:ext xmlns:c16="http://schemas.microsoft.com/office/drawing/2014/chart" uri="{C3380CC4-5D6E-409C-BE32-E72D297353CC}">
              <c16:uniqueId val="{00000004-F13E-4ACD-B5AC-4888C5BD8EF6}"/>
            </c:ext>
          </c:extLst>
        </c:ser>
        <c:dLbls>
          <c:showLegendKey val="0"/>
          <c:showVal val="0"/>
          <c:showCatName val="0"/>
          <c:showSerName val="0"/>
          <c:showPercent val="0"/>
          <c:showBubbleSize val="0"/>
        </c:dLbls>
        <c:marker val="1"/>
        <c:smooth val="0"/>
        <c:axId val="151728256"/>
        <c:axId val="151731784"/>
      </c:lineChart>
      <c:catAx>
        <c:axId val="112934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crossAx val="151730608"/>
        <c:crosses val="autoZero"/>
        <c:auto val="1"/>
        <c:lblAlgn val="ctr"/>
        <c:lblOffset val="100"/>
        <c:noMultiLvlLbl val="0"/>
      </c:catAx>
      <c:valAx>
        <c:axId val="151730608"/>
        <c:scaling>
          <c:orientation val="minMax"/>
        </c:scaling>
        <c:delete val="0"/>
        <c:axPos val="l"/>
        <c:majorGridlines>
          <c:spPr>
            <a:ln>
              <a:prstDash val="dash"/>
            </a:ln>
          </c:spPr>
        </c:majorGridlines>
        <c:numFmt formatCode="0" sourceLinked="1"/>
        <c:majorTickMark val="none"/>
        <c:minorTickMark val="none"/>
        <c:tickLblPos val="nextTo"/>
        <c:spPr>
          <a:ln w="9525">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crossAx val="112934912"/>
        <c:crosses val="autoZero"/>
        <c:crossBetween val="between"/>
      </c:valAx>
      <c:catAx>
        <c:axId val="151728256"/>
        <c:scaling>
          <c:orientation val="minMax"/>
        </c:scaling>
        <c:delete val="1"/>
        <c:axPos val="b"/>
        <c:numFmt formatCode="General" sourceLinked="1"/>
        <c:majorTickMark val="out"/>
        <c:minorTickMark val="none"/>
        <c:tickLblPos val="nextTo"/>
        <c:crossAx val="151731784"/>
        <c:crosses val="autoZero"/>
        <c:auto val="1"/>
        <c:lblAlgn val="ctr"/>
        <c:lblOffset val="100"/>
        <c:noMultiLvlLbl val="0"/>
      </c:catAx>
      <c:valAx>
        <c:axId val="151731784"/>
        <c:scaling>
          <c:orientation val="minMax"/>
          <c:max val="18"/>
        </c:scaling>
        <c:delete val="0"/>
        <c:axPos val="r"/>
        <c:numFmt formatCode="0" sourceLinked="1"/>
        <c:majorTickMark val="out"/>
        <c:minorTickMark val="none"/>
        <c:tickLblPos val="nextTo"/>
        <c:spPr>
          <a:ln w="9525">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crossAx val="151728256"/>
        <c:crosses val="max"/>
        <c:crossBetween val="between"/>
      </c:valAx>
      <c:spPr>
        <a:noFill/>
        <a:ln w="25400">
          <a:noFill/>
        </a:ln>
      </c:spPr>
    </c:plotArea>
    <c:legend>
      <c:legendPos val="b"/>
      <c:layout>
        <c:manualLayout>
          <c:xMode val="edge"/>
          <c:yMode val="edge"/>
          <c:x val="1.3008040075834071E-4"/>
          <c:y val="0.85301255005240395"/>
          <c:w val="0.97837442790393458"/>
          <c:h val="0.14191150849368256"/>
        </c:manualLayout>
      </c:layout>
      <c:overlay val="0"/>
      <c:spPr>
        <a:noFill/>
        <a:ln w="25400">
          <a:noFill/>
        </a:ln>
      </c:spPr>
      <c:txPr>
        <a:bodyPr rot="0" spcFirstLastPara="1" vertOverflow="ellipsis" vert="horz" wrap="square" anchor="ctr" anchorCtr="1"/>
        <a:lstStyle/>
        <a:p>
          <a:pPr>
            <a:defRPr sz="500" b="0" i="0" u="none" strike="noStrike" kern="1200" baseline="0">
              <a:solidFill>
                <a:schemeClr val="tx1">
                  <a:lumMod val="65000"/>
                  <a:lumOff val="35000"/>
                </a:schemeClr>
              </a:solidFill>
              <a:latin typeface="Helvetica" panose="020B0604020202020204" pitchFamily="34" charset="0"/>
              <a:ea typeface="+mn-ea"/>
              <a:cs typeface="Helvetica"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CF929-CAC8-468B-99D8-A2C7DD209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131</Pages>
  <Words>59967</Words>
  <Characters>326882</Characters>
  <Application>Microsoft Office Word</Application>
  <DocSecurity>4</DocSecurity>
  <Lines>2724</Lines>
  <Paragraphs>772</Paragraphs>
  <ScaleCrop>false</ScaleCrop>
  <HeadingPairs>
    <vt:vector size="2" baseType="variant">
      <vt:variant>
        <vt:lpstr>Title</vt:lpstr>
      </vt:variant>
      <vt:variant>
        <vt:i4>1</vt:i4>
      </vt:variant>
    </vt:vector>
  </HeadingPairs>
  <TitlesOfParts>
    <vt:vector size="1" baseType="lpstr">
      <vt:lpstr>Guidelines on the content and format</vt:lpstr>
    </vt:vector>
  </TitlesOfParts>
  <Company>European Commission</Company>
  <LinksUpToDate>false</LinksUpToDate>
  <CharactersWithSpaces>386077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on the content and format</dc:title>
  <dc:creator>makroekonomia.mf@rks-gov.net</dc:creator>
  <cp:lastModifiedBy>Venhar Nushi</cp:lastModifiedBy>
  <cp:revision>2</cp:revision>
  <cp:lastPrinted>2019-11-27T13:01:00Z</cp:lastPrinted>
  <dcterms:created xsi:type="dcterms:W3CDTF">2020-12-03T13:03:00Z</dcterms:created>
  <dcterms:modified xsi:type="dcterms:W3CDTF">2020-12-03T13:03:00Z</dcterms:modified>
</cp:coreProperties>
</file>