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4F88" w:rsidRPr="00DD4F88" w:rsidRDefault="00DD4F88" w:rsidP="00DD4F88">
      <w:pPr>
        <w:spacing w:line="240" w:lineRule="auto"/>
        <w:jc w:val="center"/>
        <w:rPr>
          <w:rFonts w:eastAsia="MS Mincho"/>
          <w:sz w:val="20"/>
          <w:szCs w:val="20"/>
        </w:rPr>
      </w:pPr>
      <w:r w:rsidRPr="00DD4F88">
        <w:rPr>
          <w:rFonts w:ascii="Sylfaen" w:eastAsia="MS Mincho" w:hAnsi="Sylfaen"/>
          <w:noProof/>
          <w:sz w:val="20"/>
          <w:szCs w:val="20"/>
          <w:lang w:val="en-US"/>
        </w:rPr>
        <w:drawing>
          <wp:inline distT="0" distB="0" distL="0" distR="0" wp14:anchorId="5C141520" wp14:editId="097B59B9">
            <wp:extent cx="819150" cy="944195"/>
            <wp:effectExtent l="0" t="0" r="0" b="8890"/>
            <wp:docPr id="1" name="Picture 1" descr="stema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_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32198" cy="959235"/>
                    </a:xfrm>
                    <a:prstGeom prst="rect">
                      <a:avLst/>
                    </a:prstGeom>
                    <a:noFill/>
                    <a:ln>
                      <a:noFill/>
                    </a:ln>
                  </pic:spPr>
                </pic:pic>
              </a:graphicData>
            </a:graphic>
          </wp:inline>
        </w:drawing>
      </w:r>
    </w:p>
    <w:p w:rsidR="00DD4F88" w:rsidRPr="00DD4F88" w:rsidRDefault="00DD4F88" w:rsidP="00DD4F88">
      <w:pPr>
        <w:spacing w:line="240" w:lineRule="auto"/>
        <w:jc w:val="center"/>
        <w:rPr>
          <w:rFonts w:ascii="Book Antiqua" w:eastAsia="Batang" w:hAnsi="Book Antiqua"/>
          <w:b/>
          <w:bCs/>
          <w:sz w:val="32"/>
          <w:szCs w:val="32"/>
        </w:rPr>
      </w:pPr>
      <w:r w:rsidRPr="00DD4F88">
        <w:rPr>
          <w:rFonts w:ascii="Book Antiqua" w:eastAsia="MS Mincho" w:hAnsi="Book Antiqua" w:cs="Book Antiqua"/>
          <w:b/>
          <w:bCs/>
          <w:sz w:val="32"/>
          <w:szCs w:val="32"/>
        </w:rPr>
        <w:t>Republika e Kosovës</w:t>
      </w:r>
    </w:p>
    <w:p w:rsidR="00DD4F88" w:rsidRPr="00DD4F88" w:rsidRDefault="00DD4F88" w:rsidP="00DD4F88">
      <w:pPr>
        <w:spacing w:line="240" w:lineRule="auto"/>
        <w:jc w:val="center"/>
        <w:rPr>
          <w:rFonts w:ascii="Book Antiqua" w:eastAsia="MS Mincho" w:hAnsi="Book Antiqua" w:cs="Book Antiqua"/>
          <w:b/>
          <w:bCs/>
          <w:sz w:val="28"/>
          <w:szCs w:val="28"/>
        </w:rPr>
      </w:pPr>
      <w:r w:rsidRPr="00DD4F88">
        <w:rPr>
          <w:rFonts w:ascii="Book Antiqua" w:eastAsia="Batang" w:hAnsi="Book Antiqua" w:cs="Book Antiqua"/>
          <w:b/>
          <w:bCs/>
          <w:sz w:val="28"/>
          <w:szCs w:val="28"/>
        </w:rPr>
        <w:t xml:space="preserve">Republika Kosova - </w:t>
      </w:r>
      <w:proofErr w:type="spellStart"/>
      <w:r w:rsidRPr="00DD4F88">
        <w:rPr>
          <w:rFonts w:ascii="Book Antiqua" w:eastAsia="MS Mincho" w:hAnsi="Book Antiqua" w:cs="Book Antiqua"/>
          <w:b/>
          <w:bCs/>
          <w:sz w:val="28"/>
          <w:szCs w:val="28"/>
        </w:rPr>
        <w:t>Republic</w:t>
      </w:r>
      <w:proofErr w:type="spellEnd"/>
      <w:r w:rsidRPr="00DD4F88">
        <w:rPr>
          <w:rFonts w:ascii="Book Antiqua" w:eastAsia="MS Mincho" w:hAnsi="Book Antiqua" w:cs="Book Antiqua"/>
          <w:b/>
          <w:bCs/>
          <w:sz w:val="28"/>
          <w:szCs w:val="28"/>
        </w:rPr>
        <w:t xml:space="preserve"> </w:t>
      </w:r>
      <w:proofErr w:type="spellStart"/>
      <w:r w:rsidRPr="00DD4F88">
        <w:rPr>
          <w:rFonts w:ascii="Book Antiqua" w:eastAsia="MS Mincho" w:hAnsi="Book Antiqua" w:cs="Book Antiqua"/>
          <w:b/>
          <w:bCs/>
          <w:sz w:val="28"/>
          <w:szCs w:val="28"/>
        </w:rPr>
        <w:t>of</w:t>
      </w:r>
      <w:proofErr w:type="spellEnd"/>
      <w:r w:rsidRPr="00DD4F88">
        <w:rPr>
          <w:rFonts w:ascii="Book Antiqua" w:eastAsia="MS Mincho" w:hAnsi="Book Antiqua" w:cs="Book Antiqua"/>
          <w:b/>
          <w:bCs/>
          <w:sz w:val="28"/>
          <w:szCs w:val="28"/>
        </w:rPr>
        <w:t xml:space="preserve"> </w:t>
      </w:r>
      <w:proofErr w:type="spellStart"/>
      <w:r w:rsidRPr="00DD4F88">
        <w:rPr>
          <w:rFonts w:ascii="Book Antiqua" w:eastAsia="MS Mincho" w:hAnsi="Book Antiqua" w:cs="Book Antiqua"/>
          <w:b/>
          <w:bCs/>
          <w:sz w:val="28"/>
          <w:szCs w:val="28"/>
        </w:rPr>
        <w:t>Kosovo</w:t>
      </w:r>
      <w:proofErr w:type="spellEnd"/>
    </w:p>
    <w:p w:rsidR="00DD4F88" w:rsidRPr="00DD4F88" w:rsidRDefault="00DD4F88" w:rsidP="00DD4F88">
      <w:pPr>
        <w:spacing w:line="240" w:lineRule="auto"/>
        <w:jc w:val="center"/>
        <w:rPr>
          <w:rFonts w:ascii="Book Antiqua" w:eastAsia="MS Mincho" w:hAnsi="Book Antiqua" w:cs="Book Antiqua"/>
          <w:b/>
          <w:bCs/>
          <w:i/>
          <w:iCs/>
          <w:sz w:val="26"/>
          <w:szCs w:val="26"/>
        </w:rPr>
      </w:pPr>
      <w:r w:rsidRPr="00DD4F88">
        <w:rPr>
          <w:rFonts w:ascii="Book Antiqua" w:eastAsia="MS Mincho" w:hAnsi="Book Antiqua" w:cs="Book Antiqua"/>
          <w:b/>
          <w:bCs/>
          <w:i/>
          <w:iCs/>
          <w:sz w:val="26"/>
          <w:szCs w:val="26"/>
        </w:rPr>
        <w:t xml:space="preserve">Qeveria - </w:t>
      </w:r>
      <w:proofErr w:type="spellStart"/>
      <w:r w:rsidRPr="00DD4F88">
        <w:rPr>
          <w:rFonts w:ascii="Book Antiqua" w:eastAsia="MS Mincho" w:hAnsi="Book Antiqua" w:cs="Book Antiqua"/>
          <w:b/>
          <w:bCs/>
          <w:i/>
          <w:iCs/>
          <w:sz w:val="26"/>
          <w:szCs w:val="26"/>
        </w:rPr>
        <w:t>Vlada</w:t>
      </w:r>
      <w:proofErr w:type="spellEnd"/>
      <w:r w:rsidRPr="00DD4F88">
        <w:rPr>
          <w:rFonts w:ascii="Book Antiqua" w:eastAsia="MS Mincho" w:hAnsi="Book Antiqua" w:cs="Book Antiqua"/>
          <w:b/>
          <w:bCs/>
          <w:i/>
          <w:iCs/>
          <w:sz w:val="26"/>
          <w:szCs w:val="26"/>
        </w:rPr>
        <w:t xml:space="preserve"> – </w:t>
      </w:r>
      <w:proofErr w:type="spellStart"/>
      <w:r w:rsidRPr="00DD4F88">
        <w:rPr>
          <w:rFonts w:ascii="Book Antiqua" w:eastAsia="MS Mincho" w:hAnsi="Book Antiqua" w:cs="Book Antiqua"/>
          <w:b/>
          <w:bCs/>
          <w:i/>
          <w:iCs/>
          <w:sz w:val="26"/>
          <w:szCs w:val="26"/>
        </w:rPr>
        <w:t>Government</w:t>
      </w:r>
      <w:proofErr w:type="spellEnd"/>
    </w:p>
    <w:p w:rsidR="00DD4F88" w:rsidRPr="009C7A30" w:rsidRDefault="00DD4F88" w:rsidP="00DD4F88">
      <w:pPr>
        <w:spacing w:line="252" w:lineRule="auto"/>
        <w:ind w:left="1440" w:right="1440"/>
        <w:jc w:val="center"/>
        <w:rPr>
          <w:rFonts w:ascii="Book Antiqua" w:eastAsia="MS Mincho" w:hAnsi="Book Antiqua" w:cs="Book Antiqua"/>
          <w:bCs/>
          <w:i/>
          <w:iCs/>
          <w:sz w:val="26"/>
          <w:szCs w:val="26"/>
        </w:rPr>
      </w:pPr>
      <w:r w:rsidRPr="009C7A30">
        <w:rPr>
          <w:rFonts w:ascii="Book Antiqua" w:eastAsia="MS Mincho" w:hAnsi="Book Antiqua" w:cs="Book Antiqua"/>
          <w:bCs/>
          <w:i/>
          <w:iCs/>
          <w:sz w:val="26"/>
          <w:szCs w:val="26"/>
        </w:rPr>
        <w:t xml:space="preserve">Ministria e Financave, Punës dhe </w:t>
      </w:r>
      <w:proofErr w:type="spellStart"/>
      <w:r w:rsidRPr="009C7A30">
        <w:rPr>
          <w:rFonts w:ascii="Book Antiqua" w:eastAsia="MS Mincho" w:hAnsi="Book Antiqua" w:cs="Book Antiqua"/>
          <w:bCs/>
          <w:i/>
          <w:iCs/>
          <w:sz w:val="26"/>
          <w:szCs w:val="26"/>
        </w:rPr>
        <w:t>Transfereve</w:t>
      </w:r>
      <w:proofErr w:type="spellEnd"/>
      <w:r w:rsidRPr="009C7A30">
        <w:rPr>
          <w:rFonts w:ascii="Book Antiqua" w:eastAsia="MS Mincho" w:hAnsi="Book Antiqua" w:cs="Book Antiqua"/>
          <w:bCs/>
          <w:i/>
          <w:iCs/>
          <w:sz w:val="26"/>
          <w:szCs w:val="26"/>
        </w:rPr>
        <w:t xml:space="preserve"> - </w:t>
      </w:r>
      <w:proofErr w:type="spellStart"/>
      <w:r w:rsidRPr="009C7A30">
        <w:rPr>
          <w:rFonts w:ascii="Book Antiqua" w:eastAsia="MS Mincho" w:hAnsi="Book Antiqua" w:cs="Book Antiqua"/>
          <w:bCs/>
          <w:i/>
          <w:iCs/>
          <w:sz w:val="26"/>
          <w:szCs w:val="26"/>
        </w:rPr>
        <w:t>Ministarstvo</w:t>
      </w:r>
      <w:proofErr w:type="spellEnd"/>
      <w:r w:rsidRPr="009C7A30">
        <w:rPr>
          <w:rFonts w:ascii="Book Antiqua" w:eastAsia="MS Mincho" w:hAnsi="Book Antiqua" w:cs="Book Antiqua"/>
          <w:bCs/>
          <w:i/>
          <w:iCs/>
          <w:sz w:val="26"/>
          <w:szCs w:val="26"/>
        </w:rPr>
        <w:t xml:space="preserve"> </w:t>
      </w:r>
      <w:proofErr w:type="spellStart"/>
      <w:r w:rsidRPr="009C7A30">
        <w:rPr>
          <w:rFonts w:ascii="Book Antiqua" w:eastAsia="MS Mincho" w:hAnsi="Book Antiqua" w:cs="Book Antiqua"/>
          <w:bCs/>
          <w:i/>
          <w:iCs/>
          <w:sz w:val="26"/>
          <w:szCs w:val="26"/>
        </w:rPr>
        <w:t>Finansija</w:t>
      </w:r>
      <w:proofErr w:type="spellEnd"/>
      <w:r w:rsidRPr="009C7A30">
        <w:rPr>
          <w:rFonts w:ascii="Book Antiqua" w:eastAsia="MS Mincho" w:hAnsi="Book Antiqua" w:cs="Book Antiqua"/>
          <w:bCs/>
          <w:i/>
          <w:iCs/>
          <w:sz w:val="26"/>
          <w:szCs w:val="26"/>
        </w:rPr>
        <w:t xml:space="preserve">, </w:t>
      </w:r>
      <w:proofErr w:type="spellStart"/>
      <w:r w:rsidRPr="009C7A30">
        <w:rPr>
          <w:rFonts w:ascii="Book Antiqua" w:eastAsia="MS Mincho" w:hAnsi="Book Antiqua" w:cs="Book Antiqua"/>
          <w:bCs/>
          <w:i/>
          <w:iCs/>
          <w:sz w:val="26"/>
          <w:szCs w:val="26"/>
        </w:rPr>
        <w:t>Rada</w:t>
      </w:r>
      <w:proofErr w:type="spellEnd"/>
      <w:r w:rsidRPr="009C7A30">
        <w:rPr>
          <w:rFonts w:ascii="Book Antiqua" w:eastAsia="MS Mincho" w:hAnsi="Book Antiqua" w:cs="Book Antiqua"/>
          <w:bCs/>
          <w:i/>
          <w:iCs/>
          <w:sz w:val="26"/>
          <w:szCs w:val="26"/>
        </w:rPr>
        <w:t xml:space="preserve"> i </w:t>
      </w:r>
      <w:proofErr w:type="spellStart"/>
      <w:r w:rsidRPr="009C7A30">
        <w:rPr>
          <w:rFonts w:ascii="Book Antiqua" w:eastAsia="MS Mincho" w:hAnsi="Book Antiqua" w:cs="Book Antiqua"/>
          <w:bCs/>
          <w:i/>
          <w:iCs/>
          <w:sz w:val="26"/>
          <w:szCs w:val="26"/>
        </w:rPr>
        <w:t>Transfera</w:t>
      </w:r>
      <w:proofErr w:type="spellEnd"/>
      <w:r w:rsidRPr="009C7A30">
        <w:rPr>
          <w:rFonts w:ascii="Book Antiqua" w:eastAsia="MS Mincho" w:hAnsi="Book Antiqua" w:cs="Book Antiqua"/>
          <w:bCs/>
          <w:i/>
          <w:iCs/>
          <w:sz w:val="26"/>
          <w:szCs w:val="26"/>
        </w:rPr>
        <w:t xml:space="preserve"> - </w:t>
      </w:r>
      <w:proofErr w:type="spellStart"/>
      <w:r w:rsidRPr="009C7A30">
        <w:rPr>
          <w:rFonts w:ascii="Book Antiqua" w:eastAsia="MS Mincho" w:hAnsi="Book Antiqua" w:cs="Book Antiqua"/>
          <w:bCs/>
          <w:i/>
          <w:iCs/>
          <w:sz w:val="26"/>
          <w:szCs w:val="26"/>
        </w:rPr>
        <w:t>Ministry</w:t>
      </w:r>
      <w:proofErr w:type="spellEnd"/>
      <w:r w:rsidRPr="009C7A30">
        <w:rPr>
          <w:rFonts w:ascii="Book Antiqua" w:eastAsia="MS Mincho" w:hAnsi="Book Antiqua" w:cs="Book Antiqua"/>
          <w:bCs/>
          <w:i/>
          <w:iCs/>
          <w:sz w:val="26"/>
          <w:szCs w:val="26"/>
        </w:rPr>
        <w:t xml:space="preserve"> </w:t>
      </w:r>
      <w:proofErr w:type="spellStart"/>
      <w:r w:rsidRPr="009C7A30">
        <w:rPr>
          <w:rFonts w:ascii="Book Antiqua" w:eastAsia="MS Mincho" w:hAnsi="Book Antiqua" w:cs="Book Antiqua"/>
          <w:bCs/>
          <w:i/>
          <w:iCs/>
          <w:sz w:val="26"/>
          <w:szCs w:val="26"/>
        </w:rPr>
        <w:t>of</w:t>
      </w:r>
      <w:proofErr w:type="spellEnd"/>
      <w:r w:rsidRPr="009C7A30">
        <w:rPr>
          <w:rFonts w:ascii="Book Antiqua" w:eastAsia="MS Mincho" w:hAnsi="Book Antiqua" w:cs="Book Antiqua"/>
          <w:bCs/>
          <w:i/>
          <w:iCs/>
          <w:sz w:val="26"/>
          <w:szCs w:val="26"/>
        </w:rPr>
        <w:t xml:space="preserve"> Finance, </w:t>
      </w:r>
      <w:proofErr w:type="spellStart"/>
      <w:r w:rsidRPr="009C7A30">
        <w:rPr>
          <w:rFonts w:ascii="Book Antiqua" w:eastAsia="MS Mincho" w:hAnsi="Book Antiqua" w:cs="Book Antiqua"/>
          <w:bCs/>
          <w:i/>
          <w:iCs/>
          <w:sz w:val="26"/>
          <w:szCs w:val="26"/>
        </w:rPr>
        <w:t>Labour</w:t>
      </w:r>
      <w:proofErr w:type="spellEnd"/>
      <w:r w:rsidRPr="009C7A30">
        <w:rPr>
          <w:rFonts w:ascii="Book Antiqua" w:eastAsia="MS Mincho" w:hAnsi="Book Antiqua" w:cs="Book Antiqua"/>
          <w:bCs/>
          <w:i/>
          <w:iCs/>
          <w:sz w:val="26"/>
          <w:szCs w:val="26"/>
        </w:rPr>
        <w:t xml:space="preserve"> </w:t>
      </w:r>
      <w:proofErr w:type="spellStart"/>
      <w:r w:rsidRPr="009C7A30">
        <w:rPr>
          <w:rFonts w:ascii="Book Antiqua" w:eastAsia="MS Mincho" w:hAnsi="Book Antiqua" w:cs="Book Antiqua"/>
          <w:bCs/>
          <w:i/>
          <w:iCs/>
          <w:sz w:val="26"/>
          <w:szCs w:val="26"/>
        </w:rPr>
        <w:t>and</w:t>
      </w:r>
      <w:proofErr w:type="spellEnd"/>
      <w:r w:rsidRPr="009C7A30">
        <w:rPr>
          <w:rFonts w:ascii="Book Antiqua" w:eastAsia="MS Mincho" w:hAnsi="Book Antiqua" w:cs="Book Antiqua"/>
          <w:bCs/>
          <w:i/>
          <w:iCs/>
          <w:sz w:val="26"/>
          <w:szCs w:val="26"/>
        </w:rPr>
        <w:t xml:space="preserve"> </w:t>
      </w:r>
      <w:proofErr w:type="spellStart"/>
      <w:r w:rsidRPr="009C7A30">
        <w:rPr>
          <w:rFonts w:ascii="Book Antiqua" w:eastAsia="MS Mincho" w:hAnsi="Book Antiqua" w:cs="Book Antiqua"/>
          <w:bCs/>
          <w:i/>
          <w:iCs/>
          <w:sz w:val="26"/>
          <w:szCs w:val="26"/>
        </w:rPr>
        <w:t>Transfers</w:t>
      </w:r>
      <w:proofErr w:type="spellEnd"/>
    </w:p>
    <w:p w:rsidR="00DD4F88" w:rsidRDefault="009C7A30" w:rsidP="007B521A">
      <w:pPr>
        <w:rPr>
          <w:rFonts w:ascii="Times New Roman" w:eastAsia="Calibri" w:hAnsi="Times New Roman" w:cs="Times New Roman"/>
        </w:rPr>
      </w:pPr>
      <w:r>
        <w:rPr>
          <w:rFonts w:ascii="Times New Roman" w:eastAsia="Calibri" w:hAnsi="Times New Roman" w:cs="Times New Roman"/>
        </w:rPr>
        <w:t>_______________________________</w:t>
      </w:r>
      <w:r w:rsidR="00DD4F88">
        <w:rPr>
          <w:rFonts w:ascii="Times New Roman" w:eastAsia="Calibri" w:hAnsi="Times New Roman" w:cs="Times New Roman"/>
        </w:rPr>
        <w:t>______________________________________________________</w:t>
      </w:r>
    </w:p>
    <w:p w:rsidR="00DD4F88" w:rsidRDefault="00DD4F88" w:rsidP="007B521A">
      <w:pPr>
        <w:rPr>
          <w:rFonts w:ascii="Times New Roman" w:eastAsia="Calibri" w:hAnsi="Times New Roman" w:cs="Times New Roman"/>
        </w:rPr>
      </w:pPr>
    </w:p>
    <w:p w:rsidR="007B521A" w:rsidRPr="009C7A30" w:rsidRDefault="007B521A" w:rsidP="007B521A">
      <w:pPr>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Ministri i Ministrisë së Financave, Punës dhe </w:t>
      </w:r>
      <w:proofErr w:type="spellStart"/>
      <w:r w:rsidRPr="009C7A30">
        <w:rPr>
          <w:rFonts w:ascii="Times New Roman" w:eastAsia="Calibri" w:hAnsi="Times New Roman" w:cs="Times New Roman"/>
          <w:color w:val="000000" w:themeColor="text1"/>
          <w:sz w:val="24"/>
          <w:szCs w:val="24"/>
        </w:rPr>
        <w:t>Transfereve</w:t>
      </w:r>
      <w:proofErr w:type="spellEnd"/>
    </w:p>
    <w:p w:rsidR="00EA258D" w:rsidRPr="009C7A30" w:rsidRDefault="007B521A" w:rsidP="00EA258D">
      <w:pPr>
        <w:autoSpaceDE w:val="0"/>
        <w:autoSpaceDN w:val="0"/>
        <w:adjustRightInd w:val="0"/>
        <w:jc w:val="both"/>
        <w:rPr>
          <w:rFonts w:ascii="Times New Roman"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Në mbështetje të nenit 20, paragrafit 5 dhe të nenit 61, paragrafit 4, të Ligjit Nr. 05/L-037 për Tatimin mbi Vlerën e Shtuar, nenit 11 (1.5) të Ligjit nr.08/L-117 për Qeverinë e Republikës së Kosovës, si dhe nenit 38, paragrafit 6 të Rregullores se punës së Qeverisë Nr. 09/2011, </w:t>
      </w:r>
      <w:r w:rsidR="00EA258D" w:rsidRPr="009C7A30">
        <w:rPr>
          <w:rFonts w:ascii="Times New Roman" w:hAnsi="Times New Roman" w:cs="Times New Roman"/>
          <w:color w:val="000000" w:themeColor="text1"/>
          <w:sz w:val="24"/>
          <w:szCs w:val="24"/>
        </w:rPr>
        <w:t>(Gazeta Zyrtare, nr.15, 12 shtator 2011)</w:t>
      </w:r>
    </w:p>
    <w:p w:rsidR="007B521A" w:rsidRPr="009C7A30" w:rsidRDefault="007B521A" w:rsidP="009E29D9">
      <w:pPr>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nxjerr:</w:t>
      </w:r>
    </w:p>
    <w:p w:rsidR="007B521A" w:rsidRPr="009C7A30" w:rsidRDefault="007B521A" w:rsidP="007B521A">
      <w:pPr>
        <w:spacing w:after="260" w:line="260" w:lineRule="exact"/>
        <w:jc w:val="both"/>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 xml:space="preserve">UDHËZIM </w:t>
      </w:r>
      <w:r w:rsidR="00645DBF" w:rsidRPr="009C7A30">
        <w:rPr>
          <w:rFonts w:ascii="Times New Roman" w:eastAsia="Calibri" w:hAnsi="Times New Roman" w:cs="Times New Roman"/>
          <w:b/>
          <w:bCs/>
          <w:color w:val="000000" w:themeColor="text1"/>
          <w:sz w:val="24"/>
          <w:szCs w:val="24"/>
        </w:rPr>
        <w:t>ADMINISTRATIV MF- NR [...]/ 2023</w:t>
      </w:r>
      <w:r w:rsidRPr="009C7A30">
        <w:rPr>
          <w:rFonts w:ascii="Times New Roman" w:eastAsia="Calibri" w:hAnsi="Times New Roman" w:cs="Times New Roman"/>
          <w:b/>
          <w:bCs/>
          <w:color w:val="000000" w:themeColor="text1"/>
          <w:sz w:val="24"/>
          <w:szCs w:val="24"/>
        </w:rPr>
        <w:t xml:space="preserve"> PËR ZBATIMIN E LIGJIT NR. 05/L-037 PËR TATIMIN MBI VLERËN E SHTUAR - SKEMA E VEÇANTË PËR SHËRBIMET E FURNIZUARA NË MËNYRË ELEKTRONIKE</w:t>
      </w:r>
    </w:p>
    <w:p w:rsidR="007B521A" w:rsidRPr="009C7A30" w:rsidRDefault="007B521A" w:rsidP="00D330E5">
      <w:pPr>
        <w:spacing w:line="260" w:lineRule="exact"/>
        <w:jc w:val="center"/>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KAPITULLI I</w:t>
      </w:r>
    </w:p>
    <w:p w:rsidR="007B521A" w:rsidRPr="009C7A30" w:rsidRDefault="007B521A" w:rsidP="00D330E5">
      <w:pPr>
        <w:spacing w:line="260" w:lineRule="exact"/>
        <w:jc w:val="center"/>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DISPOZITAT E PËRGJITHSHME</w:t>
      </w:r>
    </w:p>
    <w:p w:rsidR="007B521A" w:rsidRPr="009C7A30" w:rsidRDefault="007B521A" w:rsidP="00483F4E">
      <w:pPr>
        <w:spacing w:after="0" w:line="240" w:lineRule="auto"/>
        <w:jc w:val="center"/>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Neni 1</w:t>
      </w:r>
    </w:p>
    <w:p w:rsidR="007B521A" w:rsidRPr="009C7A30" w:rsidRDefault="007B521A" w:rsidP="00483F4E">
      <w:pPr>
        <w:spacing w:after="0" w:line="240" w:lineRule="auto"/>
        <w:jc w:val="center"/>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Qëllimi</w:t>
      </w:r>
    </w:p>
    <w:p w:rsidR="00483F4E" w:rsidRPr="009C7A30" w:rsidRDefault="00483F4E" w:rsidP="00483F4E">
      <w:pPr>
        <w:spacing w:after="0" w:line="240" w:lineRule="auto"/>
        <w:jc w:val="center"/>
        <w:rPr>
          <w:rFonts w:ascii="Times New Roman" w:eastAsia="Calibri" w:hAnsi="Times New Roman" w:cs="Times New Roman"/>
          <w:color w:val="000000" w:themeColor="text1"/>
          <w:sz w:val="24"/>
          <w:szCs w:val="24"/>
        </w:rPr>
      </w:pPr>
    </w:p>
    <w:p w:rsidR="007B521A" w:rsidRPr="009C7A30" w:rsidRDefault="007B521A" w:rsidP="007B521A">
      <w:pPr>
        <w:spacing w:after="260" w:line="260" w:lineRule="exact"/>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Qëllimi i këtij Udhëzimi Administrativ është të përcaktojë rregulla të detajuara në lidhje me vendin e furnizimit të shërbimeve të furnizuara në mënyrë elektronike, si dhe udhëzime të hollësishme për zbatimin e skemës së veçantë për </w:t>
      </w:r>
      <w:bookmarkStart w:id="0" w:name="_Hlk84874047"/>
      <w:bookmarkEnd w:id="0"/>
      <w:r w:rsidR="00645DBF" w:rsidRPr="009C7A30">
        <w:rPr>
          <w:rFonts w:ascii="Times New Roman" w:eastAsia="Calibri" w:hAnsi="Times New Roman" w:cs="Times New Roman"/>
          <w:color w:val="000000" w:themeColor="text1"/>
          <w:sz w:val="24"/>
          <w:szCs w:val="24"/>
        </w:rPr>
        <w:t>Tatimin mbi Vlerën e Shtuar (tani e tutje TVSH).</w:t>
      </w:r>
    </w:p>
    <w:p w:rsidR="007B521A" w:rsidRPr="009C7A30" w:rsidRDefault="007B521A" w:rsidP="00483F4E">
      <w:pPr>
        <w:spacing w:after="0" w:line="260" w:lineRule="exact"/>
        <w:jc w:val="center"/>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Neni 2</w:t>
      </w:r>
    </w:p>
    <w:p w:rsidR="00483F4E" w:rsidRPr="009C7A30" w:rsidRDefault="007B521A" w:rsidP="009E29D9">
      <w:pPr>
        <w:spacing w:after="0" w:line="260" w:lineRule="exact"/>
        <w:jc w:val="center"/>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Fushëveprimi</w:t>
      </w:r>
    </w:p>
    <w:p w:rsidR="009E29D9" w:rsidRPr="009C7A30" w:rsidRDefault="009E29D9" w:rsidP="009E29D9">
      <w:pPr>
        <w:spacing w:after="0" w:line="260" w:lineRule="exact"/>
        <w:jc w:val="center"/>
        <w:rPr>
          <w:rFonts w:ascii="Times New Roman" w:eastAsia="Calibri" w:hAnsi="Times New Roman" w:cs="Times New Roman"/>
          <w:b/>
          <w:bCs/>
          <w:color w:val="000000" w:themeColor="text1"/>
          <w:sz w:val="24"/>
          <w:szCs w:val="24"/>
        </w:rPr>
      </w:pPr>
    </w:p>
    <w:p w:rsidR="007B521A" w:rsidRPr="009C7A30" w:rsidRDefault="007B521A" w:rsidP="007B521A">
      <w:pPr>
        <w:spacing w:after="260" w:line="260" w:lineRule="exact"/>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Dispozitat e këtij Udhëzimi Administrativ janë të obligueshme për Administratën Tatimore të Kosovës (tash e tutje ATK) dhe të gjithë personat  e tatueshëm që mund të jenë subjekt i shërbimeve të furnizuara në mënyrë elektronike e që hyjnë në fushëveprimin e këtij Udhëzimi. </w:t>
      </w:r>
    </w:p>
    <w:p w:rsidR="009E29D9" w:rsidRPr="009C7A30" w:rsidRDefault="009E29D9" w:rsidP="00483F4E">
      <w:pPr>
        <w:spacing w:after="0" w:line="260" w:lineRule="exact"/>
        <w:jc w:val="center"/>
        <w:rPr>
          <w:rFonts w:ascii="Times New Roman" w:eastAsia="Calibri" w:hAnsi="Times New Roman" w:cs="Times New Roman"/>
          <w:b/>
          <w:bCs/>
          <w:color w:val="000000" w:themeColor="text1"/>
          <w:sz w:val="24"/>
          <w:szCs w:val="24"/>
        </w:rPr>
      </w:pPr>
    </w:p>
    <w:p w:rsidR="007B521A" w:rsidRPr="009C7A30" w:rsidRDefault="007B521A" w:rsidP="00483F4E">
      <w:pPr>
        <w:spacing w:after="0" w:line="260" w:lineRule="exact"/>
        <w:jc w:val="center"/>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Neni 3</w:t>
      </w:r>
    </w:p>
    <w:p w:rsidR="007B521A" w:rsidRPr="009C7A30" w:rsidRDefault="007B521A" w:rsidP="00483F4E">
      <w:pPr>
        <w:spacing w:after="0" w:line="260" w:lineRule="exact"/>
        <w:jc w:val="center"/>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Përkufizimet</w:t>
      </w:r>
    </w:p>
    <w:p w:rsidR="00483F4E" w:rsidRPr="009C7A30" w:rsidRDefault="00483F4E" w:rsidP="00483F4E">
      <w:pPr>
        <w:spacing w:after="0" w:line="260" w:lineRule="exact"/>
        <w:jc w:val="center"/>
        <w:rPr>
          <w:rFonts w:ascii="Times New Roman" w:eastAsia="Calibri" w:hAnsi="Times New Roman" w:cs="Times New Roman"/>
          <w:b/>
          <w:bCs/>
          <w:color w:val="000000" w:themeColor="text1"/>
          <w:sz w:val="24"/>
          <w:szCs w:val="24"/>
        </w:rPr>
      </w:pPr>
    </w:p>
    <w:p w:rsidR="00483F4E" w:rsidRPr="009C7A30" w:rsidRDefault="007B521A" w:rsidP="00483F4E">
      <w:pPr>
        <w:spacing w:after="260" w:line="260" w:lineRule="exact"/>
        <w:jc w:val="both"/>
        <w:rPr>
          <w:rFonts w:ascii="Times New Roman" w:eastAsia="MS Mincho" w:hAnsi="Times New Roman" w:cs="Times New Roman"/>
          <w:b/>
          <w:bCs/>
          <w:color w:val="000000" w:themeColor="text1"/>
          <w:sz w:val="24"/>
          <w:szCs w:val="24"/>
        </w:rPr>
      </w:pPr>
      <w:r w:rsidRPr="009C7A30">
        <w:rPr>
          <w:rFonts w:ascii="Times New Roman" w:eastAsia="Calibri" w:hAnsi="Times New Roman" w:cs="Times New Roman"/>
          <w:color w:val="000000" w:themeColor="text1"/>
          <w:sz w:val="24"/>
          <w:szCs w:val="24"/>
        </w:rPr>
        <w:t>Për qëllime të këtij Udhëzimi Administrativ, shprehjet e përdorura kanë kuptimin e njëjtë sikurse</w:t>
      </w:r>
      <w:r w:rsidRPr="009C7A30">
        <w:rPr>
          <w:rFonts w:ascii="Times New Roman" w:eastAsia="MS Mincho" w:hAnsi="Times New Roman" w:cs="Times New Roman"/>
          <w:color w:val="000000" w:themeColor="text1"/>
          <w:sz w:val="24"/>
          <w:szCs w:val="24"/>
        </w:rPr>
        <w:t xml:space="preserve"> tek përkufizimet </w:t>
      </w:r>
      <w:r w:rsidRPr="009C7A30">
        <w:rPr>
          <w:rFonts w:ascii="Times New Roman" w:eastAsia="Calibri" w:hAnsi="Times New Roman" w:cs="Times New Roman"/>
          <w:color w:val="000000" w:themeColor="text1"/>
          <w:sz w:val="24"/>
          <w:szCs w:val="24"/>
        </w:rPr>
        <w:t xml:space="preserve"> në </w:t>
      </w:r>
      <w:r w:rsidR="00645DBF" w:rsidRPr="009C7A30">
        <w:rPr>
          <w:rFonts w:ascii="Times New Roman" w:eastAsia="Calibri" w:hAnsi="Times New Roman" w:cs="Times New Roman"/>
          <w:color w:val="000000" w:themeColor="text1"/>
          <w:sz w:val="24"/>
          <w:szCs w:val="24"/>
        </w:rPr>
        <w:t>Ligjin Nr. 05/L-037 për Tatimin në Vlerën e Shtuar (tani e tutje Ligji).</w:t>
      </w:r>
    </w:p>
    <w:p w:rsidR="007B521A" w:rsidRPr="009C7A30" w:rsidRDefault="007B521A" w:rsidP="00483F4E">
      <w:pPr>
        <w:spacing w:after="0" w:line="260" w:lineRule="exact"/>
        <w:jc w:val="center"/>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KAPITULLI II</w:t>
      </w:r>
    </w:p>
    <w:p w:rsidR="007B521A" w:rsidRPr="009C7A30" w:rsidRDefault="007B521A" w:rsidP="00483F4E">
      <w:pPr>
        <w:spacing w:after="0" w:line="260" w:lineRule="exact"/>
        <w:jc w:val="center"/>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Furnizimi i shërbimeve</w:t>
      </w:r>
    </w:p>
    <w:p w:rsidR="00483F4E" w:rsidRPr="009C7A30" w:rsidRDefault="00483F4E" w:rsidP="00483F4E">
      <w:pPr>
        <w:spacing w:after="0" w:line="260" w:lineRule="exact"/>
        <w:jc w:val="center"/>
        <w:rPr>
          <w:rFonts w:ascii="Times New Roman" w:eastAsia="Calibri" w:hAnsi="Times New Roman" w:cs="Times New Roman"/>
          <w:b/>
          <w:bCs/>
          <w:color w:val="000000" w:themeColor="text1"/>
          <w:sz w:val="24"/>
          <w:szCs w:val="24"/>
        </w:rPr>
      </w:pPr>
      <w:bookmarkStart w:id="1" w:name="_Hlk83825716"/>
      <w:bookmarkStart w:id="2" w:name="_Hlk84873781"/>
      <w:bookmarkEnd w:id="1"/>
    </w:p>
    <w:p w:rsidR="007B521A" w:rsidRPr="009C7A30" w:rsidRDefault="007B521A" w:rsidP="00483F4E">
      <w:pPr>
        <w:spacing w:after="0" w:line="260" w:lineRule="exact"/>
        <w:jc w:val="center"/>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Neni 4</w:t>
      </w:r>
    </w:p>
    <w:p w:rsidR="007B521A" w:rsidRPr="009C7A30" w:rsidRDefault="007B521A" w:rsidP="00483F4E">
      <w:pPr>
        <w:spacing w:after="0" w:line="260" w:lineRule="exact"/>
        <w:jc w:val="center"/>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Shërbimet e furnizuara në mënyrë elektronike</w:t>
      </w:r>
    </w:p>
    <w:p w:rsidR="00483F4E" w:rsidRPr="009C7A30" w:rsidRDefault="00483F4E" w:rsidP="00483F4E">
      <w:pPr>
        <w:spacing w:after="0" w:line="260" w:lineRule="exact"/>
        <w:jc w:val="center"/>
        <w:rPr>
          <w:rFonts w:ascii="Times New Roman" w:eastAsia="Calibri" w:hAnsi="Times New Roman" w:cs="Times New Roman"/>
          <w:b/>
          <w:bCs/>
          <w:color w:val="000000" w:themeColor="text1"/>
          <w:sz w:val="24"/>
          <w:szCs w:val="24"/>
        </w:rPr>
      </w:pPr>
    </w:p>
    <w:bookmarkEnd w:id="2"/>
    <w:p w:rsidR="007B521A" w:rsidRPr="009C7A30" w:rsidRDefault="007B521A" w:rsidP="007B521A">
      <w:pPr>
        <w:spacing w:after="260" w:line="260" w:lineRule="exact"/>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1. “Shërbimet e furnizuara në mënyrë elektronike”, </w:t>
      </w:r>
      <w:r w:rsidR="00645DBF" w:rsidRPr="009C7A30">
        <w:rPr>
          <w:rFonts w:ascii="Times New Roman" w:eastAsia="Calibri" w:hAnsi="Times New Roman" w:cs="Times New Roman"/>
          <w:color w:val="000000" w:themeColor="text1"/>
          <w:sz w:val="24"/>
          <w:szCs w:val="24"/>
        </w:rPr>
        <w:t>për qëllime të këtij Udhëzimi Administrativ</w:t>
      </w:r>
      <w:r w:rsidRPr="009C7A30">
        <w:rPr>
          <w:rFonts w:ascii="Times New Roman" w:eastAsia="Calibri" w:hAnsi="Times New Roman" w:cs="Times New Roman"/>
          <w:color w:val="000000" w:themeColor="text1"/>
          <w:sz w:val="24"/>
          <w:szCs w:val="24"/>
        </w:rPr>
        <w:t>, mbulojnë në veçanti, me sa vijon:</w:t>
      </w:r>
      <w:bookmarkStart w:id="3" w:name="_Hlk83827158"/>
      <w:bookmarkEnd w:id="3"/>
    </w:p>
    <w:p w:rsidR="007B521A" w:rsidRPr="009C7A30" w:rsidRDefault="007B521A" w:rsidP="00E17523">
      <w:pPr>
        <w:numPr>
          <w:ilvl w:val="1"/>
          <w:numId w:val="5"/>
        </w:numPr>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furnizimin e produkteve të </w:t>
      </w:r>
      <w:proofErr w:type="spellStart"/>
      <w:r w:rsidRPr="009C7A30">
        <w:rPr>
          <w:rFonts w:ascii="Times New Roman" w:eastAsia="Calibri" w:hAnsi="Times New Roman" w:cs="Times New Roman"/>
          <w:color w:val="000000" w:themeColor="text1"/>
          <w:sz w:val="24"/>
          <w:szCs w:val="24"/>
        </w:rPr>
        <w:t>digjitalizuara</w:t>
      </w:r>
      <w:proofErr w:type="spellEnd"/>
      <w:r w:rsidRPr="009C7A30">
        <w:rPr>
          <w:rFonts w:ascii="Times New Roman" w:eastAsia="Calibri" w:hAnsi="Times New Roman" w:cs="Times New Roman"/>
          <w:color w:val="000000" w:themeColor="text1"/>
          <w:sz w:val="24"/>
          <w:szCs w:val="24"/>
        </w:rPr>
        <w:t xml:space="preserve"> në përgjithësi, duke përfshirë softuerin dhe ndryshimet ose përditësimet e </w:t>
      </w:r>
      <w:proofErr w:type="spellStart"/>
      <w:r w:rsidRPr="009C7A30">
        <w:rPr>
          <w:rFonts w:ascii="Times New Roman" w:eastAsia="Calibri" w:hAnsi="Times New Roman" w:cs="Times New Roman"/>
          <w:color w:val="000000" w:themeColor="text1"/>
          <w:sz w:val="24"/>
          <w:szCs w:val="24"/>
        </w:rPr>
        <w:t>software</w:t>
      </w:r>
      <w:proofErr w:type="spellEnd"/>
      <w:r w:rsidRPr="009C7A30">
        <w:rPr>
          <w:rFonts w:ascii="Times New Roman" w:eastAsia="Calibri" w:hAnsi="Times New Roman" w:cs="Times New Roman"/>
          <w:color w:val="000000" w:themeColor="text1"/>
          <w:sz w:val="24"/>
          <w:szCs w:val="24"/>
        </w:rPr>
        <w:t xml:space="preserve"> -it;</w:t>
      </w:r>
    </w:p>
    <w:p w:rsidR="007B521A" w:rsidRPr="009C7A30" w:rsidRDefault="007B521A" w:rsidP="00E17523">
      <w:pPr>
        <w:numPr>
          <w:ilvl w:val="1"/>
          <w:numId w:val="5"/>
        </w:numPr>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shërbimet që ofrojnë ose mbështesin një prezencë afariste ose personale në një rrjet elektronik siç është një </w:t>
      </w:r>
      <w:proofErr w:type="spellStart"/>
      <w:r w:rsidRPr="009C7A30">
        <w:rPr>
          <w:rFonts w:ascii="Times New Roman" w:eastAsia="Calibri" w:hAnsi="Times New Roman" w:cs="Times New Roman"/>
          <w:color w:val="000000" w:themeColor="text1"/>
          <w:sz w:val="24"/>
          <w:szCs w:val="24"/>
        </w:rPr>
        <w:t>website</w:t>
      </w:r>
      <w:proofErr w:type="spellEnd"/>
      <w:r w:rsidRPr="009C7A30">
        <w:rPr>
          <w:rFonts w:ascii="Times New Roman" w:eastAsia="Calibri" w:hAnsi="Times New Roman" w:cs="Times New Roman"/>
          <w:color w:val="000000" w:themeColor="text1"/>
          <w:sz w:val="24"/>
          <w:szCs w:val="24"/>
        </w:rPr>
        <w:t xml:space="preserve"> ose </w:t>
      </w:r>
      <w:proofErr w:type="spellStart"/>
      <w:r w:rsidRPr="009C7A30">
        <w:rPr>
          <w:rFonts w:ascii="Times New Roman" w:eastAsia="Calibri" w:hAnsi="Times New Roman" w:cs="Times New Roman"/>
          <w:color w:val="000000" w:themeColor="text1"/>
          <w:sz w:val="24"/>
          <w:szCs w:val="24"/>
        </w:rPr>
        <w:t>webpage</w:t>
      </w:r>
      <w:proofErr w:type="spellEnd"/>
      <w:r w:rsidRPr="009C7A30">
        <w:rPr>
          <w:rFonts w:ascii="Times New Roman" w:eastAsia="Calibri" w:hAnsi="Times New Roman" w:cs="Times New Roman"/>
          <w:color w:val="000000" w:themeColor="text1"/>
          <w:sz w:val="24"/>
          <w:szCs w:val="24"/>
        </w:rPr>
        <w:t>;</w:t>
      </w:r>
    </w:p>
    <w:p w:rsidR="007B521A" w:rsidRPr="009C7A30" w:rsidRDefault="007B521A" w:rsidP="00E17523">
      <w:pPr>
        <w:numPr>
          <w:ilvl w:val="1"/>
          <w:numId w:val="5"/>
        </w:numPr>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shërbimet e </w:t>
      </w:r>
      <w:proofErr w:type="spellStart"/>
      <w:r w:rsidRPr="009C7A30">
        <w:rPr>
          <w:rFonts w:ascii="Times New Roman" w:eastAsia="Calibri" w:hAnsi="Times New Roman" w:cs="Times New Roman"/>
          <w:color w:val="000000" w:themeColor="text1"/>
          <w:sz w:val="24"/>
          <w:szCs w:val="24"/>
        </w:rPr>
        <w:t>gjeneruara</w:t>
      </w:r>
      <w:proofErr w:type="spellEnd"/>
      <w:r w:rsidRPr="009C7A30">
        <w:rPr>
          <w:rFonts w:ascii="Times New Roman" w:eastAsia="Calibri" w:hAnsi="Times New Roman" w:cs="Times New Roman"/>
          <w:color w:val="000000" w:themeColor="text1"/>
          <w:sz w:val="24"/>
          <w:szCs w:val="24"/>
        </w:rPr>
        <w:t xml:space="preserve"> automatikisht nga një kompjuter nëpërmjet internetit ose një rrjeti elektronik, në përgjigje të </w:t>
      </w:r>
      <w:proofErr w:type="spellStart"/>
      <w:r w:rsidRPr="009C7A30">
        <w:rPr>
          <w:rFonts w:ascii="Times New Roman" w:eastAsia="Calibri" w:hAnsi="Times New Roman" w:cs="Times New Roman"/>
          <w:color w:val="000000" w:themeColor="text1"/>
          <w:sz w:val="24"/>
          <w:szCs w:val="24"/>
        </w:rPr>
        <w:t>të</w:t>
      </w:r>
      <w:proofErr w:type="spellEnd"/>
      <w:r w:rsidRPr="009C7A30">
        <w:rPr>
          <w:rFonts w:ascii="Times New Roman" w:eastAsia="Calibri" w:hAnsi="Times New Roman" w:cs="Times New Roman"/>
          <w:color w:val="000000" w:themeColor="text1"/>
          <w:sz w:val="24"/>
          <w:szCs w:val="24"/>
        </w:rPr>
        <w:t xml:space="preserve"> dhënave specifike të dhëna nga marrësi;</w:t>
      </w:r>
    </w:p>
    <w:p w:rsidR="007B521A" w:rsidRPr="009C7A30" w:rsidRDefault="007B521A" w:rsidP="00E17523">
      <w:pPr>
        <w:numPr>
          <w:ilvl w:val="1"/>
          <w:numId w:val="5"/>
        </w:numPr>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transferimin për konsideratë të së drejtës për të nxjerrë mallra ose shërbime në shitje në një faqe interneti që operon si një treg </w:t>
      </w:r>
      <w:proofErr w:type="spellStart"/>
      <w:r w:rsidRPr="009C7A30">
        <w:rPr>
          <w:rFonts w:ascii="Times New Roman" w:eastAsia="Calibri" w:hAnsi="Times New Roman" w:cs="Times New Roman"/>
          <w:i/>
          <w:color w:val="000000" w:themeColor="text1"/>
          <w:sz w:val="24"/>
          <w:szCs w:val="24"/>
        </w:rPr>
        <w:t>online</w:t>
      </w:r>
      <w:proofErr w:type="spellEnd"/>
      <w:r w:rsidRPr="009C7A30">
        <w:rPr>
          <w:rFonts w:ascii="Times New Roman" w:eastAsia="Calibri" w:hAnsi="Times New Roman" w:cs="Times New Roman"/>
          <w:color w:val="000000" w:themeColor="text1"/>
          <w:sz w:val="24"/>
          <w:szCs w:val="24"/>
        </w:rPr>
        <w:t xml:space="preserve">, në të cilin blerësit potencial bëjnë ofertat e tyre me një procedurë të automatizuar dhe në të cilin palët njoftohen për një shitje nëpërmjet postës elektronike të </w:t>
      </w:r>
      <w:proofErr w:type="spellStart"/>
      <w:r w:rsidRPr="009C7A30">
        <w:rPr>
          <w:rFonts w:ascii="Times New Roman" w:eastAsia="Calibri" w:hAnsi="Times New Roman" w:cs="Times New Roman"/>
          <w:color w:val="000000" w:themeColor="text1"/>
          <w:sz w:val="24"/>
          <w:szCs w:val="24"/>
        </w:rPr>
        <w:t>gjeneruar</w:t>
      </w:r>
      <w:proofErr w:type="spellEnd"/>
      <w:r w:rsidRPr="009C7A30">
        <w:rPr>
          <w:rFonts w:ascii="Times New Roman" w:eastAsia="Calibri" w:hAnsi="Times New Roman" w:cs="Times New Roman"/>
          <w:color w:val="000000" w:themeColor="text1"/>
          <w:sz w:val="24"/>
          <w:szCs w:val="24"/>
        </w:rPr>
        <w:t xml:space="preserve"> automatikisht nga kompjuteri;</w:t>
      </w:r>
    </w:p>
    <w:p w:rsidR="007B521A" w:rsidRPr="009C7A30" w:rsidRDefault="007B521A" w:rsidP="00E17523">
      <w:pPr>
        <w:numPr>
          <w:ilvl w:val="1"/>
          <w:numId w:val="5"/>
        </w:numPr>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Pakot e Shërbimit të Internetit (ISP) të informacioneve, në të cilat komponenti i telekomunikimit përbën një pjesë ndihmëse dhe vartëse (d.m.th. pakot që shkojnë përtej qasjes së thjeshtë në internet dhe përfshijnë elemente të tjera si faqet e përmbajtjes që japin qasje në lajme, raporte për motin ose udhëtime; këndet e lojërave; </w:t>
      </w:r>
      <w:proofErr w:type="spellStart"/>
      <w:r w:rsidRPr="009C7A30">
        <w:rPr>
          <w:rFonts w:ascii="Times New Roman" w:eastAsia="Calibri" w:hAnsi="Times New Roman" w:cs="Times New Roman"/>
          <w:color w:val="000000" w:themeColor="text1"/>
          <w:sz w:val="24"/>
          <w:szCs w:val="24"/>
        </w:rPr>
        <w:t>website</w:t>
      </w:r>
      <w:proofErr w:type="spellEnd"/>
      <w:r w:rsidRPr="009C7A30">
        <w:rPr>
          <w:rFonts w:ascii="Times New Roman" w:eastAsia="Calibri" w:hAnsi="Times New Roman" w:cs="Times New Roman"/>
          <w:color w:val="000000" w:themeColor="text1"/>
          <w:sz w:val="24"/>
          <w:szCs w:val="24"/>
        </w:rPr>
        <w:t xml:space="preserve"> </w:t>
      </w:r>
      <w:proofErr w:type="spellStart"/>
      <w:r w:rsidRPr="009C7A30">
        <w:rPr>
          <w:rFonts w:ascii="Times New Roman" w:eastAsia="Calibri" w:hAnsi="Times New Roman" w:cs="Times New Roman"/>
          <w:color w:val="000000" w:themeColor="text1"/>
          <w:sz w:val="24"/>
          <w:szCs w:val="24"/>
        </w:rPr>
        <w:t>hosting</w:t>
      </w:r>
      <w:proofErr w:type="spellEnd"/>
      <w:r w:rsidRPr="009C7A30">
        <w:rPr>
          <w:rFonts w:ascii="Times New Roman" w:eastAsia="Calibri" w:hAnsi="Times New Roman" w:cs="Times New Roman"/>
          <w:color w:val="000000" w:themeColor="text1"/>
          <w:sz w:val="24"/>
          <w:szCs w:val="24"/>
        </w:rPr>
        <w:t xml:space="preserve">; qasja në debatet </w:t>
      </w:r>
      <w:proofErr w:type="spellStart"/>
      <w:r w:rsidRPr="009C7A30">
        <w:rPr>
          <w:rFonts w:ascii="Times New Roman" w:eastAsia="Calibri" w:hAnsi="Times New Roman" w:cs="Times New Roman"/>
          <w:color w:val="000000" w:themeColor="text1"/>
          <w:sz w:val="24"/>
          <w:szCs w:val="24"/>
        </w:rPr>
        <w:t>online</w:t>
      </w:r>
      <w:proofErr w:type="spellEnd"/>
      <w:r w:rsidRPr="009C7A30">
        <w:rPr>
          <w:rFonts w:ascii="Times New Roman" w:eastAsia="Calibri" w:hAnsi="Times New Roman" w:cs="Times New Roman"/>
          <w:color w:val="000000" w:themeColor="text1"/>
          <w:sz w:val="24"/>
          <w:szCs w:val="24"/>
        </w:rPr>
        <w:t xml:space="preserve"> etj.);</w:t>
      </w:r>
    </w:p>
    <w:p w:rsidR="007B521A" w:rsidRPr="009C7A30" w:rsidRDefault="007B521A" w:rsidP="00E17523">
      <w:pPr>
        <w:numPr>
          <w:ilvl w:val="1"/>
          <w:numId w:val="5"/>
        </w:numPr>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Shërbimet e përcaktuara në Shtojcën II të Ligjit nr. 05/L-037 për Tatimin mbi Vlerën e Shtuar nënkuptohen si në vijim:</w:t>
      </w:r>
    </w:p>
    <w:p w:rsidR="007B521A" w:rsidRPr="009C7A30" w:rsidRDefault="007B521A" w:rsidP="00E17523">
      <w:pPr>
        <w:numPr>
          <w:ilvl w:val="0"/>
          <w:numId w:val="6"/>
        </w:numPr>
        <w:spacing w:after="260" w:line="260" w:lineRule="exact"/>
        <w:ind w:left="1116" w:hanging="540"/>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Paragrafi 1 i Shtojcës II të Ligjit përfshin në veçanti:</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i/>
          <w:color w:val="000000" w:themeColor="text1"/>
          <w:sz w:val="24"/>
          <w:szCs w:val="24"/>
        </w:rPr>
        <w:t xml:space="preserve">1.6.1.1. </w:t>
      </w:r>
      <w:proofErr w:type="spellStart"/>
      <w:r w:rsidRPr="009C7A30">
        <w:rPr>
          <w:rFonts w:ascii="Times New Roman" w:eastAsia="Calibri" w:hAnsi="Times New Roman" w:cs="Times New Roman"/>
          <w:i/>
          <w:color w:val="000000" w:themeColor="text1"/>
          <w:sz w:val="24"/>
          <w:szCs w:val="24"/>
        </w:rPr>
        <w:t>Website</w:t>
      </w:r>
      <w:proofErr w:type="spellEnd"/>
      <w:r w:rsidRPr="009C7A30">
        <w:rPr>
          <w:rFonts w:ascii="Times New Roman" w:eastAsia="Calibri" w:hAnsi="Times New Roman" w:cs="Times New Roman"/>
          <w:i/>
          <w:color w:val="000000" w:themeColor="text1"/>
          <w:sz w:val="24"/>
          <w:szCs w:val="24"/>
        </w:rPr>
        <w:t xml:space="preserve"> </w:t>
      </w:r>
      <w:proofErr w:type="spellStart"/>
      <w:r w:rsidRPr="009C7A30">
        <w:rPr>
          <w:rFonts w:ascii="Times New Roman" w:eastAsia="Calibri" w:hAnsi="Times New Roman" w:cs="Times New Roman"/>
          <w:i/>
          <w:color w:val="000000" w:themeColor="text1"/>
          <w:sz w:val="24"/>
          <w:szCs w:val="24"/>
        </w:rPr>
        <w:t>hosting</w:t>
      </w:r>
      <w:proofErr w:type="spellEnd"/>
      <w:r w:rsidRPr="009C7A30">
        <w:rPr>
          <w:rFonts w:ascii="Times New Roman" w:eastAsia="Calibri" w:hAnsi="Times New Roman" w:cs="Times New Roman"/>
          <w:i/>
          <w:color w:val="000000" w:themeColor="text1"/>
          <w:sz w:val="24"/>
          <w:szCs w:val="24"/>
        </w:rPr>
        <w:t xml:space="preserve"> dhe </w:t>
      </w:r>
      <w:proofErr w:type="spellStart"/>
      <w:r w:rsidRPr="009C7A30">
        <w:rPr>
          <w:rFonts w:ascii="Times New Roman" w:eastAsia="Calibri" w:hAnsi="Times New Roman" w:cs="Times New Roman"/>
          <w:i/>
          <w:color w:val="000000" w:themeColor="text1"/>
          <w:sz w:val="24"/>
          <w:szCs w:val="24"/>
        </w:rPr>
        <w:t>webpage</w:t>
      </w:r>
      <w:proofErr w:type="spellEnd"/>
      <w:r w:rsidRPr="009C7A30">
        <w:rPr>
          <w:rFonts w:ascii="Times New Roman" w:eastAsia="Calibri" w:hAnsi="Times New Roman" w:cs="Times New Roman"/>
          <w:i/>
          <w:color w:val="000000" w:themeColor="text1"/>
          <w:sz w:val="24"/>
          <w:szCs w:val="24"/>
        </w:rPr>
        <w:t xml:space="preserve"> </w:t>
      </w:r>
      <w:proofErr w:type="spellStart"/>
      <w:r w:rsidRPr="009C7A30">
        <w:rPr>
          <w:rFonts w:ascii="Times New Roman" w:eastAsia="Calibri" w:hAnsi="Times New Roman" w:cs="Times New Roman"/>
          <w:i/>
          <w:color w:val="000000" w:themeColor="text1"/>
          <w:sz w:val="24"/>
          <w:szCs w:val="24"/>
        </w:rPr>
        <w:t>hosting</w:t>
      </w:r>
      <w:proofErr w:type="spellEnd"/>
      <w:r w:rsidRPr="009C7A30">
        <w:rPr>
          <w:rFonts w:ascii="Times New Roman" w:eastAsia="Calibri" w:hAnsi="Times New Roman" w:cs="Times New Roman"/>
          <w:color w:val="000000" w:themeColor="text1"/>
          <w:sz w:val="24"/>
          <w:szCs w:val="24"/>
        </w:rPr>
        <w:t>;</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1.6.1.2. mirëmbajtjen e automatizuar, </w:t>
      </w:r>
      <w:proofErr w:type="spellStart"/>
      <w:r w:rsidRPr="009C7A30">
        <w:rPr>
          <w:rFonts w:ascii="Times New Roman" w:eastAsia="Calibri" w:hAnsi="Times New Roman" w:cs="Times New Roman"/>
          <w:i/>
          <w:color w:val="000000" w:themeColor="text1"/>
          <w:sz w:val="24"/>
          <w:szCs w:val="24"/>
        </w:rPr>
        <w:t>online</w:t>
      </w:r>
      <w:proofErr w:type="spellEnd"/>
      <w:r w:rsidRPr="009C7A30">
        <w:rPr>
          <w:rFonts w:ascii="Times New Roman" w:eastAsia="Calibri" w:hAnsi="Times New Roman" w:cs="Times New Roman"/>
          <w:color w:val="000000" w:themeColor="text1"/>
          <w:sz w:val="24"/>
          <w:szCs w:val="24"/>
        </w:rPr>
        <w:t xml:space="preserve"> dhe në distancë të programeve;</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1.6.1.3. administrimin e sistemeve në distancë;</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1.6.1.4. ruajtjen e të dhënave </w:t>
      </w:r>
      <w:proofErr w:type="spellStart"/>
      <w:r w:rsidRPr="009C7A30">
        <w:rPr>
          <w:rFonts w:ascii="Times New Roman" w:eastAsia="Calibri" w:hAnsi="Times New Roman" w:cs="Times New Roman"/>
          <w:i/>
          <w:color w:val="000000" w:themeColor="text1"/>
          <w:sz w:val="24"/>
          <w:szCs w:val="24"/>
        </w:rPr>
        <w:t>online</w:t>
      </w:r>
      <w:proofErr w:type="spellEnd"/>
      <w:r w:rsidRPr="009C7A30">
        <w:rPr>
          <w:rFonts w:ascii="Times New Roman" w:eastAsia="Calibri" w:hAnsi="Times New Roman" w:cs="Times New Roman"/>
          <w:color w:val="000000" w:themeColor="text1"/>
          <w:sz w:val="24"/>
          <w:szCs w:val="24"/>
        </w:rPr>
        <w:t xml:space="preserve"> ku të dhënat specifike ruhen dhe merren në mënyrë elektronike;</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lastRenderedPageBreak/>
        <w:t xml:space="preserve">1.6.1.5. furnizimin </w:t>
      </w:r>
      <w:proofErr w:type="spellStart"/>
      <w:r w:rsidRPr="009C7A30">
        <w:rPr>
          <w:rFonts w:ascii="Times New Roman" w:eastAsia="Calibri" w:hAnsi="Times New Roman" w:cs="Times New Roman"/>
          <w:i/>
          <w:color w:val="000000" w:themeColor="text1"/>
          <w:sz w:val="24"/>
          <w:szCs w:val="24"/>
        </w:rPr>
        <w:t>online</w:t>
      </w:r>
      <w:proofErr w:type="spellEnd"/>
      <w:r w:rsidRPr="009C7A30">
        <w:rPr>
          <w:rFonts w:ascii="Times New Roman" w:eastAsia="Calibri" w:hAnsi="Times New Roman" w:cs="Times New Roman"/>
          <w:color w:val="000000" w:themeColor="text1"/>
          <w:sz w:val="24"/>
          <w:szCs w:val="24"/>
        </w:rPr>
        <w:t xml:space="preserve"> të hapësirës së diskut “sipas kërkesës” (</w:t>
      </w:r>
      <w:proofErr w:type="spellStart"/>
      <w:r w:rsidRPr="009C7A30">
        <w:rPr>
          <w:rFonts w:ascii="Times New Roman" w:eastAsia="Calibri" w:hAnsi="Times New Roman" w:cs="Times New Roman"/>
          <w:color w:val="000000" w:themeColor="text1"/>
          <w:sz w:val="24"/>
          <w:szCs w:val="24"/>
        </w:rPr>
        <w:t>ang</w:t>
      </w:r>
      <w:proofErr w:type="spellEnd"/>
      <w:r w:rsidRPr="009C7A30">
        <w:rPr>
          <w:rFonts w:ascii="Times New Roman" w:eastAsia="Calibri" w:hAnsi="Times New Roman" w:cs="Times New Roman"/>
          <w:color w:val="000000" w:themeColor="text1"/>
          <w:sz w:val="24"/>
          <w:szCs w:val="24"/>
        </w:rPr>
        <w:t xml:space="preserve">. </w:t>
      </w:r>
      <w:proofErr w:type="spellStart"/>
      <w:r w:rsidRPr="009C7A30">
        <w:rPr>
          <w:rFonts w:ascii="Times New Roman" w:eastAsia="Calibri" w:hAnsi="Times New Roman" w:cs="Times New Roman"/>
          <w:color w:val="000000" w:themeColor="text1"/>
          <w:sz w:val="24"/>
          <w:szCs w:val="24"/>
        </w:rPr>
        <w:t>on-demand</w:t>
      </w:r>
      <w:proofErr w:type="spellEnd"/>
      <w:r w:rsidRPr="009C7A30">
        <w:rPr>
          <w:rFonts w:ascii="Times New Roman" w:eastAsia="Calibri" w:hAnsi="Times New Roman" w:cs="Times New Roman"/>
          <w:color w:val="000000" w:themeColor="text1"/>
          <w:sz w:val="24"/>
          <w:szCs w:val="24"/>
        </w:rPr>
        <w:t>).</w:t>
      </w:r>
    </w:p>
    <w:p w:rsidR="007B521A" w:rsidRPr="009C7A30" w:rsidRDefault="007B521A" w:rsidP="00E200FF">
      <w:pPr>
        <w:numPr>
          <w:ilvl w:val="0"/>
          <w:numId w:val="6"/>
        </w:numPr>
        <w:tabs>
          <w:tab w:val="left" w:pos="1080"/>
          <w:tab w:val="left" w:pos="1260"/>
          <w:tab w:val="left" w:pos="2520"/>
        </w:tabs>
        <w:spacing w:after="260" w:line="260" w:lineRule="exact"/>
        <w:ind w:left="936"/>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Paragrafi 2  i Shtojcës II të Ligjit përfshin në veçanti:</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1.6.2.1. qasjen ose shkarkimin e </w:t>
      </w:r>
      <w:proofErr w:type="spellStart"/>
      <w:r w:rsidRPr="009C7A30">
        <w:rPr>
          <w:rFonts w:ascii="Times New Roman" w:eastAsia="Calibri" w:hAnsi="Times New Roman" w:cs="Times New Roman"/>
          <w:color w:val="000000" w:themeColor="text1"/>
          <w:sz w:val="24"/>
          <w:szCs w:val="24"/>
        </w:rPr>
        <w:t>software</w:t>
      </w:r>
      <w:proofErr w:type="spellEnd"/>
      <w:r w:rsidRPr="009C7A30">
        <w:rPr>
          <w:rFonts w:ascii="Times New Roman" w:eastAsia="Calibri" w:hAnsi="Times New Roman" w:cs="Times New Roman"/>
          <w:color w:val="000000" w:themeColor="text1"/>
          <w:sz w:val="24"/>
          <w:szCs w:val="24"/>
        </w:rPr>
        <w:t xml:space="preserve">-it (duke përfshirë programet e prokurimit/kontabilitetit dhe </w:t>
      </w:r>
      <w:proofErr w:type="spellStart"/>
      <w:r w:rsidRPr="009C7A30">
        <w:rPr>
          <w:rFonts w:ascii="Times New Roman" w:eastAsia="Calibri" w:hAnsi="Times New Roman" w:cs="Times New Roman"/>
          <w:color w:val="000000" w:themeColor="text1"/>
          <w:sz w:val="24"/>
          <w:szCs w:val="24"/>
        </w:rPr>
        <w:t>software</w:t>
      </w:r>
      <w:proofErr w:type="spellEnd"/>
      <w:r w:rsidRPr="009C7A30">
        <w:rPr>
          <w:rFonts w:ascii="Times New Roman" w:eastAsia="Calibri" w:hAnsi="Times New Roman" w:cs="Times New Roman"/>
          <w:color w:val="000000" w:themeColor="text1"/>
          <w:sz w:val="24"/>
          <w:szCs w:val="24"/>
        </w:rPr>
        <w:t>-in antivirus) plus përditësimet;</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1.6.2.2. </w:t>
      </w:r>
      <w:proofErr w:type="spellStart"/>
      <w:r w:rsidRPr="009C7A30">
        <w:rPr>
          <w:rFonts w:ascii="Times New Roman" w:eastAsia="Calibri" w:hAnsi="Times New Roman" w:cs="Times New Roman"/>
          <w:color w:val="000000" w:themeColor="text1"/>
          <w:sz w:val="24"/>
          <w:szCs w:val="24"/>
        </w:rPr>
        <w:t>software</w:t>
      </w:r>
      <w:proofErr w:type="spellEnd"/>
      <w:r w:rsidRPr="009C7A30">
        <w:rPr>
          <w:rFonts w:ascii="Times New Roman" w:eastAsia="Calibri" w:hAnsi="Times New Roman" w:cs="Times New Roman"/>
          <w:color w:val="000000" w:themeColor="text1"/>
          <w:sz w:val="24"/>
          <w:szCs w:val="24"/>
        </w:rPr>
        <w:t xml:space="preserve"> për të bllokuar shfaqjen e reklamave me </w:t>
      </w:r>
      <w:proofErr w:type="spellStart"/>
      <w:r w:rsidRPr="009C7A30">
        <w:rPr>
          <w:rFonts w:ascii="Times New Roman" w:eastAsia="Calibri" w:hAnsi="Times New Roman" w:cs="Times New Roman"/>
          <w:color w:val="000000" w:themeColor="text1"/>
          <w:sz w:val="24"/>
          <w:szCs w:val="24"/>
        </w:rPr>
        <w:t>banerë</w:t>
      </w:r>
      <w:proofErr w:type="spellEnd"/>
      <w:r w:rsidRPr="009C7A30">
        <w:rPr>
          <w:rFonts w:ascii="Times New Roman" w:eastAsia="Calibri" w:hAnsi="Times New Roman" w:cs="Times New Roman"/>
          <w:color w:val="000000" w:themeColor="text1"/>
          <w:sz w:val="24"/>
          <w:szCs w:val="24"/>
        </w:rPr>
        <w:t>, i njohur ndryshe si “</w:t>
      </w:r>
      <w:proofErr w:type="spellStart"/>
      <w:r w:rsidRPr="009C7A30">
        <w:rPr>
          <w:rFonts w:ascii="Times New Roman" w:eastAsia="Calibri" w:hAnsi="Times New Roman" w:cs="Times New Roman"/>
          <w:color w:val="000000" w:themeColor="text1"/>
          <w:sz w:val="24"/>
          <w:szCs w:val="24"/>
        </w:rPr>
        <w:t>Bannerblockers</w:t>
      </w:r>
      <w:proofErr w:type="spellEnd"/>
      <w:r w:rsidRPr="009C7A30">
        <w:rPr>
          <w:rFonts w:ascii="Times New Roman" w:eastAsia="Calibri" w:hAnsi="Times New Roman" w:cs="Times New Roman"/>
          <w:color w:val="000000" w:themeColor="text1"/>
          <w:sz w:val="24"/>
          <w:szCs w:val="24"/>
        </w:rPr>
        <w:t>”;</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1.6.2.3. shkarkimin e </w:t>
      </w:r>
      <w:proofErr w:type="spellStart"/>
      <w:r w:rsidRPr="009C7A30">
        <w:rPr>
          <w:rFonts w:ascii="Times New Roman" w:eastAsia="Calibri" w:hAnsi="Times New Roman" w:cs="Times New Roman"/>
          <w:i/>
          <w:color w:val="000000" w:themeColor="text1"/>
          <w:sz w:val="24"/>
          <w:szCs w:val="24"/>
        </w:rPr>
        <w:t>driver</w:t>
      </w:r>
      <w:proofErr w:type="spellEnd"/>
      <w:r w:rsidRPr="009C7A30">
        <w:rPr>
          <w:rFonts w:ascii="Times New Roman" w:eastAsia="Calibri" w:hAnsi="Times New Roman" w:cs="Times New Roman"/>
          <w:i/>
          <w:color w:val="000000" w:themeColor="text1"/>
          <w:sz w:val="24"/>
          <w:szCs w:val="24"/>
        </w:rPr>
        <w:t>-</w:t>
      </w:r>
      <w:r w:rsidRPr="009C7A30">
        <w:rPr>
          <w:rFonts w:ascii="Times New Roman" w:eastAsia="Calibri" w:hAnsi="Times New Roman" w:cs="Times New Roman"/>
          <w:color w:val="000000" w:themeColor="text1"/>
          <w:sz w:val="24"/>
          <w:szCs w:val="24"/>
        </w:rPr>
        <w:t>ëve</w:t>
      </w:r>
      <w:r w:rsidRPr="009C7A30">
        <w:rPr>
          <w:rFonts w:ascii="Times New Roman" w:eastAsia="Calibri" w:hAnsi="Times New Roman" w:cs="Times New Roman"/>
          <w:i/>
          <w:color w:val="000000" w:themeColor="text1"/>
          <w:sz w:val="24"/>
          <w:szCs w:val="24"/>
        </w:rPr>
        <w:t xml:space="preserve"> </w:t>
      </w:r>
      <w:r w:rsidRPr="009C7A30">
        <w:rPr>
          <w:rFonts w:ascii="Times New Roman" w:eastAsia="Calibri" w:hAnsi="Times New Roman" w:cs="Times New Roman"/>
          <w:color w:val="000000" w:themeColor="text1"/>
          <w:sz w:val="24"/>
          <w:szCs w:val="24"/>
        </w:rPr>
        <w:t>(</w:t>
      </w:r>
      <w:proofErr w:type="spellStart"/>
      <w:r w:rsidRPr="009C7A30">
        <w:rPr>
          <w:rFonts w:ascii="Times New Roman" w:eastAsia="Calibri" w:hAnsi="Times New Roman" w:cs="Times New Roman"/>
          <w:color w:val="000000" w:themeColor="text1"/>
          <w:sz w:val="24"/>
          <w:szCs w:val="24"/>
        </w:rPr>
        <w:t>download</w:t>
      </w:r>
      <w:proofErr w:type="spellEnd"/>
      <w:r w:rsidRPr="009C7A30">
        <w:rPr>
          <w:rFonts w:ascii="Times New Roman" w:eastAsia="Calibri" w:hAnsi="Times New Roman" w:cs="Times New Roman"/>
          <w:color w:val="000000" w:themeColor="text1"/>
          <w:sz w:val="24"/>
          <w:szCs w:val="24"/>
        </w:rPr>
        <w:t xml:space="preserve"> </w:t>
      </w:r>
      <w:proofErr w:type="spellStart"/>
      <w:r w:rsidRPr="009C7A30">
        <w:rPr>
          <w:rFonts w:ascii="Times New Roman" w:eastAsia="Calibri" w:hAnsi="Times New Roman" w:cs="Times New Roman"/>
          <w:color w:val="000000" w:themeColor="text1"/>
          <w:sz w:val="24"/>
          <w:szCs w:val="24"/>
        </w:rPr>
        <w:t>drivers</w:t>
      </w:r>
      <w:proofErr w:type="spellEnd"/>
      <w:r w:rsidRPr="009C7A30">
        <w:rPr>
          <w:rFonts w:ascii="Times New Roman" w:eastAsia="Calibri" w:hAnsi="Times New Roman" w:cs="Times New Roman"/>
          <w:color w:val="000000" w:themeColor="text1"/>
          <w:sz w:val="24"/>
          <w:szCs w:val="24"/>
        </w:rPr>
        <w:t xml:space="preserve">), të tillë si </w:t>
      </w:r>
      <w:proofErr w:type="spellStart"/>
      <w:r w:rsidRPr="009C7A30">
        <w:rPr>
          <w:rFonts w:ascii="Times New Roman" w:eastAsia="Calibri" w:hAnsi="Times New Roman" w:cs="Times New Roman"/>
          <w:color w:val="000000" w:themeColor="text1"/>
          <w:sz w:val="24"/>
          <w:szCs w:val="24"/>
        </w:rPr>
        <w:t>software</w:t>
      </w:r>
      <w:proofErr w:type="spellEnd"/>
      <w:r w:rsidRPr="009C7A30">
        <w:rPr>
          <w:rFonts w:ascii="Times New Roman" w:eastAsia="Calibri" w:hAnsi="Times New Roman" w:cs="Times New Roman"/>
          <w:color w:val="000000" w:themeColor="text1"/>
          <w:sz w:val="24"/>
          <w:szCs w:val="24"/>
        </w:rPr>
        <w:t>-in që ndërlidh kompjuterët me pajisjet periferike (të tilla si printerët);</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1.6.2.4. instalimin e automatizuar </w:t>
      </w:r>
      <w:proofErr w:type="spellStart"/>
      <w:r w:rsidRPr="009C7A30">
        <w:rPr>
          <w:rFonts w:ascii="Times New Roman" w:eastAsia="Calibri" w:hAnsi="Times New Roman" w:cs="Times New Roman"/>
          <w:i/>
          <w:color w:val="000000" w:themeColor="text1"/>
          <w:sz w:val="24"/>
          <w:szCs w:val="24"/>
        </w:rPr>
        <w:t>online</w:t>
      </w:r>
      <w:proofErr w:type="spellEnd"/>
      <w:r w:rsidRPr="009C7A30">
        <w:rPr>
          <w:rFonts w:ascii="Times New Roman" w:eastAsia="Calibri" w:hAnsi="Times New Roman" w:cs="Times New Roman"/>
          <w:color w:val="000000" w:themeColor="text1"/>
          <w:sz w:val="24"/>
          <w:szCs w:val="24"/>
        </w:rPr>
        <w:t xml:space="preserve"> të filtrave në </w:t>
      </w:r>
      <w:proofErr w:type="spellStart"/>
      <w:r w:rsidRPr="009C7A30">
        <w:rPr>
          <w:rFonts w:ascii="Times New Roman" w:eastAsia="Calibri" w:hAnsi="Times New Roman" w:cs="Times New Roman"/>
          <w:color w:val="000000" w:themeColor="text1"/>
          <w:sz w:val="24"/>
          <w:szCs w:val="24"/>
        </w:rPr>
        <w:t>websites</w:t>
      </w:r>
      <w:proofErr w:type="spellEnd"/>
      <w:r w:rsidRPr="009C7A30">
        <w:rPr>
          <w:rFonts w:ascii="Times New Roman" w:eastAsia="Calibri" w:hAnsi="Times New Roman" w:cs="Times New Roman"/>
          <w:color w:val="000000" w:themeColor="text1"/>
          <w:sz w:val="24"/>
          <w:szCs w:val="24"/>
        </w:rPr>
        <w:t>;</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1.6.2.5. instalimin e automatizuar </w:t>
      </w:r>
      <w:proofErr w:type="spellStart"/>
      <w:r w:rsidRPr="009C7A30">
        <w:rPr>
          <w:rFonts w:ascii="Times New Roman" w:eastAsia="Calibri" w:hAnsi="Times New Roman" w:cs="Times New Roman"/>
          <w:i/>
          <w:color w:val="000000" w:themeColor="text1"/>
          <w:sz w:val="24"/>
          <w:szCs w:val="24"/>
        </w:rPr>
        <w:t>online</w:t>
      </w:r>
      <w:proofErr w:type="spellEnd"/>
      <w:r w:rsidRPr="009C7A30">
        <w:rPr>
          <w:rFonts w:ascii="Times New Roman" w:eastAsia="Calibri" w:hAnsi="Times New Roman" w:cs="Times New Roman"/>
          <w:color w:val="000000" w:themeColor="text1"/>
          <w:sz w:val="24"/>
          <w:szCs w:val="24"/>
        </w:rPr>
        <w:t xml:space="preserve"> të mureve mbrojtëse (</w:t>
      </w:r>
      <w:proofErr w:type="spellStart"/>
      <w:r w:rsidRPr="009C7A30">
        <w:rPr>
          <w:rFonts w:ascii="Times New Roman" w:eastAsia="Calibri" w:hAnsi="Times New Roman" w:cs="Times New Roman"/>
          <w:color w:val="000000" w:themeColor="text1"/>
          <w:sz w:val="24"/>
          <w:szCs w:val="24"/>
        </w:rPr>
        <w:t>Firewalls</w:t>
      </w:r>
      <w:proofErr w:type="spellEnd"/>
      <w:r w:rsidRPr="009C7A30">
        <w:rPr>
          <w:rFonts w:ascii="Times New Roman" w:eastAsia="Calibri" w:hAnsi="Times New Roman" w:cs="Times New Roman"/>
          <w:color w:val="000000" w:themeColor="text1"/>
          <w:sz w:val="24"/>
          <w:szCs w:val="24"/>
        </w:rPr>
        <w:t>).</w:t>
      </w:r>
    </w:p>
    <w:p w:rsidR="007B521A" w:rsidRPr="009C7A30" w:rsidRDefault="007B521A" w:rsidP="00E17523">
      <w:pPr>
        <w:numPr>
          <w:ilvl w:val="0"/>
          <w:numId w:val="6"/>
        </w:numPr>
        <w:tabs>
          <w:tab w:val="left" w:pos="1080"/>
        </w:tabs>
        <w:spacing w:after="260" w:line="260" w:lineRule="exact"/>
        <w:ind w:left="900"/>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Paragrafi 3 i Shtojcës II të Ligjit përfshin në veçanti:</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1.6.3.1. Qasjen ose shkarkimin e temave në ekran / </w:t>
      </w:r>
      <w:proofErr w:type="spellStart"/>
      <w:r w:rsidRPr="009C7A30">
        <w:rPr>
          <w:rFonts w:ascii="Times New Roman" w:eastAsia="Calibri" w:hAnsi="Times New Roman" w:cs="Times New Roman"/>
          <w:color w:val="000000" w:themeColor="text1"/>
          <w:sz w:val="24"/>
          <w:szCs w:val="24"/>
        </w:rPr>
        <w:t>desktop</w:t>
      </w:r>
      <w:proofErr w:type="spellEnd"/>
      <w:r w:rsidRPr="009C7A30">
        <w:rPr>
          <w:rFonts w:ascii="Times New Roman" w:eastAsia="Calibri" w:hAnsi="Times New Roman" w:cs="Times New Roman"/>
          <w:color w:val="000000" w:themeColor="text1"/>
          <w:sz w:val="24"/>
          <w:szCs w:val="24"/>
        </w:rPr>
        <w:t xml:space="preserve"> </w:t>
      </w:r>
      <w:proofErr w:type="spellStart"/>
      <w:r w:rsidRPr="009C7A30">
        <w:rPr>
          <w:rFonts w:ascii="Times New Roman" w:eastAsia="Calibri" w:hAnsi="Times New Roman" w:cs="Times New Roman"/>
          <w:color w:val="000000" w:themeColor="text1"/>
          <w:sz w:val="24"/>
          <w:szCs w:val="24"/>
        </w:rPr>
        <w:t>themes</w:t>
      </w:r>
      <w:proofErr w:type="spellEnd"/>
      <w:r w:rsidRPr="009C7A30">
        <w:rPr>
          <w:rFonts w:ascii="Times New Roman" w:eastAsia="Calibri" w:hAnsi="Times New Roman" w:cs="Times New Roman"/>
          <w:color w:val="000000" w:themeColor="text1"/>
          <w:sz w:val="24"/>
          <w:szCs w:val="24"/>
        </w:rPr>
        <w:t>;</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1.6.3.2. qasjen ose shkarkimin e imazheve fotografike ose </w:t>
      </w:r>
      <w:proofErr w:type="spellStart"/>
      <w:r w:rsidRPr="009C7A30">
        <w:rPr>
          <w:rFonts w:ascii="Times New Roman" w:eastAsia="Calibri" w:hAnsi="Times New Roman" w:cs="Times New Roman"/>
          <w:color w:val="000000" w:themeColor="text1"/>
          <w:sz w:val="24"/>
          <w:szCs w:val="24"/>
        </w:rPr>
        <w:t>pikturale</w:t>
      </w:r>
      <w:proofErr w:type="spellEnd"/>
      <w:r w:rsidRPr="009C7A30">
        <w:rPr>
          <w:rFonts w:ascii="Times New Roman" w:eastAsia="Calibri" w:hAnsi="Times New Roman" w:cs="Times New Roman"/>
          <w:color w:val="000000" w:themeColor="text1"/>
          <w:sz w:val="24"/>
          <w:szCs w:val="24"/>
        </w:rPr>
        <w:t xml:space="preserve"> ose pamjeve të ekranit / </w:t>
      </w:r>
      <w:proofErr w:type="spellStart"/>
      <w:r w:rsidRPr="009C7A30">
        <w:rPr>
          <w:rFonts w:ascii="Times New Roman" w:eastAsia="MS Mincho" w:hAnsi="Times New Roman" w:cs="Times New Roman"/>
          <w:i/>
          <w:color w:val="000000" w:themeColor="text1"/>
          <w:sz w:val="24"/>
          <w:szCs w:val="24"/>
        </w:rPr>
        <w:t>screensavers</w:t>
      </w:r>
      <w:proofErr w:type="spellEnd"/>
      <w:r w:rsidRPr="009C7A30">
        <w:rPr>
          <w:rFonts w:ascii="Times New Roman" w:eastAsia="Calibri" w:hAnsi="Times New Roman" w:cs="Times New Roman"/>
          <w:color w:val="000000" w:themeColor="text1"/>
          <w:sz w:val="24"/>
          <w:szCs w:val="24"/>
        </w:rPr>
        <w:t xml:space="preserve">; </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1.6.3.3. përmbajtjen e digjitalizuar të librave dhe publikimeve të tjera elektronike;</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1.6.3.4. abonimin </w:t>
      </w:r>
      <w:proofErr w:type="spellStart"/>
      <w:r w:rsidRPr="009C7A30">
        <w:rPr>
          <w:rFonts w:ascii="Times New Roman" w:eastAsia="Calibri" w:hAnsi="Times New Roman" w:cs="Times New Roman"/>
          <w:i/>
          <w:color w:val="000000" w:themeColor="text1"/>
          <w:sz w:val="24"/>
          <w:szCs w:val="24"/>
        </w:rPr>
        <w:t>online</w:t>
      </w:r>
      <w:proofErr w:type="spellEnd"/>
      <w:r w:rsidRPr="009C7A30">
        <w:rPr>
          <w:rFonts w:ascii="Times New Roman" w:eastAsia="Calibri" w:hAnsi="Times New Roman" w:cs="Times New Roman"/>
          <w:color w:val="000000" w:themeColor="text1"/>
          <w:sz w:val="24"/>
          <w:szCs w:val="24"/>
        </w:rPr>
        <w:t xml:space="preserve"> në gazeta dhe revista në internet;</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1.6.3.5. </w:t>
      </w:r>
      <w:proofErr w:type="spellStart"/>
      <w:r w:rsidRPr="009C7A30">
        <w:rPr>
          <w:rFonts w:ascii="Times New Roman" w:eastAsia="MS Mincho" w:hAnsi="Times New Roman" w:cs="Times New Roman"/>
          <w:i/>
          <w:color w:val="000000" w:themeColor="text1"/>
          <w:sz w:val="24"/>
          <w:szCs w:val="24"/>
        </w:rPr>
        <w:t>weblogs</w:t>
      </w:r>
      <w:proofErr w:type="spellEnd"/>
      <w:r w:rsidRPr="009C7A30">
        <w:rPr>
          <w:rFonts w:ascii="Times New Roman" w:eastAsia="Calibri" w:hAnsi="Times New Roman" w:cs="Times New Roman"/>
          <w:i/>
          <w:color w:val="000000" w:themeColor="text1"/>
          <w:sz w:val="24"/>
          <w:szCs w:val="24"/>
        </w:rPr>
        <w:t xml:space="preserve"> </w:t>
      </w:r>
      <w:r w:rsidRPr="009C7A30">
        <w:rPr>
          <w:rFonts w:ascii="Times New Roman" w:eastAsia="Calibri" w:hAnsi="Times New Roman" w:cs="Times New Roman"/>
          <w:color w:val="000000" w:themeColor="text1"/>
          <w:sz w:val="24"/>
          <w:szCs w:val="24"/>
        </w:rPr>
        <w:t xml:space="preserve">dhe statistikat e </w:t>
      </w:r>
      <w:proofErr w:type="spellStart"/>
      <w:r w:rsidRPr="009C7A30">
        <w:rPr>
          <w:rFonts w:ascii="Times New Roman" w:eastAsia="Calibri" w:hAnsi="Times New Roman" w:cs="Times New Roman"/>
          <w:i/>
          <w:color w:val="000000" w:themeColor="text1"/>
          <w:sz w:val="24"/>
          <w:szCs w:val="24"/>
        </w:rPr>
        <w:t>website</w:t>
      </w:r>
      <w:proofErr w:type="spellEnd"/>
      <w:r w:rsidRPr="009C7A30">
        <w:rPr>
          <w:rFonts w:ascii="Times New Roman" w:eastAsia="Calibri" w:hAnsi="Times New Roman" w:cs="Times New Roman"/>
          <w:color w:val="000000" w:themeColor="text1"/>
          <w:sz w:val="24"/>
          <w:szCs w:val="24"/>
        </w:rPr>
        <w:t>-eve;</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1.6.3.6. lajmet në internet, informacionet mbi trafikun dhe raportet e motit;</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1.6.3.7. informacionet në internet të </w:t>
      </w:r>
      <w:proofErr w:type="spellStart"/>
      <w:r w:rsidRPr="009C7A30">
        <w:rPr>
          <w:rFonts w:ascii="Times New Roman" w:eastAsia="Calibri" w:hAnsi="Times New Roman" w:cs="Times New Roman"/>
          <w:color w:val="000000" w:themeColor="text1"/>
          <w:sz w:val="24"/>
          <w:szCs w:val="24"/>
        </w:rPr>
        <w:t>gjeneruara</w:t>
      </w:r>
      <w:proofErr w:type="spellEnd"/>
      <w:r w:rsidRPr="009C7A30">
        <w:rPr>
          <w:rFonts w:ascii="Times New Roman" w:eastAsia="Calibri" w:hAnsi="Times New Roman" w:cs="Times New Roman"/>
          <w:color w:val="000000" w:themeColor="text1"/>
          <w:sz w:val="24"/>
          <w:szCs w:val="24"/>
        </w:rPr>
        <w:t xml:space="preserve"> automatikisht nga softueri nga të dhënat specifike të futura nga klienti, si të dhënat ligjore dhe financiare (veçanërisht të dhëna të tilla si të dhënat e tregut të aksioneve të përditësuara vazhdimisht, në kohë reale);</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1.6.3.8. ofrimin e hapësirës reklamuese duke përfshirë reklamat me </w:t>
      </w:r>
      <w:proofErr w:type="spellStart"/>
      <w:r w:rsidRPr="009C7A30">
        <w:rPr>
          <w:rFonts w:ascii="Times New Roman" w:eastAsia="Calibri" w:hAnsi="Times New Roman" w:cs="Times New Roman"/>
          <w:color w:val="000000" w:themeColor="text1"/>
          <w:sz w:val="24"/>
          <w:szCs w:val="24"/>
        </w:rPr>
        <w:t>banerë</w:t>
      </w:r>
      <w:proofErr w:type="spellEnd"/>
      <w:r w:rsidRPr="009C7A30">
        <w:rPr>
          <w:rFonts w:ascii="Times New Roman" w:eastAsia="Calibri" w:hAnsi="Times New Roman" w:cs="Times New Roman"/>
          <w:color w:val="000000" w:themeColor="text1"/>
          <w:sz w:val="24"/>
          <w:szCs w:val="24"/>
        </w:rPr>
        <w:t xml:space="preserve"> (</w:t>
      </w:r>
      <w:proofErr w:type="spellStart"/>
      <w:r w:rsidRPr="009C7A30">
        <w:rPr>
          <w:rFonts w:ascii="Times New Roman" w:eastAsia="Calibri" w:hAnsi="Times New Roman" w:cs="Times New Roman"/>
          <w:i/>
          <w:color w:val="000000" w:themeColor="text1"/>
          <w:sz w:val="24"/>
          <w:szCs w:val="24"/>
        </w:rPr>
        <w:t>banner</w:t>
      </w:r>
      <w:proofErr w:type="spellEnd"/>
      <w:r w:rsidRPr="009C7A30">
        <w:rPr>
          <w:rFonts w:ascii="Times New Roman" w:eastAsia="Calibri" w:hAnsi="Times New Roman" w:cs="Times New Roman"/>
          <w:color w:val="000000" w:themeColor="text1"/>
          <w:sz w:val="24"/>
          <w:szCs w:val="24"/>
        </w:rPr>
        <w:t xml:space="preserve">) në një </w:t>
      </w:r>
      <w:proofErr w:type="spellStart"/>
      <w:r w:rsidRPr="009C7A30">
        <w:rPr>
          <w:rFonts w:ascii="Times New Roman" w:eastAsia="MS Mincho" w:hAnsi="Times New Roman" w:cs="Times New Roman"/>
          <w:color w:val="000000" w:themeColor="text1"/>
          <w:sz w:val="24"/>
          <w:szCs w:val="24"/>
        </w:rPr>
        <w:t>website</w:t>
      </w:r>
      <w:proofErr w:type="spellEnd"/>
      <w:r w:rsidRPr="009C7A30">
        <w:rPr>
          <w:rFonts w:ascii="Times New Roman" w:eastAsia="MS Mincho" w:hAnsi="Times New Roman" w:cs="Times New Roman"/>
          <w:color w:val="000000" w:themeColor="text1"/>
          <w:sz w:val="24"/>
          <w:szCs w:val="24"/>
        </w:rPr>
        <w:t>/</w:t>
      </w:r>
      <w:proofErr w:type="spellStart"/>
      <w:r w:rsidRPr="009C7A30">
        <w:rPr>
          <w:rFonts w:ascii="Times New Roman" w:eastAsia="MS Mincho" w:hAnsi="Times New Roman" w:cs="Times New Roman"/>
          <w:color w:val="000000" w:themeColor="text1"/>
          <w:sz w:val="24"/>
          <w:szCs w:val="24"/>
        </w:rPr>
        <w:t>web</w:t>
      </w:r>
      <w:proofErr w:type="spellEnd"/>
      <w:r w:rsidRPr="009C7A30">
        <w:rPr>
          <w:rFonts w:ascii="Times New Roman" w:eastAsia="MS Mincho" w:hAnsi="Times New Roman" w:cs="Times New Roman"/>
          <w:color w:val="000000" w:themeColor="text1"/>
          <w:sz w:val="24"/>
          <w:szCs w:val="24"/>
        </w:rPr>
        <w:t xml:space="preserve"> page</w:t>
      </w:r>
      <w:r w:rsidRPr="009C7A30">
        <w:rPr>
          <w:rFonts w:ascii="Times New Roman" w:eastAsia="Calibri" w:hAnsi="Times New Roman" w:cs="Times New Roman"/>
          <w:color w:val="000000" w:themeColor="text1"/>
          <w:sz w:val="24"/>
          <w:szCs w:val="24"/>
        </w:rPr>
        <w:t>;</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1.6.3.9. përdorimin e makinave të kërkimit (</w:t>
      </w:r>
      <w:proofErr w:type="spellStart"/>
      <w:r w:rsidRPr="009C7A30">
        <w:rPr>
          <w:rFonts w:ascii="Times New Roman" w:eastAsia="MS Mincho" w:hAnsi="Times New Roman" w:cs="Times New Roman"/>
          <w:color w:val="000000" w:themeColor="text1"/>
          <w:sz w:val="24"/>
          <w:szCs w:val="24"/>
        </w:rPr>
        <w:t>search</w:t>
      </w:r>
      <w:proofErr w:type="spellEnd"/>
      <w:r w:rsidRPr="009C7A30">
        <w:rPr>
          <w:rFonts w:ascii="Times New Roman" w:eastAsia="MS Mincho" w:hAnsi="Times New Roman" w:cs="Times New Roman"/>
          <w:color w:val="000000" w:themeColor="text1"/>
          <w:sz w:val="24"/>
          <w:szCs w:val="24"/>
        </w:rPr>
        <w:t xml:space="preserve"> </w:t>
      </w:r>
      <w:proofErr w:type="spellStart"/>
      <w:r w:rsidRPr="009C7A30">
        <w:rPr>
          <w:rFonts w:ascii="Times New Roman" w:eastAsia="MS Mincho" w:hAnsi="Times New Roman" w:cs="Times New Roman"/>
          <w:color w:val="000000" w:themeColor="text1"/>
          <w:sz w:val="24"/>
          <w:szCs w:val="24"/>
        </w:rPr>
        <w:t>engines</w:t>
      </w:r>
      <w:proofErr w:type="spellEnd"/>
      <w:r w:rsidRPr="009C7A30">
        <w:rPr>
          <w:rFonts w:ascii="Times New Roman" w:eastAsia="MS Mincho" w:hAnsi="Times New Roman" w:cs="Times New Roman"/>
          <w:color w:val="000000" w:themeColor="text1"/>
          <w:sz w:val="24"/>
          <w:szCs w:val="24"/>
        </w:rPr>
        <w:t>)</w:t>
      </w:r>
      <w:r w:rsidRPr="009C7A30">
        <w:rPr>
          <w:rFonts w:ascii="Times New Roman" w:eastAsia="Calibri" w:hAnsi="Times New Roman" w:cs="Times New Roman"/>
          <w:color w:val="000000" w:themeColor="text1"/>
          <w:sz w:val="24"/>
          <w:szCs w:val="24"/>
        </w:rPr>
        <w:t xml:space="preserve"> dhe direktoriumeve të internetit (</w:t>
      </w:r>
      <w:r w:rsidRPr="009C7A30">
        <w:rPr>
          <w:rFonts w:ascii="Times New Roman" w:eastAsia="MS Mincho" w:hAnsi="Times New Roman" w:cs="Times New Roman"/>
          <w:color w:val="000000" w:themeColor="text1"/>
          <w:sz w:val="24"/>
          <w:szCs w:val="24"/>
        </w:rPr>
        <w:t xml:space="preserve">Internet </w:t>
      </w:r>
      <w:proofErr w:type="spellStart"/>
      <w:r w:rsidRPr="009C7A30">
        <w:rPr>
          <w:rFonts w:ascii="Times New Roman" w:eastAsia="MS Mincho" w:hAnsi="Times New Roman" w:cs="Times New Roman"/>
          <w:color w:val="000000" w:themeColor="text1"/>
          <w:sz w:val="24"/>
          <w:szCs w:val="24"/>
        </w:rPr>
        <w:t>directories</w:t>
      </w:r>
      <w:proofErr w:type="spellEnd"/>
      <w:r w:rsidRPr="009C7A30">
        <w:rPr>
          <w:rFonts w:ascii="Times New Roman" w:eastAsia="MS Mincho" w:hAnsi="Times New Roman" w:cs="Times New Roman"/>
          <w:color w:val="000000" w:themeColor="text1"/>
          <w:sz w:val="24"/>
          <w:szCs w:val="24"/>
        </w:rPr>
        <w:t>)</w:t>
      </w:r>
      <w:r w:rsidRPr="009C7A30">
        <w:rPr>
          <w:rFonts w:ascii="Times New Roman" w:eastAsia="Calibri" w:hAnsi="Times New Roman" w:cs="Times New Roman"/>
          <w:color w:val="000000" w:themeColor="text1"/>
          <w:sz w:val="24"/>
          <w:szCs w:val="24"/>
        </w:rPr>
        <w:t>.</w:t>
      </w:r>
    </w:p>
    <w:p w:rsidR="007B521A" w:rsidRPr="009C7A30" w:rsidRDefault="007B521A" w:rsidP="00740633">
      <w:pPr>
        <w:numPr>
          <w:ilvl w:val="0"/>
          <w:numId w:val="6"/>
        </w:numPr>
        <w:tabs>
          <w:tab w:val="left" w:pos="1080"/>
          <w:tab w:val="left" w:pos="1260"/>
        </w:tabs>
        <w:spacing w:after="260" w:line="260" w:lineRule="exact"/>
        <w:ind w:left="990"/>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Paragrafi 4 i Shtojcës II të Ligjit përfshin në veçanti:</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1.6.4.1. qasjen ose shkarkimin e muzikës në kompjuterë dhe telefona celularë;</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1.6.4.2. qasjen ose shkarkimin e melodive, fragmenteve, zileve ose tingujve të tjerë;</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1.6.4.3. qasjen ose shkarkimin e filmave;</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lastRenderedPageBreak/>
        <w:t>1.6.4.4. shkarkimin e lojërave në kompjuterë dhe telefona celularë;</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1.6.4.5. qasjen në lojëra të automatizuara </w:t>
      </w:r>
      <w:proofErr w:type="spellStart"/>
      <w:r w:rsidRPr="009C7A30">
        <w:rPr>
          <w:rFonts w:ascii="Times New Roman" w:eastAsia="Calibri" w:hAnsi="Times New Roman" w:cs="Times New Roman"/>
          <w:i/>
          <w:color w:val="000000" w:themeColor="text1"/>
          <w:sz w:val="24"/>
          <w:szCs w:val="24"/>
        </w:rPr>
        <w:t>online</w:t>
      </w:r>
      <w:proofErr w:type="spellEnd"/>
      <w:r w:rsidRPr="009C7A30">
        <w:rPr>
          <w:rFonts w:ascii="Times New Roman" w:eastAsia="Calibri" w:hAnsi="Times New Roman" w:cs="Times New Roman"/>
          <w:color w:val="000000" w:themeColor="text1"/>
          <w:sz w:val="24"/>
          <w:szCs w:val="24"/>
        </w:rPr>
        <w:t xml:space="preserve"> që varen nga interneti, ose rrjete të tjera të ngjashme elektronike, ku lojtarët janë në largësi gjeografike nga njëri-tjetri;</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1.6.4.6. marrjen e programeve të radios ose televizionit të shpërndara nëpërmjet një rrjeti radio ose televiziv, interneti ose rrjeti elektronik të ngjashëm, për të dëgjuar ose shikuar programe në momentin e zgjedhur nga përdoruesi dhe me kërkesën individuale të përdoruesit, në bazë të një katalogu programesh të përzgjedhura nga ofruesi i shërbimeve </w:t>
      </w:r>
      <w:proofErr w:type="spellStart"/>
      <w:r w:rsidRPr="009C7A30">
        <w:rPr>
          <w:rFonts w:ascii="Times New Roman" w:eastAsia="Calibri" w:hAnsi="Times New Roman" w:cs="Times New Roman"/>
          <w:color w:val="000000" w:themeColor="text1"/>
          <w:sz w:val="24"/>
          <w:szCs w:val="24"/>
        </w:rPr>
        <w:t>mediale</w:t>
      </w:r>
      <w:proofErr w:type="spellEnd"/>
      <w:r w:rsidRPr="009C7A30">
        <w:rPr>
          <w:rFonts w:ascii="Times New Roman" w:eastAsia="Calibri" w:hAnsi="Times New Roman" w:cs="Times New Roman"/>
          <w:color w:val="000000" w:themeColor="text1"/>
          <w:sz w:val="24"/>
          <w:szCs w:val="24"/>
        </w:rPr>
        <w:t>, si TV ose video sipas kërkesës;</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1.6.4.7. marrjen e programeve radio ose televizive, të shpërndara përmes internetit ose rrjeteve të ngjashme elektronike (IP </w:t>
      </w:r>
      <w:proofErr w:type="spellStart"/>
      <w:r w:rsidRPr="009C7A30">
        <w:rPr>
          <w:rFonts w:ascii="Times New Roman" w:eastAsia="Calibri" w:hAnsi="Times New Roman" w:cs="Times New Roman"/>
          <w:color w:val="000000" w:themeColor="text1"/>
          <w:sz w:val="24"/>
          <w:szCs w:val="24"/>
        </w:rPr>
        <w:t>streaming</w:t>
      </w:r>
      <w:proofErr w:type="spellEnd"/>
      <w:r w:rsidRPr="009C7A30">
        <w:rPr>
          <w:rFonts w:ascii="Times New Roman" w:eastAsia="Calibri" w:hAnsi="Times New Roman" w:cs="Times New Roman"/>
          <w:color w:val="000000" w:themeColor="text1"/>
          <w:sz w:val="24"/>
          <w:szCs w:val="24"/>
        </w:rPr>
        <w:t>), përveç rasteve kur ato transmetohen njëkohësisht me transmetimin ose ritransmetimin e tyre përmes një rrjeti radioteleviziv;</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1.6.4.8. furnizimin e përmbajtjes audio dhe </w:t>
      </w:r>
      <w:proofErr w:type="spellStart"/>
      <w:r w:rsidRPr="009C7A30">
        <w:rPr>
          <w:rFonts w:ascii="Times New Roman" w:eastAsia="Calibri" w:hAnsi="Times New Roman" w:cs="Times New Roman"/>
          <w:color w:val="000000" w:themeColor="text1"/>
          <w:sz w:val="24"/>
          <w:szCs w:val="24"/>
        </w:rPr>
        <w:t>audiovizuale</w:t>
      </w:r>
      <w:proofErr w:type="spellEnd"/>
      <w:r w:rsidRPr="009C7A30">
        <w:rPr>
          <w:rFonts w:ascii="Times New Roman" w:eastAsia="Calibri" w:hAnsi="Times New Roman" w:cs="Times New Roman"/>
          <w:color w:val="000000" w:themeColor="text1"/>
          <w:sz w:val="24"/>
          <w:szCs w:val="24"/>
        </w:rPr>
        <w:t xml:space="preserve"> përmes rrjeteve të komunikimit, të cilat nuk ofrohen nga dhe nën përgjegjësinë </w:t>
      </w:r>
      <w:proofErr w:type="spellStart"/>
      <w:r w:rsidRPr="009C7A30">
        <w:rPr>
          <w:rFonts w:ascii="Times New Roman" w:eastAsia="Calibri" w:hAnsi="Times New Roman" w:cs="Times New Roman"/>
          <w:color w:val="000000" w:themeColor="text1"/>
          <w:sz w:val="24"/>
          <w:szCs w:val="24"/>
        </w:rPr>
        <w:t>editoriale</w:t>
      </w:r>
      <w:proofErr w:type="spellEnd"/>
      <w:r w:rsidRPr="009C7A30">
        <w:rPr>
          <w:rFonts w:ascii="Times New Roman" w:eastAsia="Calibri" w:hAnsi="Times New Roman" w:cs="Times New Roman"/>
          <w:color w:val="000000" w:themeColor="text1"/>
          <w:sz w:val="24"/>
          <w:szCs w:val="24"/>
        </w:rPr>
        <w:t xml:space="preserve"> të një ofruesi të shërbimeve </w:t>
      </w:r>
      <w:proofErr w:type="spellStart"/>
      <w:r w:rsidRPr="009C7A30">
        <w:rPr>
          <w:rFonts w:ascii="Times New Roman" w:eastAsia="Calibri" w:hAnsi="Times New Roman" w:cs="Times New Roman"/>
          <w:color w:val="000000" w:themeColor="text1"/>
          <w:sz w:val="24"/>
          <w:szCs w:val="24"/>
        </w:rPr>
        <w:t>mediale</w:t>
      </w:r>
      <w:proofErr w:type="spellEnd"/>
      <w:r w:rsidRPr="009C7A30">
        <w:rPr>
          <w:rFonts w:ascii="Times New Roman" w:eastAsia="Calibri" w:hAnsi="Times New Roman" w:cs="Times New Roman"/>
          <w:color w:val="000000" w:themeColor="text1"/>
          <w:sz w:val="24"/>
          <w:szCs w:val="24"/>
        </w:rPr>
        <w:t>;</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1.6.4.9. furnizimin e mëtejshëm të prodhimit audio dhe </w:t>
      </w:r>
      <w:proofErr w:type="spellStart"/>
      <w:r w:rsidRPr="009C7A30">
        <w:rPr>
          <w:rFonts w:ascii="Times New Roman" w:eastAsia="Calibri" w:hAnsi="Times New Roman" w:cs="Times New Roman"/>
          <w:color w:val="000000" w:themeColor="text1"/>
          <w:sz w:val="24"/>
          <w:szCs w:val="24"/>
        </w:rPr>
        <w:t>audiovizual</w:t>
      </w:r>
      <w:proofErr w:type="spellEnd"/>
      <w:r w:rsidRPr="009C7A30">
        <w:rPr>
          <w:rFonts w:ascii="Times New Roman" w:eastAsia="Calibri" w:hAnsi="Times New Roman" w:cs="Times New Roman"/>
          <w:color w:val="000000" w:themeColor="text1"/>
          <w:sz w:val="24"/>
          <w:szCs w:val="24"/>
        </w:rPr>
        <w:t xml:space="preserve"> të një ofruesi të shërbimeve </w:t>
      </w:r>
      <w:proofErr w:type="spellStart"/>
      <w:r w:rsidRPr="009C7A30">
        <w:rPr>
          <w:rFonts w:ascii="Times New Roman" w:eastAsia="Calibri" w:hAnsi="Times New Roman" w:cs="Times New Roman"/>
          <w:color w:val="000000" w:themeColor="text1"/>
          <w:sz w:val="24"/>
          <w:szCs w:val="24"/>
        </w:rPr>
        <w:t>mediale</w:t>
      </w:r>
      <w:proofErr w:type="spellEnd"/>
      <w:r w:rsidRPr="009C7A30">
        <w:rPr>
          <w:rFonts w:ascii="Times New Roman" w:eastAsia="Calibri" w:hAnsi="Times New Roman" w:cs="Times New Roman"/>
          <w:color w:val="000000" w:themeColor="text1"/>
          <w:sz w:val="24"/>
          <w:szCs w:val="24"/>
        </w:rPr>
        <w:t xml:space="preserve"> përmes rrjeteve të komunikimit nga dikush tjetër përveç ofruesit të shërbimeve </w:t>
      </w:r>
      <w:proofErr w:type="spellStart"/>
      <w:r w:rsidRPr="009C7A30">
        <w:rPr>
          <w:rFonts w:ascii="Times New Roman" w:eastAsia="Calibri" w:hAnsi="Times New Roman" w:cs="Times New Roman"/>
          <w:color w:val="000000" w:themeColor="text1"/>
          <w:sz w:val="24"/>
          <w:szCs w:val="24"/>
        </w:rPr>
        <w:t>mediale</w:t>
      </w:r>
      <w:proofErr w:type="spellEnd"/>
      <w:r w:rsidRPr="009C7A30">
        <w:rPr>
          <w:rFonts w:ascii="Times New Roman" w:eastAsia="Calibri" w:hAnsi="Times New Roman" w:cs="Times New Roman"/>
          <w:color w:val="000000" w:themeColor="text1"/>
          <w:sz w:val="24"/>
          <w:szCs w:val="24"/>
        </w:rPr>
        <w:t>.</w:t>
      </w:r>
    </w:p>
    <w:p w:rsidR="007B521A" w:rsidRPr="009C7A30" w:rsidRDefault="007B521A" w:rsidP="00E17523">
      <w:pPr>
        <w:numPr>
          <w:ilvl w:val="0"/>
          <w:numId w:val="6"/>
        </w:numPr>
        <w:tabs>
          <w:tab w:val="left" w:pos="1170"/>
          <w:tab w:val="left" w:pos="2070"/>
        </w:tabs>
        <w:spacing w:after="260" w:line="260" w:lineRule="exact"/>
        <w:ind w:left="936"/>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Paragrafi 5 i Shtojcës II të Ligjit përfshin në veçanti:</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1.6.5.1. Mësimdhënien e automatizuar në distancë, që varet nga interneti ose një rrjet elektronik i ngjashëm për të funksionuar dhe furnizimi i së cilës kërkon pak ose aspak ndërhyrje njerëzore, duke përfshirë klasat virtuale, përveç rasteve kur interneti ose rrjeti elektronik i ngjashëm përdoret si një mjet thjesht për komunikimin midis mësuesit dhe nxënësit;</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1.6.5.2. fletore pune të plotësuara nga nxënësit në internet dhe të </w:t>
      </w:r>
      <w:proofErr w:type="spellStart"/>
      <w:r w:rsidRPr="009C7A30">
        <w:rPr>
          <w:rFonts w:ascii="Times New Roman" w:eastAsia="Calibri" w:hAnsi="Times New Roman" w:cs="Times New Roman"/>
          <w:color w:val="000000" w:themeColor="text1"/>
          <w:sz w:val="24"/>
          <w:szCs w:val="24"/>
        </w:rPr>
        <w:t>shenjëzuara</w:t>
      </w:r>
      <w:proofErr w:type="spellEnd"/>
      <w:r w:rsidRPr="009C7A30">
        <w:rPr>
          <w:rFonts w:ascii="Times New Roman" w:eastAsia="Calibri" w:hAnsi="Times New Roman" w:cs="Times New Roman"/>
          <w:color w:val="000000" w:themeColor="text1"/>
          <w:sz w:val="24"/>
          <w:szCs w:val="24"/>
        </w:rPr>
        <w:t xml:space="preserve"> automatikisht, pa ndërhyrjen njerëzore.</w:t>
      </w:r>
    </w:p>
    <w:p w:rsidR="007B521A" w:rsidRPr="009C7A30" w:rsidRDefault="007B521A" w:rsidP="007B521A">
      <w:pPr>
        <w:spacing w:after="260" w:line="260" w:lineRule="exact"/>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2. “Shërbimet e furnizuara në mënyrë elektronike” </w:t>
      </w:r>
      <w:r w:rsidR="00645DBF" w:rsidRPr="009C7A30">
        <w:rPr>
          <w:rFonts w:ascii="Times New Roman" w:eastAsia="Calibri" w:hAnsi="Times New Roman" w:cs="Times New Roman"/>
          <w:color w:val="000000" w:themeColor="text1"/>
          <w:sz w:val="24"/>
          <w:szCs w:val="24"/>
        </w:rPr>
        <w:t>për qëllime të këtij Udhëzimi Administrativ,</w:t>
      </w:r>
      <w:r w:rsidRPr="009C7A30">
        <w:rPr>
          <w:rFonts w:ascii="Times New Roman" w:eastAsia="Calibri" w:hAnsi="Times New Roman" w:cs="Times New Roman"/>
          <w:color w:val="000000" w:themeColor="text1"/>
          <w:sz w:val="24"/>
          <w:szCs w:val="24"/>
        </w:rPr>
        <w:t xml:space="preserve"> </w:t>
      </w:r>
      <w:r w:rsidRPr="009C7A30">
        <w:rPr>
          <w:rFonts w:ascii="Times New Roman" w:eastAsia="Calibri" w:hAnsi="Times New Roman" w:cs="Times New Roman"/>
          <w:b/>
          <w:color w:val="000000" w:themeColor="text1"/>
          <w:sz w:val="24"/>
          <w:szCs w:val="24"/>
        </w:rPr>
        <w:t>nuk</w:t>
      </w:r>
      <w:r w:rsidRPr="009C7A30">
        <w:rPr>
          <w:rFonts w:ascii="Times New Roman" w:eastAsia="Calibri" w:hAnsi="Times New Roman" w:cs="Times New Roman"/>
          <w:color w:val="000000" w:themeColor="text1"/>
          <w:sz w:val="24"/>
          <w:szCs w:val="24"/>
        </w:rPr>
        <w:t xml:space="preserve"> mbulojnë si vijon:</w:t>
      </w:r>
    </w:p>
    <w:p w:rsidR="007B521A" w:rsidRPr="009C7A30" w:rsidRDefault="007B521A" w:rsidP="00E17523">
      <w:pPr>
        <w:numPr>
          <w:ilvl w:val="1"/>
          <w:numId w:val="12"/>
        </w:numPr>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shërbimet e transmetimit (</w:t>
      </w:r>
      <w:proofErr w:type="spellStart"/>
      <w:r w:rsidRPr="009C7A30">
        <w:rPr>
          <w:rFonts w:ascii="Times New Roman" w:eastAsia="Calibri" w:hAnsi="Times New Roman" w:cs="Times New Roman"/>
          <w:color w:val="000000" w:themeColor="text1"/>
          <w:sz w:val="24"/>
          <w:szCs w:val="24"/>
        </w:rPr>
        <w:t>broadcasting</w:t>
      </w:r>
      <w:proofErr w:type="spellEnd"/>
      <w:r w:rsidRPr="009C7A30">
        <w:rPr>
          <w:rFonts w:ascii="Times New Roman" w:eastAsia="Calibri" w:hAnsi="Times New Roman" w:cs="Times New Roman"/>
          <w:color w:val="000000" w:themeColor="text1"/>
          <w:sz w:val="24"/>
          <w:szCs w:val="24"/>
        </w:rPr>
        <w:t>);</w:t>
      </w:r>
    </w:p>
    <w:p w:rsidR="007B521A" w:rsidRPr="009C7A30" w:rsidRDefault="007B521A" w:rsidP="00E17523">
      <w:pPr>
        <w:numPr>
          <w:ilvl w:val="1"/>
          <w:numId w:val="12"/>
        </w:numPr>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shërbimet e telekomunikacionit;</w:t>
      </w:r>
    </w:p>
    <w:p w:rsidR="007B521A" w:rsidRPr="009C7A30" w:rsidRDefault="007B521A" w:rsidP="00E17523">
      <w:pPr>
        <w:numPr>
          <w:ilvl w:val="1"/>
          <w:numId w:val="12"/>
        </w:numPr>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mallrat, ku porosia dhe përpunimi bëhet në mënyrë elektronike;</w:t>
      </w:r>
    </w:p>
    <w:p w:rsidR="007B521A" w:rsidRPr="009C7A30" w:rsidRDefault="007B521A" w:rsidP="00E17523">
      <w:pPr>
        <w:numPr>
          <w:ilvl w:val="1"/>
          <w:numId w:val="12"/>
        </w:numPr>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CD-ROM,  disketat (</w:t>
      </w:r>
      <w:proofErr w:type="spellStart"/>
      <w:r w:rsidRPr="009C7A30">
        <w:rPr>
          <w:rFonts w:ascii="Times New Roman" w:eastAsia="Calibri" w:hAnsi="Times New Roman" w:cs="Times New Roman"/>
          <w:color w:val="000000" w:themeColor="text1"/>
          <w:sz w:val="24"/>
          <w:szCs w:val="24"/>
        </w:rPr>
        <w:t>floppy</w:t>
      </w:r>
      <w:proofErr w:type="spellEnd"/>
      <w:r w:rsidRPr="009C7A30">
        <w:rPr>
          <w:rFonts w:ascii="Times New Roman" w:eastAsia="Calibri" w:hAnsi="Times New Roman" w:cs="Times New Roman"/>
          <w:color w:val="000000" w:themeColor="text1"/>
          <w:sz w:val="24"/>
          <w:szCs w:val="24"/>
        </w:rPr>
        <w:t xml:space="preserve"> </w:t>
      </w:r>
      <w:proofErr w:type="spellStart"/>
      <w:r w:rsidRPr="009C7A30">
        <w:rPr>
          <w:rFonts w:ascii="Times New Roman" w:eastAsia="Calibri" w:hAnsi="Times New Roman" w:cs="Times New Roman"/>
          <w:color w:val="000000" w:themeColor="text1"/>
          <w:sz w:val="24"/>
          <w:szCs w:val="24"/>
        </w:rPr>
        <w:t>discs</w:t>
      </w:r>
      <w:proofErr w:type="spellEnd"/>
      <w:r w:rsidRPr="009C7A30">
        <w:rPr>
          <w:rFonts w:ascii="Times New Roman" w:eastAsia="Calibri" w:hAnsi="Times New Roman" w:cs="Times New Roman"/>
          <w:color w:val="000000" w:themeColor="text1"/>
          <w:sz w:val="24"/>
          <w:szCs w:val="24"/>
        </w:rPr>
        <w:t>) dhe media të ngjashme të prekshme;</w:t>
      </w:r>
    </w:p>
    <w:p w:rsidR="007B521A" w:rsidRPr="009C7A30" w:rsidRDefault="007B521A" w:rsidP="00E17523">
      <w:pPr>
        <w:numPr>
          <w:ilvl w:val="1"/>
          <w:numId w:val="12"/>
        </w:numPr>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materiale të shtypura, të tilla si libra, buletine, gazeta ose revista;</w:t>
      </w:r>
    </w:p>
    <w:p w:rsidR="007B521A" w:rsidRPr="009C7A30" w:rsidRDefault="007B521A" w:rsidP="00E17523">
      <w:pPr>
        <w:numPr>
          <w:ilvl w:val="1"/>
          <w:numId w:val="12"/>
        </w:numPr>
        <w:spacing w:after="260" w:line="260" w:lineRule="exact"/>
        <w:ind w:left="738" w:hanging="450"/>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CD dhe audio kaseta;</w:t>
      </w:r>
    </w:p>
    <w:p w:rsidR="007B521A" w:rsidRPr="009C7A30" w:rsidRDefault="007B521A" w:rsidP="00E17523">
      <w:pPr>
        <w:numPr>
          <w:ilvl w:val="1"/>
          <w:numId w:val="12"/>
        </w:numPr>
        <w:spacing w:after="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lastRenderedPageBreak/>
        <w:t>videokaseta dhe DVD;</w:t>
      </w:r>
    </w:p>
    <w:p w:rsidR="009B28D4" w:rsidRPr="009C7A30" w:rsidRDefault="009B28D4" w:rsidP="00E17523">
      <w:pPr>
        <w:spacing w:after="0" w:line="260" w:lineRule="exact"/>
        <w:ind w:left="288"/>
        <w:jc w:val="both"/>
        <w:rPr>
          <w:rFonts w:ascii="Times New Roman" w:eastAsia="Calibri" w:hAnsi="Times New Roman" w:cs="Times New Roman"/>
          <w:color w:val="000000" w:themeColor="text1"/>
          <w:sz w:val="24"/>
          <w:szCs w:val="24"/>
        </w:rPr>
      </w:pPr>
    </w:p>
    <w:p w:rsidR="007B521A" w:rsidRPr="009C7A30" w:rsidRDefault="007B521A" w:rsidP="00E17523">
      <w:pPr>
        <w:numPr>
          <w:ilvl w:val="1"/>
          <w:numId w:val="12"/>
        </w:numPr>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lojëra në një CD-ROM;</w:t>
      </w:r>
    </w:p>
    <w:p w:rsidR="007B521A" w:rsidRPr="009C7A30" w:rsidRDefault="007B521A" w:rsidP="00E17523">
      <w:pPr>
        <w:numPr>
          <w:ilvl w:val="1"/>
          <w:numId w:val="12"/>
        </w:numPr>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shërbimet e profesionistëve si avokatët dhe konsulentët financiarë, të cilët këshillojnë klientët përmes adresës elektronike;</w:t>
      </w:r>
    </w:p>
    <w:p w:rsidR="007B521A" w:rsidRPr="009C7A30" w:rsidRDefault="007B521A" w:rsidP="00740633">
      <w:pPr>
        <w:numPr>
          <w:ilvl w:val="1"/>
          <w:numId w:val="12"/>
        </w:numPr>
        <w:tabs>
          <w:tab w:val="left" w:pos="450"/>
          <w:tab w:val="left" w:pos="630"/>
          <w:tab w:val="left" w:pos="810"/>
        </w:tabs>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shërbimet e mësimdhënies, ku përmbajtja e kursit ofrohet nga një mësues nëpërmjet internetit ose një rrjeti elektronik (përkatësisht përmes një lidhjeje në distancë);</w:t>
      </w:r>
    </w:p>
    <w:p w:rsidR="007B521A" w:rsidRPr="009C7A30" w:rsidRDefault="007B521A" w:rsidP="00740633">
      <w:pPr>
        <w:numPr>
          <w:ilvl w:val="1"/>
          <w:numId w:val="12"/>
        </w:numPr>
        <w:tabs>
          <w:tab w:val="left" w:pos="450"/>
          <w:tab w:val="left" w:pos="810"/>
        </w:tabs>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shërbimet e riparimit fizik </w:t>
      </w:r>
      <w:proofErr w:type="spellStart"/>
      <w:r w:rsidRPr="009C7A30">
        <w:rPr>
          <w:rFonts w:ascii="Times New Roman" w:eastAsia="Calibri" w:hAnsi="Times New Roman" w:cs="Times New Roman"/>
          <w:i/>
          <w:color w:val="000000" w:themeColor="text1"/>
          <w:sz w:val="24"/>
          <w:szCs w:val="24"/>
        </w:rPr>
        <w:t>offline</w:t>
      </w:r>
      <w:proofErr w:type="spellEnd"/>
      <w:r w:rsidRPr="009C7A30">
        <w:rPr>
          <w:rFonts w:ascii="Times New Roman" w:eastAsia="Calibri" w:hAnsi="Times New Roman" w:cs="Times New Roman"/>
          <w:color w:val="000000" w:themeColor="text1"/>
          <w:sz w:val="24"/>
          <w:szCs w:val="24"/>
        </w:rPr>
        <w:t xml:space="preserve"> të pajisjeve kompjuterike;</w:t>
      </w:r>
    </w:p>
    <w:p w:rsidR="007B521A" w:rsidRPr="009C7A30" w:rsidRDefault="007B521A" w:rsidP="00E17523">
      <w:pPr>
        <w:numPr>
          <w:ilvl w:val="1"/>
          <w:numId w:val="12"/>
        </w:numPr>
        <w:tabs>
          <w:tab w:val="left" w:pos="900"/>
        </w:tabs>
        <w:spacing w:after="260" w:line="260" w:lineRule="exact"/>
        <w:ind w:left="288" w:firstLine="90"/>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shërbimet e ruajtjes së të dhënave </w:t>
      </w:r>
      <w:proofErr w:type="spellStart"/>
      <w:r w:rsidRPr="009C7A30">
        <w:rPr>
          <w:rFonts w:ascii="Times New Roman" w:eastAsia="Calibri" w:hAnsi="Times New Roman" w:cs="Times New Roman"/>
          <w:i/>
          <w:color w:val="000000" w:themeColor="text1"/>
          <w:sz w:val="24"/>
          <w:szCs w:val="24"/>
        </w:rPr>
        <w:t>offline</w:t>
      </w:r>
      <w:proofErr w:type="spellEnd"/>
      <w:r w:rsidRPr="009C7A30">
        <w:rPr>
          <w:rFonts w:ascii="Times New Roman" w:eastAsia="Calibri" w:hAnsi="Times New Roman" w:cs="Times New Roman"/>
          <w:color w:val="000000" w:themeColor="text1"/>
          <w:sz w:val="24"/>
          <w:szCs w:val="24"/>
        </w:rPr>
        <w:t>;</w:t>
      </w:r>
    </w:p>
    <w:p w:rsidR="007B521A" w:rsidRPr="009C7A30" w:rsidRDefault="007B521A" w:rsidP="00E17523">
      <w:pPr>
        <w:numPr>
          <w:ilvl w:val="1"/>
          <w:numId w:val="12"/>
        </w:numPr>
        <w:tabs>
          <w:tab w:val="left" w:pos="900"/>
        </w:tabs>
        <w:spacing w:after="260" w:line="260" w:lineRule="exact"/>
        <w:ind w:left="468" w:hanging="180"/>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shërbimet e reklamimit, veçanërisht si në gazeta, në </w:t>
      </w:r>
      <w:proofErr w:type="spellStart"/>
      <w:r w:rsidRPr="009C7A30">
        <w:rPr>
          <w:rFonts w:ascii="Times New Roman" w:eastAsia="Calibri" w:hAnsi="Times New Roman" w:cs="Times New Roman"/>
          <w:color w:val="000000" w:themeColor="text1"/>
          <w:sz w:val="24"/>
          <w:szCs w:val="24"/>
        </w:rPr>
        <w:t>posterë</w:t>
      </w:r>
      <w:proofErr w:type="spellEnd"/>
      <w:r w:rsidRPr="009C7A30">
        <w:rPr>
          <w:rFonts w:ascii="Times New Roman" w:eastAsia="Calibri" w:hAnsi="Times New Roman" w:cs="Times New Roman"/>
          <w:color w:val="000000" w:themeColor="text1"/>
          <w:sz w:val="24"/>
          <w:szCs w:val="24"/>
        </w:rPr>
        <w:t xml:space="preserve"> dhe në televizion;</w:t>
      </w:r>
    </w:p>
    <w:p w:rsidR="007B521A" w:rsidRPr="009C7A30" w:rsidRDefault="007B521A" w:rsidP="00E17523">
      <w:pPr>
        <w:numPr>
          <w:ilvl w:val="1"/>
          <w:numId w:val="12"/>
        </w:numPr>
        <w:tabs>
          <w:tab w:val="left" w:pos="900"/>
        </w:tabs>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shërbimet e ndihmës përmes telefonit;</w:t>
      </w:r>
    </w:p>
    <w:p w:rsidR="007B521A" w:rsidRPr="009C7A30" w:rsidRDefault="007B521A" w:rsidP="00E17523">
      <w:pPr>
        <w:numPr>
          <w:ilvl w:val="1"/>
          <w:numId w:val="12"/>
        </w:numPr>
        <w:tabs>
          <w:tab w:val="left" w:pos="900"/>
        </w:tabs>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shërbimet e mësimdhënies që thjeshtë përfshijnë kurset me korrespondencë, të tilla si kurset e dorëzuara me postë;</w:t>
      </w:r>
    </w:p>
    <w:p w:rsidR="007B521A" w:rsidRPr="009C7A30" w:rsidRDefault="007B521A" w:rsidP="00E17523">
      <w:pPr>
        <w:numPr>
          <w:ilvl w:val="1"/>
          <w:numId w:val="12"/>
        </w:numPr>
        <w:tabs>
          <w:tab w:val="left" w:pos="810"/>
        </w:tabs>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shërbimet konvencionale të ankandeve të mbështetura në ndërhyrjen e drejtpërdrejtë njerëzore, pavarësisht se si bëhen ofertat;</w:t>
      </w:r>
    </w:p>
    <w:p w:rsidR="007B521A" w:rsidRPr="009C7A30" w:rsidRDefault="007B521A" w:rsidP="00E17523">
      <w:pPr>
        <w:numPr>
          <w:ilvl w:val="1"/>
          <w:numId w:val="12"/>
        </w:numPr>
        <w:tabs>
          <w:tab w:val="left" w:pos="810"/>
        </w:tabs>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bileta për ngjarje kulturore, artistike, sportive, shkencore, arsimore, argëtuese ose të ngjashme të rezervuara në internet;</w:t>
      </w:r>
    </w:p>
    <w:p w:rsidR="007B521A" w:rsidRPr="009C7A30" w:rsidRDefault="007B521A" w:rsidP="00E17523">
      <w:pPr>
        <w:numPr>
          <w:ilvl w:val="1"/>
          <w:numId w:val="12"/>
        </w:numPr>
        <w:tabs>
          <w:tab w:val="left" w:pos="810"/>
        </w:tabs>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akomodimi, marrja me qira e makinave, shërbimet e restorantit, transporti i pasagjerëve ose shërbime të ngjashme që rezervohen </w:t>
      </w:r>
      <w:proofErr w:type="spellStart"/>
      <w:r w:rsidRPr="009C7A30">
        <w:rPr>
          <w:rFonts w:ascii="Times New Roman" w:eastAsia="Calibri" w:hAnsi="Times New Roman" w:cs="Times New Roman"/>
          <w:i/>
          <w:color w:val="000000" w:themeColor="text1"/>
          <w:sz w:val="24"/>
          <w:szCs w:val="24"/>
        </w:rPr>
        <w:t>online</w:t>
      </w:r>
      <w:proofErr w:type="spellEnd"/>
      <w:r w:rsidRPr="009C7A30">
        <w:rPr>
          <w:rFonts w:ascii="Times New Roman" w:eastAsia="Calibri" w:hAnsi="Times New Roman" w:cs="Times New Roman"/>
          <w:color w:val="000000" w:themeColor="text1"/>
          <w:sz w:val="24"/>
          <w:szCs w:val="24"/>
        </w:rPr>
        <w:t>.</w:t>
      </w:r>
    </w:p>
    <w:p w:rsidR="007B521A" w:rsidRPr="009C7A30" w:rsidRDefault="007B521A" w:rsidP="007B521A">
      <w:pPr>
        <w:spacing w:before="240" w:after="260" w:line="260" w:lineRule="exact"/>
        <w:ind w:left="720"/>
        <w:contextualSpacing/>
        <w:jc w:val="both"/>
        <w:rPr>
          <w:rFonts w:ascii="Times New Roman" w:eastAsia="Calibri" w:hAnsi="Times New Roman" w:cs="Times New Roman"/>
          <w:color w:val="000000" w:themeColor="text1"/>
          <w:sz w:val="24"/>
          <w:szCs w:val="24"/>
        </w:rPr>
      </w:pPr>
    </w:p>
    <w:p w:rsidR="007B521A" w:rsidRPr="009C7A30" w:rsidRDefault="007B521A" w:rsidP="007B521A">
      <w:pPr>
        <w:spacing w:after="260" w:line="260" w:lineRule="exact"/>
        <w:jc w:val="center"/>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KAPITULLI III</w:t>
      </w:r>
    </w:p>
    <w:p w:rsidR="007B521A" w:rsidRPr="009C7A30" w:rsidRDefault="007B521A" w:rsidP="007B521A">
      <w:pPr>
        <w:spacing w:after="260" w:line="260" w:lineRule="exact"/>
        <w:jc w:val="center"/>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Personat e tatueshëm  që janë subjekt i Skemës për shërbimet e f</w:t>
      </w:r>
      <w:r w:rsidR="00E200FF" w:rsidRPr="009C7A30">
        <w:rPr>
          <w:rFonts w:ascii="Times New Roman" w:eastAsia="Calibri" w:hAnsi="Times New Roman" w:cs="Times New Roman"/>
          <w:b/>
          <w:bCs/>
          <w:color w:val="000000" w:themeColor="text1"/>
          <w:sz w:val="24"/>
          <w:szCs w:val="24"/>
        </w:rPr>
        <w:t>urnizuara në mënyrë elektronike</w:t>
      </w:r>
      <w:r w:rsidRPr="009C7A30">
        <w:rPr>
          <w:rFonts w:ascii="Times New Roman" w:eastAsia="Calibri" w:hAnsi="Times New Roman" w:cs="Times New Roman"/>
          <w:b/>
          <w:bCs/>
          <w:color w:val="000000" w:themeColor="text1"/>
          <w:sz w:val="24"/>
          <w:szCs w:val="24"/>
        </w:rPr>
        <w:t xml:space="preserve"> </w:t>
      </w:r>
    </w:p>
    <w:p w:rsidR="007B521A" w:rsidRPr="009C7A30" w:rsidRDefault="007B521A" w:rsidP="00483F4E">
      <w:pPr>
        <w:spacing w:after="0" w:line="260" w:lineRule="exact"/>
        <w:jc w:val="center"/>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Neni 5</w:t>
      </w:r>
    </w:p>
    <w:p w:rsidR="007B521A" w:rsidRPr="009C7A30" w:rsidRDefault="007B521A" w:rsidP="00483F4E">
      <w:pPr>
        <w:spacing w:after="0" w:line="260" w:lineRule="exact"/>
        <w:jc w:val="center"/>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 xml:space="preserve">Regjistrimi </w:t>
      </w:r>
    </w:p>
    <w:p w:rsidR="00483F4E" w:rsidRPr="009C7A30" w:rsidRDefault="00483F4E" w:rsidP="00483F4E">
      <w:pPr>
        <w:spacing w:after="0" w:line="260" w:lineRule="exact"/>
        <w:jc w:val="center"/>
        <w:rPr>
          <w:rFonts w:ascii="Times New Roman" w:eastAsia="Calibri" w:hAnsi="Times New Roman" w:cs="Times New Roman"/>
          <w:b/>
          <w:bCs/>
          <w:color w:val="000000" w:themeColor="text1"/>
          <w:sz w:val="24"/>
          <w:szCs w:val="24"/>
        </w:rPr>
      </w:pPr>
    </w:p>
    <w:p w:rsidR="007B521A" w:rsidRPr="009C7A30" w:rsidRDefault="007B521A" w:rsidP="009B28D4">
      <w:pPr>
        <w:numPr>
          <w:ilvl w:val="1"/>
          <w:numId w:val="18"/>
        </w:numPr>
        <w:spacing w:before="120" w:after="120" w:line="240" w:lineRule="auto"/>
        <w:ind w:left="360"/>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Një person i tatueshëm që aplikon për skemën sipas nenit 61, paragrafit 4 të Ligjit duhet të dorëzojë përmes mjeteve elektronike formularin e aplikimit për regjistrim. Formulari i regjistrimit duhet të përfshijë informacionet e përcaktuara në Shtojcën I të këtij Udhëzimi Administrativ.</w:t>
      </w:r>
    </w:p>
    <w:p w:rsidR="007B521A" w:rsidRPr="009C7A30" w:rsidRDefault="007B521A" w:rsidP="009B28D4">
      <w:pPr>
        <w:numPr>
          <w:ilvl w:val="1"/>
          <w:numId w:val="18"/>
        </w:numPr>
        <w:spacing w:before="120" w:after="120" w:line="240" w:lineRule="auto"/>
        <w:ind w:left="360"/>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Brenda 10 ditëve të punës pas pranimit të formularit të aplikimit, ATK-ja duhet të kryejë një verifikim dhe vendos nëse do të lëshojë certifikatën e regjistrimit apo jo.</w:t>
      </w:r>
    </w:p>
    <w:p w:rsidR="007B521A" w:rsidRPr="009C7A30" w:rsidRDefault="007B521A" w:rsidP="00E17523">
      <w:pPr>
        <w:numPr>
          <w:ilvl w:val="1"/>
          <w:numId w:val="18"/>
        </w:numPr>
        <w:spacing w:before="120" w:after="120" w:line="240" w:lineRule="auto"/>
        <w:ind w:left="360"/>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Nëse ATK-ja konstaton se personi i tatueshëm i plotëson kriteret për regjistrim sipas skemës, duhet të regjistron personin e tatueshëm, përgatitë certifikatën e regjistrimit dhe njofton </w:t>
      </w:r>
      <w:r w:rsidRPr="009C7A30">
        <w:rPr>
          <w:rFonts w:ascii="Times New Roman" w:eastAsia="Calibri" w:hAnsi="Times New Roman" w:cs="Times New Roman"/>
          <w:color w:val="000000" w:themeColor="text1"/>
          <w:sz w:val="24"/>
          <w:szCs w:val="24"/>
        </w:rPr>
        <w:lastRenderedPageBreak/>
        <w:t>personin e tatueshëm përmes mjeteve elektronike. Megjithatë, nëse ATK-ja konstaton se personi i tatueshëm nuk i plotëson kriteret për skemën, ATK-ja duhet t’i dërgon tatimpaguesit nëpërmjet mjeteve elektronike një njoftim me shkrim se certifikata e regjistrimit nuk mund të lëshohet përmes mjeteve elektronike. Njoftimi duhet të përfshin arsyet për mos lëshimin e certifikatës së regjistrimit.</w:t>
      </w:r>
    </w:p>
    <w:p w:rsidR="007B521A" w:rsidRPr="009C7A30" w:rsidRDefault="007B521A" w:rsidP="005A2A6A">
      <w:pPr>
        <w:numPr>
          <w:ilvl w:val="1"/>
          <w:numId w:val="18"/>
        </w:numPr>
        <w:shd w:val="clear" w:color="auto" w:fill="FFFFFF"/>
        <w:spacing w:before="120" w:after="120" w:line="240" w:lineRule="auto"/>
        <w:ind w:left="360"/>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 xml:space="preserve">ATK-ja duhet t’i ndan personit të tatueshëm që nuk është i vendosur në Kosovë, një numër individual identifikues të TVSH-së për aplikimin e kësaj skeme të veçantë dhe duhet të njoftoj atë për këtë numër përmes mjeteve elektronike. </w:t>
      </w:r>
    </w:p>
    <w:p w:rsidR="007B521A" w:rsidRPr="009C7A30" w:rsidRDefault="007B521A" w:rsidP="005A2A6A">
      <w:pPr>
        <w:numPr>
          <w:ilvl w:val="1"/>
          <w:numId w:val="18"/>
        </w:numPr>
        <w:shd w:val="clear" w:color="auto" w:fill="FFFFFF"/>
        <w:spacing w:before="120" w:after="120" w:line="240" w:lineRule="auto"/>
        <w:ind w:left="360"/>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Kur një person i tatueshëm informon ATK-në se synon të përdorë skemën e veçantë, skema e veçantë duhet të zbatohet nga dita e parë e tremujorit kalendarik pasues. Megjithatë, kur furnizimi i parë i shërbimeve që mbulohet nga skema bëhet përpara kësaj date, skema e veçantë duhet të zbatohet nga data e atij furnizimi të parë, me kusht që personi i tatueshëm informon ATK-në për fillimin e aktiviteteve të tij që do të mbulohen nga skema jo më vonë se dita e dhjetë e muajit që pason atë furnizim të parë.</w:t>
      </w:r>
    </w:p>
    <w:p w:rsidR="007B521A" w:rsidRPr="009C7A30" w:rsidRDefault="007B521A" w:rsidP="00D330E5">
      <w:pPr>
        <w:spacing w:after="0" w:line="240" w:lineRule="auto"/>
        <w:jc w:val="center"/>
        <w:rPr>
          <w:rFonts w:ascii="Times New Roman" w:eastAsia="Calibri" w:hAnsi="Times New Roman" w:cs="Times New Roman"/>
          <w:b/>
          <w:bCs/>
          <w:color w:val="000000" w:themeColor="text1"/>
          <w:sz w:val="24"/>
          <w:szCs w:val="24"/>
        </w:rPr>
      </w:pPr>
    </w:p>
    <w:p w:rsidR="007B521A" w:rsidRPr="009C7A30" w:rsidRDefault="007B521A" w:rsidP="00D330E5">
      <w:pPr>
        <w:spacing w:after="0" w:line="240" w:lineRule="auto"/>
        <w:jc w:val="center"/>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Neni 6</w:t>
      </w:r>
    </w:p>
    <w:p w:rsidR="00483F4E" w:rsidRPr="009C7A30" w:rsidRDefault="007B521A" w:rsidP="00D330E5">
      <w:pPr>
        <w:spacing w:after="0" w:line="240" w:lineRule="auto"/>
        <w:jc w:val="center"/>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Deklarata e TVSH-së</w:t>
      </w:r>
    </w:p>
    <w:p w:rsidR="007B521A" w:rsidRPr="009C7A30" w:rsidRDefault="007B521A" w:rsidP="00E17523">
      <w:pPr>
        <w:numPr>
          <w:ilvl w:val="1"/>
          <w:numId w:val="6"/>
        </w:numPr>
        <w:shd w:val="clear" w:color="auto" w:fill="FFFFFF"/>
        <w:spacing w:before="120" w:after="120" w:line="240" w:lineRule="auto"/>
        <w:ind w:left="360"/>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 xml:space="preserve">Personi i tatueshëm që nuk është i vendosur në Kosovë, që shfrytëzon këtë skemë të veçantë, duhet të dorëzoj në ATK në mënyrë elektronike një deklaratë të TVSH-së për çdo tremujor kalendarik, pavarësisht nëse janë furnizuar apo jo shërbimet e mbuluara nga kjo skemë e veçantë. Deklarata e TVSH-së duhet të dorëzohet deri në fund të muajit që pason përfundimin e  periudhës tatimore të mbuluar nga deklarata. </w:t>
      </w:r>
    </w:p>
    <w:p w:rsidR="007B521A" w:rsidRPr="009C7A30" w:rsidRDefault="007B521A" w:rsidP="00E17523">
      <w:pPr>
        <w:numPr>
          <w:ilvl w:val="1"/>
          <w:numId w:val="6"/>
        </w:numPr>
        <w:spacing w:before="120" w:after="120" w:line="240" w:lineRule="auto"/>
        <w:ind w:left="360"/>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 xml:space="preserve">Deklarata e TVSH-së duhet të tregojë numrin individual të identifikimit të TVSH-së për aplikimin e kësaj skeme të veçantë dhe vlerën totale pa TVSH të furnizimeve të shërbimeve të mbuluara nga skema e veçantë, të kryera gjatë periudhës tatimore dhe shumën totale për normë të TVSH-së </w:t>
      </w:r>
      <w:proofErr w:type="spellStart"/>
      <w:r w:rsidRPr="009C7A30">
        <w:rPr>
          <w:rFonts w:ascii="Times New Roman" w:eastAsia="Times New Roman" w:hAnsi="Times New Roman" w:cs="Times New Roman"/>
          <w:color w:val="000000" w:themeColor="text1"/>
          <w:sz w:val="24"/>
          <w:szCs w:val="24"/>
        </w:rPr>
        <w:t>korresponduese</w:t>
      </w:r>
      <w:proofErr w:type="spellEnd"/>
      <w:r w:rsidRPr="009C7A30">
        <w:rPr>
          <w:rFonts w:ascii="Times New Roman" w:eastAsia="Times New Roman" w:hAnsi="Times New Roman" w:cs="Times New Roman"/>
          <w:color w:val="000000" w:themeColor="text1"/>
          <w:sz w:val="24"/>
          <w:szCs w:val="24"/>
        </w:rPr>
        <w:t>. Normat e aplikueshme të TVSH-së dhe totali i TVSH-së për pagesë duhet të tregohen gjithashtu në deklaratë. Formulari i deklaratës së TVSH-së duhet të përfshijë informacionet e përcaktuara në Shtojcën II të këtij udhëzimi administrativ.</w:t>
      </w:r>
    </w:p>
    <w:p w:rsidR="007B521A" w:rsidRPr="009C7A30" w:rsidRDefault="007B521A" w:rsidP="00E17523">
      <w:pPr>
        <w:numPr>
          <w:ilvl w:val="1"/>
          <w:numId w:val="6"/>
        </w:numPr>
        <w:shd w:val="clear" w:color="auto" w:fill="FFFFFF"/>
        <w:spacing w:before="120" w:after="120" w:line="240" w:lineRule="auto"/>
        <w:ind w:left="360"/>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Nëse kërkohet ndonjë ndryshim në deklaratën e TVSH-së pas dorëzimit të saj, këto ndryshime duhet të përfshihen në një deklaratë pasuese brenda tre viteve nga data në të cilën është kërkuar dorëzimi i deklaratës fillestare, në përputhje me paragrafin 1</w:t>
      </w:r>
      <w:r w:rsidR="00E200FF" w:rsidRPr="009C7A30">
        <w:rPr>
          <w:rFonts w:ascii="Times New Roman" w:eastAsia="Times New Roman" w:hAnsi="Times New Roman" w:cs="Times New Roman"/>
          <w:color w:val="000000" w:themeColor="text1"/>
          <w:sz w:val="24"/>
          <w:szCs w:val="24"/>
        </w:rPr>
        <w:t xml:space="preserve"> të këtij neni</w:t>
      </w:r>
      <w:r w:rsidRPr="009C7A30">
        <w:rPr>
          <w:rFonts w:ascii="Times New Roman" w:eastAsia="Times New Roman" w:hAnsi="Times New Roman" w:cs="Times New Roman"/>
          <w:color w:val="000000" w:themeColor="text1"/>
          <w:sz w:val="24"/>
          <w:szCs w:val="24"/>
        </w:rPr>
        <w:t>. Kjo deklaratë pasuese e TVSH-së duhet të identifikojë periudhën tatimore dhe shumën e TVSH-së për të cilën kërkohet ndonjë ndryshim.</w:t>
      </w:r>
    </w:p>
    <w:p w:rsidR="007B521A" w:rsidRPr="009C7A30" w:rsidRDefault="007B521A" w:rsidP="00E17523">
      <w:pPr>
        <w:numPr>
          <w:ilvl w:val="1"/>
          <w:numId w:val="6"/>
        </w:numPr>
        <w:shd w:val="clear" w:color="auto" w:fill="FFFFFF"/>
        <w:spacing w:before="120" w:after="120" w:line="240" w:lineRule="auto"/>
        <w:ind w:left="360"/>
        <w:jc w:val="both"/>
        <w:rPr>
          <w:rFonts w:ascii="Times New Roman" w:eastAsia="Times New Roman" w:hAnsi="Times New Roman" w:cs="Times New Roman"/>
          <w:b/>
          <w:bCs/>
          <w:color w:val="000000" w:themeColor="text1"/>
          <w:sz w:val="24"/>
          <w:szCs w:val="24"/>
        </w:rPr>
      </w:pPr>
      <w:r w:rsidRPr="009C7A30">
        <w:rPr>
          <w:rFonts w:ascii="Times New Roman" w:eastAsia="Times New Roman" w:hAnsi="Times New Roman" w:cs="Times New Roman"/>
          <w:color w:val="000000" w:themeColor="text1"/>
          <w:sz w:val="24"/>
          <w:szCs w:val="24"/>
        </w:rPr>
        <w:t xml:space="preserve">Shumat në deklaratën e TVSH-së plotësohen në euro. Nëse furnizimet janë bërë në valuta të tjera, personi i tatueshëm që nuk është i vendosur në Kosovë, për qëllime të plotësimit të deklaratës së TVSH-së, duhet të përdorë kursin e këmbimit që aplikohet në ditën e fundit të periudhës tatimore. Konvertimi duhet të bëhet duke aplikuar kurset e këmbimit të publikuara nga Banka Qendrore e Kosovës për atë ditë ose, nëse nuk ka publikim atë ditë, ditën tjetër të publikimit. </w:t>
      </w:r>
    </w:p>
    <w:p w:rsidR="007B521A" w:rsidRPr="009C7A30" w:rsidRDefault="007B521A" w:rsidP="00E17523">
      <w:pPr>
        <w:numPr>
          <w:ilvl w:val="1"/>
          <w:numId w:val="6"/>
        </w:numPr>
        <w:shd w:val="clear" w:color="auto" w:fill="FFFFFF"/>
        <w:spacing w:before="120" w:after="120" w:line="240" w:lineRule="auto"/>
        <w:ind w:left="360"/>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Nëse një person i tatueshëm që përdor skemën e veçantë nuk ka furnizuar shërbime në Kosovë gjatë periudhës së deklarimit dhe nuk ka korrigjime për të bërë në lidhje me deklaratat e mëparshme, ai duhet të dorëzojë një deklaratë të TVSH-së që tregon se nuk janë bërë furnizime gjatë asaj periudhe (deklaratë me TVSH zero).</w:t>
      </w:r>
    </w:p>
    <w:p w:rsidR="007B521A" w:rsidRPr="009C7A30" w:rsidRDefault="007B521A" w:rsidP="00E17523">
      <w:pPr>
        <w:numPr>
          <w:ilvl w:val="1"/>
          <w:numId w:val="6"/>
        </w:numPr>
        <w:shd w:val="clear" w:color="auto" w:fill="FFFFFF"/>
        <w:spacing w:before="120" w:after="120" w:line="240" w:lineRule="auto"/>
        <w:ind w:left="360"/>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lastRenderedPageBreak/>
        <w:t xml:space="preserve">Shumat e deklaratave të TVSH-së të bëra sipas skemës së veçantë nuk duhet të </w:t>
      </w:r>
      <w:proofErr w:type="spellStart"/>
      <w:r w:rsidRPr="009C7A30">
        <w:rPr>
          <w:rFonts w:ascii="Times New Roman" w:eastAsia="Times New Roman" w:hAnsi="Times New Roman" w:cs="Times New Roman"/>
          <w:color w:val="000000" w:themeColor="text1"/>
          <w:sz w:val="24"/>
          <w:szCs w:val="24"/>
        </w:rPr>
        <w:t>rrumbullaksohen</w:t>
      </w:r>
      <w:proofErr w:type="spellEnd"/>
      <w:r w:rsidRPr="009C7A30">
        <w:rPr>
          <w:rFonts w:ascii="Times New Roman" w:eastAsia="Times New Roman" w:hAnsi="Times New Roman" w:cs="Times New Roman"/>
          <w:color w:val="000000" w:themeColor="text1"/>
          <w:sz w:val="24"/>
          <w:szCs w:val="24"/>
        </w:rPr>
        <w:t xml:space="preserve"> lartë ose poshtë në njësinë monetare të plotë më të afërt. Duhet të raportohet dhe dërgohet shuma e saktë e TVSH-së.</w:t>
      </w:r>
    </w:p>
    <w:p w:rsidR="007B521A" w:rsidRPr="009C7A30" w:rsidRDefault="007B521A" w:rsidP="007B521A">
      <w:pPr>
        <w:shd w:val="clear" w:color="auto" w:fill="FFFFFF"/>
        <w:spacing w:before="120" w:after="120" w:line="240" w:lineRule="auto"/>
        <w:ind w:left="540"/>
        <w:jc w:val="both"/>
        <w:rPr>
          <w:rFonts w:ascii="Times New Roman" w:eastAsia="Times New Roman" w:hAnsi="Times New Roman" w:cs="Times New Roman"/>
          <w:color w:val="000000" w:themeColor="text1"/>
          <w:sz w:val="24"/>
          <w:szCs w:val="24"/>
        </w:rPr>
      </w:pPr>
    </w:p>
    <w:p w:rsidR="007B521A" w:rsidRPr="009C7A30" w:rsidRDefault="007B521A" w:rsidP="00D330E5">
      <w:pPr>
        <w:spacing w:after="0" w:line="260" w:lineRule="exact"/>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Neni 7</w:t>
      </w:r>
    </w:p>
    <w:p w:rsidR="007B521A" w:rsidRPr="009C7A30" w:rsidRDefault="007B521A" w:rsidP="00D330E5">
      <w:pPr>
        <w:spacing w:after="0" w:line="260" w:lineRule="exact"/>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Periudhat e raportimit</w:t>
      </w:r>
    </w:p>
    <w:p w:rsidR="00D330E5" w:rsidRPr="009C7A30" w:rsidRDefault="00D330E5" w:rsidP="00D330E5">
      <w:pPr>
        <w:spacing w:after="0" w:line="260" w:lineRule="exact"/>
        <w:jc w:val="center"/>
        <w:rPr>
          <w:rFonts w:ascii="Times New Roman" w:eastAsia="MS Mincho" w:hAnsi="Times New Roman" w:cs="Times New Roman"/>
          <w:b/>
          <w:bCs/>
          <w:color w:val="000000" w:themeColor="text1"/>
          <w:sz w:val="24"/>
          <w:szCs w:val="24"/>
        </w:rPr>
      </w:pPr>
    </w:p>
    <w:p w:rsidR="007B521A" w:rsidRPr="009C7A30" w:rsidRDefault="007B521A" w:rsidP="007B521A">
      <w:pPr>
        <w:numPr>
          <w:ilvl w:val="1"/>
          <w:numId w:val="16"/>
        </w:numPr>
        <w:shd w:val="clear" w:color="auto" w:fill="FFFFFF"/>
        <w:spacing w:before="120" w:after="120" w:line="240" w:lineRule="auto"/>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Periudha e raportimit sipas skemës së veçantë është tremujori kalendarik. Çdo periudhë deklarimi sipas kuptimit të nenit 6 konsiderohet periudhë e veçantë e deklarimit.</w:t>
      </w:r>
    </w:p>
    <w:p w:rsidR="007B521A" w:rsidRPr="009C7A30" w:rsidRDefault="007B521A" w:rsidP="007B521A">
      <w:pPr>
        <w:numPr>
          <w:ilvl w:val="1"/>
          <w:numId w:val="16"/>
        </w:numPr>
        <w:shd w:val="clear" w:color="auto" w:fill="FFFFFF"/>
        <w:spacing w:before="120" w:after="120" w:line="240" w:lineRule="auto"/>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Në rastet kur, në përputhje me  paragrafin 5, të nenit 5, skema zbatohet nga data e furnizimit të parë, personi i tatueshëm duhet të paraqesë një deklaratë të veçantë të TVSH-së për tremujorin kalendarik gjatë të cilit është kryer furnizimi i parë.</w:t>
      </w:r>
    </w:p>
    <w:p w:rsidR="007B521A" w:rsidRPr="009C7A30" w:rsidRDefault="007B521A" w:rsidP="007B521A">
      <w:pPr>
        <w:shd w:val="clear" w:color="auto" w:fill="FFFFFF"/>
        <w:spacing w:before="120" w:after="120" w:line="240" w:lineRule="auto"/>
        <w:ind w:left="360"/>
        <w:jc w:val="both"/>
        <w:rPr>
          <w:rFonts w:ascii="Times New Roman" w:eastAsia="Times New Roman" w:hAnsi="Times New Roman" w:cs="Times New Roman"/>
          <w:color w:val="000000" w:themeColor="text1"/>
          <w:sz w:val="24"/>
          <w:szCs w:val="24"/>
        </w:rPr>
      </w:pPr>
    </w:p>
    <w:p w:rsidR="007B521A" w:rsidRPr="009C7A30" w:rsidRDefault="007B521A" w:rsidP="007B521A">
      <w:pPr>
        <w:spacing w:after="260" w:line="260" w:lineRule="exact"/>
        <w:jc w:val="center"/>
        <w:rPr>
          <w:rFonts w:ascii="Times New Roman" w:eastAsia="MS Mincho" w:hAnsi="Times New Roman" w:cs="Times New Roman"/>
          <w:b/>
          <w:bCs/>
          <w:color w:val="000000" w:themeColor="text1"/>
          <w:sz w:val="24"/>
          <w:szCs w:val="24"/>
        </w:rPr>
      </w:pPr>
    </w:p>
    <w:p w:rsidR="007B521A" w:rsidRPr="009C7A30" w:rsidRDefault="007B521A" w:rsidP="00D330E5">
      <w:pPr>
        <w:spacing w:after="0" w:line="260" w:lineRule="exact"/>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Neni 8</w:t>
      </w:r>
    </w:p>
    <w:p w:rsidR="007B521A" w:rsidRPr="009C7A30" w:rsidRDefault="007B521A" w:rsidP="00D330E5">
      <w:pPr>
        <w:spacing w:after="0" w:line="260" w:lineRule="exact"/>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Rikujtuesit për deklaratën e TVSH-së</w:t>
      </w:r>
    </w:p>
    <w:p w:rsidR="00D330E5" w:rsidRPr="009C7A30" w:rsidRDefault="00D330E5" w:rsidP="00D330E5">
      <w:pPr>
        <w:spacing w:after="0" w:line="260" w:lineRule="exact"/>
        <w:jc w:val="center"/>
        <w:rPr>
          <w:rFonts w:ascii="Times New Roman" w:eastAsia="MS Mincho" w:hAnsi="Times New Roman" w:cs="Times New Roman"/>
          <w:b/>
          <w:bCs/>
          <w:color w:val="000000" w:themeColor="text1"/>
          <w:sz w:val="24"/>
          <w:szCs w:val="24"/>
        </w:rPr>
      </w:pPr>
    </w:p>
    <w:p w:rsidR="007B521A" w:rsidRPr="009C7A30" w:rsidRDefault="007B521A" w:rsidP="007B521A">
      <w:pPr>
        <w:shd w:val="clear" w:color="auto" w:fill="FFFFFF"/>
        <w:spacing w:after="260" w:line="260" w:lineRule="exact"/>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1. ATK-ja rikujton me anë të mjeteve elektronike personat e tatueshëm të cilët nuk kanë dorëzuar deklaratën e TVSH-së sipas nenit 6, për obligimin e tyre për të dorëzuar një deklaratë të tillë. ATK-ja duhet të lëshojë rikujtuesen në ditën e dhjetë pas ditës në të cilën është dashur të dorëzohet deklarata.</w:t>
      </w:r>
    </w:p>
    <w:p w:rsidR="007B521A" w:rsidRPr="009C7A30" w:rsidRDefault="007B521A" w:rsidP="007B521A">
      <w:pPr>
        <w:shd w:val="clear" w:color="auto" w:fill="FFFFFF"/>
        <w:spacing w:after="260" w:line="260" w:lineRule="exact"/>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 xml:space="preserve">2. Në rast se personat e tatueshëm nuk dorëzojnë deklaratën e TVSH-së brenda afateve të përcaktuara me këtë udhëzim, </w:t>
      </w:r>
      <w:r w:rsidRPr="009C7A30">
        <w:rPr>
          <w:rFonts w:ascii="Times New Roman" w:eastAsia="MS Mincho" w:hAnsi="Times New Roman" w:cs="Times New Roman"/>
          <w:color w:val="000000" w:themeColor="text1"/>
          <w:sz w:val="24"/>
          <w:szCs w:val="24"/>
        </w:rPr>
        <w:t>aplikohen interesat dhe ndëshkimet administrative të parapara sipas Legjislacionit tatimor.</w:t>
      </w:r>
    </w:p>
    <w:p w:rsidR="007B521A" w:rsidRPr="009C7A30" w:rsidRDefault="007B521A" w:rsidP="00D330E5">
      <w:pPr>
        <w:spacing w:after="0" w:line="260" w:lineRule="exact"/>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Neni 9</w:t>
      </w:r>
    </w:p>
    <w:p w:rsidR="007B521A" w:rsidRPr="009C7A30" w:rsidRDefault="007B521A" w:rsidP="00D330E5">
      <w:pPr>
        <w:spacing w:after="0" w:line="260" w:lineRule="exact"/>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Deklarata e TVSH-së në rast çregjistrimi / përjashtimi</w:t>
      </w:r>
    </w:p>
    <w:p w:rsidR="00D330E5" w:rsidRPr="009C7A30" w:rsidRDefault="00D330E5" w:rsidP="00D330E5">
      <w:pPr>
        <w:spacing w:after="0" w:line="260" w:lineRule="exact"/>
        <w:jc w:val="center"/>
        <w:rPr>
          <w:rFonts w:ascii="Times New Roman" w:eastAsia="MS Mincho" w:hAnsi="Times New Roman" w:cs="Times New Roman"/>
          <w:b/>
          <w:bCs/>
          <w:color w:val="000000" w:themeColor="text1"/>
          <w:sz w:val="24"/>
          <w:szCs w:val="24"/>
        </w:rPr>
      </w:pPr>
    </w:p>
    <w:p w:rsidR="007B521A" w:rsidRPr="009C7A30" w:rsidRDefault="007B521A" w:rsidP="007B521A">
      <w:pPr>
        <w:shd w:val="clear" w:color="auto" w:fill="FFFFFF"/>
        <w:spacing w:after="260" w:line="260" w:lineRule="exact"/>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1. Një person i tatueshëm duhet të dorëzojë deklaratën e tij përfundimtare të TVSH-së dhe çdo dorëzim të vonuar të deklaratave të mëparshme, si dhe pagesat përkatëse në ATK, në kohën e ndërprerjes ose përjashtimit kur:</w:t>
      </w:r>
    </w:p>
    <w:p w:rsidR="007B521A" w:rsidRPr="009C7A30" w:rsidRDefault="007B521A" w:rsidP="009B28D4">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1.1. ai ndalon së përdoruri skemën e veçantë;</w:t>
      </w:r>
    </w:p>
    <w:p w:rsidR="00E200FF" w:rsidRPr="009C7A30" w:rsidRDefault="007B521A" w:rsidP="009E29D9">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1.2. ai është i përjashtuar nga skema e veçantë.</w:t>
      </w:r>
    </w:p>
    <w:p w:rsidR="00E200FF" w:rsidRPr="009C7A30" w:rsidRDefault="00E200FF" w:rsidP="00E17523">
      <w:pPr>
        <w:shd w:val="clear" w:color="auto" w:fill="FFFFFF"/>
        <w:spacing w:before="120" w:after="120" w:line="240" w:lineRule="auto"/>
        <w:jc w:val="both"/>
        <w:rPr>
          <w:rFonts w:ascii="Times New Roman" w:eastAsia="Times New Roman" w:hAnsi="Times New Roman" w:cs="Times New Roman"/>
          <w:color w:val="000000" w:themeColor="text1"/>
          <w:sz w:val="24"/>
          <w:szCs w:val="24"/>
        </w:rPr>
      </w:pPr>
    </w:p>
    <w:p w:rsidR="007B521A" w:rsidRPr="009C7A30" w:rsidRDefault="007B521A" w:rsidP="00D330E5">
      <w:pPr>
        <w:spacing w:after="0" w:line="240" w:lineRule="auto"/>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Neni 10</w:t>
      </w:r>
    </w:p>
    <w:p w:rsidR="007B521A" w:rsidRPr="009C7A30" w:rsidRDefault="007B521A" w:rsidP="00D330E5">
      <w:pPr>
        <w:spacing w:after="0" w:line="240" w:lineRule="auto"/>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Pagesat e TVSH-së</w:t>
      </w:r>
    </w:p>
    <w:p w:rsidR="00D330E5" w:rsidRPr="009C7A30" w:rsidRDefault="00D330E5" w:rsidP="00D330E5">
      <w:pPr>
        <w:spacing w:before="120" w:after="0" w:line="240" w:lineRule="auto"/>
        <w:jc w:val="center"/>
        <w:rPr>
          <w:rFonts w:ascii="Times New Roman" w:eastAsia="MS Mincho" w:hAnsi="Times New Roman" w:cs="Times New Roman"/>
          <w:b/>
          <w:bCs/>
          <w:color w:val="000000" w:themeColor="text1"/>
          <w:sz w:val="24"/>
          <w:szCs w:val="24"/>
        </w:rPr>
      </w:pPr>
    </w:p>
    <w:p w:rsidR="007B521A" w:rsidRPr="009C7A30" w:rsidRDefault="007B521A" w:rsidP="00E17523">
      <w:pPr>
        <w:numPr>
          <w:ilvl w:val="0"/>
          <w:numId w:val="23"/>
        </w:numPr>
        <w:shd w:val="clear" w:color="auto" w:fill="FFFFFF"/>
        <w:spacing w:before="120" w:after="120" w:line="240" w:lineRule="auto"/>
        <w:ind w:left="360"/>
        <w:contextualSpacing/>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Personi i tatueshëm që nuk është i vendosur në Kosovë duhet të paguaj TVSH-në, duke iu referuar deklaratës përkatëse të TVSH-së, me rastin e dorëzimit të deklaratës së TVSH-së por jo më vonë se deri në skadimin e afatit në të cilin duhet të dorëzohet deklarata.</w:t>
      </w:r>
    </w:p>
    <w:p w:rsidR="007B521A" w:rsidRPr="009C7A30" w:rsidRDefault="007B521A" w:rsidP="007B521A">
      <w:pPr>
        <w:shd w:val="clear" w:color="auto" w:fill="FFFFFF"/>
        <w:spacing w:before="120" w:after="120" w:line="240" w:lineRule="auto"/>
        <w:ind w:left="720"/>
        <w:contextualSpacing/>
        <w:jc w:val="both"/>
        <w:rPr>
          <w:rFonts w:ascii="Times New Roman" w:eastAsia="Times New Roman" w:hAnsi="Times New Roman" w:cs="Times New Roman"/>
          <w:color w:val="000000" w:themeColor="text1"/>
          <w:sz w:val="24"/>
          <w:szCs w:val="24"/>
        </w:rPr>
      </w:pPr>
    </w:p>
    <w:p w:rsidR="007B521A" w:rsidRPr="009C7A30" w:rsidRDefault="007B521A" w:rsidP="00E17523">
      <w:pPr>
        <w:numPr>
          <w:ilvl w:val="0"/>
          <w:numId w:val="23"/>
        </w:numPr>
        <w:shd w:val="clear" w:color="auto" w:fill="FFFFFF"/>
        <w:spacing w:before="120" w:after="120" w:line="240" w:lineRule="auto"/>
        <w:ind w:left="360"/>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lastRenderedPageBreak/>
        <w:t>Pagesa duhet të bëhet në një llogari bankare të përcaktuar në euro.</w:t>
      </w:r>
    </w:p>
    <w:p w:rsidR="007B521A" w:rsidRPr="009C7A30" w:rsidRDefault="007B521A" w:rsidP="00E17523">
      <w:pPr>
        <w:numPr>
          <w:ilvl w:val="0"/>
          <w:numId w:val="23"/>
        </w:numPr>
        <w:shd w:val="clear" w:color="auto" w:fill="FFFFFF"/>
        <w:spacing w:before="120" w:after="120" w:line="240" w:lineRule="auto"/>
        <w:ind w:left="360"/>
        <w:jc w:val="both"/>
        <w:rPr>
          <w:rFonts w:ascii="Times New Roman" w:eastAsia="Times New Roman"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Çdo rregullim i mëpasshëm i shumave të paguara duhet të kryhet nga personi i tatueshëm vetëm duke iu referuar asaj deklarate dhe nuk mund t’i </w:t>
      </w:r>
      <w:proofErr w:type="spellStart"/>
      <w:r w:rsidRPr="009C7A30">
        <w:rPr>
          <w:rFonts w:ascii="Times New Roman" w:eastAsia="Calibri" w:hAnsi="Times New Roman" w:cs="Times New Roman"/>
          <w:color w:val="000000" w:themeColor="text1"/>
          <w:sz w:val="24"/>
          <w:szCs w:val="24"/>
        </w:rPr>
        <w:t>alokohet</w:t>
      </w:r>
      <w:proofErr w:type="spellEnd"/>
      <w:r w:rsidRPr="009C7A30">
        <w:rPr>
          <w:rFonts w:ascii="Times New Roman" w:eastAsia="Calibri" w:hAnsi="Times New Roman" w:cs="Times New Roman"/>
          <w:color w:val="000000" w:themeColor="text1"/>
          <w:sz w:val="24"/>
          <w:szCs w:val="24"/>
        </w:rPr>
        <w:t xml:space="preserve"> një deklarate tjetër dhe as të rregullohet në një deklaratë pasuese. Çdo pagesë i referohet numrit referues të asaj deklarate specifike.</w:t>
      </w:r>
    </w:p>
    <w:p w:rsidR="007B521A" w:rsidRPr="009C7A30" w:rsidRDefault="007B521A" w:rsidP="00E17523">
      <w:pPr>
        <w:numPr>
          <w:ilvl w:val="0"/>
          <w:numId w:val="23"/>
        </w:numPr>
        <w:shd w:val="clear" w:color="auto" w:fill="FFFFFF"/>
        <w:spacing w:before="120" w:after="120" w:line="240" w:lineRule="auto"/>
        <w:ind w:left="360"/>
        <w:jc w:val="both"/>
        <w:rPr>
          <w:rFonts w:ascii="Times New Roman" w:eastAsia="Times New Roman"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Kur ATK-ja merr një pagesë më të madhe se ajo që rezulton nga deklarata e TVSH-së e dorëzuar sipas nenit 8, e njëjta duhet t’ia rimburson shumën e mbi paguar drejtpërdrejt personit të  tatueshëm në fjalë.</w:t>
      </w:r>
    </w:p>
    <w:p w:rsidR="007B521A" w:rsidRPr="009C7A30" w:rsidRDefault="007B521A" w:rsidP="007B521A">
      <w:pPr>
        <w:spacing w:before="120" w:after="120" w:line="240" w:lineRule="auto"/>
        <w:jc w:val="center"/>
        <w:rPr>
          <w:rFonts w:ascii="Times New Roman" w:eastAsia="MS Mincho" w:hAnsi="Times New Roman" w:cs="Times New Roman"/>
          <w:b/>
          <w:bCs/>
          <w:color w:val="000000" w:themeColor="text1"/>
          <w:sz w:val="24"/>
          <w:szCs w:val="24"/>
        </w:rPr>
      </w:pPr>
    </w:p>
    <w:p w:rsidR="007B521A" w:rsidRPr="009C7A30" w:rsidRDefault="007B521A" w:rsidP="00D330E5">
      <w:pPr>
        <w:spacing w:after="0" w:line="240" w:lineRule="auto"/>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Neni 11</w:t>
      </w:r>
    </w:p>
    <w:p w:rsidR="007B521A" w:rsidRPr="009C7A30" w:rsidRDefault="007B521A" w:rsidP="00D330E5">
      <w:pPr>
        <w:spacing w:after="0" w:line="240" w:lineRule="auto"/>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Rikujtuesit për pagesat e TVSH-së</w:t>
      </w:r>
    </w:p>
    <w:p w:rsidR="00D330E5" w:rsidRPr="009C7A30" w:rsidRDefault="00D330E5" w:rsidP="00D330E5">
      <w:pPr>
        <w:spacing w:after="0" w:line="240" w:lineRule="auto"/>
        <w:jc w:val="center"/>
        <w:rPr>
          <w:rFonts w:ascii="Times New Roman" w:eastAsia="MS Mincho" w:hAnsi="Times New Roman" w:cs="Times New Roman"/>
          <w:b/>
          <w:bCs/>
          <w:color w:val="000000" w:themeColor="text1"/>
          <w:sz w:val="24"/>
          <w:szCs w:val="24"/>
        </w:rPr>
      </w:pPr>
    </w:p>
    <w:p w:rsidR="007B521A" w:rsidRPr="009C7A30" w:rsidRDefault="007B521A" w:rsidP="007B521A">
      <w:pPr>
        <w:shd w:val="clear" w:color="auto" w:fill="FFFFFF"/>
        <w:spacing w:after="260" w:line="260" w:lineRule="exact"/>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 xml:space="preserve">1. Kur një person i tatueshëm ka dorëzuar deklaratën e TVSH-së sipas nenit 6, por nuk është bërë asnjë pagesë, ose pagesa është më e vogël se ajo që rezulton nga deklarata, ATK-ja duhet me anë të mjeteve elektronike, në ditën e dhjetë pas ditës së fundit në të cilën duhej të bëhej pagesa në përputhje me nenin 10, i rikujtojnë personit të tatueshëm çdo pagesë të papaguar të TVSH-së. </w:t>
      </w:r>
    </w:p>
    <w:p w:rsidR="007B521A" w:rsidRPr="009C7A30" w:rsidRDefault="007B521A" w:rsidP="007B521A">
      <w:pPr>
        <w:shd w:val="clear" w:color="auto" w:fill="FFFFFF"/>
        <w:spacing w:after="260" w:line="260" w:lineRule="exact"/>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 xml:space="preserve">2. Për vonesat e dorëzimit të deklaratës së TVSH-së, </w:t>
      </w:r>
      <w:r w:rsidR="00E200FF" w:rsidRPr="009C7A30">
        <w:rPr>
          <w:rFonts w:ascii="Times New Roman" w:eastAsia="Times New Roman" w:hAnsi="Times New Roman" w:cs="Times New Roman"/>
          <w:color w:val="000000" w:themeColor="text1"/>
          <w:sz w:val="24"/>
          <w:szCs w:val="24"/>
        </w:rPr>
        <w:t>mos pagesave</w:t>
      </w:r>
      <w:r w:rsidRPr="009C7A30">
        <w:rPr>
          <w:rFonts w:ascii="Times New Roman" w:eastAsia="Times New Roman" w:hAnsi="Times New Roman" w:cs="Times New Roman"/>
          <w:color w:val="000000" w:themeColor="text1"/>
          <w:sz w:val="24"/>
          <w:szCs w:val="24"/>
        </w:rPr>
        <w:t xml:space="preserve"> apo pagesave jo të plota që rezultojnë nga deklarata e TVSH-së sipas afateve të përcaktuara me këtë Udhëzim</w:t>
      </w:r>
      <w:r w:rsidR="00EA258D" w:rsidRPr="009C7A30">
        <w:rPr>
          <w:rFonts w:ascii="Times New Roman" w:hAnsi="Times New Roman" w:cs="Times New Roman"/>
          <w:color w:val="000000" w:themeColor="text1"/>
          <w:sz w:val="24"/>
          <w:szCs w:val="24"/>
        </w:rPr>
        <w:t xml:space="preserve"> Administrativ</w:t>
      </w:r>
      <w:r w:rsidR="00EA258D" w:rsidRPr="009C7A30">
        <w:rPr>
          <w:rFonts w:ascii="Times New Roman" w:eastAsia="Times New Roman" w:hAnsi="Times New Roman" w:cs="Times New Roman"/>
          <w:color w:val="000000" w:themeColor="text1"/>
          <w:sz w:val="24"/>
          <w:szCs w:val="24"/>
        </w:rPr>
        <w:t xml:space="preserve">  </w:t>
      </w:r>
      <w:r w:rsidRPr="009C7A30">
        <w:rPr>
          <w:rFonts w:ascii="Times New Roman" w:eastAsia="Times New Roman" w:hAnsi="Times New Roman" w:cs="Times New Roman"/>
          <w:color w:val="000000" w:themeColor="text1"/>
          <w:sz w:val="24"/>
          <w:szCs w:val="24"/>
        </w:rPr>
        <w:t xml:space="preserve">, aplikohen </w:t>
      </w:r>
      <w:proofErr w:type="spellStart"/>
      <w:r w:rsidRPr="009C7A30">
        <w:rPr>
          <w:rFonts w:ascii="Times New Roman" w:eastAsia="Times New Roman" w:hAnsi="Times New Roman" w:cs="Times New Roman"/>
          <w:color w:val="000000" w:themeColor="text1"/>
          <w:sz w:val="24"/>
          <w:szCs w:val="24"/>
        </w:rPr>
        <w:t>intereset</w:t>
      </w:r>
      <w:proofErr w:type="spellEnd"/>
      <w:r w:rsidRPr="009C7A30">
        <w:rPr>
          <w:rFonts w:ascii="Times New Roman" w:eastAsia="Times New Roman" w:hAnsi="Times New Roman" w:cs="Times New Roman"/>
          <w:color w:val="000000" w:themeColor="text1"/>
          <w:sz w:val="24"/>
          <w:szCs w:val="24"/>
        </w:rPr>
        <w:t xml:space="preserve"> dhe ndëshkimet administrative të parapara sipas Legjislacionit tatimor.</w:t>
      </w:r>
    </w:p>
    <w:p w:rsidR="007B521A" w:rsidRPr="009C7A30" w:rsidRDefault="007B521A" w:rsidP="00D330E5">
      <w:pPr>
        <w:spacing w:after="0" w:line="240" w:lineRule="auto"/>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Neni 12</w:t>
      </w:r>
    </w:p>
    <w:p w:rsidR="007B521A" w:rsidRPr="009C7A30" w:rsidRDefault="007B521A" w:rsidP="00D330E5">
      <w:pPr>
        <w:spacing w:after="0" w:line="240" w:lineRule="auto"/>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Zbritja e TVSH-së</w:t>
      </w:r>
    </w:p>
    <w:p w:rsidR="00D330E5" w:rsidRPr="009C7A30" w:rsidRDefault="00D330E5" w:rsidP="00D330E5">
      <w:pPr>
        <w:spacing w:after="0" w:line="240" w:lineRule="auto"/>
        <w:jc w:val="center"/>
        <w:rPr>
          <w:rFonts w:ascii="Times New Roman" w:eastAsia="MS Mincho" w:hAnsi="Times New Roman" w:cs="Times New Roman"/>
          <w:b/>
          <w:bCs/>
          <w:color w:val="000000" w:themeColor="text1"/>
          <w:sz w:val="24"/>
          <w:szCs w:val="24"/>
        </w:rPr>
      </w:pPr>
    </w:p>
    <w:p w:rsidR="00D330E5" w:rsidRPr="009C7A30" w:rsidRDefault="007B521A" w:rsidP="00D330E5">
      <w:pPr>
        <w:shd w:val="clear" w:color="auto" w:fill="FFFFFF"/>
        <w:spacing w:after="260" w:line="260" w:lineRule="exact"/>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Personi i tatueshëm që nuk është i vendosur në Kosovë, i cili përdorë këtë skemë të veçantë, nuk mund ta zbresë TVSH-në sipas nenit 36 të Ligjit.</w:t>
      </w:r>
    </w:p>
    <w:p w:rsidR="007B521A" w:rsidRPr="009C7A30" w:rsidRDefault="007B521A" w:rsidP="00D330E5">
      <w:pPr>
        <w:spacing w:after="0" w:line="260" w:lineRule="exact"/>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noProof/>
          <w:color w:val="000000" w:themeColor="text1"/>
          <w:sz w:val="24"/>
          <w:szCs w:val="24"/>
        </w:rPr>
        <w:t>Neni</w:t>
      </w:r>
      <w:r w:rsidRPr="009C7A30">
        <w:rPr>
          <w:rFonts w:ascii="Times New Roman" w:eastAsia="MS Mincho" w:hAnsi="Times New Roman" w:cs="Times New Roman"/>
          <w:b/>
          <w:bCs/>
          <w:color w:val="000000" w:themeColor="text1"/>
          <w:sz w:val="24"/>
          <w:szCs w:val="24"/>
        </w:rPr>
        <w:t xml:space="preserve"> 13</w:t>
      </w:r>
    </w:p>
    <w:p w:rsidR="007B521A" w:rsidRPr="009C7A30" w:rsidRDefault="007B521A" w:rsidP="00D330E5">
      <w:pPr>
        <w:spacing w:after="0" w:line="260" w:lineRule="exact"/>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 xml:space="preserve">Shënimet </w:t>
      </w:r>
    </w:p>
    <w:p w:rsidR="00D330E5" w:rsidRPr="009C7A30" w:rsidRDefault="00D330E5" w:rsidP="00D330E5">
      <w:pPr>
        <w:spacing w:after="0" w:line="260" w:lineRule="exact"/>
        <w:jc w:val="center"/>
        <w:rPr>
          <w:rFonts w:ascii="Times New Roman" w:eastAsia="MS Mincho" w:hAnsi="Times New Roman" w:cs="Times New Roman"/>
          <w:b/>
          <w:bCs/>
          <w:color w:val="000000" w:themeColor="text1"/>
          <w:sz w:val="24"/>
          <w:szCs w:val="24"/>
        </w:rPr>
      </w:pPr>
    </w:p>
    <w:p w:rsidR="007B521A" w:rsidRPr="009C7A30" w:rsidRDefault="007B521A" w:rsidP="00D330E5">
      <w:pPr>
        <w:numPr>
          <w:ilvl w:val="1"/>
          <w:numId w:val="15"/>
        </w:numPr>
        <w:shd w:val="clear" w:color="auto" w:fill="FFFFFF"/>
        <w:spacing w:before="120" w:after="120" w:line="240" w:lineRule="auto"/>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Personi i tatueshëm që nuk është i vendosur në Kosovë duhet të mbajë shënime për transaksionet e mbuluara nga kjo skemë e veçantë. Këto shënime duhet të jenë mjaftueshëm të detajuara për t'i mundësuar ATK-së të verifikojë nëse deklarata e TVSH-së është e saktë.</w:t>
      </w:r>
    </w:p>
    <w:p w:rsidR="007B521A" w:rsidRPr="009C7A30" w:rsidRDefault="007B521A" w:rsidP="007B521A">
      <w:pPr>
        <w:numPr>
          <w:ilvl w:val="1"/>
          <w:numId w:val="15"/>
        </w:numPr>
        <w:shd w:val="clear" w:color="auto" w:fill="FFFFFF"/>
        <w:spacing w:before="120" w:after="120" w:line="240" w:lineRule="auto"/>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Shënimet e përmendura në paragrafin 1</w:t>
      </w:r>
      <w:r w:rsidR="00E200FF" w:rsidRPr="009C7A30">
        <w:rPr>
          <w:rFonts w:ascii="Times New Roman" w:eastAsia="Times New Roman" w:hAnsi="Times New Roman" w:cs="Times New Roman"/>
          <w:color w:val="000000" w:themeColor="text1"/>
          <w:sz w:val="24"/>
          <w:szCs w:val="24"/>
        </w:rPr>
        <w:t xml:space="preserve"> të këtij neni </w:t>
      </w:r>
      <w:r w:rsidRPr="009C7A30">
        <w:rPr>
          <w:rFonts w:ascii="Times New Roman" w:eastAsia="Times New Roman" w:hAnsi="Times New Roman" w:cs="Times New Roman"/>
          <w:color w:val="000000" w:themeColor="text1"/>
          <w:sz w:val="24"/>
          <w:szCs w:val="24"/>
        </w:rPr>
        <w:t xml:space="preserve"> duhet t’i vihen në dispozicion ATK-së në mënyrë elektronike, sipas kërkesës. Këto shënime duhet të mbahen për një periudhë prej 10 (dhjetë) viteve nga fundi i vitit gjatë të cilit është kryer transaksioni.</w:t>
      </w:r>
    </w:p>
    <w:p w:rsidR="007B521A" w:rsidRPr="009C7A30" w:rsidRDefault="007B521A" w:rsidP="007B521A">
      <w:pPr>
        <w:numPr>
          <w:ilvl w:val="1"/>
          <w:numId w:val="15"/>
        </w:numPr>
        <w:shd w:val="clear" w:color="auto" w:fill="FFFFFF"/>
        <w:spacing w:before="120" w:after="120" w:line="240" w:lineRule="auto"/>
        <w:rPr>
          <w:rFonts w:ascii="Times New Roman" w:eastAsia="Times New Roman" w:hAnsi="Times New Roman" w:cs="Times New Roman"/>
          <w:i/>
          <w:iCs/>
          <w:color w:val="000000" w:themeColor="text1"/>
          <w:sz w:val="24"/>
          <w:szCs w:val="24"/>
        </w:rPr>
      </w:pPr>
      <w:r w:rsidRPr="009C7A30">
        <w:rPr>
          <w:rFonts w:ascii="Times New Roman" w:eastAsia="Times New Roman" w:hAnsi="Times New Roman" w:cs="Times New Roman"/>
          <w:color w:val="000000" w:themeColor="text1"/>
          <w:sz w:val="24"/>
          <w:szCs w:val="24"/>
        </w:rPr>
        <w:t>Në mënyrë që të konsiderohen si mjaftueshëm të detajuara sipas kuptimit të këtij neni, shënimet e mbajtura nga personi i tatueshëm duhet të përmbajnë informacionin e mëposhtëm:</w:t>
      </w:r>
    </w:p>
    <w:p w:rsidR="007B521A" w:rsidRPr="009C7A30" w:rsidRDefault="007B521A" w:rsidP="009B28D4">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3.1. llojin e shërbimeve të furnizuara;</w:t>
      </w:r>
    </w:p>
    <w:p w:rsidR="007B521A" w:rsidRPr="009C7A30" w:rsidRDefault="007B521A" w:rsidP="009B28D4">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3.2. datën e furnizimit të shërbimeve;</w:t>
      </w:r>
    </w:p>
    <w:p w:rsidR="007B521A" w:rsidRPr="009C7A30" w:rsidRDefault="007B521A" w:rsidP="009B28D4">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3.3. shumën e tatueshme që tregon valutën e përdorur;</w:t>
      </w:r>
    </w:p>
    <w:p w:rsidR="007B521A" w:rsidRPr="009C7A30" w:rsidRDefault="007B521A" w:rsidP="009B28D4">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3.4. çdo rritje ose ulje të mëvonshme të shumës së tatueshme;</w:t>
      </w:r>
    </w:p>
    <w:p w:rsidR="007B521A" w:rsidRPr="009C7A30" w:rsidRDefault="007B521A" w:rsidP="009B28D4">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lastRenderedPageBreak/>
        <w:t>3.5. normën e TVSH-së të aplikuar;</w:t>
      </w:r>
    </w:p>
    <w:p w:rsidR="007B521A" w:rsidRPr="009C7A30" w:rsidRDefault="007B521A" w:rsidP="009B28D4">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3.6. shumën e TVSH-së së pagueshme duke treguar valutën e përdorur;</w:t>
      </w:r>
    </w:p>
    <w:p w:rsidR="007B521A" w:rsidRPr="009C7A30" w:rsidRDefault="007B521A" w:rsidP="009B28D4">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3.7. datën dhe shumën e pagesave të pranuara;</w:t>
      </w:r>
    </w:p>
    <w:p w:rsidR="007B521A" w:rsidRPr="009C7A30" w:rsidRDefault="007B521A" w:rsidP="009B28D4">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3.8. çdo pagesë në llogari të pranuar para furnizimit të shërbimeve;</w:t>
      </w:r>
    </w:p>
    <w:p w:rsidR="007B521A" w:rsidRPr="009C7A30" w:rsidRDefault="007B521A" w:rsidP="009B28D4">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3.9. kur lëshohet një faturë, informacionin që përmban fatura;</w:t>
      </w:r>
    </w:p>
    <w:p w:rsidR="007B521A" w:rsidRPr="009C7A30" w:rsidRDefault="007B521A" w:rsidP="009B28D4">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3.10. informacionin e përdorur për të përcaktuar vendin ku është i vendosur klienti ose ka adresën e tij të përhershme ose banon zakonisht;</w:t>
      </w:r>
    </w:p>
    <w:p w:rsidR="007B521A" w:rsidRPr="009C7A30" w:rsidRDefault="007B521A" w:rsidP="007B521A">
      <w:pPr>
        <w:numPr>
          <w:ilvl w:val="1"/>
          <w:numId w:val="15"/>
        </w:numPr>
        <w:shd w:val="clear" w:color="auto" w:fill="FFFFFF"/>
        <w:spacing w:before="120" w:after="120" w:line="240" w:lineRule="auto"/>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 xml:space="preserve">Informacioni i përmendur në paragrafin 3 </w:t>
      </w:r>
      <w:r w:rsidR="003C41EB" w:rsidRPr="009C7A30">
        <w:rPr>
          <w:rFonts w:ascii="Times New Roman" w:eastAsia="Times New Roman" w:hAnsi="Times New Roman" w:cs="Times New Roman"/>
          <w:color w:val="000000" w:themeColor="text1"/>
          <w:sz w:val="24"/>
          <w:szCs w:val="24"/>
        </w:rPr>
        <w:t xml:space="preserve">të këtij neni </w:t>
      </w:r>
      <w:r w:rsidRPr="009C7A30">
        <w:rPr>
          <w:rFonts w:ascii="Times New Roman" w:eastAsia="Times New Roman" w:hAnsi="Times New Roman" w:cs="Times New Roman"/>
          <w:color w:val="000000" w:themeColor="text1"/>
          <w:sz w:val="24"/>
          <w:szCs w:val="24"/>
        </w:rPr>
        <w:t>duhet të regjistrohet nga personi i tatueshëm në mënyrë të tillë që të mund të vihet në dispozicion me anë të mjeteve elektronike pa vonesë dhe në lidhje me çdo shërbim individual të furnizuar.</w:t>
      </w:r>
    </w:p>
    <w:p w:rsidR="007B521A" w:rsidRPr="009C7A30" w:rsidRDefault="007B521A" w:rsidP="007B521A">
      <w:pPr>
        <w:numPr>
          <w:ilvl w:val="1"/>
          <w:numId w:val="15"/>
        </w:numPr>
        <w:shd w:val="clear" w:color="auto" w:fill="FFFFFF"/>
        <w:spacing w:before="120" w:after="120" w:line="240" w:lineRule="auto"/>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 xml:space="preserve">Kur një personi të tatueshëm i është kërkuar të dorëzojë shënimet me anë të mjeteve elektronike dhe ai nuk ka arritur t'i dorëzojë ato brenda 20 ditëve nga data e kërkesës, ATK-ja do t'i rikujtojë personit të tatueshëm që t'i dorëzojë ato shënime. </w:t>
      </w:r>
    </w:p>
    <w:p w:rsidR="007B521A" w:rsidRPr="009C7A30" w:rsidRDefault="007B521A" w:rsidP="007B521A">
      <w:pPr>
        <w:numPr>
          <w:ilvl w:val="1"/>
          <w:numId w:val="15"/>
        </w:numPr>
        <w:shd w:val="clear" w:color="auto" w:fill="FFFFFF"/>
        <w:spacing w:before="120" w:after="120" w:line="240" w:lineRule="auto"/>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 xml:space="preserve">Në rast se personi i tatueshëm nuk dorëzon shënimet e kërkuara brenda afateve të përcaktuara me këtë Udhëzim , </w:t>
      </w:r>
      <w:r w:rsidRPr="009C7A30">
        <w:rPr>
          <w:rFonts w:ascii="Times New Roman" w:eastAsia="Calibri" w:hAnsi="Times New Roman" w:cs="Times New Roman"/>
          <w:color w:val="000000" w:themeColor="text1"/>
          <w:sz w:val="24"/>
          <w:szCs w:val="24"/>
        </w:rPr>
        <w:t>aplikohen ndëshkimet administrative të parapara sipas Legjislacionit tatimor.</w:t>
      </w:r>
    </w:p>
    <w:p w:rsidR="007B521A" w:rsidRPr="009C7A30" w:rsidRDefault="007B521A" w:rsidP="007B521A">
      <w:pPr>
        <w:shd w:val="clear" w:color="auto" w:fill="FFFFFF"/>
        <w:spacing w:before="120" w:after="120" w:line="240" w:lineRule="auto"/>
        <w:ind w:left="450"/>
        <w:jc w:val="both"/>
        <w:rPr>
          <w:rFonts w:ascii="Times New Roman" w:eastAsia="Times New Roman" w:hAnsi="Times New Roman" w:cs="Times New Roman"/>
          <w:color w:val="000000" w:themeColor="text1"/>
          <w:sz w:val="24"/>
          <w:szCs w:val="24"/>
        </w:rPr>
      </w:pPr>
    </w:p>
    <w:p w:rsidR="007B521A" w:rsidRPr="009C7A30" w:rsidRDefault="007B521A" w:rsidP="00D330E5">
      <w:pPr>
        <w:spacing w:after="0" w:line="240" w:lineRule="auto"/>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Neni 14</w:t>
      </w:r>
    </w:p>
    <w:p w:rsidR="007B521A" w:rsidRPr="009C7A30" w:rsidRDefault="007B521A" w:rsidP="00D330E5">
      <w:pPr>
        <w:spacing w:after="0" w:line="240" w:lineRule="auto"/>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Detyrime të tjera raportuese</w:t>
      </w:r>
    </w:p>
    <w:p w:rsidR="00D330E5" w:rsidRPr="009C7A30" w:rsidRDefault="00D330E5" w:rsidP="00D330E5">
      <w:pPr>
        <w:spacing w:after="0" w:line="240" w:lineRule="auto"/>
        <w:jc w:val="center"/>
        <w:rPr>
          <w:rFonts w:ascii="Times New Roman" w:eastAsia="MS Mincho" w:hAnsi="Times New Roman" w:cs="Times New Roman"/>
          <w:b/>
          <w:bCs/>
          <w:color w:val="000000" w:themeColor="text1"/>
          <w:sz w:val="24"/>
          <w:szCs w:val="24"/>
        </w:rPr>
      </w:pPr>
    </w:p>
    <w:p w:rsidR="007B521A" w:rsidRPr="009C7A30" w:rsidRDefault="007B521A" w:rsidP="007B521A">
      <w:pPr>
        <w:shd w:val="clear" w:color="auto" w:fill="FFFFFF"/>
        <w:spacing w:before="120" w:after="120" w:line="240" w:lineRule="auto"/>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1. Personi i tatueshëm duhet, jo ​​më vonë se dita e dhjetë e muajit të ardhshëm, të informon ATK-në me anë të mjeteve elektronike për ndonjë nga të mëposhtmet:</w:t>
      </w:r>
    </w:p>
    <w:p w:rsidR="007B521A" w:rsidRPr="009C7A30" w:rsidRDefault="007B521A" w:rsidP="009B28D4">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1.1. ndërprerjen e aktiviteteve të tij të mbuluara nga skema e veçantë;</w:t>
      </w:r>
    </w:p>
    <w:p w:rsidR="007B521A" w:rsidRPr="009C7A30" w:rsidRDefault="007B521A" w:rsidP="009B28D4">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1.2. çdo ndryshim në aktivitetet e tij të mbuluara nga skema e veçantë, ku ai nuk i plotëson më kushtet e nevojshme për përdorimin e kësaj skeme të veçantë;</w:t>
      </w:r>
    </w:p>
    <w:p w:rsidR="007B521A" w:rsidRPr="009C7A30" w:rsidRDefault="007B521A" w:rsidP="009B28D4">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1.3. çdo ndryshim të informacionit të dhënë më parë në ATK.</w:t>
      </w:r>
    </w:p>
    <w:p w:rsidR="00D330E5" w:rsidRPr="009C7A30" w:rsidRDefault="00D330E5" w:rsidP="00EA258D">
      <w:pPr>
        <w:shd w:val="clear" w:color="auto" w:fill="FFFFFF"/>
        <w:spacing w:before="240" w:after="260" w:line="260" w:lineRule="exact"/>
        <w:contextualSpacing/>
        <w:jc w:val="both"/>
        <w:rPr>
          <w:rFonts w:ascii="Times New Roman" w:eastAsia="Times New Roman" w:hAnsi="Times New Roman" w:cs="Times New Roman"/>
          <w:color w:val="000000" w:themeColor="text1"/>
          <w:sz w:val="24"/>
          <w:szCs w:val="24"/>
        </w:rPr>
      </w:pPr>
    </w:p>
    <w:p w:rsidR="00D330E5" w:rsidRPr="009C7A30" w:rsidRDefault="00D330E5" w:rsidP="007B521A">
      <w:pPr>
        <w:shd w:val="clear" w:color="auto" w:fill="FFFFFF"/>
        <w:spacing w:before="240" w:after="260" w:line="260" w:lineRule="exact"/>
        <w:ind w:left="720"/>
        <w:contextualSpacing/>
        <w:jc w:val="both"/>
        <w:rPr>
          <w:rFonts w:ascii="Times New Roman" w:eastAsia="Times New Roman" w:hAnsi="Times New Roman" w:cs="Times New Roman"/>
          <w:color w:val="000000" w:themeColor="text1"/>
          <w:sz w:val="24"/>
          <w:szCs w:val="24"/>
        </w:rPr>
      </w:pPr>
    </w:p>
    <w:p w:rsidR="007B521A" w:rsidRPr="009C7A30" w:rsidRDefault="007B521A" w:rsidP="00D330E5">
      <w:pPr>
        <w:spacing w:after="0" w:line="240" w:lineRule="auto"/>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Neni 15</w:t>
      </w:r>
    </w:p>
    <w:p w:rsidR="00CC0DC8" w:rsidRPr="009C7A30" w:rsidRDefault="007B521A" w:rsidP="00D330E5">
      <w:pPr>
        <w:spacing w:after="0" w:line="240" w:lineRule="auto"/>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Çregjistrimi/përjashtimi</w:t>
      </w:r>
    </w:p>
    <w:p w:rsidR="00CC0DC8" w:rsidRPr="009C7A30" w:rsidRDefault="00CC0DC8" w:rsidP="00CC0DC8">
      <w:pPr>
        <w:spacing w:before="120" w:after="120" w:line="240" w:lineRule="auto"/>
        <w:jc w:val="center"/>
        <w:rPr>
          <w:rFonts w:ascii="Times New Roman" w:eastAsia="MS Mincho" w:hAnsi="Times New Roman" w:cs="Times New Roman"/>
          <w:b/>
          <w:bCs/>
          <w:color w:val="000000" w:themeColor="text1"/>
          <w:sz w:val="24"/>
          <w:szCs w:val="24"/>
        </w:rPr>
      </w:pPr>
    </w:p>
    <w:p w:rsidR="007B521A" w:rsidRPr="009C7A30" w:rsidRDefault="007B521A" w:rsidP="00CC0DC8">
      <w:pPr>
        <w:shd w:val="clear" w:color="auto" w:fill="FFFFFF"/>
        <w:spacing w:before="120" w:after="120" w:line="240" w:lineRule="auto"/>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1. ATK-ja duhet të fshijë personin e tatueshëm që nuk është i vendosur në Kosovë nga regjistri i identifikimit të TVSH-së në rastet si në vijim:</w:t>
      </w:r>
    </w:p>
    <w:p w:rsidR="007B521A" w:rsidRPr="009C7A30" w:rsidRDefault="007B521A" w:rsidP="009B28D4">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1.1. nëse e njofton ATK-në se nuk ofron më shërbime të mbuluara nga kjo skemë e veçantë;</w:t>
      </w:r>
    </w:p>
    <w:p w:rsidR="007B521A" w:rsidRPr="009C7A30" w:rsidRDefault="007B521A" w:rsidP="009B28D4">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1.2. nëse ndryshe mund të supozohet se aktivitetet e tij të tatueshme janë ndërprerë;</w:t>
      </w:r>
    </w:p>
    <w:p w:rsidR="007B521A" w:rsidRPr="009C7A30" w:rsidRDefault="007B521A" w:rsidP="009B28D4">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1.3. nëse nuk i plotëson më kushtet e nevojshme për përdorimin e kësaj skeme të veçantë dhe</w:t>
      </w:r>
    </w:p>
    <w:p w:rsidR="007B521A" w:rsidRPr="009C7A30" w:rsidRDefault="007B521A" w:rsidP="009B28D4">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1.4. nëse ai vazhdimisht nuk respekton rregullat në lidhje me këtë skemë të veçantë.</w:t>
      </w:r>
    </w:p>
    <w:p w:rsidR="007B521A" w:rsidRPr="009C7A30" w:rsidRDefault="007B521A" w:rsidP="007B521A">
      <w:pPr>
        <w:shd w:val="clear" w:color="auto" w:fill="FFFFFF"/>
        <w:spacing w:after="260" w:line="260" w:lineRule="exact"/>
        <w:jc w:val="both"/>
        <w:rPr>
          <w:rFonts w:ascii="Times New Roman" w:eastAsia="Times New Roman" w:hAnsi="Times New Roman" w:cs="Times New Roman"/>
          <w:color w:val="000000" w:themeColor="text1"/>
          <w:sz w:val="24"/>
          <w:szCs w:val="24"/>
        </w:rPr>
      </w:pPr>
    </w:p>
    <w:p w:rsidR="007B521A" w:rsidRPr="009C7A30" w:rsidRDefault="007B521A" w:rsidP="00D330E5">
      <w:pPr>
        <w:spacing w:after="0" w:line="240" w:lineRule="auto"/>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Neni 16</w:t>
      </w:r>
    </w:p>
    <w:p w:rsidR="007B521A" w:rsidRPr="009C7A30" w:rsidRDefault="007B521A" w:rsidP="00D330E5">
      <w:pPr>
        <w:spacing w:after="0" w:line="240" w:lineRule="auto"/>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Ndërprerja vullnetare</w:t>
      </w:r>
    </w:p>
    <w:p w:rsidR="00D330E5" w:rsidRPr="009C7A30" w:rsidRDefault="00D330E5" w:rsidP="00D330E5">
      <w:pPr>
        <w:spacing w:after="0" w:line="240" w:lineRule="auto"/>
        <w:jc w:val="center"/>
        <w:rPr>
          <w:rFonts w:ascii="Times New Roman" w:eastAsia="MS Mincho" w:hAnsi="Times New Roman" w:cs="Times New Roman"/>
          <w:b/>
          <w:bCs/>
          <w:color w:val="000000" w:themeColor="text1"/>
          <w:sz w:val="24"/>
          <w:szCs w:val="24"/>
        </w:rPr>
      </w:pPr>
    </w:p>
    <w:p w:rsidR="007B521A" w:rsidRPr="009C7A30" w:rsidRDefault="007B521A" w:rsidP="002267B3">
      <w:pPr>
        <w:numPr>
          <w:ilvl w:val="0"/>
          <w:numId w:val="32"/>
        </w:numPr>
        <w:shd w:val="clear" w:color="auto" w:fill="FFFFFF"/>
        <w:spacing w:before="120" w:after="120" w:line="240" w:lineRule="auto"/>
        <w:ind w:left="360"/>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Personi i tatueshëm, i cili përdor skemën, mund të ndërpresë përdorimin e skemës së veçantë pavarësisht nëse ai vazhdon të furnizojë shërbime që mund të jenë të pranueshme për skemën. Personi i tatueshëm duhet të informoj ATK-në së paku 15 ditë para përfundimit të tremujorit kalendarik, para atij në të cilin ai synon të ndërpresë përdorimin e skemës. Ndërprerja duhet të hyjë në fuqi nga dita e parë e tremujorit të ardhshëm kalendarik.</w:t>
      </w:r>
    </w:p>
    <w:p w:rsidR="007B521A" w:rsidRPr="009C7A30" w:rsidRDefault="007B521A" w:rsidP="002267B3">
      <w:pPr>
        <w:numPr>
          <w:ilvl w:val="0"/>
          <w:numId w:val="32"/>
        </w:numPr>
        <w:spacing w:before="120" w:after="120" w:line="240" w:lineRule="auto"/>
        <w:ind w:left="360"/>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Personi i tatueshëm që aplikon për anulimin e regjistrimit në skemë duhet të dorëzoj formularin e çregjistrimit në zyrën rajonale përkatëse të ATK-së me anë të mjeteve elektronike.</w:t>
      </w:r>
    </w:p>
    <w:p w:rsidR="007B521A" w:rsidRPr="009C7A30" w:rsidRDefault="007B521A" w:rsidP="002267B3">
      <w:pPr>
        <w:numPr>
          <w:ilvl w:val="0"/>
          <w:numId w:val="32"/>
        </w:numPr>
        <w:spacing w:before="120" w:after="120" w:line="240" w:lineRule="auto"/>
        <w:ind w:left="360"/>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Brenda 60 ditëve të punës pas pranimit të formularit, ATK-ja duhet të verifikoj dhe  përcaktojë nëse do të lëshojë certifikatën e çregjistrimit apo jo.</w:t>
      </w:r>
    </w:p>
    <w:p w:rsidR="007B521A" w:rsidRPr="009C7A30" w:rsidRDefault="007B521A" w:rsidP="002267B3">
      <w:pPr>
        <w:numPr>
          <w:ilvl w:val="0"/>
          <w:numId w:val="32"/>
        </w:numPr>
        <w:spacing w:before="120" w:after="120" w:line="240" w:lineRule="auto"/>
        <w:ind w:left="360"/>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Nëse ATK-ja konstaton se personi i tatueshëm i plotëson kriteret për çregjistrim sipas skemës, duhet të çregjistrojë atë person, të përgatisë certifikatë çregjistrimi dhe të njoftojë tatimpaguesin me anë të mjeteve elektronike. Megjithatë, nëse ATK-ja zbulon se personi i tatueshëm nuk i plotëson kriteret për çregjistrim, ATK-ja duhet t'i dërgojë tatimpaguesit një njoftim me shkrim se certifikata e çregjistrimit nuk mund të lëshohet me anë të mjeteve elektronike. Njoftimi duhet të përfshijë arsyet për </w:t>
      </w:r>
      <w:r w:rsidR="00BB5453" w:rsidRPr="009C7A30">
        <w:rPr>
          <w:rFonts w:ascii="Times New Roman" w:eastAsia="Calibri" w:hAnsi="Times New Roman" w:cs="Times New Roman"/>
          <w:color w:val="000000" w:themeColor="text1"/>
          <w:sz w:val="24"/>
          <w:szCs w:val="24"/>
        </w:rPr>
        <w:t>mos lëshimin</w:t>
      </w:r>
      <w:r w:rsidRPr="009C7A30">
        <w:rPr>
          <w:rFonts w:ascii="Times New Roman" w:eastAsia="Calibri" w:hAnsi="Times New Roman" w:cs="Times New Roman"/>
          <w:color w:val="000000" w:themeColor="text1"/>
          <w:sz w:val="24"/>
          <w:szCs w:val="24"/>
        </w:rPr>
        <w:t xml:space="preserve"> e certifikatës së çregjistrimit.</w:t>
      </w:r>
    </w:p>
    <w:p w:rsidR="00D330E5" w:rsidRPr="009C7A30" w:rsidRDefault="007B521A" w:rsidP="002267B3">
      <w:pPr>
        <w:numPr>
          <w:ilvl w:val="0"/>
          <w:numId w:val="32"/>
        </w:numPr>
        <w:spacing w:before="120" w:after="120" w:line="240" w:lineRule="auto"/>
        <w:ind w:left="360"/>
        <w:jc w:val="both"/>
        <w:rPr>
          <w:rFonts w:ascii="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 xml:space="preserve">Detyrimet e TVSH-së në lidhje me furnizimet e shërbimeve që lindin pas datës në të cilën ndërprerja ka hyrë në fuqi duhet të </w:t>
      </w:r>
      <w:r w:rsidRPr="009C7A30">
        <w:rPr>
          <w:rFonts w:ascii="Times New Roman" w:eastAsia="Calibri" w:hAnsi="Times New Roman" w:cs="Times New Roman"/>
          <w:color w:val="000000" w:themeColor="text1"/>
          <w:sz w:val="24"/>
          <w:szCs w:val="24"/>
        </w:rPr>
        <w:t>shkarkohen sipas</w:t>
      </w:r>
      <w:r w:rsidRPr="009C7A30">
        <w:rPr>
          <w:rFonts w:ascii="Times New Roman" w:eastAsia="Times New Roman" w:hAnsi="Times New Roman" w:cs="Times New Roman"/>
          <w:color w:val="000000" w:themeColor="text1"/>
          <w:sz w:val="24"/>
          <w:szCs w:val="24"/>
        </w:rPr>
        <w:t xml:space="preserve"> rregullave të përgjithshme të Ligjit.</w:t>
      </w:r>
    </w:p>
    <w:p w:rsidR="00D330E5" w:rsidRPr="009C7A30" w:rsidRDefault="00D330E5" w:rsidP="007B521A">
      <w:pPr>
        <w:spacing w:before="120" w:after="120" w:line="240" w:lineRule="auto"/>
        <w:ind w:left="720"/>
        <w:jc w:val="both"/>
        <w:rPr>
          <w:rFonts w:ascii="Times New Roman" w:hAnsi="Times New Roman" w:cs="Times New Roman"/>
          <w:color w:val="000000" w:themeColor="text1"/>
          <w:sz w:val="24"/>
          <w:szCs w:val="24"/>
        </w:rPr>
      </w:pPr>
    </w:p>
    <w:p w:rsidR="007B521A" w:rsidRPr="009C7A30" w:rsidRDefault="007B521A" w:rsidP="00D330E5">
      <w:pPr>
        <w:spacing w:after="0" w:line="240" w:lineRule="auto"/>
        <w:jc w:val="center"/>
        <w:rPr>
          <w:rFonts w:ascii="Times New Roman" w:eastAsia="MS Mincho" w:hAnsi="Times New Roman" w:cs="Times New Roman"/>
          <w:b/>
          <w:bCs/>
          <w:color w:val="000000" w:themeColor="text1"/>
          <w:sz w:val="24"/>
          <w:szCs w:val="24"/>
        </w:rPr>
      </w:pPr>
      <w:bookmarkStart w:id="4" w:name="_Hlk84910453"/>
      <w:r w:rsidRPr="009C7A30">
        <w:rPr>
          <w:rFonts w:ascii="Times New Roman" w:eastAsia="MS Mincho" w:hAnsi="Times New Roman" w:cs="Times New Roman"/>
          <w:b/>
          <w:bCs/>
          <w:color w:val="000000" w:themeColor="text1"/>
          <w:sz w:val="24"/>
          <w:szCs w:val="24"/>
        </w:rPr>
        <w:t>Neni 17</w:t>
      </w:r>
    </w:p>
    <w:p w:rsidR="007B521A" w:rsidRPr="009C7A30" w:rsidRDefault="007B521A" w:rsidP="00D330E5">
      <w:pPr>
        <w:spacing w:after="0" w:line="240" w:lineRule="auto"/>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Përjashtimi</w:t>
      </w:r>
    </w:p>
    <w:p w:rsidR="00D330E5" w:rsidRPr="009C7A30" w:rsidRDefault="00D330E5" w:rsidP="00D330E5">
      <w:pPr>
        <w:spacing w:after="0" w:line="240" w:lineRule="auto"/>
        <w:jc w:val="center"/>
        <w:rPr>
          <w:rFonts w:ascii="Times New Roman" w:eastAsia="MS Mincho" w:hAnsi="Times New Roman" w:cs="Times New Roman"/>
          <w:b/>
          <w:bCs/>
          <w:color w:val="000000" w:themeColor="text1"/>
          <w:sz w:val="24"/>
          <w:szCs w:val="24"/>
        </w:rPr>
      </w:pPr>
    </w:p>
    <w:bookmarkEnd w:id="4"/>
    <w:p w:rsidR="007B521A" w:rsidRPr="009C7A30" w:rsidRDefault="007B521A" w:rsidP="00C66133">
      <w:pPr>
        <w:numPr>
          <w:ilvl w:val="1"/>
          <w:numId w:val="25"/>
        </w:numPr>
        <w:shd w:val="clear" w:color="auto" w:fill="FFFFFF"/>
        <w:spacing w:before="120" w:after="120" w:line="240" w:lineRule="auto"/>
        <w:ind w:left="360"/>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Kur një person i tatueshëm, i cili përdor skemën e veçantë, plotëson një ose më shumë nga kriteret për fshirje nga regjistri i identifikimit, të përcaktuara në nenin 15, ATK-ja duhet të përjashtojë atë person të tatueshëm nga ajo skemë. ATK-ja duhet të bazojë vendimin e saj për përjashtim ose fshirje mbështetur mbi çdo informacion në dispozicion.</w:t>
      </w:r>
    </w:p>
    <w:p w:rsidR="007B521A" w:rsidRPr="009C7A30" w:rsidRDefault="007B521A" w:rsidP="00C66133">
      <w:pPr>
        <w:numPr>
          <w:ilvl w:val="1"/>
          <w:numId w:val="25"/>
        </w:numPr>
        <w:shd w:val="clear" w:color="auto" w:fill="FFFFFF"/>
        <w:spacing w:before="120" w:after="120" w:line="240" w:lineRule="auto"/>
        <w:ind w:left="360"/>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Përjashtimi i një personi të tatueshëm nga skema hyn në fuqi nga dita e parë e tremujorit kalendarik që pason ditën në të cilën vendimi për përjashtimin i është dërguar me anë të mjeteve elektronike personit të tatueshëm. Megjithatë, kur përjashtimi është për shkak të ndryshimit të vendit të biznesit ose selisë fikse, përjashtimi hyn në fuqi që nga data e atij ndryshimi.</w:t>
      </w:r>
    </w:p>
    <w:p w:rsidR="007B521A" w:rsidRPr="009C7A30" w:rsidRDefault="007B521A" w:rsidP="00C66133">
      <w:pPr>
        <w:numPr>
          <w:ilvl w:val="1"/>
          <w:numId w:val="25"/>
        </w:numPr>
        <w:shd w:val="clear" w:color="auto" w:fill="FFFFFF"/>
        <w:spacing w:before="120" w:after="120" w:line="240" w:lineRule="auto"/>
        <w:ind w:left="360"/>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Një person i tatueshëm që përdor skemën e veçantë, i cili, për një periudhë dy vjeçare, nuk ka bërë asnjë furnizim të shërbimeve të mbuluara nga ajo skemë në Kosovë, duhet të supozohet se i ka ndërprerë aktivitetet e tij të tatueshme sipas kuptimit të nën</w:t>
      </w:r>
      <w:r w:rsidR="00EA258D" w:rsidRPr="009C7A30">
        <w:rPr>
          <w:rFonts w:ascii="Times New Roman" w:eastAsia="Times New Roman" w:hAnsi="Times New Roman" w:cs="Times New Roman"/>
          <w:color w:val="000000" w:themeColor="text1"/>
          <w:sz w:val="24"/>
          <w:szCs w:val="24"/>
        </w:rPr>
        <w:t xml:space="preserve"> </w:t>
      </w:r>
      <w:r w:rsidRPr="009C7A30">
        <w:rPr>
          <w:rFonts w:ascii="Times New Roman" w:eastAsia="Times New Roman" w:hAnsi="Times New Roman" w:cs="Times New Roman"/>
          <w:color w:val="000000" w:themeColor="text1"/>
          <w:sz w:val="24"/>
          <w:szCs w:val="24"/>
        </w:rPr>
        <w:t>paragrafit 1.2., të paragrafit 1, të nenit 15. Kjo ndërprerje nuk duhet të pengojë atë nga përdorimi i një skeme të veçantë nëse ai rifillon aktivitetet e tij të mbuluara nga ndonjë skemë.</w:t>
      </w:r>
    </w:p>
    <w:p w:rsidR="007B521A" w:rsidRPr="009C7A30" w:rsidRDefault="007B521A" w:rsidP="007B521A">
      <w:pPr>
        <w:spacing w:before="120" w:after="120" w:line="240" w:lineRule="auto"/>
        <w:rPr>
          <w:rFonts w:ascii="Times New Roman" w:eastAsia="MS Mincho" w:hAnsi="Times New Roman" w:cs="Times New Roman"/>
          <w:b/>
          <w:bCs/>
          <w:color w:val="000000" w:themeColor="text1"/>
          <w:sz w:val="24"/>
          <w:szCs w:val="24"/>
        </w:rPr>
      </w:pPr>
    </w:p>
    <w:p w:rsidR="007B521A" w:rsidRPr="009C7A30" w:rsidRDefault="007B521A" w:rsidP="00D330E5">
      <w:pPr>
        <w:spacing w:after="0" w:line="240" w:lineRule="auto"/>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lastRenderedPageBreak/>
        <w:t>Neni 20</w:t>
      </w:r>
    </w:p>
    <w:p w:rsidR="007B521A" w:rsidRPr="009C7A30" w:rsidRDefault="007B521A" w:rsidP="00D330E5">
      <w:pPr>
        <w:spacing w:after="0" w:line="240" w:lineRule="auto"/>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Periudha e karantinës</w:t>
      </w:r>
    </w:p>
    <w:p w:rsidR="00483F4E" w:rsidRPr="009C7A30" w:rsidRDefault="00483F4E" w:rsidP="007B521A">
      <w:pPr>
        <w:spacing w:before="120" w:after="120" w:line="240" w:lineRule="auto"/>
        <w:jc w:val="center"/>
        <w:rPr>
          <w:rFonts w:ascii="Times New Roman" w:eastAsia="MS Mincho" w:hAnsi="Times New Roman" w:cs="Times New Roman"/>
          <w:b/>
          <w:bCs/>
          <w:color w:val="000000" w:themeColor="text1"/>
          <w:sz w:val="24"/>
          <w:szCs w:val="24"/>
        </w:rPr>
      </w:pPr>
    </w:p>
    <w:p w:rsidR="007B521A" w:rsidRPr="009C7A30" w:rsidRDefault="007B521A" w:rsidP="00D330E5">
      <w:pPr>
        <w:numPr>
          <w:ilvl w:val="0"/>
          <w:numId w:val="35"/>
        </w:numPr>
        <w:shd w:val="clear" w:color="auto" w:fill="FFFFFF"/>
        <w:spacing w:before="120" w:after="120" w:line="240" w:lineRule="auto"/>
        <w:ind w:left="360"/>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 xml:space="preserve">Kur një person i tatueshëm përjashtohet nga skema e veçantë për shkak të dështimit të vazhdueshëm për t'iu përmbajtur rregullave që lidhen me skemën, ai person i tatueshëm duhet të mbetet i përjashtuar nga përdorimi i skemës së veçantë në Kosovë për 2 (dy) vite pas periudhës së deklarimit gjatë së cilës personi i tatueshëm është përjashtuar. </w:t>
      </w:r>
    </w:p>
    <w:p w:rsidR="007B521A" w:rsidRPr="009C7A30" w:rsidRDefault="007B521A" w:rsidP="00D330E5">
      <w:pPr>
        <w:numPr>
          <w:ilvl w:val="0"/>
          <w:numId w:val="35"/>
        </w:numPr>
        <w:shd w:val="clear" w:color="auto" w:fill="FFFFFF"/>
        <w:spacing w:before="120" w:after="120" w:line="240" w:lineRule="auto"/>
        <w:ind w:left="360"/>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Një person i tatueshëm konsiderohet se ka dështuar në vazhdimësi për t'iu përmbajtur rregullave që lidhen me skemën e veçantë, sipas kuptimit të nën</w:t>
      </w:r>
      <w:r w:rsidR="009E29D9" w:rsidRPr="009C7A30">
        <w:rPr>
          <w:rFonts w:ascii="Times New Roman" w:eastAsia="Times New Roman" w:hAnsi="Times New Roman" w:cs="Times New Roman"/>
          <w:color w:val="000000" w:themeColor="text1"/>
          <w:sz w:val="24"/>
          <w:szCs w:val="24"/>
        </w:rPr>
        <w:t xml:space="preserve"> </w:t>
      </w:r>
      <w:r w:rsidRPr="009C7A30">
        <w:rPr>
          <w:rFonts w:ascii="Times New Roman" w:eastAsia="Times New Roman" w:hAnsi="Times New Roman" w:cs="Times New Roman"/>
          <w:color w:val="000000" w:themeColor="text1"/>
          <w:sz w:val="24"/>
          <w:szCs w:val="24"/>
        </w:rPr>
        <w:t xml:space="preserve">paragrafit 1.4., të paragrafit 1, të nenit 15, të paktën si në rastet e shënuara </w:t>
      </w:r>
      <w:proofErr w:type="spellStart"/>
      <w:r w:rsidRPr="009C7A30">
        <w:rPr>
          <w:rFonts w:ascii="Times New Roman" w:eastAsia="Times New Roman" w:hAnsi="Times New Roman" w:cs="Times New Roman"/>
          <w:color w:val="000000" w:themeColor="text1"/>
          <w:sz w:val="24"/>
          <w:szCs w:val="24"/>
        </w:rPr>
        <w:t>mëposhtë</w:t>
      </w:r>
      <w:proofErr w:type="spellEnd"/>
      <w:r w:rsidRPr="009C7A30">
        <w:rPr>
          <w:rFonts w:ascii="Times New Roman" w:eastAsia="Times New Roman" w:hAnsi="Times New Roman" w:cs="Times New Roman"/>
          <w:color w:val="000000" w:themeColor="text1"/>
          <w:sz w:val="24"/>
          <w:szCs w:val="24"/>
        </w:rPr>
        <w:t>:</w:t>
      </w:r>
    </w:p>
    <w:p w:rsidR="007B521A" w:rsidRPr="009C7A30" w:rsidRDefault="007B521A" w:rsidP="009B28D4">
      <w:pPr>
        <w:shd w:val="clear" w:color="auto" w:fill="FFFFFF"/>
        <w:spacing w:before="120" w:after="120" w:line="240" w:lineRule="auto"/>
        <w:ind w:left="378" w:hanging="90"/>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2.1. kur atij i janë lëshuar rikujtues në bazë të nenit 8 për tre periudha të deklarimit menjëherë pararendëse, si dhe deklarata e TVSH-së nuk është dorëzuar për secilën prej këtyre periudhave të deklarimit brenda 10 (dhjetë) ditëve pas dërgimit të rikujtuesit;</w:t>
      </w:r>
    </w:p>
    <w:p w:rsidR="007B521A" w:rsidRPr="009C7A30" w:rsidRDefault="007B521A" w:rsidP="009B28D4">
      <w:pPr>
        <w:shd w:val="clear" w:color="auto" w:fill="FFFFFF"/>
        <w:tabs>
          <w:tab w:val="left" w:pos="1170"/>
        </w:tabs>
        <w:spacing w:before="120" w:after="120" w:line="240" w:lineRule="auto"/>
        <w:ind w:left="738" w:hanging="450"/>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2.2. kur rikujtuesit sipas nenit 11 i janë lëshuar atij</w:t>
      </w:r>
      <w:r w:rsidR="00D330E5" w:rsidRPr="009C7A30">
        <w:rPr>
          <w:rFonts w:ascii="Times New Roman" w:eastAsia="Times New Roman" w:hAnsi="Times New Roman" w:cs="Times New Roman"/>
          <w:color w:val="000000" w:themeColor="text1"/>
          <w:sz w:val="24"/>
          <w:szCs w:val="24"/>
        </w:rPr>
        <w:t xml:space="preserve"> për tre periudha të deklarimit </w:t>
      </w:r>
      <w:r w:rsidRPr="009C7A30">
        <w:rPr>
          <w:rFonts w:ascii="Times New Roman" w:eastAsia="Times New Roman" w:hAnsi="Times New Roman" w:cs="Times New Roman"/>
          <w:color w:val="000000" w:themeColor="text1"/>
          <w:sz w:val="24"/>
          <w:szCs w:val="24"/>
        </w:rPr>
        <w:t>menjëherë pararendëse, si dhe shuma e plotë e TVSH-së së deklaruar nuk është paguar prej tij për secilën prej këtyre periudhave të deklarimit brenda 10 (dhjetë) ditëve pas dërgimit të rikujtuesit, përveç kur shuma e mbetur e papaguar është më pak se 100 (njëqind) euro për secilën periudhë të deklarimit;</w:t>
      </w:r>
    </w:p>
    <w:p w:rsidR="007B521A" w:rsidRPr="009C7A30" w:rsidRDefault="007B521A" w:rsidP="009B28D4">
      <w:pPr>
        <w:shd w:val="clear" w:color="auto" w:fill="FFFFFF"/>
        <w:spacing w:before="120" w:after="120" w:line="240" w:lineRule="auto"/>
        <w:ind w:left="738" w:hanging="450"/>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2.3. kur pas një kërkese nga ATK-ja dhe një muaj pas rikujtimit të mëpasshëm nga e njëjta, ai nuk ka arritur të vërë në dispozicion në mënyrë elektronike shënimet  e përmendura në nenin 13.</w:t>
      </w:r>
    </w:p>
    <w:p w:rsidR="00D330E5" w:rsidRPr="009C7A30" w:rsidRDefault="00D330E5" w:rsidP="00740633">
      <w:pPr>
        <w:shd w:val="clear" w:color="auto" w:fill="FFFFFF"/>
        <w:spacing w:before="120" w:after="120" w:line="240" w:lineRule="auto"/>
        <w:jc w:val="both"/>
        <w:rPr>
          <w:rFonts w:ascii="Times New Roman" w:eastAsia="Times New Roman" w:hAnsi="Times New Roman" w:cs="Times New Roman"/>
          <w:i/>
          <w:iCs/>
          <w:color w:val="000000" w:themeColor="text1"/>
          <w:sz w:val="24"/>
          <w:szCs w:val="24"/>
        </w:rPr>
      </w:pPr>
    </w:p>
    <w:p w:rsidR="007B521A" w:rsidRPr="009C7A30" w:rsidRDefault="007B521A" w:rsidP="007B521A">
      <w:pPr>
        <w:spacing w:before="120" w:after="120" w:line="240" w:lineRule="auto"/>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Neni 21</w:t>
      </w:r>
    </w:p>
    <w:p w:rsidR="007B521A" w:rsidRPr="009C7A30" w:rsidRDefault="007B521A" w:rsidP="007B521A">
      <w:pPr>
        <w:spacing w:before="120" w:after="120" w:line="240" w:lineRule="auto"/>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Hyrja në fuqi</w:t>
      </w:r>
    </w:p>
    <w:p w:rsidR="00EA258D" w:rsidRPr="009C7A30" w:rsidRDefault="00EA258D" w:rsidP="00EA258D">
      <w:pPr>
        <w:keepNext/>
        <w:jc w:val="both"/>
        <w:outlineLvl w:val="0"/>
        <w:rPr>
          <w:rFonts w:ascii="Times New Roman" w:hAnsi="Times New Roman" w:cs="Times New Roman"/>
          <w:b/>
          <w:color w:val="000000" w:themeColor="text1"/>
          <w:sz w:val="24"/>
          <w:szCs w:val="24"/>
        </w:rPr>
      </w:pPr>
    </w:p>
    <w:p w:rsidR="00EA258D" w:rsidRPr="009C7A30" w:rsidRDefault="00EA258D" w:rsidP="00EA258D">
      <w:pPr>
        <w:jc w:val="both"/>
        <w:rPr>
          <w:rFonts w:ascii="Times New Roman" w:hAnsi="Times New Roman" w:cs="Times New Roman"/>
          <w:color w:val="000000" w:themeColor="text1"/>
          <w:sz w:val="24"/>
          <w:szCs w:val="24"/>
        </w:rPr>
      </w:pPr>
      <w:r w:rsidRPr="009C7A30">
        <w:rPr>
          <w:rFonts w:ascii="Times New Roman" w:hAnsi="Times New Roman" w:cs="Times New Roman"/>
          <w:color w:val="000000" w:themeColor="text1"/>
          <w:sz w:val="24"/>
          <w:szCs w:val="24"/>
        </w:rPr>
        <w:t xml:space="preserve">Ky Udhëzim Administrativ hyn në fuqi </w:t>
      </w:r>
      <w:r w:rsidR="009B15FB" w:rsidRPr="009C7A30">
        <w:rPr>
          <w:rFonts w:ascii="Times New Roman" w:hAnsi="Times New Roman" w:cs="Times New Roman"/>
          <w:color w:val="000000" w:themeColor="text1"/>
          <w:sz w:val="24"/>
          <w:szCs w:val="24"/>
        </w:rPr>
        <w:t xml:space="preserve"> </w:t>
      </w:r>
      <w:proofErr w:type="spellStart"/>
      <w:r w:rsidR="009B15FB" w:rsidRPr="009C7A30">
        <w:rPr>
          <w:rFonts w:ascii="Times New Roman" w:hAnsi="Times New Roman" w:cs="Times New Roman"/>
          <w:b/>
          <w:color w:val="000000" w:themeColor="text1"/>
          <w:sz w:val="24"/>
          <w:szCs w:val="24"/>
        </w:rPr>
        <w:t>dt.m.v</w:t>
      </w:r>
      <w:proofErr w:type="spellEnd"/>
      <w:r w:rsidR="009B15FB" w:rsidRPr="009C7A30">
        <w:rPr>
          <w:rFonts w:ascii="Times New Roman" w:hAnsi="Times New Roman" w:cs="Times New Roman"/>
          <w:b/>
          <w:color w:val="000000" w:themeColor="text1"/>
          <w:sz w:val="24"/>
          <w:szCs w:val="24"/>
        </w:rPr>
        <w:t>.</w:t>
      </w:r>
    </w:p>
    <w:p w:rsidR="007B521A" w:rsidRPr="009C7A30" w:rsidRDefault="007B521A" w:rsidP="007B521A">
      <w:pPr>
        <w:spacing w:before="120" w:after="120" w:line="240" w:lineRule="auto"/>
        <w:jc w:val="center"/>
        <w:rPr>
          <w:rFonts w:ascii="Times New Roman" w:eastAsia="MS Mincho" w:hAnsi="Times New Roman" w:cs="Times New Roman"/>
          <w:b/>
          <w:bCs/>
          <w:color w:val="000000" w:themeColor="text1"/>
          <w:sz w:val="24"/>
          <w:szCs w:val="24"/>
        </w:rPr>
      </w:pPr>
    </w:p>
    <w:p w:rsidR="007B521A" w:rsidRPr="009C7A30" w:rsidRDefault="007B521A" w:rsidP="007B521A">
      <w:pPr>
        <w:shd w:val="clear" w:color="auto" w:fill="FFFFFF"/>
        <w:spacing w:after="260" w:line="260" w:lineRule="exact"/>
        <w:jc w:val="center"/>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 xml:space="preserve">                                                                                                         Hekuran Murati</w:t>
      </w:r>
    </w:p>
    <w:p w:rsidR="007B521A" w:rsidRPr="009C7A30" w:rsidRDefault="007B521A" w:rsidP="007B521A">
      <w:pPr>
        <w:shd w:val="clear" w:color="auto" w:fill="FFFFFF"/>
        <w:spacing w:after="260" w:line="260" w:lineRule="exact"/>
        <w:jc w:val="right"/>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_________________________________</w:t>
      </w:r>
    </w:p>
    <w:p w:rsidR="007B521A" w:rsidRPr="009C7A30" w:rsidRDefault="007B521A" w:rsidP="007B521A">
      <w:pPr>
        <w:shd w:val="clear" w:color="auto" w:fill="FFFFFF"/>
        <w:spacing w:after="260" w:line="260" w:lineRule="exact"/>
        <w:jc w:val="right"/>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 xml:space="preserve">Ministër i Ministrisë së Financave, Punës dhe </w:t>
      </w:r>
      <w:proofErr w:type="spellStart"/>
      <w:r w:rsidRPr="009C7A30">
        <w:rPr>
          <w:rFonts w:ascii="Times New Roman" w:eastAsia="Times New Roman" w:hAnsi="Times New Roman" w:cs="Times New Roman"/>
          <w:color w:val="000000" w:themeColor="text1"/>
          <w:sz w:val="24"/>
          <w:szCs w:val="24"/>
        </w:rPr>
        <w:t>Transfereve</w:t>
      </w:r>
      <w:proofErr w:type="spellEnd"/>
    </w:p>
    <w:p w:rsidR="00D330E5" w:rsidRPr="009C7A30" w:rsidRDefault="00740633" w:rsidP="00740633">
      <w:pPr>
        <w:shd w:val="clear" w:color="auto" w:fill="FFFFFF"/>
        <w:spacing w:after="260" w:line="260" w:lineRule="exact"/>
        <w:jc w:val="right"/>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Datë: ______________</w:t>
      </w:r>
    </w:p>
    <w:p w:rsidR="003E0C57" w:rsidRPr="009C7A30" w:rsidRDefault="003E0C57" w:rsidP="00740633">
      <w:pPr>
        <w:shd w:val="clear" w:color="auto" w:fill="FFFFFF"/>
        <w:spacing w:after="260" w:line="260" w:lineRule="exact"/>
        <w:jc w:val="right"/>
        <w:rPr>
          <w:rFonts w:ascii="Times New Roman" w:eastAsia="Times New Roman" w:hAnsi="Times New Roman" w:cs="Times New Roman"/>
          <w:color w:val="000000" w:themeColor="text1"/>
          <w:sz w:val="24"/>
          <w:szCs w:val="24"/>
        </w:rPr>
      </w:pPr>
    </w:p>
    <w:p w:rsidR="009E29D9" w:rsidRPr="009C7A30" w:rsidRDefault="009E29D9" w:rsidP="00740633">
      <w:pPr>
        <w:shd w:val="clear" w:color="auto" w:fill="FFFFFF"/>
        <w:spacing w:after="260" w:line="260" w:lineRule="exact"/>
        <w:jc w:val="right"/>
        <w:rPr>
          <w:rFonts w:ascii="Times New Roman" w:eastAsia="Times New Roman" w:hAnsi="Times New Roman" w:cs="Times New Roman"/>
          <w:sz w:val="24"/>
          <w:szCs w:val="24"/>
        </w:rPr>
      </w:pPr>
    </w:p>
    <w:p w:rsidR="009E29D9" w:rsidRPr="009C7A30" w:rsidRDefault="009E29D9" w:rsidP="00740633">
      <w:pPr>
        <w:shd w:val="clear" w:color="auto" w:fill="FFFFFF"/>
        <w:spacing w:after="260" w:line="260" w:lineRule="exact"/>
        <w:jc w:val="right"/>
        <w:rPr>
          <w:rFonts w:ascii="Times New Roman" w:eastAsia="Times New Roman" w:hAnsi="Times New Roman" w:cs="Times New Roman"/>
          <w:sz w:val="24"/>
          <w:szCs w:val="24"/>
        </w:rPr>
      </w:pPr>
    </w:p>
    <w:p w:rsidR="008F0446" w:rsidRPr="009C7A30" w:rsidRDefault="008F0446" w:rsidP="008F0446">
      <w:pPr>
        <w:shd w:val="clear" w:color="auto" w:fill="FFFFFF"/>
        <w:spacing w:after="260" w:line="260" w:lineRule="exact"/>
        <w:jc w:val="center"/>
        <w:rPr>
          <w:rFonts w:ascii="Times New Roman" w:eastAsia="Times New Roman" w:hAnsi="Times New Roman" w:cs="Times New Roman"/>
          <w:i/>
          <w:iCs/>
        </w:rPr>
      </w:pPr>
      <w:r w:rsidRPr="009C7A30">
        <w:rPr>
          <w:rFonts w:ascii="Times New Roman" w:eastAsia="Times New Roman" w:hAnsi="Times New Roman" w:cs="Times New Roman"/>
          <w:i/>
          <w:iCs/>
        </w:rPr>
        <w:lastRenderedPageBreak/>
        <w:t>SHT</w:t>
      </w:r>
      <w:bookmarkStart w:id="5" w:name="_GoBack"/>
      <w:bookmarkEnd w:id="5"/>
      <w:r w:rsidRPr="009C7A30">
        <w:rPr>
          <w:rFonts w:ascii="Times New Roman" w:eastAsia="Times New Roman" w:hAnsi="Times New Roman" w:cs="Times New Roman"/>
          <w:i/>
          <w:iCs/>
        </w:rPr>
        <w:t>OJCA I</w:t>
      </w:r>
    </w:p>
    <w:p w:rsidR="008F0446" w:rsidRPr="009C7A30" w:rsidRDefault="008F0446" w:rsidP="008F0446">
      <w:pPr>
        <w:shd w:val="clear" w:color="auto" w:fill="FFFFFF"/>
        <w:spacing w:after="260" w:line="260" w:lineRule="exact"/>
        <w:jc w:val="center"/>
        <w:rPr>
          <w:rFonts w:ascii="Times New Roman" w:eastAsia="Times New Roman" w:hAnsi="Times New Roman" w:cs="Times New Roman"/>
          <w:b/>
          <w:bCs/>
        </w:rPr>
      </w:pPr>
      <w:r w:rsidRPr="009C7A30">
        <w:rPr>
          <w:rFonts w:ascii="Times New Roman" w:eastAsia="Times New Roman" w:hAnsi="Times New Roman" w:cs="Times New Roman"/>
          <w:b/>
          <w:bCs/>
        </w:rPr>
        <w:t>Detajet e identifikimit</w:t>
      </w:r>
    </w:p>
    <w:tbl>
      <w:tblPr>
        <w:tblW w:w="8272" w:type="dxa"/>
        <w:jc w:val="center"/>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1522"/>
        <w:gridCol w:w="6750"/>
      </w:tblGrid>
      <w:tr w:rsidR="008F0446" w:rsidRPr="009C7A30" w:rsidTr="00531B64">
        <w:trPr>
          <w:jc w:val="center"/>
        </w:trPr>
        <w:tc>
          <w:tcPr>
            <w:tcW w:w="152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b/>
                <w:bCs/>
              </w:rPr>
            </w:pPr>
            <w:r w:rsidRPr="009C7A30">
              <w:rPr>
                <w:rFonts w:ascii="Times New Roman" w:eastAsia="Times New Roman" w:hAnsi="Times New Roman" w:cs="Times New Roman"/>
                <w:b/>
                <w:bCs/>
              </w:rPr>
              <w:t>Kolona A</w:t>
            </w:r>
          </w:p>
        </w:tc>
        <w:tc>
          <w:tcPr>
            <w:tcW w:w="67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b/>
                <w:bCs/>
              </w:rPr>
            </w:pPr>
            <w:r w:rsidRPr="009C7A30">
              <w:rPr>
                <w:rFonts w:ascii="Times New Roman" w:eastAsia="Times New Roman" w:hAnsi="Times New Roman" w:cs="Times New Roman"/>
                <w:b/>
                <w:bCs/>
              </w:rPr>
              <w:t>Kolona B</w:t>
            </w:r>
          </w:p>
        </w:tc>
      </w:tr>
      <w:tr w:rsidR="008F0446" w:rsidRPr="009C7A30" w:rsidTr="00531B64">
        <w:trPr>
          <w:trHeight w:val="572"/>
          <w:jc w:val="center"/>
        </w:trPr>
        <w:tc>
          <w:tcPr>
            <w:tcW w:w="152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b/>
                <w:bCs/>
              </w:rPr>
            </w:pPr>
            <w:r w:rsidRPr="009C7A30">
              <w:rPr>
                <w:rFonts w:ascii="Times New Roman" w:eastAsia="Times New Roman" w:hAnsi="Times New Roman" w:cs="Times New Roman"/>
                <w:b/>
                <w:bCs/>
              </w:rPr>
              <w:t>Numri i kutisë</w:t>
            </w:r>
          </w:p>
        </w:tc>
        <w:tc>
          <w:tcPr>
            <w:tcW w:w="67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b/>
                <w:bCs/>
              </w:rPr>
            </w:pPr>
          </w:p>
        </w:tc>
      </w:tr>
      <w:tr w:rsidR="008F0446" w:rsidRPr="009C7A30" w:rsidTr="00531B64">
        <w:trPr>
          <w:jc w:val="center"/>
        </w:trPr>
        <w:tc>
          <w:tcPr>
            <w:tcW w:w="152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1</w:t>
            </w:r>
          </w:p>
        </w:tc>
        <w:tc>
          <w:tcPr>
            <w:tcW w:w="67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Numri individual identifikues i TVSH-së i ndarë nga ATK-ja</w:t>
            </w:r>
          </w:p>
        </w:tc>
      </w:tr>
      <w:tr w:rsidR="008F0446" w:rsidRPr="009C7A30" w:rsidTr="00531B64">
        <w:trPr>
          <w:jc w:val="center"/>
        </w:trPr>
        <w:tc>
          <w:tcPr>
            <w:tcW w:w="152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2</w:t>
            </w:r>
          </w:p>
        </w:tc>
        <w:tc>
          <w:tcPr>
            <w:tcW w:w="67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Numri tatimor kombëtar</w:t>
            </w:r>
          </w:p>
        </w:tc>
      </w:tr>
      <w:tr w:rsidR="008F0446" w:rsidRPr="009C7A30" w:rsidTr="00531B64">
        <w:trPr>
          <w:jc w:val="center"/>
        </w:trPr>
        <w:tc>
          <w:tcPr>
            <w:tcW w:w="152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3</w:t>
            </w:r>
          </w:p>
        </w:tc>
        <w:tc>
          <w:tcPr>
            <w:tcW w:w="67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Emri i kompanisë</w:t>
            </w:r>
          </w:p>
        </w:tc>
      </w:tr>
      <w:tr w:rsidR="008F0446" w:rsidRPr="009C7A30" w:rsidTr="00531B64">
        <w:trPr>
          <w:jc w:val="center"/>
        </w:trPr>
        <w:tc>
          <w:tcPr>
            <w:tcW w:w="152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4</w:t>
            </w:r>
          </w:p>
        </w:tc>
        <w:tc>
          <w:tcPr>
            <w:tcW w:w="67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Emri(at) tregtar i kompanisë nëse është i ndryshëm nga emri i kompanisë</w:t>
            </w:r>
          </w:p>
        </w:tc>
      </w:tr>
      <w:tr w:rsidR="008F0446" w:rsidRPr="009C7A30" w:rsidTr="00531B64">
        <w:trPr>
          <w:jc w:val="center"/>
        </w:trPr>
        <w:tc>
          <w:tcPr>
            <w:tcW w:w="152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5</w:t>
            </w:r>
          </w:p>
        </w:tc>
        <w:tc>
          <w:tcPr>
            <w:tcW w:w="67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Adresa e plotë postare e kompanisë</w:t>
            </w:r>
          </w:p>
        </w:tc>
      </w:tr>
      <w:tr w:rsidR="008F0446" w:rsidRPr="009C7A30" w:rsidTr="00531B64">
        <w:trPr>
          <w:jc w:val="center"/>
        </w:trPr>
        <w:tc>
          <w:tcPr>
            <w:tcW w:w="152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6</w:t>
            </w:r>
          </w:p>
        </w:tc>
        <w:tc>
          <w:tcPr>
            <w:tcW w:w="67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Shteti në të cilin personi i tatueshëm ka vendin e tij të biznesit</w:t>
            </w:r>
          </w:p>
        </w:tc>
      </w:tr>
      <w:tr w:rsidR="008F0446" w:rsidRPr="009C7A30" w:rsidTr="00531B64">
        <w:trPr>
          <w:jc w:val="center"/>
        </w:trPr>
        <w:tc>
          <w:tcPr>
            <w:tcW w:w="152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7</w:t>
            </w:r>
          </w:p>
        </w:tc>
        <w:tc>
          <w:tcPr>
            <w:tcW w:w="67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Adresa elektronike e personit të tatueshëm</w:t>
            </w:r>
          </w:p>
        </w:tc>
      </w:tr>
      <w:tr w:rsidR="008F0446" w:rsidRPr="009C7A30" w:rsidTr="00531B64">
        <w:trPr>
          <w:jc w:val="center"/>
        </w:trPr>
        <w:tc>
          <w:tcPr>
            <w:tcW w:w="152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8</w:t>
            </w:r>
          </w:p>
        </w:tc>
        <w:tc>
          <w:tcPr>
            <w:tcW w:w="67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proofErr w:type="spellStart"/>
            <w:r w:rsidRPr="009C7A30">
              <w:rPr>
                <w:rFonts w:ascii="Times New Roman" w:eastAsia="Times New Roman" w:hAnsi="Times New Roman" w:cs="Times New Roman"/>
              </w:rPr>
              <w:t>Website</w:t>
            </w:r>
            <w:proofErr w:type="spellEnd"/>
            <w:r w:rsidRPr="009C7A30">
              <w:rPr>
                <w:rFonts w:ascii="Times New Roman" w:eastAsia="Times New Roman" w:hAnsi="Times New Roman" w:cs="Times New Roman"/>
              </w:rPr>
              <w:t xml:space="preserve"> –i (et) i personit të tatueshëm</w:t>
            </w:r>
          </w:p>
        </w:tc>
      </w:tr>
      <w:tr w:rsidR="008F0446" w:rsidRPr="009C7A30" w:rsidTr="00531B64">
        <w:trPr>
          <w:jc w:val="center"/>
        </w:trPr>
        <w:tc>
          <w:tcPr>
            <w:tcW w:w="152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9</w:t>
            </w:r>
          </w:p>
        </w:tc>
        <w:tc>
          <w:tcPr>
            <w:tcW w:w="67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Emri i kontaktit</w:t>
            </w:r>
          </w:p>
        </w:tc>
      </w:tr>
      <w:tr w:rsidR="008F0446" w:rsidRPr="009C7A30" w:rsidTr="00531B64">
        <w:trPr>
          <w:jc w:val="center"/>
        </w:trPr>
        <w:tc>
          <w:tcPr>
            <w:tcW w:w="152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10</w:t>
            </w:r>
          </w:p>
        </w:tc>
        <w:tc>
          <w:tcPr>
            <w:tcW w:w="67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Numri i telefonit</w:t>
            </w:r>
          </w:p>
        </w:tc>
      </w:tr>
      <w:tr w:rsidR="008F0446" w:rsidRPr="009C7A30" w:rsidTr="00531B64">
        <w:trPr>
          <w:jc w:val="center"/>
        </w:trPr>
        <w:tc>
          <w:tcPr>
            <w:tcW w:w="152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11</w:t>
            </w:r>
          </w:p>
        </w:tc>
        <w:tc>
          <w:tcPr>
            <w:tcW w:w="67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Numri IBAN ose OBAN</w:t>
            </w:r>
          </w:p>
        </w:tc>
      </w:tr>
      <w:tr w:rsidR="008F0446" w:rsidRPr="009C7A30" w:rsidTr="00531B64">
        <w:trPr>
          <w:jc w:val="center"/>
        </w:trPr>
        <w:tc>
          <w:tcPr>
            <w:tcW w:w="152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12</w:t>
            </w:r>
          </w:p>
        </w:tc>
        <w:tc>
          <w:tcPr>
            <w:tcW w:w="67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Numri BIC</w:t>
            </w:r>
          </w:p>
        </w:tc>
      </w:tr>
      <w:tr w:rsidR="008F0446" w:rsidRPr="009C7A30" w:rsidTr="00531B64">
        <w:trPr>
          <w:jc w:val="center"/>
        </w:trPr>
        <w:tc>
          <w:tcPr>
            <w:tcW w:w="152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13</w:t>
            </w:r>
          </w:p>
        </w:tc>
        <w:tc>
          <w:tcPr>
            <w:tcW w:w="67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Deklarata elektronike se personi i tatueshëm nuk është i vendosur në Kosovë</w:t>
            </w:r>
          </w:p>
        </w:tc>
      </w:tr>
      <w:tr w:rsidR="008F0446" w:rsidRPr="009C7A30" w:rsidTr="00531B64">
        <w:trPr>
          <w:jc w:val="center"/>
        </w:trPr>
        <w:tc>
          <w:tcPr>
            <w:tcW w:w="152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14</w:t>
            </w:r>
          </w:p>
        </w:tc>
        <w:tc>
          <w:tcPr>
            <w:tcW w:w="67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Data e fillimit të përdorimit të skemës</w:t>
            </w:r>
          </w:p>
        </w:tc>
      </w:tr>
      <w:tr w:rsidR="008F0446" w:rsidRPr="009C7A30" w:rsidTr="00531B64">
        <w:trPr>
          <w:jc w:val="center"/>
        </w:trPr>
        <w:tc>
          <w:tcPr>
            <w:tcW w:w="152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15</w:t>
            </w:r>
          </w:p>
        </w:tc>
        <w:tc>
          <w:tcPr>
            <w:tcW w:w="67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Data e kërkesës nga personi i tatueshëm për t'u regjistruar në skemë</w:t>
            </w:r>
          </w:p>
        </w:tc>
      </w:tr>
      <w:tr w:rsidR="008F0446" w:rsidRPr="009C7A30" w:rsidTr="00531B64">
        <w:trPr>
          <w:jc w:val="center"/>
        </w:trPr>
        <w:tc>
          <w:tcPr>
            <w:tcW w:w="152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16</w:t>
            </w:r>
          </w:p>
        </w:tc>
        <w:tc>
          <w:tcPr>
            <w:tcW w:w="67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Data e vendimit për regjistrim nga ATK-ja</w:t>
            </w:r>
          </w:p>
        </w:tc>
      </w:tr>
    </w:tbl>
    <w:p w:rsidR="008F0446" w:rsidRPr="009C7A30" w:rsidRDefault="008F0446" w:rsidP="008F0446">
      <w:pPr>
        <w:shd w:val="clear" w:color="auto" w:fill="FFFFFF"/>
        <w:spacing w:after="260" w:line="260" w:lineRule="exact"/>
        <w:jc w:val="center"/>
        <w:rPr>
          <w:rFonts w:ascii="Times New Roman" w:eastAsia="Times New Roman" w:hAnsi="Times New Roman" w:cs="Times New Roman"/>
          <w:i/>
          <w:iCs/>
        </w:rPr>
      </w:pPr>
    </w:p>
    <w:p w:rsidR="008F0446" w:rsidRPr="009C7A30" w:rsidRDefault="008F0446" w:rsidP="008F0446">
      <w:pPr>
        <w:shd w:val="clear" w:color="auto" w:fill="FFFFFF"/>
        <w:spacing w:after="260" w:line="260" w:lineRule="exact"/>
        <w:jc w:val="center"/>
        <w:rPr>
          <w:rFonts w:ascii="Times New Roman" w:eastAsia="Times New Roman" w:hAnsi="Times New Roman" w:cs="Times New Roman"/>
          <w:i/>
          <w:iCs/>
        </w:rPr>
      </w:pPr>
    </w:p>
    <w:p w:rsidR="008F0446" w:rsidRPr="009C7A30" w:rsidRDefault="008F0446" w:rsidP="008F0446">
      <w:pPr>
        <w:shd w:val="clear" w:color="auto" w:fill="FFFFFF"/>
        <w:spacing w:after="260" w:line="260" w:lineRule="exact"/>
        <w:jc w:val="center"/>
        <w:rPr>
          <w:rFonts w:ascii="Times New Roman" w:eastAsia="Times New Roman" w:hAnsi="Times New Roman" w:cs="Times New Roman"/>
          <w:i/>
          <w:iCs/>
        </w:rPr>
      </w:pPr>
      <w:r w:rsidRPr="009C7A30">
        <w:rPr>
          <w:rFonts w:ascii="Times New Roman" w:eastAsia="Times New Roman" w:hAnsi="Times New Roman" w:cs="Times New Roman"/>
          <w:i/>
          <w:iCs/>
        </w:rPr>
        <w:lastRenderedPageBreak/>
        <w:t>SHTOJCA II</w:t>
      </w:r>
    </w:p>
    <w:p w:rsidR="008F0446" w:rsidRPr="009C7A30" w:rsidRDefault="008F0446" w:rsidP="008F0446">
      <w:pPr>
        <w:shd w:val="clear" w:color="auto" w:fill="FFFFFF"/>
        <w:spacing w:after="260" w:line="260" w:lineRule="exact"/>
        <w:jc w:val="center"/>
        <w:rPr>
          <w:rFonts w:ascii="Times New Roman" w:eastAsia="Times New Roman" w:hAnsi="Times New Roman" w:cs="Times New Roman"/>
          <w:b/>
          <w:bCs/>
        </w:rPr>
      </w:pPr>
      <w:r w:rsidRPr="009C7A30">
        <w:rPr>
          <w:rFonts w:ascii="Times New Roman" w:eastAsia="Times New Roman" w:hAnsi="Times New Roman" w:cs="Times New Roman"/>
          <w:b/>
          <w:bCs/>
        </w:rPr>
        <w:t>Deklaratat e TVSH-së</w:t>
      </w:r>
    </w:p>
    <w:tbl>
      <w:tblPr>
        <w:tblW w:w="8882" w:type="dxa"/>
        <w:jc w:val="center"/>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1370"/>
        <w:gridCol w:w="7512"/>
      </w:tblGrid>
      <w:tr w:rsidR="008F0446" w:rsidRPr="009C7A30" w:rsidTr="00531B64">
        <w:trPr>
          <w:jc w:val="center"/>
        </w:trPr>
        <w:tc>
          <w:tcPr>
            <w:tcW w:w="8882" w:type="dxa"/>
            <w:gridSpan w:val="2"/>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8F0446" w:rsidRPr="009C7A30" w:rsidRDefault="008F0446" w:rsidP="00531B64">
            <w:pPr>
              <w:spacing w:after="260" w:line="260" w:lineRule="exact"/>
              <w:jc w:val="both"/>
              <w:rPr>
                <w:rFonts w:ascii="Times New Roman" w:eastAsia="Times New Roman" w:hAnsi="Times New Roman" w:cs="Times New Roman"/>
                <w:b/>
                <w:bCs/>
                <w:i/>
                <w:iCs/>
              </w:rPr>
            </w:pPr>
            <w:r w:rsidRPr="009C7A30">
              <w:rPr>
                <w:rFonts w:ascii="Times New Roman" w:eastAsia="Times New Roman" w:hAnsi="Times New Roman" w:cs="Times New Roman"/>
                <w:b/>
                <w:bCs/>
              </w:rPr>
              <w:t>Pjesa 1: Informacioni i përgjithshëm</w:t>
            </w:r>
          </w:p>
        </w:tc>
      </w:tr>
      <w:tr w:rsidR="008F0446" w:rsidRPr="009C7A30" w:rsidTr="00531B64">
        <w:trPr>
          <w:trHeight w:val="572"/>
          <w:jc w:val="center"/>
        </w:trPr>
        <w:tc>
          <w:tcPr>
            <w:tcW w:w="137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Numri i kutisë</w:t>
            </w:r>
          </w:p>
        </w:tc>
        <w:tc>
          <w:tcPr>
            <w:tcW w:w="751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b/>
                <w:bCs/>
                <w:i/>
                <w:iCs/>
              </w:rPr>
              <w:t>Numri unik referues</w:t>
            </w:r>
          </w:p>
        </w:tc>
      </w:tr>
      <w:tr w:rsidR="008F0446" w:rsidRPr="009C7A30" w:rsidTr="00531B64">
        <w:trPr>
          <w:jc w:val="center"/>
        </w:trPr>
        <w:tc>
          <w:tcPr>
            <w:tcW w:w="137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1</w:t>
            </w:r>
          </w:p>
        </w:tc>
        <w:tc>
          <w:tcPr>
            <w:tcW w:w="751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Numri individual identifikues i TVSH-së i ndarë nga ATK-ja</w:t>
            </w:r>
          </w:p>
        </w:tc>
      </w:tr>
      <w:tr w:rsidR="008F0446" w:rsidRPr="009C7A30" w:rsidTr="00531B64">
        <w:trPr>
          <w:jc w:val="center"/>
        </w:trPr>
        <w:tc>
          <w:tcPr>
            <w:tcW w:w="137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2</w:t>
            </w:r>
          </w:p>
        </w:tc>
        <w:tc>
          <w:tcPr>
            <w:tcW w:w="751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Periudha tatimore</w:t>
            </w:r>
          </w:p>
        </w:tc>
      </w:tr>
      <w:tr w:rsidR="008F0446" w:rsidRPr="009C7A30" w:rsidTr="00531B64">
        <w:trPr>
          <w:jc w:val="center"/>
        </w:trPr>
        <w:tc>
          <w:tcPr>
            <w:tcW w:w="137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3</w:t>
            </w:r>
          </w:p>
        </w:tc>
        <w:tc>
          <w:tcPr>
            <w:tcW w:w="751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Data e fillimit dhe data e përfundimit të periudhës</w:t>
            </w:r>
          </w:p>
        </w:tc>
      </w:tr>
      <w:tr w:rsidR="008F0446" w:rsidRPr="009C7A30" w:rsidTr="00531B64">
        <w:trPr>
          <w:jc w:val="center"/>
        </w:trPr>
        <w:tc>
          <w:tcPr>
            <w:tcW w:w="137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4</w:t>
            </w:r>
          </w:p>
        </w:tc>
        <w:tc>
          <w:tcPr>
            <w:tcW w:w="751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Valuta</w:t>
            </w:r>
          </w:p>
        </w:tc>
      </w:tr>
      <w:tr w:rsidR="008F0446" w:rsidRPr="009C7A30" w:rsidTr="00531B64">
        <w:trPr>
          <w:jc w:val="center"/>
        </w:trPr>
        <w:tc>
          <w:tcPr>
            <w:tcW w:w="8882" w:type="dxa"/>
            <w:gridSpan w:val="2"/>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rPr>
                <w:rFonts w:ascii="Times New Roman" w:eastAsia="Times New Roman" w:hAnsi="Times New Roman" w:cs="Times New Roman"/>
              </w:rPr>
            </w:pPr>
            <w:r w:rsidRPr="009C7A30">
              <w:rPr>
                <w:rFonts w:ascii="Times New Roman" w:eastAsia="Times New Roman" w:hAnsi="Times New Roman" w:cs="Times New Roman"/>
                <w:b/>
                <w:bCs/>
              </w:rPr>
              <w:t>Pjesa 2: Për transaksionet për të cilat kërkohet TVSH-ja</w:t>
            </w:r>
          </w:p>
        </w:tc>
      </w:tr>
      <w:tr w:rsidR="008F0446" w:rsidRPr="009C7A30" w:rsidTr="00531B64">
        <w:trPr>
          <w:jc w:val="center"/>
        </w:trPr>
        <w:tc>
          <w:tcPr>
            <w:tcW w:w="137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5</w:t>
            </w:r>
          </w:p>
        </w:tc>
        <w:tc>
          <w:tcPr>
            <w:tcW w:w="751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Kodi i shtetit të Kosovës</w:t>
            </w:r>
          </w:p>
        </w:tc>
      </w:tr>
      <w:tr w:rsidR="008F0446" w:rsidRPr="009C7A30" w:rsidTr="00531B64">
        <w:trPr>
          <w:jc w:val="center"/>
        </w:trPr>
        <w:tc>
          <w:tcPr>
            <w:tcW w:w="137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6</w:t>
            </w:r>
          </w:p>
        </w:tc>
        <w:tc>
          <w:tcPr>
            <w:tcW w:w="751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Norma standarde e TVSH-së në Kosovë</w:t>
            </w:r>
          </w:p>
        </w:tc>
      </w:tr>
      <w:tr w:rsidR="008F0446" w:rsidRPr="009C7A30" w:rsidTr="00531B64">
        <w:trPr>
          <w:jc w:val="center"/>
        </w:trPr>
        <w:tc>
          <w:tcPr>
            <w:tcW w:w="137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7</w:t>
            </w:r>
          </w:p>
        </w:tc>
        <w:tc>
          <w:tcPr>
            <w:tcW w:w="751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Norma e reduktuar e TVSH-së në Kosovë</w:t>
            </w:r>
          </w:p>
        </w:tc>
      </w:tr>
      <w:tr w:rsidR="008F0446" w:rsidRPr="009C7A30" w:rsidTr="00531B64">
        <w:trPr>
          <w:jc w:val="center"/>
        </w:trPr>
        <w:tc>
          <w:tcPr>
            <w:tcW w:w="137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8</w:t>
            </w:r>
          </w:p>
        </w:tc>
        <w:tc>
          <w:tcPr>
            <w:tcW w:w="751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Shuma e tatueshme me normë standarde</w:t>
            </w:r>
          </w:p>
        </w:tc>
      </w:tr>
      <w:tr w:rsidR="008F0446" w:rsidRPr="009C7A30" w:rsidTr="00531B64">
        <w:trPr>
          <w:jc w:val="center"/>
        </w:trPr>
        <w:tc>
          <w:tcPr>
            <w:tcW w:w="137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9</w:t>
            </w:r>
          </w:p>
        </w:tc>
        <w:tc>
          <w:tcPr>
            <w:tcW w:w="751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Shuma e TVSH-së me normë standarde</w:t>
            </w:r>
          </w:p>
        </w:tc>
      </w:tr>
      <w:tr w:rsidR="008F0446" w:rsidRPr="009C7A30" w:rsidTr="00531B64">
        <w:trPr>
          <w:jc w:val="center"/>
        </w:trPr>
        <w:tc>
          <w:tcPr>
            <w:tcW w:w="137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10</w:t>
            </w:r>
          </w:p>
        </w:tc>
        <w:tc>
          <w:tcPr>
            <w:tcW w:w="751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Shuma e tatueshme me normë të reduktuar</w:t>
            </w:r>
          </w:p>
        </w:tc>
      </w:tr>
      <w:tr w:rsidR="008F0446" w:rsidRPr="009C7A30" w:rsidTr="00531B64">
        <w:trPr>
          <w:jc w:val="center"/>
        </w:trPr>
        <w:tc>
          <w:tcPr>
            <w:tcW w:w="137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11</w:t>
            </w:r>
          </w:p>
        </w:tc>
        <w:tc>
          <w:tcPr>
            <w:tcW w:w="751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Shuma e TVSH-së me normë të reduktuar</w:t>
            </w:r>
          </w:p>
        </w:tc>
      </w:tr>
      <w:tr w:rsidR="008F0446" w:rsidRPr="009C7A30" w:rsidTr="00531B64">
        <w:trPr>
          <w:jc w:val="center"/>
        </w:trPr>
        <w:tc>
          <w:tcPr>
            <w:tcW w:w="137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12</w:t>
            </w:r>
          </w:p>
        </w:tc>
        <w:tc>
          <w:tcPr>
            <w:tcW w:w="751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 xml:space="preserve">Shuma totale e pagueshme e TVSH-së </w:t>
            </w:r>
          </w:p>
        </w:tc>
      </w:tr>
      <w:tr w:rsidR="008F0446" w:rsidRPr="009C7A30" w:rsidTr="00531B64">
        <w:trPr>
          <w:jc w:val="center"/>
        </w:trPr>
        <w:tc>
          <w:tcPr>
            <w:tcW w:w="8882" w:type="dxa"/>
            <w:gridSpan w:val="2"/>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b/>
                <w:bCs/>
              </w:rPr>
              <w:t>Pjesa 3: Për transaksionet për të cilat është bërë korrigjimi i TVSH-së</w:t>
            </w:r>
          </w:p>
        </w:tc>
      </w:tr>
      <w:tr w:rsidR="008F0446" w:rsidRPr="009C7A30" w:rsidTr="00531B64">
        <w:trPr>
          <w:jc w:val="center"/>
        </w:trPr>
        <w:tc>
          <w:tcPr>
            <w:tcW w:w="137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13</w:t>
            </w:r>
          </w:p>
        </w:tc>
        <w:tc>
          <w:tcPr>
            <w:tcW w:w="751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Periudha tatimore</w:t>
            </w:r>
          </w:p>
        </w:tc>
      </w:tr>
      <w:tr w:rsidR="008F0446" w:rsidRPr="009C7A30" w:rsidTr="00531B64">
        <w:trPr>
          <w:jc w:val="center"/>
        </w:trPr>
        <w:tc>
          <w:tcPr>
            <w:tcW w:w="137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14</w:t>
            </w:r>
          </w:p>
        </w:tc>
        <w:tc>
          <w:tcPr>
            <w:tcW w:w="751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Shuma totale e TVSH-së që rezulton nga korrigjimet e furnizimeve</w:t>
            </w:r>
          </w:p>
        </w:tc>
      </w:tr>
      <w:tr w:rsidR="008F0446" w:rsidRPr="009C7A30" w:rsidTr="00531B64">
        <w:trPr>
          <w:jc w:val="center"/>
        </w:trPr>
        <w:tc>
          <w:tcPr>
            <w:tcW w:w="8882" w:type="dxa"/>
            <w:gridSpan w:val="2"/>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b/>
                <w:bCs/>
              </w:rPr>
              <w:t>Pjesa 4: Bilanci i TVSH-së së detyruar për pagesë</w:t>
            </w:r>
          </w:p>
        </w:tc>
      </w:tr>
      <w:tr w:rsidR="008F0446" w:rsidRPr="009C7A30" w:rsidTr="00531B64">
        <w:trPr>
          <w:jc w:val="center"/>
        </w:trPr>
        <w:tc>
          <w:tcPr>
            <w:tcW w:w="137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lastRenderedPageBreak/>
              <w:t>15</w:t>
            </w:r>
          </w:p>
        </w:tc>
        <w:tc>
          <w:tcPr>
            <w:tcW w:w="751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Shuma totale e TVSH-së së detyruar për pagesë përfshirë korrigjimet e deklaratave të mëparshme (Kutia 12 + Kutia 14)</w:t>
            </w:r>
          </w:p>
        </w:tc>
      </w:tr>
      <w:tr w:rsidR="008F0446" w:rsidRPr="009C7A30" w:rsidTr="00531B64">
        <w:trPr>
          <w:jc w:val="center"/>
        </w:trPr>
        <w:tc>
          <w:tcPr>
            <w:tcW w:w="8882" w:type="dxa"/>
            <w:gridSpan w:val="2"/>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b/>
                <w:bCs/>
              </w:rPr>
              <w:t>Pjesa 5: Shuma totale e TVSH-së e detyruar për pagesë</w:t>
            </w:r>
          </w:p>
        </w:tc>
      </w:tr>
      <w:tr w:rsidR="008F0446" w:rsidRPr="00463C8F" w:rsidTr="00531B64">
        <w:trPr>
          <w:jc w:val="center"/>
        </w:trPr>
        <w:tc>
          <w:tcPr>
            <w:tcW w:w="137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16</w:t>
            </w:r>
          </w:p>
        </w:tc>
        <w:tc>
          <w:tcPr>
            <w:tcW w:w="751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rPr>
              <w:t>Shuma totale e TVSH-së e detyruar për pagesë</w:t>
            </w:r>
          </w:p>
        </w:tc>
      </w:tr>
    </w:tbl>
    <w:p w:rsidR="008F0446" w:rsidRPr="004C6880" w:rsidRDefault="008F0446" w:rsidP="008F0446">
      <w:pPr>
        <w:shd w:val="clear" w:color="auto" w:fill="FFFFFF"/>
        <w:spacing w:after="260" w:line="260" w:lineRule="exact"/>
        <w:rPr>
          <w:rFonts w:ascii="Times New Roman" w:eastAsia="Times New Roman" w:hAnsi="Times New Roman" w:cs="Times New Roman"/>
          <w:b/>
          <w:bCs/>
        </w:rPr>
      </w:pPr>
    </w:p>
    <w:p w:rsidR="00ED78BC" w:rsidRPr="007B521A" w:rsidRDefault="00ED78BC"/>
    <w:sectPr w:rsidR="00ED78BC" w:rsidRPr="007B52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F7359A"/>
    <w:multiLevelType w:val="hybridMultilevel"/>
    <w:tmpl w:val="AD18E252"/>
    <w:lvl w:ilvl="0" w:tplc="61543098">
      <w:start w:val="1"/>
      <w:numFmt w:val="decimal"/>
      <w:lvlText w:val="4.%1."/>
      <w:lvlJc w:val="left"/>
      <w:pPr>
        <w:ind w:left="720" w:hanging="360"/>
      </w:pPr>
      <w:rPr>
        <w:rFonts w:hint="default"/>
        <w:color w:val="auto"/>
        <w:sz w:val="22"/>
        <w:szCs w:val="22"/>
      </w:rPr>
    </w:lvl>
    <w:lvl w:ilvl="1" w:tplc="F15AD0F8">
      <w:start w:val="1"/>
      <w:numFmt w:val="decimal"/>
      <w:lvlText w:val="1.%2."/>
      <w:lvlJc w:val="left"/>
      <w:pPr>
        <w:ind w:left="810" w:hanging="360"/>
      </w:pPr>
      <w:rPr>
        <w:rFonts w:hint="default"/>
        <w:color w:val="auto"/>
        <w:sz w:val="22"/>
        <w:szCs w:val="22"/>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A43C2C"/>
    <w:multiLevelType w:val="hybridMultilevel"/>
    <w:tmpl w:val="5484AB4C"/>
    <w:lvl w:ilvl="0" w:tplc="3678E65E">
      <w:start w:val="1"/>
      <w:numFmt w:val="lowerRoman"/>
      <w:lvlText w:val="%1."/>
      <w:lvlJc w:val="left"/>
      <w:pPr>
        <w:ind w:left="720" w:hanging="360"/>
      </w:pPr>
      <w:rPr>
        <w:rFonts w:hint="default"/>
        <w:b/>
        <w:b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695ADA"/>
    <w:multiLevelType w:val="hybridMultilevel"/>
    <w:tmpl w:val="40405B26"/>
    <w:lvl w:ilvl="0" w:tplc="EA0E9EF6">
      <w:start w:val="1"/>
      <w:numFmt w:val="lowerRoman"/>
      <w:lvlText w:val="%1."/>
      <w:lvlJc w:val="right"/>
      <w:pPr>
        <w:ind w:left="720" w:hanging="360"/>
      </w:pPr>
      <w:rPr>
        <w:rFonts w:ascii="Arial" w:hAnsi="Arial" w:cs="Arial" w:hint="default"/>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181E3C"/>
    <w:multiLevelType w:val="hybridMultilevel"/>
    <w:tmpl w:val="0CE64054"/>
    <w:lvl w:ilvl="0" w:tplc="3678E65E">
      <w:start w:val="1"/>
      <w:numFmt w:val="lowerRoman"/>
      <w:lvlText w:val="%1."/>
      <w:lvlJc w:val="left"/>
      <w:pPr>
        <w:ind w:left="720" w:hanging="360"/>
      </w:pPr>
      <w:rPr>
        <w:rFonts w:hint="default"/>
        <w:b/>
        <w:bCs/>
        <w:color w:val="auto"/>
        <w:sz w:val="22"/>
        <w:szCs w:val="22"/>
      </w:rPr>
    </w:lvl>
    <w:lvl w:ilvl="1" w:tplc="49FE28BC">
      <w:start w:val="1"/>
      <w:numFmt w:val="decimal"/>
      <w:lvlText w:val="%2."/>
      <w:lvlJc w:val="left"/>
      <w:pPr>
        <w:ind w:left="81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8400B1"/>
    <w:multiLevelType w:val="hybridMultilevel"/>
    <w:tmpl w:val="512A3E72"/>
    <w:lvl w:ilvl="0" w:tplc="BF8AAF4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CB23A8"/>
    <w:multiLevelType w:val="hybridMultilevel"/>
    <w:tmpl w:val="877AD012"/>
    <w:lvl w:ilvl="0" w:tplc="3678E65E">
      <w:start w:val="1"/>
      <w:numFmt w:val="lowerRoman"/>
      <w:lvlText w:val="%1."/>
      <w:lvlJc w:val="left"/>
      <w:pPr>
        <w:ind w:left="1440" w:hanging="360"/>
      </w:pPr>
      <w:rPr>
        <w:rFonts w:hint="default"/>
        <w:b/>
        <w:bCs/>
        <w:color w:val="auto"/>
        <w:sz w:val="22"/>
        <w:szCs w:val="22"/>
      </w:rPr>
    </w:lvl>
    <w:lvl w:ilvl="1" w:tplc="E95CFCDA">
      <w:start w:val="1"/>
      <w:numFmt w:val="decimal"/>
      <w:lvlText w:val="%2."/>
      <w:lvlJc w:val="left"/>
      <w:pPr>
        <w:ind w:left="63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670B1B"/>
    <w:multiLevelType w:val="hybridMultilevel"/>
    <w:tmpl w:val="008A1C2C"/>
    <w:lvl w:ilvl="0" w:tplc="E3D85D8C">
      <w:start w:val="1"/>
      <w:numFmt w:val="decimal"/>
      <w:lvlText w:val="1.%1."/>
      <w:lvlJc w:val="left"/>
      <w:pPr>
        <w:ind w:left="720" w:hanging="360"/>
      </w:pPr>
      <w:rPr>
        <w:rFonts w:hint="default"/>
        <w:color w:val="auto"/>
        <w:sz w:val="16"/>
        <w:szCs w:val="24"/>
      </w:rPr>
    </w:lvl>
    <w:lvl w:ilvl="1" w:tplc="1F462862">
      <w:start w:val="1"/>
      <w:numFmt w:val="decimal"/>
      <w:lvlText w:val="1.%2."/>
      <w:lvlJc w:val="left"/>
      <w:pPr>
        <w:ind w:left="1440" w:hanging="360"/>
      </w:pPr>
      <w:rPr>
        <w:rFonts w:hint="default"/>
        <w:color w:val="auto"/>
        <w:sz w:val="22"/>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F437F1B"/>
    <w:multiLevelType w:val="hybridMultilevel"/>
    <w:tmpl w:val="D8249FC4"/>
    <w:lvl w:ilvl="0" w:tplc="BFE0664C">
      <w:start w:val="1"/>
      <w:numFmt w:val="decimal"/>
      <w:lvlText w:val="5.6.1.%1."/>
      <w:lvlJc w:val="left"/>
      <w:pPr>
        <w:ind w:left="720" w:hanging="360"/>
      </w:pPr>
      <w:rPr>
        <w:rFonts w:hint="default"/>
        <w:color w:val="auto"/>
        <w:sz w:val="22"/>
        <w:szCs w:val="22"/>
      </w:rPr>
    </w:lvl>
    <w:lvl w:ilvl="1" w:tplc="D15EB44C">
      <w:start w:val="1"/>
      <w:numFmt w:val="lowerRoman"/>
      <w:lvlText w:val="%2."/>
      <w:lvlJc w:val="right"/>
      <w:pPr>
        <w:ind w:left="1170" w:hanging="360"/>
      </w:pPr>
      <w:rPr>
        <w:rFonts w:ascii="Arial" w:hAnsi="Arial" w:cs="Arial" w:hint="default"/>
        <w:b/>
        <w:bCs/>
        <w:color w:val="auto"/>
        <w:sz w:val="20"/>
        <w:szCs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646B1B"/>
    <w:multiLevelType w:val="hybridMultilevel"/>
    <w:tmpl w:val="73E213EC"/>
    <w:lvl w:ilvl="0" w:tplc="7FDA59E4">
      <w:start w:val="1"/>
      <w:numFmt w:val="decimal"/>
      <w:lvlText w:val="5.6.3.%1."/>
      <w:lvlJc w:val="left"/>
      <w:pPr>
        <w:ind w:left="2160" w:hanging="360"/>
      </w:pPr>
      <w:rPr>
        <w:rFonts w:hint="default"/>
        <w:color w:val="auto"/>
        <w:sz w:val="22"/>
        <w:szCs w:val="22"/>
      </w:rPr>
    </w:lvl>
    <w:lvl w:ilvl="1" w:tplc="EA0E9EF6">
      <w:start w:val="1"/>
      <w:numFmt w:val="lowerRoman"/>
      <w:lvlText w:val="%2."/>
      <w:lvlJc w:val="right"/>
      <w:pPr>
        <w:ind w:left="2880" w:hanging="360"/>
      </w:pPr>
      <w:rPr>
        <w:rFonts w:ascii="Arial" w:hAnsi="Arial" w:cs="Arial" w:hint="default"/>
        <w:color w:val="auto"/>
        <w:sz w:val="20"/>
        <w:szCs w:val="20"/>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nsid w:val="29013C5D"/>
    <w:multiLevelType w:val="hybridMultilevel"/>
    <w:tmpl w:val="1BA01DA8"/>
    <w:lvl w:ilvl="0" w:tplc="3678E65E">
      <w:start w:val="1"/>
      <w:numFmt w:val="lowerRoman"/>
      <w:lvlText w:val="%1."/>
      <w:lvlJc w:val="left"/>
      <w:pPr>
        <w:ind w:left="720" w:hanging="360"/>
      </w:pPr>
      <w:rPr>
        <w:rFonts w:hint="default"/>
        <w:b/>
        <w:b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3B081E"/>
    <w:multiLevelType w:val="hybridMultilevel"/>
    <w:tmpl w:val="BCA6A0F4"/>
    <w:lvl w:ilvl="0" w:tplc="D0D2BEE2">
      <w:start w:val="1"/>
      <w:numFmt w:val="decimal"/>
      <w:lvlText w:val="5.6.%1."/>
      <w:lvlJc w:val="left"/>
      <w:pPr>
        <w:ind w:left="720" w:hanging="360"/>
      </w:pPr>
      <w:rPr>
        <w:rFonts w:hint="default"/>
        <w:color w:val="auto"/>
        <w:sz w:val="22"/>
        <w:szCs w:val="22"/>
      </w:rPr>
    </w:lvl>
    <w:lvl w:ilvl="1" w:tplc="3678E65E">
      <w:start w:val="1"/>
      <w:numFmt w:val="lowerRoman"/>
      <w:lvlText w:val="%2."/>
      <w:lvlJc w:val="left"/>
      <w:pPr>
        <w:ind w:left="1440" w:hanging="360"/>
      </w:pPr>
      <w:rPr>
        <w:rFonts w:hint="default"/>
        <w:b/>
        <w:bCs/>
        <w:color w:val="auto"/>
        <w:sz w:val="22"/>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7B103C"/>
    <w:multiLevelType w:val="hybridMultilevel"/>
    <w:tmpl w:val="BD388C40"/>
    <w:lvl w:ilvl="0" w:tplc="BF8AAF4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0E504D4"/>
    <w:multiLevelType w:val="hybridMultilevel"/>
    <w:tmpl w:val="232EE8FC"/>
    <w:lvl w:ilvl="0" w:tplc="A606BB0A">
      <w:start w:val="1"/>
      <w:numFmt w:val="decimal"/>
      <w:lvlText w:val="1.6.%1."/>
      <w:lvlJc w:val="left"/>
      <w:pPr>
        <w:ind w:left="1170" w:hanging="360"/>
      </w:pPr>
      <w:rPr>
        <w:rFonts w:hint="default"/>
        <w:color w:val="auto"/>
        <w:sz w:val="24"/>
        <w:szCs w:val="24"/>
      </w:rPr>
    </w:lvl>
    <w:lvl w:ilvl="1" w:tplc="FC025CBA">
      <w:start w:val="1"/>
      <w:numFmt w:val="decimal"/>
      <w:lvlText w:val="%2."/>
      <w:lvlJc w:val="left"/>
      <w:pPr>
        <w:ind w:left="540" w:hanging="360"/>
      </w:pPr>
      <w:rPr>
        <w:rFonts w:hint="default"/>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4D00DB"/>
    <w:multiLevelType w:val="hybridMultilevel"/>
    <w:tmpl w:val="91DE8F1A"/>
    <w:lvl w:ilvl="0" w:tplc="70E4773A">
      <w:start w:val="1"/>
      <w:numFmt w:val="lowerRoman"/>
      <w:lvlText w:val="%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23D5B79"/>
    <w:multiLevelType w:val="hybridMultilevel"/>
    <w:tmpl w:val="F56856FA"/>
    <w:lvl w:ilvl="0" w:tplc="C4708CE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3585244"/>
    <w:multiLevelType w:val="hybridMultilevel"/>
    <w:tmpl w:val="EB7A5644"/>
    <w:lvl w:ilvl="0" w:tplc="86B2C2AC">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84B2065"/>
    <w:multiLevelType w:val="hybridMultilevel"/>
    <w:tmpl w:val="3EC2174C"/>
    <w:lvl w:ilvl="0" w:tplc="9F1A0E96">
      <w:start w:val="1"/>
      <w:numFmt w:val="decimal"/>
      <w:lvlText w:val="2.%1."/>
      <w:lvlJc w:val="left"/>
      <w:pPr>
        <w:ind w:left="720" w:hanging="360"/>
      </w:pPr>
      <w:rPr>
        <w:rFonts w:hint="default"/>
        <w:color w:val="auto"/>
        <w:sz w:val="16"/>
        <w:szCs w:val="24"/>
      </w:rPr>
    </w:lvl>
    <w:lvl w:ilvl="1" w:tplc="338858D4">
      <w:start w:val="1"/>
      <w:numFmt w:val="decimal"/>
      <w:lvlText w:val="2.%2."/>
      <w:lvlJc w:val="left"/>
      <w:pPr>
        <w:ind w:left="1440" w:hanging="360"/>
      </w:pPr>
      <w:rPr>
        <w:rFonts w:hint="default"/>
        <w:color w:val="auto"/>
        <w:sz w:val="22"/>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9033A1E"/>
    <w:multiLevelType w:val="hybridMultilevel"/>
    <w:tmpl w:val="92B017A4"/>
    <w:lvl w:ilvl="0" w:tplc="3678E65E">
      <w:start w:val="1"/>
      <w:numFmt w:val="lowerRoman"/>
      <w:lvlText w:val="%1."/>
      <w:lvlJc w:val="left"/>
      <w:pPr>
        <w:ind w:left="1440" w:hanging="360"/>
      </w:pPr>
      <w:rPr>
        <w:rFonts w:hint="default"/>
        <w:b/>
        <w:b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ABC6464"/>
    <w:multiLevelType w:val="hybridMultilevel"/>
    <w:tmpl w:val="5F582BE4"/>
    <w:lvl w:ilvl="0" w:tplc="70E4773A">
      <w:start w:val="1"/>
      <w:numFmt w:val="lowerRoman"/>
      <w:lvlText w:val="%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B1361DF"/>
    <w:multiLevelType w:val="hybridMultilevel"/>
    <w:tmpl w:val="D814283E"/>
    <w:lvl w:ilvl="0" w:tplc="4F0CCD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C89729C"/>
    <w:multiLevelType w:val="hybridMultilevel"/>
    <w:tmpl w:val="FF5AD07A"/>
    <w:lvl w:ilvl="0" w:tplc="E3D85D8C">
      <w:start w:val="1"/>
      <w:numFmt w:val="decimal"/>
      <w:lvlText w:val="1.%1."/>
      <w:lvlJc w:val="left"/>
      <w:pPr>
        <w:ind w:left="720" w:hanging="360"/>
      </w:pPr>
      <w:rPr>
        <w:rFonts w:hint="default"/>
        <w:color w:val="auto"/>
        <w:sz w:val="16"/>
        <w:szCs w:val="24"/>
      </w:rPr>
    </w:lvl>
    <w:lvl w:ilvl="1" w:tplc="7A660B08">
      <w:start w:val="1"/>
      <w:numFmt w:val="decimal"/>
      <w:lvlText w:val="1.%2."/>
      <w:lvlJc w:val="left"/>
      <w:pPr>
        <w:ind w:left="1440" w:hanging="360"/>
      </w:pPr>
      <w:rPr>
        <w:rFonts w:hint="default"/>
        <w:color w:val="auto"/>
        <w:sz w:val="22"/>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E0851C0"/>
    <w:multiLevelType w:val="hybridMultilevel"/>
    <w:tmpl w:val="F780A232"/>
    <w:lvl w:ilvl="0" w:tplc="3678E65E">
      <w:start w:val="1"/>
      <w:numFmt w:val="lowerRoman"/>
      <w:lvlText w:val="%1."/>
      <w:lvlJc w:val="left"/>
      <w:pPr>
        <w:ind w:left="720" w:hanging="360"/>
      </w:pPr>
      <w:rPr>
        <w:rFonts w:hint="default"/>
        <w:b/>
        <w:bCs/>
        <w:color w:val="auto"/>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09B17CF"/>
    <w:multiLevelType w:val="hybridMultilevel"/>
    <w:tmpl w:val="D96E01F6"/>
    <w:lvl w:ilvl="0" w:tplc="D59C758E">
      <w:start w:val="1"/>
      <w:numFmt w:val="decimal"/>
      <w:lvlText w:val="%1."/>
      <w:lvlJc w:val="left"/>
      <w:pPr>
        <w:ind w:left="720" w:hanging="360"/>
      </w:pPr>
      <w:rPr>
        <w:rFonts w:hint="default"/>
      </w:rPr>
    </w:lvl>
    <w:lvl w:ilvl="1" w:tplc="75A48CF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214046E"/>
    <w:multiLevelType w:val="hybridMultilevel"/>
    <w:tmpl w:val="3D58CE08"/>
    <w:lvl w:ilvl="0" w:tplc="3678E65E">
      <w:start w:val="1"/>
      <w:numFmt w:val="lowerRoman"/>
      <w:lvlText w:val="%1."/>
      <w:lvlJc w:val="left"/>
      <w:pPr>
        <w:ind w:left="720" w:hanging="360"/>
      </w:pPr>
      <w:rPr>
        <w:rFonts w:hint="default"/>
        <w:b/>
        <w:b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4F50C35"/>
    <w:multiLevelType w:val="hybridMultilevel"/>
    <w:tmpl w:val="67768EDA"/>
    <w:lvl w:ilvl="0" w:tplc="967CA932">
      <w:start w:val="1"/>
      <w:numFmt w:val="decimal"/>
      <w:lvlText w:val="5.6.2.%1."/>
      <w:lvlJc w:val="left"/>
      <w:pPr>
        <w:ind w:left="720" w:hanging="360"/>
      </w:pPr>
      <w:rPr>
        <w:rFonts w:hint="default"/>
        <w:color w:val="auto"/>
        <w:sz w:val="22"/>
        <w:szCs w:val="22"/>
      </w:rPr>
    </w:lvl>
    <w:lvl w:ilvl="1" w:tplc="EA0E9EF6">
      <w:start w:val="1"/>
      <w:numFmt w:val="lowerRoman"/>
      <w:lvlText w:val="%2."/>
      <w:lvlJc w:val="right"/>
      <w:pPr>
        <w:ind w:left="1440" w:hanging="360"/>
      </w:pPr>
      <w:rPr>
        <w:rFonts w:ascii="Arial" w:hAnsi="Arial" w:cs="Arial" w:hint="default"/>
        <w:color w:val="auto"/>
        <w:sz w:val="20"/>
        <w:szCs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70F2B7A"/>
    <w:multiLevelType w:val="multilevel"/>
    <w:tmpl w:val="6CD800BC"/>
    <w:lvl w:ilvl="0">
      <w:start w:val="1"/>
      <w:numFmt w:val="decimal"/>
      <w:lvlText w:val="%1."/>
      <w:lvlJc w:val="left"/>
      <w:pPr>
        <w:ind w:left="72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26">
    <w:nsid w:val="5AD02961"/>
    <w:multiLevelType w:val="multilevel"/>
    <w:tmpl w:val="1E5AA490"/>
    <w:lvl w:ilvl="0">
      <w:start w:val="1"/>
      <w:numFmt w:val="decimal"/>
      <w:lvlText w:val="%1."/>
      <w:lvlJc w:val="left"/>
      <w:pPr>
        <w:ind w:left="720" w:hanging="360"/>
      </w:pPr>
      <w:rPr>
        <w:rFonts w:hint="default"/>
        <w:i w:val="0"/>
        <w:iCs w:val="0"/>
      </w:rPr>
    </w:lvl>
    <w:lvl w:ilvl="1">
      <w:start w:val="1"/>
      <w:numFmt w:val="decimal"/>
      <w:isLgl/>
      <w:lvlText w:val="%1.%2."/>
      <w:lvlJc w:val="left"/>
      <w:pPr>
        <w:ind w:left="216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680" w:hanging="108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7200" w:hanging="144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720" w:hanging="1800"/>
      </w:pPr>
      <w:rPr>
        <w:rFonts w:hint="default"/>
      </w:rPr>
    </w:lvl>
    <w:lvl w:ilvl="8">
      <w:start w:val="1"/>
      <w:numFmt w:val="decimal"/>
      <w:isLgl/>
      <w:lvlText w:val="%1.%2.%3.%4.%5.%6.%7.%8.%9."/>
      <w:lvlJc w:val="left"/>
      <w:pPr>
        <w:ind w:left="10800" w:hanging="1800"/>
      </w:pPr>
      <w:rPr>
        <w:rFonts w:hint="default"/>
      </w:rPr>
    </w:lvl>
  </w:abstractNum>
  <w:abstractNum w:abstractNumId="27">
    <w:nsid w:val="5D8E4A14"/>
    <w:multiLevelType w:val="hybridMultilevel"/>
    <w:tmpl w:val="6D560CF2"/>
    <w:lvl w:ilvl="0" w:tplc="BF8AAF4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E373CC7"/>
    <w:multiLevelType w:val="hybridMultilevel"/>
    <w:tmpl w:val="B80071B0"/>
    <w:lvl w:ilvl="0" w:tplc="3678E65E">
      <w:start w:val="1"/>
      <w:numFmt w:val="lowerRoman"/>
      <w:lvlText w:val="%1."/>
      <w:lvlJc w:val="left"/>
      <w:pPr>
        <w:ind w:left="720" w:hanging="360"/>
      </w:pPr>
      <w:rPr>
        <w:rFonts w:hint="default"/>
        <w:b/>
        <w:bCs/>
        <w:color w:val="auto"/>
        <w:sz w:val="22"/>
        <w:szCs w:val="22"/>
      </w:rPr>
    </w:lvl>
    <w:lvl w:ilvl="1" w:tplc="0B0E888A">
      <w:start w:val="1"/>
      <w:numFmt w:val="lowerRoman"/>
      <w:lvlText w:val="%2."/>
      <w:lvlJc w:val="left"/>
      <w:pPr>
        <w:ind w:left="1440" w:hanging="360"/>
      </w:pPr>
      <w:rPr>
        <w:rFonts w:hint="default"/>
        <w:b/>
        <w:bCs/>
        <w:i w:val="0"/>
        <w:color w:val="auto"/>
        <w:sz w:val="22"/>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0E45D7F"/>
    <w:multiLevelType w:val="hybridMultilevel"/>
    <w:tmpl w:val="E676D76A"/>
    <w:lvl w:ilvl="0" w:tplc="3678E65E">
      <w:start w:val="1"/>
      <w:numFmt w:val="lowerRoman"/>
      <w:lvlText w:val="%1."/>
      <w:lvlJc w:val="left"/>
      <w:pPr>
        <w:ind w:left="1440" w:hanging="360"/>
      </w:pPr>
      <w:rPr>
        <w:rFonts w:hint="default"/>
        <w:b/>
        <w:bCs/>
        <w:color w:val="auto"/>
        <w:sz w:val="22"/>
        <w:szCs w:val="22"/>
      </w:rPr>
    </w:lvl>
    <w:lvl w:ilvl="1" w:tplc="92148B6E">
      <w:start w:val="1"/>
      <w:numFmt w:val="decimal"/>
      <w:lvlText w:val="%2."/>
      <w:lvlJc w:val="left"/>
      <w:pPr>
        <w:ind w:left="360" w:hanging="360"/>
      </w:pPr>
      <w:rPr>
        <w:rFonts w:hint="default"/>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7B60ED5"/>
    <w:multiLevelType w:val="hybridMultilevel"/>
    <w:tmpl w:val="644AD4BE"/>
    <w:lvl w:ilvl="0" w:tplc="3678E65E">
      <w:start w:val="1"/>
      <w:numFmt w:val="lowerRoman"/>
      <w:lvlText w:val="%1."/>
      <w:lvlJc w:val="left"/>
      <w:pPr>
        <w:ind w:left="720" w:hanging="360"/>
      </w:pPr>
      <w:rPr>
        <w:rFonts w:hint="default"/>
        <w:b/>
        <w:b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7C371BE"/>
    <w:multiLevelType w:val="hybridMultilevel"/>
    <w:tmpl w:val="25E2BD74"/>
    <w:lvl w:ilvl="0" w:tplc="7B20EB42">
      <w:start w:val="1"/>
      <w:numFmt w:val="decimal"/>
      <w:lvlText w:val="4.%1."/>
      <w:lvlJc w:val="left"/>
      <w:pPr>
        <w:ind w:left="720" w:hanging="360"/>
      </w:pPr>
      <w:rPr>
        <w:rFonts w:hint="default"/>
      </w:rPr>
    </w:lvl>
    <w:lvl w:ilvl="1" w:tplc="A8F8A0D2">
      <w:start w:val="1"/>
      <w:numFmt w:val="decimal"/>
      <w:lvlText w:val="2.%2."/>
      <w:lvlJc w:val="left"/>
      <w:pPr>
        <w:ind w:left="360" w:hanging="360"/>
      </w:pPr>
      <w:rPr>
        <w:rFonts w:hint="default"/>
        <w:color w:val="auto"/>
        <w:sz w:val="24"/>
        <w:szCs w:val="24"/>
      </w:rPr>
    </w:lvl>
    <w:lvl w:ilvl="2" w:tplc="039CF6C8">
      <w:start w:val="3"/>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8497A97"/>
    <w:multiLevelType w:val="hybridMultilevel"/>
    <w:tmpl w:val="902C6CF4"/>
    <w:lvl w:ilvl="0" w:tplc="4F0CCD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A0D52EF"/>
    <w:multiLevelType w:val="hybridMultilevel"/>
    <w:tmpl w:val="A8B6CD66"/>
    <w:lvl w:ilvl="0" w:tplc="3678E65E">
      <w:start w:val="1"/>
      <w:numFmt w:val="lowerRoman"/>
      <w:lvlText w:val="%1."/>
      <w:lvlJc w:val="left"/>
      <w:pPr>
        <w:ind w:left="720" w:hanging="360"/>
      </w:pPr>
      <w:rPr>
        <w:rFonts w:hint="default"/>
        <w:b/>
        <w:b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BDD445A"/>
    <w:multiLevelType w:val="hybridMultilevel"/>
    <w:tmpl w:val="F95E491A"/>
    <w:lvl w:ilvl="0" w:tplc="03F2D958">
      <w:start w:val="1"/>
      <w:numFmt w:val="decimal"/>
      <w:lvlText w:val="2.%1."/>
      <w:lvlJc w:val="left"/>
      <w:pPr>
        <w:ind w:left="1440" w:hanging="360"/>
      </w:pPr>
      <w:rPr>
        <w:rFonts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55870A4"/>
    <w:multiLevelType w:val="hybridMultilevel"/>
    <w:tmpl w:val="552CF024"/>
    <w:lvl w:ilvl="0" w:tplc="3678E65E">
      <w:start w:val="1"/>
      <w:numFmt w:val="lowerRoman"/>
      <w:lvlText w:val="%1."/>
      <w:lvlJc w:val="left"/>
      <w:pPr>
        <w:ind w:left="1440" w:hanging="360"/>
      </w:pPr>
      <w:rPr>
        <w:rFonts w:hint="default"/>
        <w:b/>
        <w:bCs/>
        <w:color w:val="auto"/>
        <w:sz w:val="22"/>
        <w:szCs w:val="22"/>
      </w:rPr>
    </w:lvl>
    <w:lvl w:ilvl="1" w:tplc="51300CF2">
      <w:start w:val="1"/>
      <w:numFmt w:val="decimal"/>
      <w:lvlText w:val="%2."/>
      <w:lvlJc w:val="left"/>
      <w:pPr>
        <w:ind w:left="36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90F75C0"/>
    <w:multiLevelType w:val="hybridMultilevel"/>
    <w:tmpl w:val="40660D38"/>
    <w:lvl w:ilvl="0" w:tplc="743E0996">
      <w:start w:val="1"/>
      <w:numFmt w:val="decimal"/>
      <w:lvlText w:val="5.6.5.%1."/>
      <w:lvlJc w:val="left"/>
      <w:pPr>
        <w:ind w:left="720" w:hanging="360"/>
      </w:pPr>
      <w:rPr>
        <w:rFonts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99E0208"/>
    <w:multiLevelType w:val="hybridMultilevel"/>
    <w:tmpl w:val="FAFC433E"/>
    <w:lvl w:ilvl="0" w:tplc="D0D2BEE2">
      <w:start w:val="1"/>
      <w:numFmt w:val="decimal"/>
      <w:lvlText w:val="5.6.%1."/>
      <w:lvlJc w:val="left"/>
      <w:pPr>
        <w:ind w:left="720" w:hanging="360"/>
      </w:pPr>
      <w:rPr>
        <w:rFonts w:hint="default"/>
        <w:color w:val="auto"/>
        <w:sz w:val="22"/>
        <w:szCs w:val="22"/>
      </w:rPr>
    </w:lvl>
    <w:lvl w:ilvl="1" w:tplc="BFE0664C">
      <w:start w:val="1"/>
      <w:numFmt w:val="decimal"/>
      <w:lvlText w:val="5.6.1.%2."/>
      <w:lvlJc w:val="left"/>
      <w:pPr>
        <w:ind w:left="1440" w:hanging="360"/>
      </w:pPr>
      <w:rPr>
        <w:rFonts w:hint="default"/>
        <w:color w:val="auto"/>
        <w:sz w:val="22"/>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AF54F27"/>
    <w:multiLevelType w:val="hybridMultilevel"/>
    <w:tmpl w:val="85E644CA"/>
    <w:lvl w:ilvl="0" w:tplc="3678E65E">
      <w:start w:val="1"/>
      <w:numFmt w:val="lowerRoman"/>
      <w:lvlText w:val="%1."/>
      <w:lvlJc w:val="left"/>
      <w:pPr>
        <w:ind w:left="1440" w:hanging="360"/>
      </w:pPr>
      <w:rPr>
        <w:rFonts w:hint="default"/>
        <w:b/>
        <w:b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B9F5436"/>
    <w:multiLevelType w:val="hybridMultilevel"/>
    <w:tmpl w:val="86F27B78"/>
    <w:lvl w:ilvl="0" w:tplc="9F1A0E96">
      <w:start w:val="1"/>
      <w:numFmt w:val="decimal"/>
      <w:lvlText w:val="2.%1."/>
      <w:lvlJc w:val="left"/>
      <w:pPr>
        <w:ind w:left="720" w:hanging="360"/>
      </w:pPr>
      <w:rPr>
        <w:rFonts w:hint="default"/>
        <w:color w:val="auto"/>
        <w:sz w:val="16"/>
        <w:szCs w:val="24"/>
      </w:rPr>
    </w:lvl>
    <w:lvl w:ilvl="1" w:tplc="34C49732">
      <w:start w:val="1"/>
      <w:numFmt w:val="decimal"/>
      <w:lvlText w:val="2.%2."/>
      <w:lvlJc w:val="left"/>
      <w:pPr>
        <w:ind w:left="1440" w:hanging="360"/>
      </w:pPr>
      <w:rPr>
        <w:rFonts w:hint="default"/>
        <w:color w:val="auto"/>
        <w:sz w:val="22"/>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6"/>
  </w:num>
  <w:num w:numId="3">
    <w:abstractNumId w:val="6"/>
  </w:num>
  <w:num w:numId="4">
    <w:abstractNumId w:val="39"/>
  </w:num>
  <w:num w:numId="5">
    <w:abstractNumId w:val="0"/>
  </w:num>
  <w:num w:numId="6">
    <w:abstractNumId w:val="12"/>
  </w:num>
  <w:num w:numId="7">
    <w:abstractNumId w:val="37"/>
  </w:num>
  <w:num w:numId="8">
    <w:abstractNumId w:val="7"/>
  </w:num>
  <w:num w:numId="9">
    <w:abstractNumId w:val="24"/>
  </w:num>
  <w:num w:numId="10">
    <w:abstractNumId w:val="8"/>
  </w:num>
  <w:num w:numId="11">
    <w:abstractNumId w:val="36"/>
  </w:num>
  <w:num w:numId="12">
    <w:abstractNumId w:val="31"/>
  </w:num>
  <w:num w:numId="13">
    <w:abstractNumId w:val="10"/>
  </w:num>
  <w:num w:numId="14">
    <w:abstractNumId w:val="17"/>
  </w:num>
  <w:num w:numId="15">
    <w:abstractNumId w:val="29"/>
  </w:num>
  <w:num w:numId="16">
    <w:abstractNumId w:val="35"/>
  </w:num>
  <w:num w:numId="17">
    <w:abstractNumId w:val="2"/>
  </w:num>
  <w:num w:numId="18">
    <w:abstractNumId w:val="5"/>
  </w:num>
  <w:num w:numId="19">
    <w:abstractNumId w:val="34"/>
  </w:num>
  <w:num w:numId="20">
    <w:abstractNumId w:val="38"/>
  </w:num>
  <w:num w:numId="21">
    <w:abstractNumId w:val="30"/>
  </w:num>
  <w:num w:numId="22">
    <w:abstractNumId w:val="9"/>
  </w:num>
  <w:num w:numId="23">
    <w:abstractNumId w:val="26"/>
  </w:num>
  <w:num w:numId="24">
    <w:abstractNumId w:val="23"/>
  </w:num>
  <w:num w:numId="25">
    <w:abstractNumId w:val="3"/>
  </w:num>
  <w:num w:numId="26">
    <w:abstractNumId w:val="33"/>
  </w:num>
  <w:num w:numId="27">
    <w:abstractNumId w:val="4"/>
  </w:num>
  <w:num w:numId="28">
    <w:abstractNumId w:val="27"/>
  </w:num>
  <w:num w:numId="29">
    <w:abstractNumId w:val="11"/>
  </w:num>
  <w:num w:numId="30">
    <w:abstractNumId w:val="13"/>
  </w:num>
  <w:num w:numId="31">
    <w:abstractNumId w:val="18"/>
  </w:num>
  <w:num w:numId="32">
    <w:abstractNumId w:val="19"/>
  </w:num>
  <w:num w:numId="33">
    <w:abstractNumId w:val="32"/>
  </w:num>
  <w:num w:numId="34">
    <w:abstractNumId w:val="1"/>
  </w:num>
  <w:num w:numId="35">
    <w:abstractNumId w:val="22"/>
  </w:num>
  <w:num w:numId="36">
    <w:abstractNumId w:val="21"/>
  </w:num>
  <w:num w:numId="37">
    <w:abstractNumId w:val="28"/>
  </w:num>
  <w:num w:numId="38">
    <w:abstractNumId w:val="25"/>
  </w:num>
  <w:num w:numId="39">
    <w:abstractNumId w:val="14"/>
  </w:num>
  <w:num w:numId="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21A"/>
    <w:rsid w:val="002267B3"/>
    <w:rsid w:val="003C41EB"/>
    <w:rsid w:val="003E0C57"/>
    <w:rsid w:val="00483F4E"/>
    <w:rsid w:val="005A2A6A"/>
    <w:rsid w:val="00645DBF"/>
    <w:rsid w:val="006E3A5C"/>
    <w:rsid w:val="00740633"/>
    <w:rsid w:val="007B521A"/>
    <w:rsid w:val="008F0446"/>
    <w:rsid w:val="009B15FB"/>
    <w:rsid w:val="009B28D4"/>
    <w:rsid w:val="009C7A30"/>
    <w:rsid w:val="009E29D9"/>
    <w:rsid w:val="00BB5453"/>
    <w:rsid w:val="00C66133"/>
    <w:rsid w:val="00CC0DC8"/>
    <w:rsid w:val="00D330E5"/>
    <w:rsid w:val="00DD4F88"/>
    <w:rsid w:val="00E006A4"/>
    <w:rsid w:val="00E17523"/>
    <w:rsid w:val="00E200FF"/>
    <w:rsid w:val="00E80927"/>
    <w:rsid w:val="00EA258D"/>
    <w:rsid w:val="00ED78BC"/>
    <w:rsid w:val="00FC3C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B76155-7A17-44EA-9DB6-28BAE8A4A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7B521A"/>
  </w:style>
  <w:style w:type="paragraph" w:styleId="ListParagraph">
    <w:name w:val="List Paragraph"/>
    <w:aliases w:val="Citation List,References,List_Paragraph,Multilevel para_II,List Paragraph1,Resume Title,Paragraph,List Paragraph (numbered (a)),ReferencesCxSpLast,lp1,Colorful List - Accent 12,NumberedParas,Akapit z listą BS,List Paragraph 1,Bullets"/>
    <w:basedOn w:val="Normal"/>
    <w:link w:val="ListParagraphChar"/>
    <w:uiPriority w:val="34"/>
    <w:qFormat/>
    <w:rsid w:val="007B521A"/>
    <w:pPr>
      <w:spacing w:before="240"/>
      <w:ind w:left="720"/>
      <w:contextualSpacing/>
    </w:pPr>
    <w:rPr>
      <w:rFonts w:ascii="Arial" w:eastAsia="Calibri" w:hAnsi="Arial" w:cs="Arial"/>
      <w:lang w:val="en-GB"/>
    </w:rPr>
  </w:style>
  <w:style w:type="character" w:customStyle="1" w:styleId="ListParagraphChar">
    <w:name w:val="List Paragraph Char"/>
    <w:aliases w:val="Citation List Char,References Char,List_Paragraph Char,Multilevel para_II Char,List Paragraph1 Char,Resume Title Char,Paragraph Char,List Paragraph (numbered (a)) Char,ReferencesCxSpLast Char,lp1 Char,Colorful List - Accent 12 Char"/>
    <w:basedOn w:val="DefaultParagraphFont"/>
    <w:link w:val="ListParagraph"/>
    <w:uiPriority w:val="34"/>
    <w:rsid w:val="007B521A"/>
    <w:rPr>
      <w:rFonts w:ascii="Arial" w:eastAsia="Calibri" w:hAnsi="Arial" w:cs="Arial"/>
      <w:lang w:val="en-GB"/>
    </w:rPr>
  </w:style>
  <w:style w:type="character" w:styleId="CommentReference">
    <w:name w:val="annotation reference"/>
    <w:basedOn w:val="DefaultParagraphFont"/>
    <w:uiPriority w:val="99"/>
    <w:semiHidden/>
    <w:unhideWhenUsed/>
    <w:rsid w:val="007B521A"/>
    <w:rPr>
      <w:sz w:val="16"/>
      <w:szCs w:val="16"/>
    </w:rPr>
  </w:style>
  <w:style w:type="paragraph" w:styleId="CommentText">
    <w:name w:val="annotation text"/>
    <w:basedOn w:val="Normal"/>
    <w:link w:val="CommentTextChar"/>
    <w:uiPriority w:val="99"/>
    <w:semiHidden/>
    <w:unhideWhenUsed/>
    <w:rsid w:val="007B521A"/>
    <w:pPr>
      <w:spacing w:line="240" w:lineRule="auto"/>
    </w:pPr>
    <w:rPr>
      <w:rFonts w:eastAsia="MS Mincho"/>
      <w:sz w:val="20"/>
      <w:szCs w:val="20"/>
    </w:rPr>
  </w:style>
  <w:style w:type="character" w:customStyle="1" w:styleId="CommentTextChar">
    <w:name w:val="Comment Text Char"/>
    <w:basedOn w:val="DefaultParagraphFont"/>
    <w:link w:val="CommentText"/>
    <w:uiPriority w:val="99"/>
    <w:semiHidden/>
    <w:rsid w:val="007B521A"/>
    <w:rPr>
      <w:rFonts w:eastAsia="MS Mincho"/>
      <w:sz w:val="20"/>
      <w:szCs w:val="20"/>
      <w:lang w:val="sq-AL"/>
    </w:rPr>
  </w:style>
  <w:style w:type="paragraph" w:styleId="CommentSubject">
    <w:name w:val="annotation subject"/>
    <w:basedOn w:val="CommentText"/>
    <w:next w:val="CommentText"/>
    <w:link w:val="CommentSubjectChar"/>
    <w:uiPriority w:val="99"/>
    <w:semiHidden/>
    <w:unhideWhenUsed/>
    <w:rsid w:val="007B521A"/>
    <w:rPr>
      <w:b/>
      <w:bCs/>
    </w:rPr>
  </w:style>
  <w:style w:type="character" w:customStyle="1" w:styleId="CommentSubjectChar">
    <w:name w:val="Comment Subject Char"/>
    <w:basedOn w:val="CommentTextChar"/>
    <w:link w:val="CommentSubject"/>
    <w:uiPriority w:val="99"/>
    <w:semiHidden/>
    <w:rsid w:val="007B521A"/>
    <w:rPr>
      <w:rFonts w:eastAsia="MS Mincho"/>
      <w:b/>
      <w:bCs/>
      <w:sz w:val="20"/>
      <w:szCs w:val="20"/>
      <w:lang w:val="sq-AL"/>
    </w:rPr>
  </w:style>
  <w:style w:type="paragraph" w:styleId="BalloonText">
    <w:name w:val="Balloon Text"/>
    <w:basedOn w:val="Normal"/>
    <w:link w:val="BalloonTextChar"/>
    <w:uiPriority w:val="99"/>
    <w:semiHidden/>
    <w:unhideWhenUsed/>
    <w:rsid w:val="007B521A"/>
    <w:pPr>
      <w:spacing w:after="0" w:line="240" w:lineRule="auto"/>
    </w:pPr>
    <w:rPr>
      <w:rFonts w:ascii="Segoe UI" w:eastAsia="MS Mincho" w:hAnsi="Segoe UI" w:cs="Segoe UI"/>
      <w:sz w:val="18"/>
      <w:szCs w:val="18"/>
    </w:rPr>
  </w:style>
  <w:style w:type="character" w:customStyle="1" w:styleId="BalloonTextChar">
    <w:name w:val="Balloon Text Char"/>
    <w:basedOn w:val="DefaultParagraphFont"/>
    <w:link w:val="BalloonText"/>
    <w:uiPriority w:val="99"/>
    <w:semiHidden/>
    <w:rsid w:val="007B521A"/>
    <w:rPr>
      <w:rFonts w:ascii="Segoe UI" w:eastAsia="MS Mincho" w:hAnsi="Segoe UI" w:cs="Segoe UI"/>
      <w:sz w:val="18"/>
      <w:szCs w:val="18"/>
      <w:lang w:val="sq-AL"/>
    </w:rPr>
  </w:style>
  <w:style w:type="paragraph" w:customStyle="1" w:styleId="title-article-norm">
    <w:name w:val="title-article-norm"/>
    <w:basedOn w:val="Normal"/>
    <w:rsid w:val="007B52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
    <w:name w:val="norm"/>
    <w:basedOn w:val="Normal"/>
    <w:rsid w:val="007B52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odref">
    <w:name w:val="modref"/>
    <w:basedOn w:val="Normal"/>
    <w:rsid w:val="007B521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B521A"/>
    <w:rPr>
      <w:color w:val="0000FF"/>
      <w:u w:val="single"/>
    </w:rPr>
  </w:style>
  <w:style w:type="character" w:customStyle="1" w:styleId="no-parag">
    <w:name w:val="no-parag"/>
    <w:basedOn w:val="DefaultParagraphFont"/>
    <w:rsid w:val="007B521A"/>
  </w:style>
  <w:style w:type="paragraph" w:styleId="NormalWeb">
    <w:name w:val="Normal (Web)"/>
    <w:basedOn w:val="Normal"/>
    <w:uiPriority w:val="99"/>
    <w:semiHidden/>
    <w:unhideWhenUsed/>
    <w:rsid w:val="007B52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division-1">
    <w:name w:val="title-division-1"/>
    <w:basedOn w:val="Normal"/>
    <w:rsid w:val="007B52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xpanded">
    <w:name w:val="expanded"/>
    <w:basedOn w:val="DefaultParagraphFont"/>
    <w:rsid w:val="007B521A"/>
  </w:style>
  <w:style w:type="paragraph" w:customStyle="1" w:styleId="title-division-2">
    <w:name w:val="title-division-2"/>
    <w:basedOn w:val="Normal"/>
    <w:rsid w:val="007B52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annex-1">
    <w:name w:val="title-annex-1"/>
    <w:basedOn w:val="Normal"/>
    <w:rsid w:val="007B52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annex-2">
    <w:name w:val="title-annex-2"/>
    <w:basedOn w:val="Normal"/>
    <w:rsid w:val="007B52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rsid w:val="007B52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d-column">
    <w:name w:val="hd-column"/>
    <w:basedOn w:val="Normal"/>
    <w:rsid w:val="007B52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DefaultParagraphFont"/>
    <w:rsid w:val="007B521A"/>
  </w:style>
  <w:style w:type="paragraph" w:customStyle="1" w:styleId="Normal1">
    <w:name w:val="Normal1"/>
    <w:basedOn w:val="Normal"/>
    <w:rsid w:val="007B52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rsid w:val="007B521A"/>
  </w:style>
  <w:style w:type="paragraph" w:customStyle="1" w:styleId="inline-element">
    <w:name w:val="inline-element"/>
    <w:basedOn w:val="Normal"/>
    <w:rsid w:val="007B52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1">
    <w:name w:val="title-gr-seq-level-1"/>
    <w:basedOn w:val="Normal"/>
    <w:rsid w:val="007B52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DefaultParagraphFont"/>
    <w:rsid w:val="007B521A"/>
  </w:style>
  <w:style w:type="paragraph" w:customStyle="1" w:styleId="title-gr-seq-level-2">
    <w:name w:val="title-gr-seq-level-2"/>
    <w:basedOn w:val="Normal"/>
    <w:rsid w:val="007B52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article-quoted">
    <w:name w:val="title-article-quoted"/>
    <w:basedOn w:val="Normal"/>
    <w:rsid w:val="007B52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left">
    <w:name w:val="tbl-left"/>
    <w:basedOn w:val="Normal"/>
    <w:rsid w:val="007B52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none">
    <w:name w:val="item-none"/>
    <w:basedOn w:val="Normal"/>
    <w:rsid w:val="007B521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B521A"/>
    <w:pPr>
      <w:tabs>
        <w:tab w:val="center" w:pos="4536"/>
        <w:tab w:val="right" w:pos="9072"/>
      </w:tabs>
      <w:spacing w:after="0" w:line="240" w:lineRule="auto"/>
    </w:pPr>
    <w:rPr>
      <w:rFonts w:eastAsia="MS Mincho"/>
    </w:rPr>
  </w:style>
  <w:style w:type="character" w:customStyle="1" w:styleId="HeaderChar">
    <w:name w:val="Header Char"/>
    <w:basedOn w:val="DefaultParagraphFont"/>
    <w:link w:val="Header"/>
    <w:uiPriority w:val="99"/>
    <w:rsid w:val="007B521A"/>
    <w:rPr>
      <w:rFonts w:eastAsia="MS Mincho"/>
      <w:lang w:val="sq-AL"/>
    </w:rPr>
  </w:style>
  <w:style w:type="paragraph" w:styleId="Footer">
    <w:name w:val="footer"/>
    <w:basedOn w:val="Normal"/>
    <w:link w:val="FooterChar"/>
    <w:uiPriority w:val="99"/>
    <w:unhideWhenUsed/>
    <w:rsid w:val="007B521A"/>
    <w:pPr>
      <w:tabs>
        <w:tab w:val="center" w:pos="4536"/>
        <w:tab w:val="right" w:pos="9072"/>
      </w:tabs>
      <w:spacing w:after="0" w:line="240" w:lineRule="auto"/>
    </w:pPr>
    <w:rPr>
      <w:rFonts w:eastAsia="MS Mincho"/>
    </w:rPr>
  </w:style>
  <w:style w:type="character" w:customStyle="1" w:styleId="FooterChar">
    <w:name w:val="Footer Char"/>
    <w:basedOn w:val="DefaultParagraphFont"/>
    <w:link w:val="Footer"/>
    <w:uiPriority w:val="99"/>
    <w:rsid w:val="007B521A"/>
    <w:rPr>
      <w:rFonts w:eastAsia="MS Mincho"/>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C5781F-CFFC-4C7F-BD0F-4DFE0017E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3815</Words>
  <Characters>21747</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Ardita Blaku</dc:creator>
  <cp:keywords/>
  <dc:description/>
  <cp:lastModifiedBy>Bahrije Berisha</cp:lastModifiedBy>
  <cp:revision>4</cp:revision>
  <dcterms:created xsi:type="dcterms:W3CDTF">2023-09-22T07:04:00Z</dcterms:created>
  <dcterms:modified xsi:type="dcterms:W3CDTF">2023-09-29T09:44:00Z</dcterms:modified>
</cp:coreProperties>
</file>