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3AE" w:rsidRPr="009C038A" w:rsidRDefault="00EE23AE" w:rsidP="009C038A">
      <w:pPr>
        <w:spacing w:after="0" w:line="240" w:lineRule="auto"/>
        <w:jc w:val="center"/>
        <w:rPr>
          <w:rFonts w:ascii="Times New Roman" w:eastAsia="Times New Roman" w:hAnsi="Times New Roman" w:cs="Times New Roman"/>
          <w:b/>
          <w:bCs/>
          <w:color w:val="000000" w:themeColor="text1"/>
          <w:sz w:val="24"/>
          <w:szCs w:val="24"/>
        </w:rPr>
      </w:pPr>
      <w:r w:rsidRPr="009C038A">
        <w:rPr>
          <w:rFonts w:ascii="Times New Roman" w:eastAsia="MS Mincho" w:hAnsi="Times New Roman" w:cs="Times New Roman"/>
          <w:noProof/>
          <w:color w:val="000000" w:themeColor="text1"/>
          <w:sz w:val="24"/>
          <w:szCs w:val="24"/>
          <w:lang w:val="en-US"/>
        </w:rPr>
        <w:drawing>
          <wp:inline distT="0" distB="0" distL="0" distR="0" wp14:anchorId="68F88660" wp14:editId="2147ECF7">
            <wp:extent cx="971550" cy="1000125"/>
            <wp:effectExtent l="0" t="0" r="0" b="9525"/>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00125"/>
                    </a:xfrm>
                    <a:prstGeom prst="rect">
                      <a:avLst/>
                    </a:prstGeom>
                    <a:noFill/>
                    <a:ln>
                      <a:noFill/>
                    </a:ln>
                  </pic:spPr>
                </pic:pic>
              </a:graphicData>
            </a:graphic>
          </wp:inline>
        </w:drawing>
      </w:r>
    </w:p>
    <w:p w:rsidR="00EE23AE" w:rsidRPr="009C038A" w:rsidRDefault="00EE23AE" w:rsidP="009C038A">
      <w:pPr>
        <w:spacing w:after="0" w:line="240" w:lineRule="auto"/>
        <w:jc w:val="center"/>
        <w:rPr>
          <w:rFonts w:ascii="Times New Roman" w:eastAsia="Batang" w:hAnsi="Times New Roman" w:cs="Times New Roman"/>
          <w:b/>
          <w:bCs/>
          <w:color w:val="000000" w:themeColor="text1"/>
          <w:sz w:val="24"/>
          <w:szCs w:val="24"/>
        </w:rPr>
      </w:pPr>
      <w:r w:rsidRPr="009C038A">
        <w:rPr>
          <w:rFonts w:ascii="Times New Roman" w:eastAsia="Times New Roman" w:hAnsi="Times New Roman" w:cs="Times New Roman"/>
          <w:b/>
          <w:bCs/>
          <w:color w:val="000000" w:themeColor="text1"/>
          <w:sz w:val="24"/>
          <w:szCs w:val="24"/>
        </w:rPr>
        <w:t>Republika e Kosovës</w:t>
      </w:r>
    </w:p>
    <w:p w:rsidR="00EE23AE" w:rsidRPr="009C038A" w:rsidRDefault="00EE23AE" w:rsidP="009C038A">
      <w:pPr>
        <w:spacing w:after="0" w:line="240" w:lineRule="auto"/>
        <w:jc w:val="center"/>
        <w:rPr>
          <w:rFonts w:ascii="Times New Roman" w:eastAsia="Times New Roman" w:hAnsi="Times New Roman" w:cs="Times New Roman"/>
          <w:b/>
          <w:bCs/>
          <w:color w:val="000000" w:themeColor="text1"/>
          <w:sz w:val="24"/>
          <w:szCs w:val="24"/>
        </w:rPr>
      </w:pPr>
      <w:proofErr w:type="spellStart"/>
      <w:r w:rsidRPr="009C038A">
        <w:rPr>
          <w:rFonts w:ascii="Times New Roman" w:eastAsia="Times New Roman" w:hAnsi="Times New Roman" w:cs="Times New Roman"/>
          <w:b/>
          <w:bCs/>
          <w:color w:val="000000" w:themeColor="text1"/>
          <w:sz w:val="24"/>
          <w:szCs w:val="24"/>
        </w:rPr>
        <w:t>Republic</w:t>
      </w:r>
      <w:proofErr w:type="spellEnd"/>
      <w:r w:rsidRPr="009C038A">
        <w:rPr>
          <w:rFonts w:ascii="Times New Roman" w:eastAsia="Times New Roman" w:hAnsi="Times New Roman" w:cs="Times New Roman"/>
          <w:b/>
          <w:bCs/>
          <w:color w:val="000000" w:themeColor="text1"/>
          <w:sz w:val="24"/>
          <w:szCs w:val="24"/>
        </w:rPr>
        <w:t xml:space="preserve"> </w:t>
      </w:r>
      <w:proofErr w:type="spellStart"/>
      <w:r w:rsidRPr="009C038A">
        <w:rPr>
          <w:rFonts w:ascii="Times New Roman" w:eastAsia="Times New Roman" w:hAnsi="Times New Roman" w:cs="Times New Roman"/>
          <w:b/>
          <w:bCs/>
          <w:color w:val="000000" w:themeColor="text1"/>
          <w:sz w:val="24"/>
          <w:szCs w:val="24"/>
        </w:rPr>
        <w:t>of</w:t>
      </w:r>
      <w:proofErr w:type="spellEnd"/>
      <w:r w:rsidRPr="009C038A">
        <w:rPr>
          <w:rFonts w:ascii="Times New Roman" w:eastAsia="Times New Roman" w:hAnsi="Times New Roman" w:cs="Times New Roman"/>
          <w:b/>
          <w:bCs/>
          <w:color w:val="000000" w:themeColor="text1"/>
          <w:sz w:val="24"/>
          <w:szCs w:val="24"/>
        </w:rPr>
        <w:t xml:space="preserve"> </w:t>
      </w:r>
      <w:proofErr w:type="spellStart"/>
      <w:r w:rsidRPr="009C038A">
        <w:rPr>
          <w:rFonts w:ascii="Times New Roman" w:eastAsia="Times New Roman" w:hAnsi="Times New Roman" w:cs="Times New Roman"/>
          <w:b/>
          <w:bCs/>
          <w:color w:val="000000" w:themeColor="text1"/>
          <w:sz w:val="24"/>
          <w:szCs w:val="24"/>
        </w:rPr>
        <w:t>Kosovo</w:t>
      </w:r>
      <w:proofErr w:type="spellEnd"/>
      <w:r w:rsidRPr="009C038A">
        <w:rPr>
          <w:rFonts w:ascii="Times New Roman" w:eastAsia="Times New Roman" w:hAnsi="Times New Roman" w:cs="Times New Roman"/>
          <w:b/>
          <w:bCs/>
          <w:color w:val="000000" w:themeColor="text1"/>
          <w:sz w:val="24"/>
          <w:szCs w:val="24"/>
        </w:rPr>
        <w:t xml:space="preserve"> -</w:t>
      </w:r>
      <w:r w:rsidRPr="009C038A">
        <w:rPr>
          <w:rFonts w:ascii="Times New Roman" w:eastAsia="Batang" w:hAnsi="Times New Roman" w:cs="Times New Roman"/>
          <w:b/>
          <w:bCs/>
          <w:color w:val="000000" w:themeColor="text1"/>
          <w:sz w:val="24"/>
          <w:szCs w:val="24"/>
        </w:rPr>
        <w:t xml:space="preserve"> Republika Kosova</w:t>
      </w:r>
    </w:p>
    <w:p w:rsidR="00EE23AE" w:rsidRPr="009C038A" w:rsidRDefault="00EE23AE" w:rsidP="009C038A">
      <w:pPr>
        <w:spacing w:after="0" w:line="240" w:lineRule="auto"/>
        <w:jc w:val="center"/>
        <w:rPr>
          <w:rFonts w:ascii="Times New Roman" w:eastAsia="MS Mincho" w:hAnsi="Times New Roman" w:cs="Times New Roman"/>
          <w:b/>
          <w:bCs/>
          <w:i/>
          <w:iCs/>
          <w:color w:val="000000" w:themeColor="text1"/>
          <w:sz w:val="24"/>
          <w:szCs w:val="24"/>
        </w:rPr>
      </w:pPr>
      <w:r w:rsidRPr="009C038A">
        <w:rPr>
          <w:rFonts w:ascii="Times New Roman" w:eastAsia="MS Mincho" w:hAnsi="Times New Roman" w:cs="Times New Roman"/>
          <w:b/>
          <w:bCs/>
          <w:i/>
          <w:iCs/>
          <w:color w:val="000000" w:themeColor="text1"/>
          <w:sz w:val="24"/>
          <w:szCs w:val="24"/>
        </w:rPr>
        <w:t xml:space="preserve">Qeveria- </w:t>
      </w:r>
      <w:proofErr w:type="spellStart"/>
      <w:r w:rsidRPr="009C038A">
        <w:rPr>
          <w:rFonts w:ascii="Times New Roman" w:eastAsia="MS Mincho" w:hAnsi="Times New Roman" w:cs="Times New Roman"/>
          <w:b/>
          <w:bCs/>
          <w:i/>
          <w:iCs/>
          <w:color w:val="000000" w:themeColor="text1"/>
          <w:sz w:val="24"/>
          <w:szCs w:val="24"/>
        </w:rPr>
        <w:t>Government</w:t>
      </w:r>
      <w:proofErr w:type="spellEnd"/>
      <w:r w:rsidRPr="009C038A">
        <w:rPr>
          <w:rFonts w:ascii="Times New Roman" w:eastAsia="MS Mincho" w:hAnsi="Times New Roman" w:cs="Times New Roman"/>
          <w:b/>
          <w:bCs/>
          <w:i/>
          <w:iCs/>
          <w:color w:val="000000" w:themeColor="text1"/>
          <w:sz w:val="24"/>
          <w:szCs w:val="24"/>
        </w:rPr>
        <w:t xml:space="preserve"> -</w:t>
      </w:r>
      <w:proofErr w:type="spellStart"/>
      <w:r w:rsidRPr="009C038A">
        <w:rPr>
          <w:rFonts w:ascii="Times New Roman" w:eastAsia="MS Mincho" w:hAnsi="Times New Roman" w:cs="Times New Roman"/>
          <w:b/>
          <w:bCs/>
          <w:i/>
          <w:iCs/>
          <w:color w:val="000000" w:themeColor="text1"/>
          <w:sz w:val="24"/>
          <w:szCs w:val="24"/>
        </w:rPr>
        <w:t>Vlada</w:t>
      </w:r>
      <w:proofErr w:type="spellEnd"/>
    </w:p>
    <w:p w:rsidR="00EE23AE" w:rsidRPr="009C038A" w:rsidRDefault="00EE23AE" w:rsidP="009C038A">
      <w:pPr>
        <w:spacing w:after="0" w:line="240" w:lineRule="auto"/>
        <w:jc w:val="center"/>
        <w:rPr>
          <w:rFonts w:ascii="Times New Roman" w:eastAsia="Times New Roman" w:hAnsi="Times New Roman" w:cs="Times New Roman"/>
          <w:bCs/>
          <w:i/>
          <w:iCs/>
          <w:color w:val="000000" w:themeColor="text1"/>
          <w:sz w:val="24"/>
          <w:szCs w:val="24"/>
        </w:rPr>
      </w:pPr>
      <w:r w:rsidRPr="009C038A">
        <w:rPr>
          <w:rFonts w:ascii="Times New Roman" w:eastAsia="Times New Roman" w:hAnsi="Times New Roman" w:cs="Times New Roman"/>
          <w:bCs/>
          <w:i/>
          <w:iCs/>
          <w:color w:val="000000" w:themeColor="text1"/>
          <w:sz w:val="24"/>
          <w:szCs w:val="24"/>
        </w:rPr>
        <w:t xml:space="preserve">Ministria e Financave </w:t>
      </w:r>
      <w:proofErr w:type="spellStart"/>
      <w:r w:rsidRPr="009C038A">
        <w:rPr>
          <w:rFonts w:ascii="Times New Roman" w:eastAsia="Times New Roman" w:hAnsi="Times New Roman" w:cs="Times New Roman"/>
          <w:bCs/>
          <w:i/>
          <w:iCs/>
          <w:color w:val="000000" w:themeColor="text1"/>
          <w:sz w:val="24"/>
          <w:szCs w:val="24"/>
        </w:rPr>
        <w:t>Ministry</w:t>
      </w:r>
      <w:proofErr w:type="spellEnd"/>
      <w:r w:rsidRPr="009C038A">
        <w:rPr>
          <w:rFonts w:ascii="Times New Roman" w:eastAsia="Times New Roman" w:hAnsi="Times New Roman" w:cs="Times New Roman"/>
          <w:bCs/>
          <w:i/>
          <w:iCs/>
          <w:color w:val="000000" w:themeColor="text1"/>
          <w:sz w:val="24"/>
          <w:szCs w:val="24"/>
        </w:rPr>
        <w:t xml:space="preserve"> </w:t>
      </w:r>
      <w:proofErr w:type="spellStart"/>
      <w:r w:rsidRPr="009C038A">
        <w:rPr>
          <w:rFonts w:ascii="Times New Roman" w:eastAsia="Times New Roman" w:hAnsi="Times New Roman" w:cs="Times New Roman"/>
          <w:bCs/>
          <w:i/>
          <w:iCs/>
          <w:color w:val="000000" w:themeColor="text1"/>
          <w:sz w:val="24"/>
          <w:szCs w:val="24"/>
        </w:rPr>
        <w:t>of</w:t>
      </w:r>
      <w:proofErr w:type="spellEnd"/>
      <w:r w:rsidRPr="009C038A">
        <w:rPr>
          <w:rFonts w:ascii="Times New Roman" w:eastAsia="Times New Roman" w:hAnsi="Times New Roman" w:cs="Times New Roman"/>
          <w:bCs/>
          <w:i/>
          <w:iCs/>
          <w:color w:val="000000" w:themeColor="text1"/>
          <w:sz w:val="24"/>
          <w:szCs w:val="24"/>
        </w:rPr>
        <w:t xml:space="preserve"> Finance</w:t>
      </w:r>
    </w:p>
    <w:p w:rsidR="00EE23AE" w:rsidRPr="009C038A" w:rsidRDefault="00EE23AE" w:rsidP="009C038A">
      <w:pPr>
        <w:pBdr>
          <w:bottom w:val="single" w:sz="6" w:space="1" w:color="auto"/>
        </w:pBdr>
        <w:spacing w:line="240" w:lineRule="auto"/>
        <w:jc w:val="center"/>
        <w:rPr>
          <w:rFonts w:ascii="Times New Roman" w:eastAsia="Times New Roman" w:hAnsi="Times New Roman" w:cs="Times New Roman"/>
          <w:bCs/>
          <w:i/>
          <w:iCs/>
          <w:color w:val="000000" w:themeColor="text1"/>
          <w:sz w:val="24"/>
          <w:szCs w:val="24"/>
        </w:rPr>
      </w:pPr>
      <w:proofErr w:type="spellStart"/>
      <w:r w:rsidRPr="009C038A">
        <w:rPr>
          <w:rFonts w:ascii="Times New Roman" w:eastAsia="Times New Roman" w:hAnsi="Times New Roman" w:cs="Times New Roman"/>
          <w:bCs/>
          <w:i/>
          <w:iCs/>
          <w:color w:val="000000" w:themeColor="text1"/>
          <w:sz w:val="24"/>
          <w:szCs w:val="24"/>
        </w:rPr>
        <w:t>Ministarstvo</w:t>
      </w:r>
      <w:proofErr w:type="spellEnd"/>
      <w:r w:rsidRPr="009C038A">
        <w:rPr>
          <w:rFonts w:ascii="Times New Roman" w:eastAsia="Times New Roman" w:hAnsi="Times New Roman" w:cs="Times New Roman"/>
          <w:bCs/>
          <w:i/>
          <w:iCs/>
          <w:color w:val="000000" w:themeColor="text1"/>
          <w:sz w:val="24"/>
          <w:szCs w:val="24"/>
        </w:rPr>
        <w:t xml:space="preserve"> </w:t>
      </w:r>
      <w:proofErr w:type="spellStart"/>
      <w:r w:rsidRPr="009C038A">
        <w:rPr>
          <w:rFonts w:ascii="Times New Roman" w:eastAsia="Times New Roman" w:hAnsi="Times New Roman" w:cs="Times New Roman"/>
          <w:bCs/>
          <w:i/>
          <w:iCs/>
          <w:color w:val="000000" w:themeColor="text1"/>
          <w:sz w:val="24"/>
          <w:szCs w:val="24"/>
        </w:rPr>
        <w:t>Finansije</w:t>
      </w:r>
      <w:proofErr w:type="spellEnd"/>
    </w:p>
    <w:p w:rsidR="00D03214" w:rsidRPr="009C038A" w:rsidRDefault="00D03214" w:rsidP="009C038A">
      <w:pPr>
        <w:spacing w:line="240" w:lineRule="auto"/>
        <w:jc w:val="center"/>
        <w:rPr>
          <w:rFonts w:ascii="Times New Roman" w:hAnsi="Times New Roman" w:cs="Times New Roman"/>
          <w:color w:val="000000" w:themeColor="text1"/>
          <w:sz w:val="24"/>
          <w:szCs w:val="24"/>
        </w:rPr>
      </w:pPr>
    </w:p>
    <w:p w:rsidR="007F0376" w:rsidRPr="00D03214" w:rsidRDefault="00D421BD" w:rsidP="0077497A">
      <w:pPr>
        <w:spacing w:after="0"/>
        <w:jc w:val="center"/>
        <w:rPr>
          <w:rFonts w:ascii="Book Antiqua" w:hAnsi="Book Antiqua" w:cs="Times New Roman"/>
          <w:b/>
          <w:sz w:val="24"/>
          <w:szCs w:val="24"/>
        </w:rPr>
      </w:pPr>
      <w:r w:rsidRPr="00D03214">
        <w:rPr>
          <w:rFonts w:ascii="Book Antiqua" w:hAnsi="Book Antiqua" w:cs="Times New Roman"/>
          <w:b/>
          <w:bCs/>
          <w:color w:val="000000" w:themeColor="text1"/>
          <w:sz w:val="24"/>
          <w:szCs w:val="24"/>
        </w:rPr>
        <w:t>DOKUMENT</w:t>
      </w:r>
      <w:r w:rsidR="00EE23AE" w:rsidRPr="00D03214">
        <w:rPr>
          <w:rFonts w:ascii="Book Antiqua" w:hAnsi="Book Antiqua" w:cs="Times New Roman"/>
          <w:b/>
          <w:bCs/>
          <w:color w:val="000000" w:themeColor="text1"/>
          <w:sz w:val="24"/>
          <w:szCs w:val="24"/>
        </w:rPr>
        <w:t xml:space="preserve"> SHPJEGUES PËR</w:t>
      </w:r>
      <w:r w:rsidR="00974132" w:rsidRPr="00D03214">
        <w:rPr>
          <w:rFonts w:ascii="Book Antiqua" w:hAnsi="Book Antiqua" w:cs="Times New Roman"/>
          <w:b/>
          <w:bCs/>
          <w:color w:val="000000" w:themeColor="text1"/>
          <w:sz w:val="24"/>
          <w:szCs w:val="24"/>
        </w:rPr>
        <w:t xml:space="preserve"> </w:t>
      </w:r>
      <w:r w:rsidR="007F0376" w:rsidRPr="00D03214">
        <w:rPr>
          <w:rFonts w:ascii="Book Antiqua" w:hAnsi="Book Antiqua" w:cs="Times New Roman"/>
          <w:b/>
          <w:sz w:val="24"/>
          <w:szCs w:val="24"/>
        </w:rPr>
        <w:t xml:space="preserve">PROJEKTLIGJ PËR </w:t>
      </w:r>
      <w:r w:rsidR="00D03214" w:rsidRPr="00D03214">
        <w:rPr>
          <w:rFonts w:ascii="Book Antiqua" w:hAnsi="Book Antiqua" w:cs="Times New Roman"/>
          <w:b/>
          <w:sz w:val="24"/>
          <w:szCs w:val="24"/>
        </w:rPr>
        <w:t>LOTARINË E REPUBLIKËS SË KOSOVËS</w:t>
      </w:r>
    </w:p>
    <w:p w:rsidR="000F1B5A" w:rsidRPr="00D03214" w:rsidRDefault="00EE23AE" w:rsidP="0077497A">
      <w:pPr>
        <w:autoSpaceDE w:val="0"/>
        <w:autoSpaceDN w:val="0"/>
        <w:adjustRightInd w:val="0"/>
        <w:rPr>
          <w:rFonts w:ascii="Book Antiqua" w:hAnsi="Book Antiqua" w:cs="Times New Roman"/>
          <w:color w:val="000000" w:themeColor="text1"/>
          <w:sz w:val="24"/>
          <w:szCs w:val="24"/>
        </w:rPr>
      </w:pPr>
      <w:r w:rsidRPr="00D03214">
        <w:rPr>
          <w:rFonts w:ascii="Book Antiqua" w:hAnsi="Book Antiqua" w:cs="Times New Roman"/>
          <w:b/>
          <w:bCs/>
          <w:color w:val="000000" w:themeColor="text1"/>
          <w:sz w:val="24"/>
          <w:szCs w:val="24"/>
        </w:rPr>
        <w:t xml:space="preserve"> </w:t>
      </w:r>
    </w:p>
    <w:p w:rsidR="0046655D" w:rsidRPr="00D03214" w:rsidRDefault="0046655D" w:rsidP="0077497A">
      <w:pPr>
        <w:autoSpaceDE w:val="0"/>
        <w:autoSpaceDN w:val="0"/>
        <w:adjustRightInd w:val="0"/>
        <w:spacing w:after="0"/>
        <w:jc w:val="both"/>
        <w:rPr>
          <w:rFonts w:ascii="Book Antiqua" w:hAnsi="Book Antiqua" w:cs="Times New Roman"/>
          <w:b/>
          <w:color w:val="000000" w:themeColor="text1"/>
          <w:sz w:val="24"/>
          <w:szCs w:val="24"/>
        </w:rPr>
      </w:pPr>
      <w:r w:rsidRPr="00D03214">
        <w:rPr>
          <w:rFonts w:ascii="Book Antiqua" w:hAnsi="Book Antiqua" w:cs="Times New Roman"/>
          <w:b/>
          <w:color w:val="000000" w:themeColor="text1"/>
          <w:sz w:val="24"/>
          <w:szCs w:val="24"/>
        </w:rPr>
        <w:t>1. Çështja kryesore e trajtuar</w:t>
      </w:r>
    </w:p>
    <w:p w:rsidR="000F1B5A" w:rsidRPr="009C038A" w:rsidRDefault="000F1B5A" w:rsidP="0077497A">
      <w:pPr>
        <w:autoSpaceDE w:val="0"/>
        <w:autoSpaceDN w:val="0"/>
        <w:adjustRightInd w:val="0"/>
        <w:spacing w:after="0"/>
        <w:jc w:val="both"/>
        <w:rPr>
          <w:rFonts w:ascii="Times New Roman" w:hAnsi="Times New Roman" w:cs="Times New Roman"/>
          <w:b/>
          <w:color w:val="000000" w:themeColor="text1"/>
          <w:sz w:val="24"/>
          <w:szCs w:val="24"/>
        </w:rPr>
      </w:pPr>
    </w:p>
    <w:p w:rsidR="00D03214" w:rsidRDefault="00D03214" w:rsidP="0077497A">
      <w:pPr>
        <w:ind w:firstLine="360"/>
        <w:jc w:val="both"/>
        <w:rPr>
          <w:rFonts w:ascii="Book Antiqua" w:hAnsi="Book Antiqua"/>
          <w:color w:val="000000"/>
          <w:sz w:val="24"/>
          <w:szCs w:val="24"/>
        </w:rPr>
      </w:pPr>
      <w:r w:rsidRPr="00CD6CC9">
        <w:rPr>
          <w:rFonts w:ascii="Book Antiqua" w:hAnsi="Book Antiqua"/>
          <w:color w:val="000000"/>
          <w:sz w:val="24"/>
          <w:szCs w:val="24"/>
        </w:rPr>
        <w:t>Funksionimi i Lotarisë së Kosovës është bërë nëpërmjet Ligji</w:t>
      </w:r>
      <w:r>
        <w:rPr>
          <w:rFonts w:ascii="Book Antiqua" w:hAnsi="Book Antiqua"/>
          <w:color w:val="000000"/>
          <w:sz w:val="24"/>
          <w:szCs w:val="24"/>
        </w:rPr>
        <w:t>t</w:t>
      </w:r>
      <w:r w:rsidRPr="00CD6CC9">
        <w:rPr>
          <w:rFonts w:ascii="Book Antiqua" w:hAnsi="Book Antiqua"/>
          <w:color w:val="000000"/>
          <w:sz w:val="24"/>
          <w:szCs w:val="24"/>
        </w:rPr>
        <w:t xml:space="preserve"> Nr. 04/L-080 për Lojërat e Fatit, që ka plotësuar dhe ndryshuar rregullimet e mëparshme që kanë datuar nga viti 1974. Sipas dispozitave të këtij Ligji, Lotaria e Kosovës ka pasur subjektivitet juridik dhe është menaxhuar nga Bordi </w:t>
      </w:r>
      <w:proofErr w:type="spellStart"/>
      <w:r w:rsidRPr="00CD6CC9">
        <w:rPr>
          <w:rFonts w:ascii="Book Antiqua" w:hAnsi="Book Antiqua"/>
          <w:color w:val="000000"/>
          <w:sz w:val="24"/>
          <w:szCs w:val="24"/>
        </w:rPr>
        <w:t>Menaxhu</w:t>
      </w:r>
      <w:r>
        <w:rPr>
          <w:rFonts w:ascii="Book Antiqua" w:hAnsi="Book Antiqua"/>
          <w:color w:val="000000"/>
          <w:sz w:val="24"/>
          <w:szCs w:val="24"/>
        </w:rPr>
        <w:t>es</w:t>
      </w:r>
      <w:proofErr w:type="spellEnd"/>
      <w:r w:rsidRPr="00CD6CC9">
        <w:rPr>
          <w:rFonts w:ascii="Book Antiqua" w:hAnsi="Book Antiqua"/>
          <w:color w:val="000000"/>
          <w:sz w:val="24"/>
          <w:szCs w:val="24"/>
        </w:rPr>
        <w:t xml:space="preserve"> i Lotarisë. Ndërkohë, Qeveria e Republikës së Kosovës më 02.08.2017 ka miratuar edhe Statutin e Lotarisë së Kosovë, që ka rregulluar çështjet e organizimit të Lotarisë së Kosovës dhe ka përcaktuar që forma e organizimit të jetë si shoqëri aksionare. Më vonë, me datë 28 mars 2019 me miratimin e Ligjit Nr. 06/L-155 për Ndalimin e Lojërave të Fatit, është shfuqizuar Ligji Nr. 04/L-080 për Lojërat e Fatit dhe aktet nënligjore që kanë </w:t>
      </w:r>
      <w:proofErr w:type="spellStart"/>
      <w:r w:rsidRPr="00CD6CC9">
        <w:rPr>
          <w:rFonts w:ascii="Book Antiqua" w:hAnsi="Book Antiqua"/>
          <w:color w:val="000000"/>
          <w:sz w:val="24"/>
          <w:szCs w:val="24"/>
        </w:rPr>
        <w:t>derivuar</w:t>
      </w:r>
      <w:proofErr w:type="spellEnd"/>
      <w:r w:rsidRPr="00CD6CC9">
        <w:rPr>
          <w:rFonts w:ascii="Book Antiqua" w:hAnsi="Book Antiqua"/>
          <w:color w:val="000000"/>
          <w:sz w:val="24"/>
          <w:szCs w:val="24"/>
        </w:rPr>
        <w:t xml:space="preserve"> nga ky Ligj. </w:t>
      </w:r>
    </w:p>
    <w:p w:rsidR="00D03214" w:rsidRPr="00CD6CC9" w:rsidRDefault="00D03214" w:rsidP="0077497A">
      <w:pPr>
        <w:ind w:firstLine="360"/>
        <w:jc w:val="both"/>
        <w:rPr>
          <w:rFonts w:ascii="Book Antiqua" w:hAnsi="Book Antiqua"/>
          <w:color w:val="000000"/>
          <w:sz w:val="24"/>
          <w:szCs w:val="24"/>
        </w:rPr>
      </w:pPr>
      <w:r>
        <w:rPr>
          <w:rFonts w:ascii="Book Antiqua" w:hAnsi="Book Antiqua"/>
          <w:color w:val="000000"/>
          <w:sz w:val="24"/>
          <w:szCs w:val="24"/>
        </w:rPr>
        <w:t>Ky Projektligj parasheh ri themelimin e Lotarisë së Republikës së Kosovës, i cili parashihet të jetë suksesor juridik i Lotarisë së Kosovës, i shuar me Ligjin</w:t>
      </w:r>
      <w:r w:rsidRPr="00CD6CC9">
        <w:rPr>
          <w:rFonts w:ascii="Book Antiqua" w:hAnsi="Book Antiqua"/>
          <w:color w:val="000000"/>
          <w:sz w:val="24"/>
          <w:szCs w:val="24"/>
        </w:rPr>
        <w:t xml:space="preserve"> Nr. 06/L-155 për Ndalimin e Lojërave të Fatit</w:t>
      </w:r>
      <w:r>
        <w:rPr>
          <w:rFonts w:ascii="Book Antiqua" w:hAnsi="Book Antiqua"/>
          <w:color w:val="000000"/>
          <w:sz w:val="24"/>
          <w:szCs w:val="24"/>
        </w:rPr>
        <w:t xml:space="preserve"> .</w:t>
      </w:r>
    </w:p>
    <w:p w:rsidR="0046655D" w:rsidRPr="009C038A" w:rsidRDefault="0046655D" w:rsidP="0077497A">
      <w:pPr>
        <w:spacing w:after="0"/>
        <w:jc w:val="center"/>
        <w:rPr>
          <w:rFonts w:ascii="Times New Roman" w:eastAsia="Times New Roman" w:hAnsi="Times New Roman" w:cs="Times New Roman"/>
          <w:color w:val="000000" w:themeColor="text1"/>
          <w:sz w:val="24"/>
          <w:szCs w:val="24"/>
        </w:rPr>
      </w:pPr>
    </w:p>
    <w:p w:rsidR="00EE23AE" w:rsidRPr="00D03214" w:rsidRDefault="00BF403D" w:rsidP="0077497A">
      <w:pPr>
        <w:spacing w:after="0"/>
        <w:jc w:val="both"/>
        <w:rPr>
          <w:rFonts w:ascii="Book Antiqua" w:hAnsi="Book Antiqua" w:cs="Times New Roman"/>
          <w:b/>
          <w:bCs/>
          <w:color w:val="000000" w:themeColor="text1"/>
          <w:sz w:val="24"/>
          <w:szCs w:val="24"/>
        </w:rPr>
      </w:pPr>
      <w:r w:rsidRPr="00D03214">
        <w:rPr>
          <w:rFonts w:ascii="Book Antiqua" w:hAnsi="Book Antiqua" w:cs="Times New Roman"/>
          <w:b/>
          <w:bCs/>
          <w:color w:val="000000" w:themeColor="text1"/>
          <w:sz w:val="24"/>
          <w:szCs w:val="24"/>
        </w:rPr>
        <w:t>2. Çfar</w:t>
      </w:r>
      <w:r w:rsidR="00654DAA" w:rsidRPr="00D03214">
        <w:rPr>
          <w:rFonts w:ascii="Book Antiqua" w:hAnsi="Book Antiqua" w:cs="Times New Roman"/>
          <w:b/>
          <w:bCs/>
          <w:color w:val="000000" w:themeColor="text1"/>
          <w:sz w:val="24"/>
          <w:szCs w:val="24"/>
        </w:rPr>
        <w:t>ë</w:t>
      </w:r>
      <w:r w:rsidRPr="00D03214">
        <w:rPr>
          <w:rFonts w:ascii="Book Antiqua" w:hAnsi="Book Antiqua" w:cs="Times New Roman"/>
          <w:b/>
          <w:bCs/>
          <w:color w:val="000000" w:themeColor="text1"/>
          <w:sz w:val="24"/>
          <w:szCs w:val="24"/>
        </w:rPr>
        <w:t xml:space="preserve"> plot</w:t>
      </w:r>
      <w:r w:rsidR="00654DAA" w:rsidRPr="00D03214">
        <w:rPr>
          <w:rFonts w:ascii="Book Antiqua" w:hAnsi="Book Antiqua" w:cs="Times New Roman"/>
          <w:b/>
          <w:bCs/>
          <w:color w:val="000000" w:themeColor="text1"/>
          <w:sz w:val="24"/>
          <w:szCs w:val="24"/>
        </w:rPr>
        <w:t>ë</w:t>
      </w:r>
      <w:r w:rsidRPr="00D03214">
        <w:rPr>
          <w:rFonts w:ascii="Book Antiqua" w:hAnsi="Book Antiqua" w:cs="Times New Roman"/>
          <w:b/>
          <w:bCs/>
          <w:color w:val="000000" w:themeColor="text1"/>
          <w:sz w:val="24"/>
          <w:szCs w:val="24"/>
        </w:rPr>
        <w:t>sohet/ndryshohet me k</w:t>
      </w:r>
      <w:r w:rsidR="00654DAA" w:rsidRPr="00D03214">
        <w:rPr>
          <w:rFonts w:ascii="Book Antiqua" w:hAnsi="Book Antiqua" w:cs="Times New Roman"/>
          <w:b/>
          <w:bCs/>
          <w:color w:val="000000" w:themeColor="text1"/>
          <w:sz w:val="24"/>
          <w:szCs w:val="24"/>
        </w:rPr>
        <w:t>ë</w:t>
      </w:r>
      <w:r w:rsidRPr="00D03214">
        <w:rPr>
          <w:rFonts w:ascii="Book Antiqua" w:hAnsi="Book Antiqua" w:cs="Times New Roman"/>
          <w:b/>
          <w:bCs/>
          <w:color w:val="000000" w:themeColor="text1"/>
          <w:sz w:val="24"/>
          <w:szCs w:val="24"/>
        </w:rPr>
        <w:t>t</w:t>
      </w:r>
      <w:r w:rsidR="00654DAA" w:rsidRPr="00D03214">
        <w:rPr>
          <w:rFonts w:ascii="Book Antiqua" w:hAnsi="Book Antiqua" w:cs="Times New Roman"/>
          <w:b/>
          <w:bCs/>
          <w:color w:val="000000" w:themeColor="text1"/>
          <w:sz w:val="24"/>
          <w:szCs w:val="24"/>
        </w:rPr>
        <w:t>ë</w:t>
      </w:r>
      <w:r w:rsidRPr="00D03214">
        <w:rPr>
          <w:rFonts w:ascii="Book Antiqua" w:hAnsi="Book Antiqua" w:cs="Times New Roman"/>
          <w:b/>
          <w:bCs/>
          <w:color w:val="000000" w:themeColor="text1"/>
          <w:sz w:val="24"/>
          <w:szCs w:val="24"/>
        </w:rPr>
        <w:t xml:space="preserve"> </w:t>
      </w:r>
      <w:r w:rsidR="006F6D18" w:rsidRPr="00D03214">
        <w:rPr>
          <w:rFonts w:ascii="Book Antiqua" w:hAnsi="Book Antiqua" w:cs="Times New Roman"/>
          <w:b/>
          <w:bCs/>
          <w:color w:val="000000" w:themeColor="text1"/>
          <w:sz w:val="24"/>
          <w:szCs w:val="24"/>
        </w:rPr>
        <w:t>Projekt</w:t>
      </w:r>
      <w:r w:rsidR="007F0376" w:rsidRPr="00D03214">
        <w:rPr>
          <w:rFonts w:ascii="Book Antiqua" w:hAnsi="Book Antiqua" w:cs="Times New Roman"/>
          <w:b/>
          <w:bCs/>
          <w:color w:val="000000" w:themeColor="text1"/>
          <w:sz w:val="24"/>
          <w:szCs w:val="24"/>
        </w:rPr>
        <w:t>ligj</w:t>
      </w:r>
      <w:r w:rsidR="009910F4" w:rsidRPr="00D03214">
        <w:rPr>
          <w:rFonts w:ascii="Book Antiqua" w:hAnsi="Book Antiqua" w:cs="Times New Roman"/>
          <w:b/>
          <w:bCs/>
          <w:color w:val="000000" w:themeColor="text1"/>
          <w:sz w:val="24"/>
          <w:szCs w:val="24"/>
        </w:rPr>
        <w:t>?</w:t>
      </w:r>
    </w:p>
    <w:p w:rsidR="008B62EB" w:rsidRPr="00D03214" w:rsidRDefault="008B62EB" w:rsidP="0077497A">
      <w:pPr>
        <w:spacing w:after="0"/>
        <w:jc w:val="both"/>
        <w:rPr>
          <w:rFonts w:ascii="Book Antiqua" w:hAnsi="Book Antiqua" w:cs="Times New Roman"/>
          <w:b/>
          <w:bCs/>
          <w:color w:val="000000" w:themeColor="text1"/>
          <w:sz w:val="24"/>
          <w:szCs w:val="24"/>
        </w:rPr>
      </w:pPr>
    </w:p>
    <w:p w:rsidR="00D03214" w:rsidRDefault="00D03214" w:rsidP="0077497A">
      <w:pPr>
        <w:ind w:firstLine="360"/>
        <w:jc w:val="both"/>
        <w:rPr>
          <w:rFonts w:ascii="Book Antiqua" w:hAnsi="Book Antiqua" w:cs="Times New Roman"/>
          <w:color w:val="000000" w:themeColor="text1"/>
          <w:sz w:val="24"/>
          <w:szCs w:val="24"/>
          <w:shd w:val="clear" w:color="auto" w:fill="FFFFFF"/>
        </w:rPr>
      </w:pPr>
      <w:r w:rsidRPr="00D03214">
        <w:rPr>
          <w:rFonts w:ascii="Book Antiqua" w:hAnsi="Book Antiqua" w:cs="Times New Roman"/>
          <w:color w:val="000000" w:themeColor="text1"/>
          <w:sz w:val="24"/>
          <w:szCs w:val="24"/>
          <w:shd w:val="clear" w:color="auto" w:fill="FFFFFF"/>
        </w:rPr>
        <w:t>Krahasuar</w:t>
      </w:r>
      <w:r>
        <w:rPr>
          <w:rFonts w:ascii="Book Antiqua" w:hAnsi="Book Antiqua" w:cs="Times New Roman"/>
          <w:color w:val="000000" w:themeColor="text1"/>
          <w:sz w:val="24"/>
          <w:szCs w:val="24"/>
          <w:shd w:val="clear" w:color="auto" w:fill="FFFFFF"/>
        </w:rPr>
        <w:t xml:space="preserve"> me legjislacionin paraprak që ka qenë në fuqi para hyrjes së fuqi të </w:t>
      </w:r>
      <w:r>
        <w:rPr>
          <w:rFonts w:ascii="Book Antiqua" w:hAnsi="Book Antiqua"/>
          <w:color w:val="000000"/>
          <w:sz w:val="24"/>
          <w:szCs w:val="24"/>
        </w:rPr>
        <w:t>Ligjit</w:t>
      </w:r>
      <w:r w:rsidRPr="00CD6CC9">
        <w:rPr>
          <w:rFonts w:ascii="Book Antiqua" w:hAnsi="Book Antiqua"/>
          <w:color w:val="000000"/>
          <w:sz w:val="24"/>
          <w:szCs w:val="24"/>
        </w:rPr>
        <w:t xml:space="preserve"> Nr. 06/L-155 për Ndalimin e Lojërave të Fatit</w:t>
      </w:r>
      <w:r>
        <w:rPr>
          <w:rFonts w:ascii="Book Antiqua" w:hAnsi="Book Antiqua"/>
          <w:color w:val="000000"/>
          <w:sz w:val="24"/>
          <w:szCs w:val="24"/>
        </w:rPr>
        <w:t xml:space="preserve">, ky Projektligj ka për qëllim rregullimin e </w:t>
      </w:r>
      <w:r w:rsidRPr="00D03214">
        <w:rPr>
          <w:rFonts w:ascii="Book Antiqua" w:hAnsi="Book Antiqua" w:cs="Times New Roman"/>
          <w:color w:val="000000" w:themeColor="text1"/>
          <w:sz w:val="24"/>
          <w:szCs w:val="24"/>
          <w:shd w:val="clear" w:color="auto" w:fill="FFFFFF"/>
        </w:rPr>
        <w:t xml:space="preserve">funksionimit, udhëheqjes, dhe mbikëqyrjes së Lotarisë së Republikës së Kosovës.  Pra,  </w:t>
      </w:r>
      <w:r>
        <w:rPr>
          <w:rFonts w:ascii="Book Antiqua" w:hAnsi="Book Antiqua" w:cs="Times New Roman"/>
          <w:color w:val="000000" w:themeColor="text1"/>
          <w:sz w:val="24"/>
          <w:szCs w:val="24"/>
          <w:shd w:val="clear" w:color="auto" w:fill="FFFFFF"/>
        </w:rPr>
        <w:t>m</w:t>
      </w:r>
      <w:r w:rsidRPr="00D03214">
        <w:rPr>
          <w:rFonts w:ascii="Book Antiqua" w:hAnsi="Book Antiqua" w:cs="Times New Roman"/>
          <w:color w:val="000000" w:themeColor="text1"/>
          <w:sz w:val="24"/>
          <w:szCs w:val="24"/>
          <w:shd w:val="clear" w:color="auto" w:fill="FFFFFF"/>
        </w:rPr>
        <w:t>e këtë Ligj rregullohet organizimi dhe funksionimi i Lotarisë së Republikës së Kosovës (këtu e tutje Lotaria) llojet e lojërave të fatit të organizuara nga Lotaria, kushtet dhe mënyra e organizimit të lojërave të fatit, rregullat e lojës, mbikëqyrja e tyre dhe mënyra e shpërndarjes së të ardhurave nga lojërat e fatit të lotarisë.</w:t>
      </w:r>
    </w:p>
    <w:p w:rsidR="00D03214" w:rsidRDefault="00D03214" w:rsidP="0077497A">
      <w:pPr>
        <w:ind w:firstLine="360"/>
        <w:jc w:val="both"/>
        <w:rPr>
          <w:rFonts w:ascii="Book Antiqua" w:hAnsi="Book Antiqua" w:cs="Times New Roman"/>
          <w:color w:val="000000" w:themeColor="text1"/>
          <w:sz w:val="24"/>
          <w:szCs w:val="24"/>
          <w:shd w:val="clear" w:color="auto" w:fill="FFFFFF"/>
        </w:rPr>
      </w:pPr>
    </w:p>
    <w:p w:rsidR="00D03214" w:rsidRDefault="00D03214" w:rsidP="0077497A">
      <w:pPr>
        <w:ind w:firstLine="360"/>
        <w:jc w:val="both"/>
        <w:rPr>
          <w:rFonts w:ascii="Book Antiqua" w:hAnsi="Book Antiqua"/>
          <w:color w:val="000000"/>
          <w:sz w:val="24"/>
          <w:szCs w:val="24"/>
        </w:rPr>
      </w:pPr>
      <w:r>
        <w:rPr>
          <w:rFonts w:ascii="Book Antiqua" w:hAnsi="Book Antiqua"/>
          <w:color w:val="000000"/>
          <w:sz w:val="24"/>
          <w:szCs w:val="24"/>
        </w:rPr>
        <w:t>Në kapitullin e parë të këtij Projektligji rregullohet qëllimi, fushëveprimi dhe definicionet që shfrytëzohen nga ky Projektligj.</w:t>
      </w:r>
    </w:p>
    <w:p w:rsidR="00D03214" w:rsidRDefault="00D03214" w:rsidP="0077497A">
      <w:pPr>
        <w:ind w:firstLine="360"/>
        <w:jc w:val="both"/>
        <w:rPr>
          <w:rFonts w:ascii="Book Antiqua" w:hAnsi="Book Antiqua"/>
          <w:color w:val="000000"/>
          <w:sz w:val="24"/>
          <w:szCs w:val="24"/>
        </w:rPr>
      </w:pPr>
      <w:r>
        <w:rPr>
          <w:rFonts w:ascii="Book Antiqua" w:hAnsi="Book Antiqua"/>
          <w:color w:val="000000"/>
          <w:sz w:val="24"/>
          <w:szCs w:val="24"/>
        </w:rPr>
        <w:t xml:space="preserve">Në kapitullin e dytë të këtij Projektligji </w:t>
      </w:r>
      <w:r w:rsidR="00C34D23">
        <w:rPr>
          <w:rFonts w:ascii="Book Antiqua" w:hAnsi="Book Antiqua"/>
          <w:color w:val="000000"/>
          <w:sz w:val="24"/>
          <w:szCs w:val="24"/>
        </w:rPr>
        <w:t>rregullohet fazat e organizimit të lojërave të fatit, ku përcaktohen llojet e lojërave të fatit që organizon</w:t>
      </w:r>
      <w:r>
        <w:rPr>
          <w:rFonts w:ascii="Book Antiqua" w:hAnsi="Book Antiqua"/>
          <w:color w:val="000000"/>
          <w:sz w:val="24"/>
          <w:szCs w:val="24"/>
        </w:rPr>
        <w:t xml:space="preserve"> Lo</w:t>
      </w:r>
      <w:r w:rsidR="00C34D23">
        <w:rPr>
          <w:rFonts w:ascii="Book Antiqua" w:hAnsi="Book Antiqua"/>
          <w:color w:val="000000"/>
          <w:sz w:val="24"/>
          <w:szCs w:val="24"/>
        </w:rPr>
        <w:t>taria</w:t>
      </w:r>
      <w:r>
        <w:rPr>
          <w:rFonts w:ascii="Book Antiqua" w:hAnsi="Book Antiqua"/>
          <w:color w:val="000000"/>
          <w:sz w:val="24"/>
          <w:szCs w:val="24"/>
        </w:rPr>
        <w:t xml:space="preserve">, rregullat e këtyre lojërave, mosha e pjesëmarrësve në këto lojëra, </w:t>
      </w:r>
      <w:r w:rsidR="00C34D23">
        <w:rPr>
          <w:rFonts w:ascii="Book Antiqua" w:hAnsi="Book Antiqua"/>
          <w:color w:val="000000"/>
          <w:sz w:val="24"/>
          <w:szCs w:val="24"/>
        </w:rPr>
        <w:t xml:space="preserve">shtypja e tiketave, pjesëmarrja në lojëra, fondi i fitimit, tërheqja dhe pagesa e fitimit. Po ashtu, në këto dispozita rregullohet trajtimi tatimor i fitimit nga lojërat e fatit si dhe ndarja e </w:t>
      </w:r>
      <w:proofErr w:type="spellStart"/>
      <w:r w:rsidR="00C34D23">
        <w:rPr>
          <w:rFonts w:ascii="Book Antiqua" w:hAnsi="Book Antiqua"/>
          <w:color w:val="000000"/>
          <w:sz w:val="24"/>
          <w:szCs w:val="24"/>
        </w:rPr>
        <w:t>dividendës</w:t>
      </w:r>
      <w:proofErr w:type="spellEnd"/>
      <w:r w:rsidR="00C34D23">
        <w:rPr>
          <w:rFonts w:ascii="Book Antiqua" w:hAnsi="Book Antiqua"/>
          <w:color w:val="000000"/>
          <w:sz w:val="24"/>
          <w:szCs w:val="24"/>
        </w:rPr>
        <w:t xml:space="preserve"> nga të hyrat e Lotarisë.  </w:t>
      </w:r>
    </w:p>
    <w:p w:rsidR="00C34D23" w:rsidRDefault="00C34D23" w:rsidP="0077497A">
      <w:pPr>
        <w:ind w:firstLine="360"/>
        <w:jc w:val="both"/>
        <w:rPr>
          <w:rFonts w:ascii="Book Antiqua" w:hAnsi="Book Antiqua"/>
          <w:color w:val="000000"/>
          <w:sz w:val="24"/>
          <w:szCs w:val="24"/>
        </w:rPr>
      </w:pPr>
      <w:r>
        <w:rPr>
          <w:rFonts w:ascii="Book Antiqua" w:hAnsi="Book Antiqua"/>
          <w:color w:val="000000"/>
          <w:sz w:val="24"/>
          <w:szCs w:val="24"/>
        </w:rPr>
        <w:t xml:space="preserve">Në kapitullin e tretë të këtij Projektligji rregullohen çështjet e funksionimit të Lotarisë, ku përcaktohet që Lotaria ka subjektivitet juridik dhe </w:t>
      </w:r>
      <w:proofErr w:type="spellStart"/>
      <w:r>
        <w:rPr>
          <w:rFonts w:ascii="Book Antiqua" w:hAnsi="Book Antiqua"/>
          <w:color w:val="000000"/>
          <w:sz w:val="24"/>
          <w:szCs w:val="24"/>
        </w:rPr>
        <w:t>ekskluzivitet</w:t>
      </w:r>
      <w:proofErr w:type="spellEnd"/>
      <w:r>
        <w:rPr>
          <w:rFonts w:ascii="Book Antiqua" w:hAnsi="Book Antiqua"/>
          <w:color w:val="000000"/>
          <w:sz w:val="24"/>
          <w:szCs w:val="24"/>
        </w:rPr>
        <w:t xml:space="preserve"> në organizimin e lojërave të fatit, pa të drejtë delegimi apo autorizimi të subjekteve tjera. Po ashtu, këto dispozita përcaktojnë që Qeveria e Republikës së Kosovës është aksionar i Lotarisë së Kosovës dhe organin mbikëqyrës i Lotarisë është Bordi i Lotarisë. Ky Bord, i cili propozohet të ketë mandat 4 vjeçar, sipas këtyre dispozitave emërohet sipas kritereve të qarta që garantojnë cilësi, dhe procedurave transparente.</w:t>
      </w:r>
    </w:p>
    <w:p w:rsidR="00F45B39" w:rsidRPr="0077497A" w:rsidRDefault="00C34D23" w:rsidP="0077497A">
      <w:pPr>
        <w:ind w:firstLine="360"/>
        <w:jc w:val="both"/>
        <w:rPr>
          <w:rFonts w:ascii="Book Antiqua" w:hAnsi="Book Antiqua"/>
          <w:color w:val="000000"/>
          <w:sz w:val="24"/>
          <w:szCs w:val="24"/>
        </w:rPr>
      </w:pPr>
      <w:r>
        <w:rPr>
          <w:rFonts w:ascii="Book Antiqua" w:hAnsi="Book Antiqua"/>
          <w:color w:val="000000"/>
          <w:sz w:val="24"/>
          <w:szCs w:val="24"/>
        </w:rPr>
        <w:t xml:space="preserve">Në kapitullin e fundit të këtij Projektligji rregullohen përgjegjësitë suksesore të Lotarisë, ku Lotaria përcaktohet si </w:t>
      </w:r>
      <w:r w:rsidR="0077497A">
        <w:rPr>
          <w:rFonts w:ascii="Book Antiqua" w:hAnsi="Book Antiqua"/>
          <w:color w:val="000000"/>
          <w:sz w:val="24"/>
          <w:szCs w:val="24"/>
        </w:rPr>
        <w:t xml:space="preserve">suksesor juridik i ish Lotarisë së Kosovës dhe ku kjo organizatë e re merr përsipër të gjitha obligimet dhe </w:t>
      </w:r>
      <w:proofErr w:type="spellStart"/>
      <w:r w:rsidR="0077497A">
        <w:rPr>
          <w:rFonts w:ascii="Book Antiqua" w:hAnsi="Book Antiqua"/>
          <w:color w:val="000000"/>
          <w:sz w:val="24"/>
          <w:szCs w:val="24"/>
        </w:rPr>
        <w:t>benifitet</w:t>
      </w:r>
      <w:proofErr w:type="spellEnd"/>
      <w:r w:rsidR="0077497A">
        <w:rPr>
          <w:rFonts w:ascii="Book Antiqua" w:hAnsi="Book Antiqua"/>
          <w:color w:val="000000"/>
          <w:sz w:val="24"/>
          <w:szCs w:val="24"/>
        </w:rPr>
        <w:t xml:space="preserve"> si </w:t>
      </w:r>
      <w:proofErr w:type="spellStart"/>
      <w:r w:rsidR="0077497A">
        <w:rPr>
          <w:rFonts w:ascii="Book Antiqua" w:hAnsi="Book Antiqua"/>
          <w:color w:val="000000"/>
          <w:sz w:val="24"/>
          <w:szCs w:val="24"/>
        </w:rPr>
        <w:t>suksesor</w:t>
      </w:r>
      <w:proofErr w:type="spellEnd"/>
      <w:r w:rsidR="0077497A">
        <w:rPr>
          <w:rFonts w:ascii="Book Antiqua" w:hAnsi="Book Antiqua"/>
          <w:color w:val="000000"/>
          <w:sz w:val="24"/>
          <w:szCs w:val="24"/>
        </w:rPr>
        <w:t>. Po ashtu, kjo organizatë merr përsipër edhe punësimin e ish punëtorëve të Lotarisë, përfshirë edhe një pjesë të mandatit të Bordit.</w:t>
      </w:r>
    </w:p>
    <w:p w:rsidR="007F0376" w:rsidRDefault="00677706" w:rsidP="0077497A">
      <w:pPr>
        <w:spacing w:after="0"/>
        <w:jc w:val="both"/>
        <w:rPr>
          <w:rFonts w:ascii="Book Antiqua" w:hAnsi="Book Antiqua" w:cs="Times New Roman"/>
          <w:b/>
          <w:sz w:val="24"/>
          <w:szCs w:val="24"/>
        </w:rPr>
      </w:pPr>
      <w:r w:rsidRPr="0077497A">
        <w:rPr>
          <w:rFonts w:ascii="Book Antiqua" w:hAnsi="Book Antiqua" w:cs="Times New Roman"/>
          <w:b/>
          <w:bCs/>
          <w:color w:val="000000" w:themeColor="text1"/>
          <w:sz w:val="24"/>
          <w:szCs w:val="24"/>
        </w:rPr>
        <w:t xml:space="preserve">3. Arsyetimi i propozimit për plotësim/ndryshim të </w:t>
      </w:r>
      <w:r w:rsidR="003D2CC6" w:rsidRPr="0077497A">
        <w:rPr>
          <w:rFonts w:ascii="Book Antiqua" w:hAnsi="Book Antiqua" w:cs="Times New Roman"/>
          <w:b/>
          <w:sz w:val="24"/>
          <w:szCs w:val="24"/>
        </w:rPr>
        <w:t>projektligjit</w:t>
      </w:r>
      <w:r w:rsidR="0077497A">
        <w:rPr>
          <w:rFonts w:ascii="Book Antiqua" w:hAnsi="Book Antiqua" w:cs="Times New Roman"/>
          <w:b/>
          <w:sz w:val="24"/>
          <w:szCs w:val="24"/>
        </w:rPr>
        <w:t>?</w:t>
      </w:r>
    </w:p>
    <w:p w:rsidR="0077497A" w:rsidRPr="0077497A" w:rsidRDefault="0077497A" w:rsidP="0077497A">
      <w:pPr>
        <w:spacing w:after="0"/>
        <w:jc w:val="both"/>
        <w:rPr>
          <w:rFonts w:ascii="Book Antiqua" w:hAnsi="Book Antiqua" w:cs="Times New Roman"/>
          <w:b/>
          <w:sz w:val="24"/>
          <w:szCs w:val="24"/>
        </w:rPr>
      </w:pPr>
    </w:p>
    <w:p w:rsidR="002E44C8" w:rsidRPr="0077497A" w:rsidRDefault="0077497A" w:rsidP="0077497A">
      <w:pPr>
        <w:spacing w:after="0"/>
        <w:rPr>
          <w:rFonts w:ascii="Book Antiqua" w:hAnsi="Book Antiqua" w:cs="Times New Roman"/>
          <w:sz w:val="24"/>
          <w:szCs w:val="24"/>
        </w:rPr>
      </w:pPr>
      <w:r w:rsidRPr="0077497A">
        <w:rPr>
          <w:rFonts w:ascii="Book Antiqua" w:hAnsi="Book Antiqua" w:cs="Times New Roman"/>
          <w:sz w:val="24"/>
          <w:szCs w:val="24"/>
        </w:rPr>
        <w:t>Projektligj për Lotarinë e Republikës së Kosovës</w:t>
      </w:r>
      <w:r>
        <w:rPr>
          <w:rFonts w:ascii="Book Antiqua" w:hAnsi="Book Antiqua" w:cs="Times New Roman"/>
          <w:sz w:val="24"/>
          <w:szCs w:val="24"/>
        </w:rPr>
        <w:t>, meqë ri themelon një institucion të shuar.</w:t>
      </w:r>
    </w:p>
    <w:p w:rsidR="0077497A" w:rsidRPr="009C038A" w:rsidRDefault="0077497A" w:rsidP="0077497A">
      <w:pPr>
        <w:spacing w:after="0"/>
        <w:jc w:val="both"/>
        <w:rPr>
          <w:rFonts w:ascii="Times New Roman" w:hAnsi="Times New Roman" w:cs="Times New Roman"/>
          <w:color w:val="00B050"/>
          <w:sz w:val="24"/>
          <w:szCs w:val="24"/>
          <w:shd w:val="clear" w:color="auto" w:fill="FFFFFF"/>
        </w:rPr>
      </w:pPr>
    </w:p>
    <w:p w:rsidR="00BF403D" w:rsidRPr="0077497A" w:rsidRDefault="00BF403D" w:rsidP="0077497A">
      <w:pPr>
        <w:spacing w:after="0"/>
        <w:jc w:val="both"/>
        <w:rPr>
          <w:rFonts w:ascii="Book Antiqua" w:hAnsi="Book Antiqua" w:cs="Times New Roman"/>
          <w:b/>
          <w:color w:val="000000" w:themeColor="text1"/>
          <w:sz w:val="24"/>
          <w:szCs w:val="24"/>
        </w:rPr>
      </w:pPr>
      <w:r w:rsidRPr="0077497A">
        <w:rPr>
          <w:rFonts w:ascii="Book Antiqua" w:hAnsi="Book Antiqua" w:cs="Times New Roman"/>
          <w:b/>
          <w:color w:val="000000" w:themeColor="text1"/>
          <w:sz w:val="24"/>
          <w:szCs w:val="24"/>
        </w:rPr>
        <w:t>4. Opsioni i rekomanduar</w:t>
      </w:r>
    </w:p>
    <w:p w:rsidR="002D1FAE" w:rsidRPr="0077497A" w:rsidRDefault="002D1FAE" w:rsidP="0077497A">
      <w:pPr>
        <w:spacing w:after="0"/>
        <w:jc w:val="both"/>
        <w:rPr>
          <w:rFonts w:ascii="Book Antiqua" w:hAnsi="Book Antiqua" w:cs="Times New Roman"/>
          <w:b/>
          <w:color w:val="000000" w:themeColor="text1"/>
          <w:sz w:val="24"/>
          <w:szCs w:val="24"/>
        </w:rPr>
      </w:pPr>
    </w:p>
    <w:p w:rsidR="007F0376" w:rsidRPr="0077497A" w:rsidRDefault="0077497A" w:rsidP="0077497A">
      <w:pPr>
        <w:spacing w:after="0"/>
        <w:jc w:val="both"/>
        <w:rPr>
          <w:rFonts w:ascii="Book Antiqua" w:hAnsi="Book Antiqua" w:cs="Times New Roman"/>
          <w:sz w:val="24"/>
          <w:szCs w:val="24"/>
        </w:rPr>
      </w:pPr>
      <w:r>
        <w:rPr>
          <w:rFonts w:ascii="Book Antiqua" w:hAnsi="Book Antiqua" w:cs="Times New Roman"/>
          <w:sz w:val="24"/>
          <w:szCs w:val="24"/>
        </w:rPr>
        <w:t>Opsioni i vetëm i rekomanduar nga propozuesi lidhur me këtë Projektligj është aprovimi i tij në Qeverinë e Republikës së Kosovës dhe procedimi për shqyrtim në Kuvendin e Republikës së Kosovës</w:t>
      </w:r>
    </w:p>
    <w:p w:rsidR="007F0376" w:rsidRPr="009C038A" w:rsidRDefault="007F0376" w:rsidP="009C038A">
      <w:pPr>
        <w:shd w:val="clear" w:color="auto" w:fill="FFFFFF" w:themeFill="background1"/>
        <w:spacing w:line="240" w:lineRule="auto"/>
        <w:jc w:val="center"/>
        <w:rPr>
          <w:rFonts w:ascii="Times New Roman" w:eastAsia="MS Mincho" w:hAnsi="Times New Roman" w:cs="Times New Roman"/>
          <w:sz w:val="24"/>
          <w:szCs w:val="24"/>
        </w:rPr>
      </w:pPr>
    </w:p>
    <w:p w:rsidR="009C038A" w:rsidRPr="009C038A" w:rsidRDefault="00CD2901" w:rsidP="009C038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pict>
          <v:rect id="_x0000_i1025" style="width:0;height:1.5pt" o:hralign="center" o:hrstd="t" o:hr="t" fillcolor="#a0a0a0" stroked="f"/>
        </w:pict>
      </w:r>
    </w:p>
    <w:p w:rsidR="005C35BE" w:rsidRPr="009C038A" w:rsidRDefault="005C35BE" w:rsidP="009C038A">
      <w:pPr>
        <w:spacing w:after="0" w:line="240" w:lineRule="auto"/>
        <w:jc w:val="both"/>
        <w:rPr>
          <w:rFonts w:ascii="Times New Roman" w:hAnsi="Times New Roman" w:cs="Times New Roman"/>
          <w:color w:val="000000" w:themeColor="text1"/>
          <w:sz w:val="24"/>
          <w:szCs w:val="24"/>
        </w:rPr>
      </w:pPr>
    </w:p>
    <w:p w:rsidR="009C038A" w:rsidRDefault="009C038A"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Pr="009C038A" w:rsidRDefault="005F2388" w:rsidP="005F2388">
      <w:pPr>
        <w:spacing w:line="240" w:lineRule="auto"/>
        <w:jc w:val="center"/>
        <w:rPr>
          <w:rFonts w:ascii="Times New Roman" w:hAnsi="Times New Roman" w:cs="Times New Roman"/>
          <w:color w:val="000000" w:themeColor="text1"/>
          <w:sz w:val="24"/>
          <w:szCs w:val="24"/>
        </w:rPr>
      </w:pPr>
    </w:p>
    <w:p w:rsidR="005F2388" w:rsidRPr="00F24A77" w:rsidRDefault="005F2388" w:rsidP="005F2388">
      <w:pPr>
        <w:spacing w:after="0"/>
        <w:jc w:val="center"/>
        <w:rPr>
          <w:rFonts w:ascii="Book Antiqua" w:hAnsi="Book Antiqua" w:cs="Times New Roman"/>
          <w:b/>
          <w:sz w:val="24"/>
          <w:szCs w:val="24"/>
          <w:lang w:val="en-US"/>
        </w:rPr>
      </w:pPr>
      <w:r w:rsidRPr="00B03B2B">
        <w:rPr>
          <w:rFonts w:ascii="Book Antiqua" w:hAnsi="Book Antiqua" w:cs="Times New Roman"/>
          <w:b/>
          <w:bCs/>
          <w:color w:val="000000" w:themeColor="text1"/>
          <w:sz w:val="24"/>
          <w:szCs w:val="24"/>
          <w:lang w:val="en-US"/>
        </w:rPr>
        <w:t>EXPLANATORY DOCUMENT ON THE DRAFT LAW FOR THE LOTTERY OF THE REPUBLIC OF KOSOVO</w:t>
      </w:r>
    </w:p>
    <w:p w:rsidR="005F2388" w:rsidRPr="00F24A77" w:rsidRDefault="005F2388" w:rsidP="005F2388">
      <w:pPr>
        <w:autoSpaceDE w:val="0"/>
        <w:autoSpaceDN w:val="0"/>
        <w:adjustRightInd w:val="0"/>
        <w:rPr>
          <w:rFonts w:ascii="Book Antiqua" w:hAnsi="Book Antiqua" w:cs="Times New Roman"/>
          <w:color w:val="000000" w:themeColor="text1"/>
          <w:sz w:val="24"/>
          <w:szCs w:val="24"/>
          <w:lang w:val="en-US"/>
        </w:rPr>
      </w:pPr>
      <w:r w:rsidRPr="00F24A77">
        <w:rPr>
          <w:rFonts w:ascii="Book Antiqua" w:hAnsi="Book Antiqua" w:cs="Times New Roman"/>
          <w:b/>
          <w:bCs/>
          <w:color w:val="000000" w:themeColor="text1"/>
          <w:sz w:val="24"/>
          <w:szCs w:val="24"/>
          <w:lang w:val="en-US"/>
        </w:rPr>
        <w:t xml:space="preserve"> </w:t>
      </w:r>
    </w:p>
    <w:p w:rsidR="005F2388" w:rsidRPr="000E7F21" w:rsidRDefault="005F2388" w:rsidP="005F2388">
      <w:pPr>
        <w:autoSpaceDE w:val="0"/>
        <w:autoSpaceDN w:val="0"/>
        <w:adjustRightInd w:val="0"/>
        <w:spacing w:after="0"/>
        <w:jc w:val="both"/>
        <w:rPr>
          <w:rFonts w:ascii="Book Antiqua" w:hAnsi="Book Antiqua" w:cs="Times New Roman"/>
          <w:b/>
          <w:color w:val="000000" w:themeColor="text1"/>
          <w:sz w:val="24"/>
          <w:szCs w:val="24"/>
          <w:lang w:val="en-US"/>
        </w:rPr>
      </w:pPr>
      <w:r w:rsidRPr="00F24A77">
        <w:rPr>
          <w:rFonts w:ascii="Book Antiqua" w:hAnsi="Book Antiqua" w:cs="Times New Roman"/>
          <w:b/>
          <w:color w:val="000000" w:themeColor="text1"/>
          <w:sz w:val="24"/>
          <w:szCs w:val="24"/>
          <w:lang w:val="en-US"/>
        </w:rPr>
        <w:t xml:space="preserve">1. </w:t>
      </w:r>
      <w:r w:rsidRPr="000E7F21">
        <w:rPr>
          <w:rFonts w:ascii="Book Antiqua" w:hAnsi="Book Antiqua" w:cs="Times New Roman"/>
          <w:b/>
          <w:color w:val="000000" w:themeColor="text1"/>
          <w:sz w:val="24"/>
          <w:szCs w:val="24"/>
          <w:lang w:val="en-US"/>
        </w:rPr>
        <w:t>The key addressed issue</w:t>
      </w:r>
    </w:p>
    <w:p w:rsidR="005F2388" w:rsidRPr="00F24A77" w:rsidRDefault="005F2388" w:rsidP="005F2388">
      <w:pPr>
        <w:autoSpaceDE w:val="0"/>
        <w:autoSpaceDN w:val="0"/>
        <w:adjustRightInd w:val="0"/>
        <w:spacing w:after="0"/>
        <w:jc w:val="both"/>
        <w:rPr>
          <w:rFonts w:ascii="Times New Roman" w:hAnsi="Times New Roman" w:cs="Times New Roman"/>
          <w:b/>
          <w:color w:val="000000" w:themeColor="text1"/>
          <w:sz w:val="24"/>
          <w:szCs w:val="24"/>
          <w:lang w:val="en-US"/>
        </w:rPr>
      </w:pPr>
    </w:p>
    <w:p w:rsidR="005F2388" w:rsidRPr="00F24A77" w:rsidRDefault="005F2388" w:rsidP="005F2388">
      <w:pPr>
        <w:ind w:firstLine="360"/>
        <w:jc w:val="both"/>
        <w:rPr>
          <w:rFonts w:ascii="Book Antiqua" w:hAnsi="Book Antiqua"/>
          <w:color w:val="000000"/>
          <w:sz w:val="24"/>
          <w:szCs w:val="24"/>
          <w:lang w:val="en-US"/>
        </w:rPr>
      </w:pPr>
      <w:r w:rsidRPr="000E7F21">
        <w:rPr>
          <w:rFonts w:ascii="Book Antiqua" w:hAnsi="Book Antiqua"/>
          <w:color w:val="000000"/>
          <w:sz w:val="24"/>
          <w:szCs w:val="24"/>
          <w:lang w:val="en-US"/>
        </w:rPr>
        <w:t>The functioning of the Kosovo Lottery is conducted through Law No. 04/L-080 on Games of Chance, which has supplemented and amended previous arrangements dating back to 1974. Pursuant to the provisions of this Law, the Kosovo Lottery had legal subjectivity and was managed by the Lottery Management Board. Meanwhile, the Government of the Republic of Kosovo on 02.08.2017 has approved the Statute of the Kosovo Lottery, which regulated the issues of organization of the Kosovo Lottery and determined that the form of organization will be as a joint stock company. Later, on March 28, 2019 with the approval of Law No. 06/L-155 on the Prohibition of Games of Chance, Law no. 04/L-080 on Games of Chance and bylaws derived from this Law were abrogated</w:t>
      </w:r>
      <w:r w:rsidRPr="00F24A77">
        <w:rPr>
          <w:rFonts w:ascii="Book Antiqua" w:hAnsi="Book Antiqua"/>
          <w:color w:val="000000"/>
          <w:sz w:val="24"/>
          <w:szCs w:val="24"/>
          <w:lang w:val="en-US"/>
        </w:rPr>
        <w:t xml:space="preserve">. </w:t>
      </w:r>
    </w:p>
    <w:p w:rsidR="005F2388" w:rsidRPr="00F24A77" w:rsidRDefault="005F2388" w:rsidP="005F2388">
      <w:pPr>
        <w:ind w:firstLine="360"/>
        <w:jc w:val="both"/>
        <w:rPr>
          <w:rFonts w:ascii="Book Antiqua" w:hAnsi="Book Antiqua"/>
          <w:color w:val="000000"/>
          <w:sz w:val="24"/>
          <w:szCs w:val="24"/>
          <w:lang w:val="en-US"/>
        </w:rPr>
      </w:pPr>
      <w:r w:rsidRPr="000E7F21">
        <w:rPr>
          <w:rFonts w:ascii="Book Antiqua" w:hAnsi="Book Antiqua"/>
          <w:color w:val="000000"/>
          <w:sz w:val="24"/>
          <w:szCs w:val="24"/>
          <w:lang w:val="en-US"/>
        </w:rPr>
        <w:t>This Draft Law foresees the re-establishment of the Lottery of the Republic of Kosovo, which is foreseen to be the legal successor of the Kosovo Lottery, annulled by Law No. 06/L-155 on the Prohibition of Games of Chance.</w:t>
      </w:r>
    </w:p>
    <w:p w:rsidR="005F2388" w:rsidRPr="00F24A77" w:rsidRDefault="005F2388" w:rsidP="005F2388">
      <w:pPr>
        <w:spacing w:after="0"/>
        <w:jc w:val="center"/>
        <w:rPr>
          <w:rFonts w:ascii="Times New Roman" w:eastAsia="Times New Roman" w:hAnsi="Times New Roman" w:cs="Times New Roman"/>
          <w:color w:val="000000" w:themeColor="text1"/>
          <w:sz w:val="24"/>
          <w:szCs w:val="24"/>
          <w:lang w:val="en-US"/>
        </w:rPr>
      </w:pPr>
    </w:p>
    <w:p w:rsidR="005F2388" w:rsidRPr="00F24A77" w:rsidRDefault="005F2388" w:rsidP="005F2388">
      <w:pPr>
        <w:spacing w:after="0"/>
        <w:jc w:val="both"/>
        <w:rPr>
          <w:rFonts w:ascii="Book Antiqua" w:hAnsi="Book Antiqua" w:cs="Times New Roman"/>
          <w:b/>
          <w:bCs/>
          <w:color w:val="000000" w:themeColor="text1"/>
          <w:sz w:val="24"/>
          <w:szCs w:val="24"/>
          <w:lang w:val="en-US"/>
        </w:rPr>
      </w:pPr>
      <w:r w:rsidRPr="00F24A77">
        <w:rPr>
          <w:rFonts w:ascii="Book Antiqua" w:hAnsi="Book Antiqua" w:cs="Times New Roman"/>
          <w:b/>
          <w:bCs/>
          <w:color w:val="000000" w:themeColor="text1"/>
          <w:sz w:val="24"/>
          <w:szCs w:val="24"/>
          <w:lang w:val="en-US"/>
        </w:rPr>
        <w:t xml:space="preserve">2. </w:t>
      </w:r>
      <w:r w:rsidRPr="00E04F5A">
        <w:rPr>
          <w:rFonts w:ascii="Book Antiqua" w:hAnsi="Book Antiqua" w:cs="Times New Roman"/>
          <w:b/>
          <w:bCs/>
          <w:color w:val="000000" w:themeColor="text1"/>
          <w:sz w:val="24"/>
          <w:szCs w:val="24"/>
          <w:lang w:val="en-US"/>
        </w:rPr>
        <w:t>What is supplemented/amended with this Draft Law</w:t>
      </w:r>
      <w:r w:rsidRPr="00F24A77">
        <w:rPr>
          <w:rFonts w:ascii="Book Antiqua" w:hAnsi="Book Antiqua" w:cs="Times New Roman"/>
          <w:b/>
          <w:bCs/>
          <w:color w:val="000000" w:themeColor="text1"/>
          <w:sz w:val="24"/>
          <w:szCs w:val="24"/>
          <w:lang w:val="en-US"/>
        </w:rPr>
        <w:t>?</w:t>
      </w:r>
    </w:p>
    <w:p w:rsidR="005F2388" w:rsidRPr="00F24A77" w:rsidRDefault="005F2388" w:rsidP="005F2388">
      <w:pPr>
        <w:spacing w:after="0"/>
        <w:jc w:val="both"/>
        <w:rPr>
          <w:rFonts w:ascii="Book Antiqua" w:hAnsi="Book Antiqua" w:cs="Times New Roman"/>
          <w:b/>
          <w:bCs/>
          <w:color w:val="000000" w:themeColor="text1"/>
          <w:sz w:val="24"/>
          <w:szCs w:val="24"/>
          <w:lang w:val="en-US"/>
        </w:rPr>
      </w:pPr>
    </w:p>
    <w:p w:rsidR="005F2388" w:rsidRPr="00F24A77" w:rsidRDefault="005F2388" w:rsidP="005F2388">
      <w:pPr>
        <w:ind w:firstLine="360"/>
        <w:jc w:val="both"/>
        <w:rPr>
          <w:rFonts w:ascii="Book Antiqua" w:hAnsi="Book Antiqua" w:cs="Times New Roman"/>
          <w:color w:val="000000" w:themeColor="text1"/>
          <w:sz w:val="24"/>
          <w:szCs w:val="24"/>
          <w:shd w:val="clear" w:color="auto" w:fill="FFFFFF"/>
          <w:lang w:val="en-US"/>
        </w:rPr>
      </w:pPr>
      <w:r w:rsidRPr="00C309A6">
        <w:rPr>
          <w:rFonts w:ascii="Book Antiqua" w:hAnsi="Book Antiqua" w:cs="Times New Roman"/>
          <w:color w:val="000000" w:themeColor="text1"/>
          <w:sz w:val="24"/>
          <w:szCs w:val="24"/>
          <w:shd w:val="clear" w:color="auto" w:fill="FFFFFF"/>
          <w:lang w:val="en-US"/>
        </w:rPr>
        <w:t xml:space="preserve">Compared to the previous legislation that was in force before the entry into force of Law No. 06/L-155 on the Prohibition of Games of Chance, this Draft Law aims to regulate the functioning, management, and supervision of the Lottery of the Republic of Kosovo. So, this Law regulates the organization and functioning of the Lottery of the Republic of Kosovo (hereinafter the Lottery) types of games of chance organized by the Lottery, conditions and manner of organizing games of chance, rules of the game, their supervision and the way of lottery games of chance </w:t>
      </w:r>
      <w:r>
        <w:rPr>
          <w:rFonts w:ascii="Book Antiqua" w:hAnsi="Book Antiqua" w:cs="Times New Roman"/>
          <w:color w:val="000000" w:themeColor="text1"/>
          <w:sz w:val="24"/>
          <w:szCs w:val="24"/>
          <w:shd w:val="clear" w:color="auto" w:fill="FFFFFF"/>
          <w:lang w:val="en-US"/>
        </w:rPr>
        <w:t xml:space="preserve">income </w:t>
      </w:r>
      <w:r w:rsidRPr="00C309A6">
        <w:rPr>
          <w:rFonts w:ascii="Book Antiqua" w:hAnsi="Book Antiqua" w:cs="Times New Roman"/>
          <w:color w:val="000000" w:themeColor="text1"/>
          <w:sz w:val="24"/>
          <w:szCs w:val="24"/>
          <w:shd w:val="clear" w:color="auto" w:fill="FFFFFF"/>
          <w:lang w:val="en-US"/>
        </w:rPr>
        <w:t>distribution</w:t>
      </w:r>
      <w:r w:rsidRPr="00F24A77">
        <w:rPr>
          <w:rFonts w:ascii="Book Antiqua" w:hAnsi="Book Antiqua" w:cs="Times New Roman"/>
          <w:color w:val="000000" w:themeColor="text1"/>
          <w:sz w:val="24"/>
          <w:szCs w:val="24"/>
          <w:shd w:val="clear" w:color="auto" w:fill="FFFFFF"/>
          <w:lang w:val="en-US"/>
        </w:rPr>
        <w:t>.</w:t>
      </w:r>
    </w:p>
    <w:p w:rsidR="005F2388" w:rsidRPr="00F24A77" w:rsidRDefault="005F2388" w:rsidP="005F2388">
      <w:pPr>
        <w:ind w:firstLine="360"/>
        <w:jc w:val="both"/>
        <w:rPr>
          <w:rFonts w:ascii="Book Antiqua" w:hAnsi="Book Antiqua" w:cs="Times New Roman"/>
          <w:color w:val="000000" w:themeColor="text1"/>
          <w:sz w:val="24"/>
          <w:szCs w:val="24"/>
          <w:shd w:val="clear" w:color="auto" w:fill="FFFFFF"/>
          <w:lang w:val="en-US"/>
        </w:rPr>
      </w:pPr>
    </w:p>
    <w:p w:rsidR="005F2388" w:rsidRPr="00F24A77" w:rsidRDefault="005F2388" w:rsidP="005F2388">
      <w:pPr>
        <w:ind w:firstLine="360"/>
        <w:jc w:val="both"/>
        <w:rPr>
          <w:rFonts w:ascii="Book Antiqua" w:hAnsi="Book Antiqua"/>
          <w:color w:val="000000"/>
          <w:sz w:val="24"/>
          <w:szCs w:val="24"/>
          <w:lang w:val="en-US"/>
        </w:rPr>
      </w:pPr>
      <w:r w:rsidRPr="002E00CA">
        <w:rPr>
          <w:rFonts w:ascii="Book Antiqua" w:hAnsi="Book Antiqua"/>
          <w:color w:val="000000"/>
          <w:sz w:val="24"/>
          <w:szCs w:val="24"/>
          <w:lang w:val="en-US"/>
        </w:rPr>
        <w:t>The first chapter of this Draft Law regulates the purpose, scope and definitions used by this Draft Law</w:t>
      </w:r>
      <w:r w:rsidRPr="00F24A77">
        <w:rPr>
          <w:rFonts w:ascii="Book Antiqua" w:hAnsi="Book Antiqua"/>
          <w:color w:val="000000"/>
          <w:sz w:val="24"/>
          <w:szCs w:val="24"/>
          <w:lang w:val="en-US"/>
        </w:rPr>
        <w:t>.</w:t>
      </w:r>
    </w:p>
    <w:p w:rsidR="005F2388" w:rsidRPr="00F24A77" w:rsidRDefault="005F2388" w:rsidP="005F2388">
      <w:pPr>
        <w:ind w:firstLine="360"/>
        <w:jc w:val="both"/>
        <w:rPr>
          <w:rFonts w:ascii="Book Antiqua" w:hAnsi="Book Antiqua"/>
          <w:color w:val="000000"/>
          <w:sz w:val="24"/>
          <w:szCs w:val="24"/>
          <w:lang w:val="en-US"/>
        </w:rPr>
      </w:pPr>
      <w:r w:rsidRPr="009D2CB8">
        <w:rPr>
          <w:rFonts w:ascii="Book Antiqua" w:hAnsi="Book Antiqua"/>
          <w:color w:val="000000"/>
          <w:sz w:val="24"/>
          <w:szCs w:val="24"/>
          <w:lang w:val="en-US"/>
        </w:rPr>
        <w:t>The second chapter of this Draft Law regulates the stages of organizing games of chance, which defines the types of games of chance organized by the Lottery, the rules of these games, the age of participants in these games, printing tickets, parti</w:t>
      </w:r>
      <w:r>
        <w:rPr>
          <w:rFonts w:ascii="Book Antiqua" w:hAnsi="Book Antiqua"/>
          <w:color w:val="000000"/>
          <w:sz w:val="24"/>
          <w:szCs w:val="24"/>
          <w:lang w:val="en-US"/>
        </w:rPr>
        <w:t>cipation in games, winning fund</w:t>
      </w:r>
      <w:r w:rsidRPr="009D2CB8">
        <w:rPr>
          <w:rFonts w:ascii="Book Antiqua" w:hAnsi="Book Antiqua"/>
          <w:color w:val="000000"/>
          <w:sz w:val="24"/>
          <w:szCs w:val="24"/>
          <w:lang w:val="en-US"/>
        </w:rPr>
        <w:t xml:space="preserve">, withdrawal and payment of profit. Also, these provisions </w:t>
      </w:r>
      <w:r w:rsidRPr="009D2CB8">
        <w:rPr>
          <w:rFonts w:ascii="Book Antiqua" w:hAnsi="Book Antiqua"/>
          <w:color w:val="000000"/>
          <w:sz w:val="24"/>
          <w:szCs w:val="24"/>
          <w:lang w:val="en-US"/>
        </w:rPr>
        <w:lastRenderedPageBreak/>
        <w:t>regulate the tax treatment of games of chance profits, and the distribution of dividends from Lottery revenues</w:t>
      </w:r>
      <w:r w:rsidRPr="00F24A77">
        <w:rPr>
          <w:rFonts w:ascii="Book Antiqua" w:hAnsi="Book Antiqua"/>
          <w:color w:val="000000"/>
          <w:sz w:val="24"/>
          <w:szCs w:val="24"/>
          <w:lang w:val="en-US"/>
        </w:rPr>
        <w:t xml:space="preserve">.  </w:t>
      </w:r>
    </w:p>
    <w:p w:rsidR="005F2388" w:rsidRPr="00F24A77" w:rsidRDefault="005F2388" w:rsidP="005F2388">
      <w:pPr>
        <w:ind w:firstLine="360"/>
        <w:jc w:val="both"/>
        <w:rPr>
          <w:rFonts w:ascii="Book Antiqua" w:hAnsi="Book Antiqua"/>
          <w:color w:val="000000"/>
          <w:sz w:val="24"/>
          <w:szCs w:val="24"/>
          <w:lang w:val="en-US"/>
        </w:rPr>
      </w:pPr>
      <w:r w:rsidRPr="00E806B8">
        <w:rPr>
          <w:rFonts w:ascii="Book Antiqua" w:hAnsi="Book Antiqua"/>
          <w:color w:val="000000"/>
          <w:sz w:val="24"/>
          <w:szCs w:val="24"/>
          <w:lang w:val="en-US"/>
        </w:rPr>
        <w:t>The third chapter of this Draft Law regulates the issues of the functioning of the Lottery, where it is determined that the Lottery has legal subjectivity and exclusivity in the organization of games of chance, without the right to delegate or authorize other entities. Also, these provisions stipulate that the Government of the Republic of Kosovo is a shareholder of the Kosovo Lottery and the supervisory body of the Lottery is the Lottery Board. This Board, which is proposed to have a 4-year mandate, according to these provisions is appointed according to clear criteria, which guarantee quality, and transparent procedures</w:t>
      </w:r>
      <w:r w:rsidRPr="00F24A77">
        <w:rPr>
          <w:rFonts w:ascii="Book Antiqua" w:hAnsi="Book Antiqua"/>
          <w:color w:val="000000"/>
          <w:sz w:val="24"/>
          <w:szCs w:val="24"/>
          <w:lang w:val="en-US"/>
        </w:rPr>
        <w:t>.</w:t>
      </w:r>
    </w:p>
    <w:p w:rsidR="005F2388" w:rsidRPr="00F24A77" w:rsidRDefault="005F2388" w:rsidP="005F2388">
      <w:pPr>
        <w:ind w:firstLine="360"/>
        <w:jc w:val="both"/>
        <w:rPr>
          <w:rFonts w:ascii="Book Antiqua" w:hAnsi="Book Antiqua"/>
          <w:color w:val="000000"/>
          <w:sz w:val="24"/>
          <w:szCs w:val="24"/>
          <w:lang w:val="en-US"/>
        </w:rPr>
      </w:pPr>
      <w:r w:rsidRPr="009452A6">
        <w:rPr>
          <w:rFonts w:ascii="Book Antiqua" w:hAnsi="Book Antiqua"/>
          <w:color w:val="000000"/>
          <w:sz w:val="24"/>
          <w:szCs w:val="24"/>
          <w:lang w:val="en-US"/>
        </w:rPr>
        <w:t>The last chapter of this Draft Law regulates the successor responsibilities of the Lottery, where the Lottery is defined as the legal successor of the former Kosovo Lottery, and where this new organization takes over all obligations and benefits as a successor. This organization also takes over the employment of former Lottery employe</w:t>
      </w:r>
      <w:r>
        <w:rPr>
          <w:rFonts w:ascii="Book Antiqua" w:hAnsi="Book Antiqua"/>
          <w:color w:val="000000"/>
          <w:sz w:val="24"/>
          <w:szCs w:val="24"/>
          <w:lang w:val="en-US"/>
        </w:rPr>
        <w:t>es, including part of the Board’</w:t>
      </w:r>
      <w:r w:rsidRPr="009452A6">
        <w:rPr>
          <w:rFonts w:ascii="Book Antiqua" w:hAnsi="Book Antiqua"/>
          <w:color w:val="000000"/>
          <w:sz w:val="24"/>
          <w:szCs w:val="24"/>
          <w:lang w:val="en-US"/>
        </w:rPr>
        <w:t>s mandate</w:t>
      </w:r>
      <w:r w:rsidRPr="00F24A77">
        <w:rPr>
          <w:rFonts w:ascii="Book Antiqua" w:hAnsi="Book Antiqua"/>
          <w:color w:val="000000"/>
          <w:sz w:val="24"/>
          <w:szCs w:val="24"/>
          <w:lang w:val="en-US"/>
        </w:rPr>
        <w:t>.</w:t>
      </w:r>
    </w:p>
    <w:p w:rsidR="005F2388" w:rsidRPr="00F24A77" w:rsidRDefault="005F2388" w:rsidP="005F2388">
      <w:pPr>
        <w:spacing w:after="0"/>
        <w:jc w:val="both"/>
        <w:rPr>
          <w:rFonts w:ascii="Book Antiqua" w:hAnsi="Book Antiqua" w:cs="Times New Roman"/>
          <w:b/>
          <w:sz w:val="24"/>
          <w:szCs w:val="24"/>
          <w:lang w:val="en-US"/>
        </w:rPr>
      </w:pPr>
      <w:r w:rsidRPr="00F24A77">
        <w:rPr>
          <w:rFonts w:ascii="Book Antiqua" w:hAnsi="Book Antiqua" w:cs="Times New Roman"/>
          <w:b/>
          <w:bCs/>
          <w:color w:val="000000" w:themeColor="text1"/>
          <w:sz w:val="24"/>
          <w:szCs w:val="24"/>
          <w:lang w:val="en-US"/>
        </w:rPr>
        <w:t xml:space="preserve">3. </w:t>
      </w:r>
      <w:r w:rsidRPr="009B3133">
        <w:rPr>
          <w:rFonts w:ascii="Book Antiqua" w:hAnsi="Book Antiqua" w:cs="Times New Roman"/>
          <w:b/>
          <w:bCs/>
          <w:color w:val="000000" w:themeColor="text1"/>
          <w:sz w:val="24"/>
          <w:szCs w:val="24"/>
          <w:lang w:val="en-US"/>
        </w:rPr>
        <w:t>Reasoning of the proposal for supplementing/amending the Draft Law</w:t>
      </w:r>
      <w:r w:rsidRPr="00F24A77">
        <w:rPr>
          <w:rFonts w:ascii="Book Antiqua" w:hAnsi="Book Antiqua" w:cs="Times New Roman"/>
          <w:b/>
          <w:sz w:val="24"/>
          <w:szCs w:val="24"/>
          <w:lang w:val="en-US"/>
        </w:rPr>
        <w:t>?</w:t>
      </w:r>
    </w:p>
    <w:p w:rsidR="005F2388" w:rsidRPr="00F24A77" w:rsidRDefault="005F2388" w:rsidP="005F2388">
      <w:pPr>
        <w:spacing w:after="0"/>
        <w:jc w:val="both"/>
        <w:rPr>
          <w:rFonts w:ascii="Book Antiqua" w:hAnsi="Book Antiqua" w:cs="Times New Roman"/>
          <w:b/>
          <w:sz w:val="24"/>
          <w:szCs w:val="24"/>
          <w:lang w:val="en-US"/>
        </w:rPr>
      </w:pPr>
    </w:p>
    <w:p w:rsidR="005F2388" w:rsidRPr="00F24A77" w:rsidRDefault="005F2388" w:rsidP="005F2388">
      <w:pPr>
        <w:spacing w:after="0"/>
        <w:rPr>
          <w:rFonts w:ascii="Book Antiqua" w:hAnsi="Book Antiqua" w:cs="Times New Roman"/>
          <w:sz w:val="24"/>
          <w:szCs w:val="24"/>
          <w:lang w:val="en-US"/>
        </w:rPr>
      </w:pPr>
      <w:r w:rsidRPr="009B3133">
        <w:rPr>
          <w:rFonts w:ascii="Book Antiqua" w:hAnsi="Book Antiqua" w:cs="Times New Roman"/>
          <w:sz w:val="24"/>
          <w:szCs w:val="24"/>
          <w:lang w:val="en-US"/>
        </w:rPr>
        <w:t>Draft Law on the Lottery of the Republic of Kosovo, as it re-establishes an annulled institution</w:t>
      </w:r>
      <w:r w:rsidRPr="00F24A77">
        <w:rPr>
          <w:rFonts w:ascii="Book Antiqua" w:hAnsi="Book Antiqua" w:cs="Times New Roman"/>
          <w:sz w:val="24"/>
          <w:szCs w:val="24"/>
          <w:lang w:val="en-US"/>
        </w:rPr>
        <w:t>.</w:t>
      </w:r>
    </w:p>
    <w:p w:rsidR="005F2388" w:rsidRPr="00F24A77" w:rsidRDefault="005F2388" w:rsidP="005F2388">
      <w:pPr>
        <w:spacing w:after="0"/>
        <w:jc w:val="both"/>
        <w:rPr>
          <w:rFonts w:ascii="Times New Roman" w:hAnsi="Times New Roman" w:cs="Times New Roman"/>
          <w:color w:val="00B050"/>
          <w:sz w:val="24"/>
          <w:szCs w:val="24"/>
          <w:shd w:val="clear" w:color="auto" w:fill="FFFFFF"/>
          <w:lang w:val="en-US"/>
        </w:rPr>
      </w:pPr>
    </w:p>
    <w:p w:rsidR="005F2388" w:rsidRPr="00F24A77" w:rsidRDefault="005F2388" w:rsidP="005F2388">
      <w:pPr>
        <w:spacing w:after="0"/>
        <w:jc w:val="both"/>
        <w:rPr>
          <w:rFonts w:ascii="Book Antiqua" w:hAnsi="Book Antiqua" w:cs="Times New Roman"/>
          <w:b/>
          <w:color w:val="000000" w:themeColor="text1"/>
          <w:sz w:val="24"/>
          <w:szCs w:val="24"/>
          <w:lang w:val="en-US"/>
        </w:rPr>
      </w:pPr>
      <w:r w:rsidRPr="00F24A77">
        <w:rPr>
          <w:rFonts w:ascii="Book Antiqua" w:hAnsi="Book Antiqua" w:cs="Times New Roman"/>
          <w:b/>
          <w:color w:val="000000" w:themeColor="text1"/>
          <w:sz w:val="24"/>
          <w:szCs w:val="24"/>
          <w:lang w:val="en-US"/>
        </w:rPr>
        <w:t xml:space="preserve">4. </w:t>
      </w:r>
      <w:r w:rsidRPr="009B3133">
        <w:rPr>
          <w:rFonts w:ascii="Book Antiqua" w:hAnsi="Book Antiqua" w:cs="Times New Roman"/>
          <w:b/>
          <w:color w:val="000000" w:themeColor="text1"/>
          <w:sz w:val="24"/>
          <w:szCs w:val="24"/>
          <w:lang w:val="en-US"/>
        </w:rPr>
        <w:t>Recommended option</w:t>
      </w:r>
    </w:p>
    <w:p w:rsidR="005F2388" w:rsidRPr="00F24A77" w:rsidRDefault="005F2388" w:rsidP="005F2388">
      <w:pPr>
        <w:spacing w:after="0"/>
        <w:jc w:val="both"/>
        <w:rPr>
          <w:rFonts w:ascii="Book Antiqua" w:hAnsi="Book Antiqua" w:cs="Times New Roman"/>
          <w:b/>
          <w:color w:val="000000" w:themeColor="text1"/>
          <w:sz w:val="24"/>
          <w:szCs w:val="24"/>
          <w:lang w:val="en-US"/>
        </w:rPr>
      </w:pPr>
    </w:p>
    <w:p w:rsidR="005F2388" w:rsidRPr="00F24A77" w:rsidRDefault="005F2388" w:rsidP="005F2388">
      <w:pPr>
        <w:spacing w:after="0"/>
        <w:jc w:val="both"/>
        <w:rPr>
          <w:rFonts w:ascii="Book Antiqua" w:hAnsi="Book Antiqua" w:cs="Times New Roman"/>
          <w:sz w:val="24"/>
          <w:szCs w:val="24"/>
          <w:lang w:val="en-US"/>
        </w:rPr>
      </w:pPr>
      <w:r w:rsidRPr="009B3133">
        <w:rPr>
          <w:rFonts w:ascii="Book Antiqua" w:hAnsi="Book Antiqua" w:cs="Times New Roman"/>
          <w:sz w:val="24"/>
          <w:szCs w:val="24"/>
          <w:lang w:val="en-US"/>
        </w:rPr>
        <w:t>The only option recommended by the proposer regarding this Draft Law is its approval by the Government of the Republic of Kosovo and proceeding for the review to the Assembly of the Republic of Kosovo</w:t>
      </w:r>
      <w:r>
        <w:rPr>
          <w:rFonts w:ascii="Book Antiqua" w:hAnsi="Book Antiqua" w:cs="Times New Roman"/>
          <w:sz w:val="24"/>
          <w:szCs w:val="24"/>
          <w:lang w:val="en-US"/>
        </w:rPr>
        <w:t>.</w:t>
      </w: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p>
    <w:p w:rsidR="005F2388" w:rsidRPr="007253AF" w:rsidRDefault="005F2388" w:rsidP="005F2388">
      <w:pPr>
        <w:spacing w:after="0"/>
        <w:jc w:val="center"/>
        <w:rPr>
          <w:rFonts w:ascii="Book Antiqua" w:hAnsi="Book Antiqua" w:cs="Times New Roman"/>
          <w:b/>
          <w:sz w:val="24"/>
          <w:szCs w:val="24"/>
          <w:lang w:val="sr-Latn-RS"/>
        </w:rPr>
      </w:pPr>
      <w:r w:rsidRPr="007253AF">
        <w:rPr>
          <w:rFonts w:ascii="Book Antiqua" w:hAnsi="Book Antiqua" w:cs="Times New Roman"/>
          <w:b/>
          <w:bCs/>
          <w:color w:val="000000" w:themeColor="text1"/>
          <w:sz w:val="24"/>
          <w:szCs w:val="24"/>
          <w:lang w:val="sr-Latn-RS"/>
        </w:rPr>
        <w:lastRenderedPageBreak/>
        <w:t>DOKUMENT OBJAŠNJENJA ZA NACRT ZAKONA LUTRIJE REPUBLIKE KOSOVO</w:t>
      </w:r>
    </w:p>
    <w:p w:rsidR="005F2388" w:rsidRPr="007253AF" w:rsidRDefault="005F2388" w:rsidP="005F2388">
      <w:pPr>
        <w:autoSpaceDE w:val="0"/>
        <w:autoSpaceDN w:val="0"/>
        <w:adjustRightInd w:val="0"/>
        <w:rPr>
          <w:rFonts w:ascii="Book Antiqua" w:hAnsi="Book Antiqua" w:cs="Times New Roman"/>
          <w:color w:val="000000" w:themeColor="text1"/>
          <w:sz w:val="24"/>
          <w:szCs w:val="24"/>
          <w:lang w:val="sr-Latn-RS"/>
        </w:rPr>
      </w:pPr>
      <w:r w:rsidRPr="007253AF">
        <w:rPr>
          <w:rFonts w:ascii="Book Antiqua" w:hAnsi="Book Antiqua" w:cs="Times New Roman"/>
          <w:b/>
          <w:bCs/>
          <w:color w:val="000000" w:themeColor="text1"/>
          <w:sz w:val="24"/>
          <w:szCs w:val="24"/>
          <w:lang w:val="sr-Latn-RS"/>
        </w:rPr>
        <w:t xml:space="preserve"> </w:t>
      </w:r>
    </w:p>
    <w:p w:rsidR="005F2388" w:rsidRPr="007253AF" w:rsidRDefault="005F2388" w:rsidP="005F2388">
      <w:pPr>
        <w:autoSpaceDE w:val="0"/>
        <w:autoSpaceDN w:val="0"/>
        <w:adjustRightInd w:val="0"/>
        <w:spacing w:after="0"/>
        <w:jc w:val="both"/>
        <w:rPr>
          <w:rFonts w:ascii="Book Antiqua" w:hAnsi="Book Antiqua" w:cs="Times New Roman"/>
          <w:b/>
          <w:color w:val="000000" w:themeColor="text1"/>
          <w:sz w:val="24"/>
          <w:szCs w:val="24"/>
          <w:lang w:val="sr-Latn-RS"/>
        </w:rPr>
      </w:pPr>
      <w:r w:rsidRPr="007253AF">
        <w:rPr>
          <w:rFonts w:ascii="Book Antiqua" w:hAnsi="Book Antiqua" w:cs="Times New Roman"/>
          <w:b/>
          <w:color w:val="000000" w:themeColor="text1"/>
          <w:sz w:val="24"/>
          <w:szCs w:val="24"/>
          <w:lang w:val="sr-Latn-RS"/>
        </w:rPr>
        <w:t>1. Glavno tretiranoo pitanje</w:t>
      </w:r>
    </w:p>
    <w:p w:rsidR="005F2388" w:rsidRPr="007253AF" w:rsidRDefault="005F2388" w:rsidP="005F2388">
      <w:pPr>
        <w:autoSpaceDE w:val="0"/>
        <w:autoSpaceDN w:val="0"/>
        <w:adjustRightInd w:val="0"/>
        <w:spacing w:after="0"/>
        <w:jc w:val="both"/>
        <w:rPr>
          <w:rFonts w:ascii="Times New Roman" w:hAnsi="Times New Roman" w:cs="Times New Roman"/>
          <w:b/>
          <w:color w:val="000000" w:themeColor="text1"/>
          <w:sz w:val="24"/>
          <w:szCs w:val="24"/>
          <w:lang w:val="sr-Latn-RS"/>
        </w:rPr>
      </w:pPr>
    </w:p>
    <w:p w:rsidR="005F2388" w:rsidRPr="007253AF" w:rsidRDefault="005F2388" w:rsidP="005F2388">
      <w:pPr>
        <w:ind w:firstLine="360"/>
        <w:jc w:val="both"/>
        <w:rPr>
          <w:rFonts w:ascii="Book Antiqua" w:hAnsi="Book Antiqua"/>
          <w:color w:val="000000"/>
          <w:sz w:val="24"/>
          <w:szCs w:val="24"/>
          <w:lang w:val="sr-Latn-RS"/>
        </w:rPr>
      </w:pPr>
      <w:r w:rsidRPr="007253AF">
        <w:rPr>
          <w:rFonts w:ascii="Book Antiqua" w:hAnsi="Book Antiqua"/>
          <w:color w:val="000000"/>
          <w:sz w:val="24"/>
          <w:szCs w:val="24"/>
          <w:lang w:val="sr-Latn-RS"/>
        </w:rPr>
        <w:t>Funkcionisanje Kosovske lutrije vrši se zakonom br. 04 / L-080 o igrama na sreću, koji je dopunio i izmenio prethodne propise koji datiraju od 1974. Prema odredbama ovog zakona, Lutrija Kosova imala je pravni subjektivitet i njime upravlja Uprava lutrije. U međuvremenu, Vlada Republike Kosovo 02.08.2017. Godine je usvojila Statut Kosovske lutrije, koji je regulisao pitanja organizacije Kosovske lutrije i odredio da oblik organizacije bude kao akcionarsko društvo. Kasnije, 28. marta 2019. godine uz usvajanje Zakona br. 06 / L-155 o zabrani igri na sre</w:t>
      </w:r>
      <w:r>
        <w:rPr>
          <w:rFonts w:ascii="Book Antiqua" w:hAnsi="Book Antiqua"/>
          <w:color w:val="000000"/>
          <w:sz w:val="24"/>
          <w:szCs w:val="24"/>
          <w:lang w:val="sr-Latn-RS"/>
        </w:rPr>
        <w:t>ć</w:t>
      </w:r>
      <w:r w:rsidRPr="007253AF">
        <w:rPr>
          <w:rFonts w:ascii="Book Antiqua" w:hAnsi="Book Antiqua"/>
          <w:color w:val="000000"/>
          <w:sz w:val="24"/>
          <w:szCs w:val="24"/>
          <w:lang w:val="sr-Latn-RS"/>
        </w:rPr>
        <w:t>u, Zakon br. 04 / L-080 o igrama na sreću i podzakonskim aktima proiza</w:t>
      </w:r>
      <w:r w:rsidRPr="007253AF">
        <w:rPr>
          <w:rFonts w:ascii="Book Antiqua" w:hAnsi="Book Antiqua" w:cs="Book Antiqua"/>
          <w:color w:val="000000"/>
          <w:sz w:val="24"/>
          <w:szCs w:val="24"/>
          <w:lang w:val="sr-Latn-RS"/>
        </w:rPr>
        <w:t>š</w:t>
      </w:r>
      <w:r w:rsidRPr="007253AF">
        <w:rPr>
          <w:rFonts w:ascii="Book Antiqua" w:hAnsi="Book Antiqua"/>
          <w:color w:val="000000"/>
          <w:sz w:val="24"/>
          <w:szCs w:val="24"/>
          <w:lang w:val="sr-Latn-RS"/>
        </w:rPr>
        <w:t xml:space="preserve">lim iz ovog Zakona. </w:t>
      </w:r>
    </w:p>
    <w:p w:rsidR="005F2388" w:rsidRPr="007253AF" w:rsidRDefault="005F2388" w:rsidP="005F2388">
      <w:pPr>
        <w:ind w:firstLine="360"/>
        <w:jc w:val="both"/>
        <w:rPr>
          <w:rFonts w:ascii="Book Antiqua" w:hAnsi="Book Antiqua"/>
          <w:color w:val="000000"/>
          <w:sz w:val="24"/>
          <w:szCs w:val="24"/>
          <w:lang w:val="sr-Latn-RS"/>
        </w:rPr>
      </w:pPr>
      <w:r w:rsidRPr="007253AF">
        <w:rPr>
          <w:rFonts w:ascii="Book Antiqua" w:hAnsi="Book Antiqua"/>
          <w:color w:val="000000"/>
          <w:sz w:val="24"/>
          <w:szCs w:val="24"/>
          <w:lang w:val="sr-Latn-RS"/>
        </w:rPr>
        <w:t xml:space="preserve">Ovaj Nacrt zakona predviđa ponovno osnivanje Lutrije Republike Kosovo, za koju je predviđeno da bude pravni naslednik Kosovske lutrije, ukinut Zakonom br. 06 / L-155 o zabrani igri na </w:t>
      </w:r>
      <w:r>
        <w:rPr>
          <w:rFonts w:ascii="Book Antiqua" w:hAnsi="Book Antiqua"/>
          <w:color w:val="000000"/>
          <w:sz w:val="24"/>
          <w:szCs w:val="24"/>
          <w:lang w:val="sr-Latn-RS"/>
        </w:rPr>
        <w:t>sreću</w:t>
      </w:r>
      <w:r w:rsidRPr="007253AF">
        <w:rPr>
          <w:rFonts w:ascii="Book Antiqua" w:hAnsi="Book Antiqua"/>
          <w:color w:val="000000"/>
          <w:sz w:val="24"/>
          <w:szCs w:val="24"/>
          <w:lang w:val="sr-Latn-RS"/>
        </w:rPr>
        <w:t>.</w:t>
      </w:r>
    </w:p>
    <w:p w:rsidR="005F2388" w:rsidRPr="007253AF" w:rsidRDefault="005F2388" w:rsidP="005F2388">
      <w:pPr>
        <w:spacing w:after="0"/>
        <w:jc w:val="center"/>
        <w:rPr>
          <w:rFonts w:ascii="Times New Roman" w:eastAsia="Times New Roman" w:hAnsi="Times New Roman" w:cs="Times New Roman"/>
          <w:color w:val="000000" w:themeColor="text1"/>
          <w:sz w:val="24"/>
          <w:szCs w:val="24"/>
          <w:lang w:val="sr-Latn-RS"/>
        </w:rPr>
      </w:pPr>
    </w:p>
    <w:p w:rsidR="005F2388" w:rsidRPr="007253AF" w:rsidRDefault="005F2388" w:rsidP="005F2388">
      <w:pPr>
        <w:spacing w:after="0"/>
        <w:jc w:val="both"/>
        <w:rPr>
          <w:rFonts w:ascii="Book Antiqua" w:hAnsi="Book Antiqua" w:cs="Times New Roman"/>
          <w:b/>
          <w:bCs/>
          <w:color w:val="000000" w:themeColor="text1"/>
          <w:sz w:val="24"/>
          <w:szCs w:val="24"/>
          <w:lang w:val="sr-Latn-RS"/>
        </w:rPr>
      </w:pPr>
      <w:r w:rsidRPr="007253AF">
        <w:rPr>
          <w:rFonts w:ascii="Book Antiqua" w:hAnsi="Book Antiqua" w:cs="Times New Roman"/>
          <w:b/>
          <w:bCs/>
          <w:color w:val="000000" w:themeColor="text1"/>
          <w:sz w:val="24"/>
          <w:szCs w:val="24"/>
          <w:lang w:val="sr-Latn-RS"/>
        </w:rPr>
        <w:t>2. Šta se dopunjuje/menja ovim Nacrtom zakona?</w:t>
      </w:r>
    </w:p>
    <w:p w:rsidR="005F2388" w:rsidRPr="007253AF" w:rsidRDefault="005F2388" w:rsidP="005F2388">
      <w:pPr>
        <w:spacing w:after="0"/>
        <w:jc w:val="both"/>
        <w:rPr>
          <w:rFonts w:ascii="Book Antiqua" w:hAnsi="Book Antiqua" w:cs="Times New Roman"/>
          <w:b/>
          <w:bCs/>
          <w:color w:val="000000" w:themeColor="text1"/>
          <w:sz w:val="24"/>
          <w:szCs w:val="24"/>
          <w:lang w:val="sr-Latn-RS"/>
        </w:rPr>
      </w:pPr>
    </w:p>
    <w:p w:rsidR="005F2388" w:rsidRPr="007253AF" w:rsidRDefault="005F2388" w:rsidP="005F2388">
      <w:pPr>
        <w:ind w:firstLine="360"/>
        <w:jc w:val="both"/>
        <w:rPr>
          <w:rFonts w:ascii="Book Antiqua" w:hAnsi="Book Antiqua" w:cs="Times New Roman"/>
          <w:color w:val="000000" w:themeColor="text1"/>
          <w:sz w:val="24"/>
          <w:szCs w:val="24"/>
          <w:shd w:val="clear" w:color="auto" w:fill="FFFFFF"/>
          <w:lang w:val="sr-Latn-RS"/>
        </w:rPr>
      </w:pPr>
      <w:r w:rsidRPr="007253AF">
        <w:rPr>
          <w:rFonts w:ascii="Book Antiqua" w:hAnsi="Book Antiqua" w:cs="Times New Roman"/>
          <w:color w:val="000000" w:themeColor="text1"/>
          <w:sz w:val="24"/>
          <w:szCs w:val="24"/>
          <w:shd w:val="clear" w:color="auto" w:fill="FFFFFF"/>
          <w:lang w:val="sr-Latn-RS"/>
        </w:rPr>
        <w:t xml:space="preserve">U poređenju sa prethodnim zakonodavstvom koje je bilo na snazi pre stupanja na snagu Zakona br. 06 / L-155 o zabrani igara na </w:t>
      </w:r>
      <w:r>
        <w:rPr>
          <w:rFonts w:ascii="Book Antiqua" w:hAnsi="Book Antiqua" w:cs="Times New Roman"/>
          <w:color w:val="000000" w:themeColor="text1"/>
          <w:sz w:val="24"/>
          <w:szCs w:val="24"/>
          <w:shd w:val="clear" w:color="auto" w:fill="FFFFFF"/>
          <w:lang w:val="sr-Latn-RS"/>
        </w:rPr>
        <w:t>sreću</w:t>
      </w:r>
      <w:r w:rsidRPr="007253AF">
        <w:rPr>
          <w:rFonts w:ascii="Book Antiqua" w:hAnsi="Book Antiqua" w:cs="Times New Roman"/>
          <w:color w:val="000000" w:themeColor="text1"/>
          <w:sz w:val="24"/>
          <w:szCs w:val="24"/>
          <w:shd w:val="clear" w:color="auto" w:fill="FFFFFF"/>
          <w:lang w:val="sr-Latn-RS"/>
        </w:rPr>
        <w:t xml:space="preserve">, ovaj Nacrt zakona ima za cilj da reguliše rad, upravljanje i nadzor lutrije Republike Kosovo. Dakle, ovim zakonom se uređuje organizacija i funkcionisanje lutrije Republike Kosovo (u daljem tekstu Lutrija) vrste igara na </w:t>
      </w:r>
      <w:r>
        <w:rPr>
          <w:rFonts w:ascii="Book Antiqua" w:hAnsi="Book Antiqua" w:cs="Times New Roman"/>
          <w:color w:val="000000" w:themeColor="text1"/>
          <w:sz w:val="24"/>
          <w:szCs w:val="24"/>
          <w:shd w:val="clear" w:color="auto" w:fill="FFFFFF"/>
          <w:lang w:val="sr-Latn-RS"/>
        </w:rPr>
        <w:t>sreću</w:t>
      </w:r>
      <w:r w:rsidRPr="007253AF">
        <w:rPr>
          <w:rFonts w:ascii="Book Antiqua" w:hAnsi="Book Antiqua" w:cs="Times New Roman"/>
          <w:color w:val="000000" w:themeColor="text1"/>
          <w:sz w:val="24"/>
          <w:szCs w:val="24"/>
          <w:shd w:val="clear" w:color="auto" w:fill="FFFFFF"/>
          <w:lang w:val="sr-Latn-RS"/>
        </w:rPr>
        <w:t xml:space="preserve"> organizuje Lutrija, uslovi i način organizovanja igara na sreću, pravila igre, njihov nadzor i na</w:t>
      </w:r>
      <w:r w:rsidRPr="007253AF">
        <w:rPr>
          <w:rFonts w:ascii="Book Antiqua" w:hAnsi="Book Antiqua" w:cs="Book Antiqua"/>
          <w:color w:val="000000" w:themeColor="text1"/>
          <w:sz w:val="24"/>
          <w:szCs w:val="24"/>
          <w:shd w:val="clear" w:color="auto" w:fill="FFFFFF"/>
          <w:lang w:val="sr-Latn-RS"/>
        </w:rPr>
        <w:t>č</w:t>
      </w:r>
      <w:r w:rsidRPr="007253AF">
        <w:rPr>
          <w:rFonts w:ascii="Book Antiqua" w:hAnsi="Book Antiqua" w:cs="Times New Roman"/>
          <w:color w:val="000000" w:themeColor="text1"/>
          <w:sz w:val="24"/>
          <w:szCs w:val="24"/>
          <w:shd w:val="clear" w:color="auto" w:fill="FFFFFF"/>
          <w:lang w:val="sr-Latn-RS"/>
        </w:rPr>
        <w:t>in raspodele prihoda od lutrijskog kockanja.</w:t>
      </w:r>
    </w:p>
    <w:p w:rsidR="005F2388" w:rsidRPr="007253AF" w:rsidRDefault="005F2388" w:rsidP="005F2388">
      <w:pPr>
        <w:ind w:firstLine="360"/>
        <w:jc w:val="both"/>
        <w:rPr>
          <w:rFonts w:ascii="Book Antiqua" w:hAnsi="Book Antiqua" w:cs="Times New Roman"/>
          <w:color w:val="000000" w:themeColor="text1"/>
          <w:sz w:val="24"/>
          <w:szCs w:val="24"/>
          <w:shd w:val="clear" w:color="auto" w:fill="FFFFFF"/>
          <w:lang w:val="sr-Latn-RS"/>
        </w:rPr>
      </w:pPr>
    </w:p>
    <w:p w:rsidR="005F2388" w:rsidRPr="007253AF" w:rsidRDefault="005F2388" w:rsidP="005F2388">
      <w:pPr>
        <w:ind w:firstLine="360"/>
        <w:jc w:val="both"/>
        <w:rPr>
          <w:rFonts w:ascii="Book Antiqua" w:hAnsi="Book Antiqua"/>
          <w:color w:val="000000"/>
          <w:sz w:val="24"/>
          <w:szCs w:val="24"/>
          <w:lang w:val="sr-Latn-RS"/>
        </w:rPr>
      </w:pPr>
      <w:r w:rsidRPr="007253AF">
        <w:rPr>
          <w:rFonts w:ascii="Book Antiqua" w:hAnsi="Book Antiqua"/>
          <w:color w:val="000000"/>
          <w:sz w:val="24"/>
          <w:szCs w:val="24"/>
          <w:lang w:val="sr-Latn-RS"/>
        </w:rPr>
        <w:t>U prvom poglavlju ovog Nacrta zakona reguliše se svrha, obim i definicije koje ovaj nacrt zakona koristi.</w:t>
      </w:r>
    </w:p>
    <w:p w:rsidR="005F2388" w:rsidRPr="007253AF" w:rsidRDefault="005F2388" w:rsidP="005F2388">
      <w:pPr>
        <w:ind w:firstLine="360"/>
        <w:jc w:val="both"/>
        <w:rPr>
          <w:rFonts w:ascii="Book Antiqua" w:hAnsi="Book Antiqua"/>
          <w:color w:val="000000"/>
          <w:sz w:val="24"/>
          <w:szCs w:val="24"/>
          <w:lang w:val="sr-Latn-RS"/>
        </w:rPr>
      </w:pPr>
      <w:r w:rsidRPr="007253AF">
        <w:rPr>
          <w:rFonts w:ascii="Book Antiqua" w:hAnsi="Book Antiqua"/>
          <w:color w:val="000000"/>
          <w:sz w:val="24"/>
          <w:szCs w:val="24"/>
          <w:lang w:val="sr-Latn-RS"/>
        </w:rPr>
        <w:t>Drugo poglavlje ovog Nacrta zakona reguliše faze organizovanja igara na sreću, koje defini</w:t>
      </w:r>
      <w:r w:rsidRPr="007253AF">
        <w:rPr>
          <w:rFonts w:ascii="Book Antiqua" w:hAnsi="Book Antiqua" w:cs="Book Antiqua"/>
          <w:color w:val="000000"/>
          <w:sz w:val="24"/>
          <w:szCs w:val="24"/>
          <w:lang w:val="sr-Latn-RS"/>
        </w:rPr>
        <w:t>š</w:t>
      </w:r>
      <w:r w:rsidRPr="007253AF">
        <w:rPr>
          <w:rFonts w:ascii="Book Antiqua" w:hAnsi="Book Antiqua"/>
          <w:color w:val="000000"/>
          <w:sz w:val="24"/>
          <w:szCs w:val="24"/>
          <w:lang w:val="sr-Latn-RS"/>
        </w:rPr>
        <w:t>u vrste igara na sreću koje organizuje Lutrija, pravila ovih igara, starost u</w:t>
      </w:r>
      <w:r w:rsidRPr="007253AF">
        <w:rPr>
          <w:rFonts w:ascii="Book Antiqua" w:hAnsi="Book Antiqua" w:cs="Book Antiqua"/>
          <w:color w:val="000000"/>
          <w:sz w:val="24"/>
          <w:szCs w:val="24"/>
          <w:lang w:val="sr-Latn-RS"/>
        </w:rPr>
        <w:t>č</w:t>
      </w:r>
      <w:r w:rsidRPr="007253AF">
        <w:rPr>
          <w:rFonts w:ascii="Book Antiqua" w:hAnsi="Book Antiqua"/>
          <w:color w:val="000000"/>
          <w:sz w:val="24"/>
          <w:szCs w:val="24"/>
          <w:lang w:val="sr-Latn-RS"/>
        </w:rPr>
        <w:t xml:space="preserve">esnika u tim igrama, </w:t>
      </w:r>
      <w:r w:rsidRPr="007253AF">
        <w:rPr>
          <w:rFonts w:ascii="Book Antiqua" w:hAnsi="Book Antiqua" w:cs="Book Antiqua"/>
          <w:color w:val="000000"/>
          <w:sz w:val="24"/>
          <w:szCs w:val="24"/>
          <w:lang w:val="sr-Latn-RS"/>
        </w:rPr>
        <w:t>š</w:t>
      </w:r>
      <w:r w:rsidRPr="007253AF">
        <w:rPr>
          <w:rFonts w:ascii="Book Antiqua" w:hAnsi="Book Antiqua"/>
          <w:color w:val="000000"/>
          <w:sz w:val="24"/>
          <w:szCs w:val="24"/>
          <w:lang w:val="sr-Latn-RS"/>
        </w:rPr>
        <w:t>tampanje karata, u</w:t>
      </w:r>
      <w:r w:rsidRPr="007253AF">
        <w:rPr>
          <w:rFonts w:ascii="Book Antiqua" w:hAnsi="Book Antiqua" w:cs="Book Antiqua"/>
          <w:color w:val="000000"/>
          <w:sz w:val="24"/>
          <w:szCs w:val="24"/>
          <w:lang w:val="sr-Latn-RS"/>
        </w:rPr>
        <w:t>č</w:t>
      </w:r>
      <w:r w:rsidRPr="007253AF">
        <w:rPr>
          <w:rFonts w:ascii="Book Antiqua" w:hAnsi="Book Antiqua"/>
          <w:color w:val="000000"/>
          <w:sz w:val="24"/>
          <w:szCs w:val="24"/>
          <w:lang w:val="sr-Latn-RS"/>
        </w:rPr>
        <w:t>e</w:t>
      </w:r>
      <w:r w:rsidRPr="007253AF">
        <w:rPr>
          <w:rFonts w:ascii="Book Antiqua" w:hAnsi="Book Antiqua" w:cs="Book Antiqua"/>
          <w:color w:val="000000"/>
          <w:sz w:val="24"/>
          <w:szCs w:val="24"/>
          <w:lang w:val="sr-Latn-RS"/>
        </w:rPr>
        <w:t>š</w:t>
      </w:r>
      <w:r w:rsidRPr="007253AF">
        <w:rPr>
          <w:rFonts w:ascii="Book Antiqua" w:hAnsi="Book Antiqua"/>
          <w:color w:val="000000"/>
          <w:sz w:val="24"/>
          <w:szCs w:val="24"/>
          <w:lang w:val="sr-Latn-RS"/>
        </w:rPr>
        <w:t>će u igrama, dobitni fond , povla</w:t>
      </w:r>
      <w:r w:rsidRPr="007253AF">
        <w:rPr>
          <w:rFonts w:ascii="Book Antiqua" w:hAnsi="Book Antiqua" w:cs="Book Antiqua"/>
          <w:color w:val="000000"/>
          <w:sz w:val="24"/>
          <w:szCs w:val="24"/>
          <w:lang w:val="sr-Latn-RS"/>
        </w:rPr>
        <w:t>č</w:t>
      </w:r>
      <w:r w:rsidRPr="007253AF">
        <w:rPr>
          <w:rFonts w:ascii="Book Antiqua" w:hAnsi="Book Antiqua"/>
          <w:color w:val="000000"/>
          <w:sz w:val="24"/>
          <w:szCs w:val="24"/>
          <w:lang w:val="sr-Latn-RS"/>
        </w:rPr>
        <w:t>enje i isplata dobiti. Tako</w:t>
      </w:r>
      <w:r w:rsidRPr="007253AF">
        <w:rPr>
          <w:rFonts w:ascii="Book Antiqua" w:hAnsi="Book Antiqua" w:cs="Book Antiqua"/>
          <w:color w:val="000000"/>
          <w:sz w:val="24"/>
          <w:szCs w:val="24"/>
          <w:lang w:val="sr-Latn-RS"/>
        </w:rPr>
        <w:t>đ</w:t>
      </w:r>
      <w:r w:rsidRPr="007253AF">
        <w:rPr>
          <w:rFonts w:ascii="Book Antiqua" w:hAnsi="Book Antiqua"/>
          <w:color w:val="000000"/>
          <w:sz w:val="24"/>
          <w:szCs w:val="24"/>
          <w:lang w:val="sr-Latn-RS"/>
        </w:rPr>
        <w:t xml:space="preserve">e, ove odredbe regulišu poreski tretman dobiti od igri na </w:t>
      </w:r>
      <w:r>
        <w:rPr>
          <w:rFonts w:ascii="Book Antiqua" w:hAnsi="Book Antiqua"/>
          <w:color w:val="000000"/>
          <w:sz w:val="24"/>
          <w:szCs w:val="24"/>
          <w:lang w:val="sr-Latn-RS"/>
        </w:rPr>
        <w:t>sreću</w:t>
      </w:r>
      <w:r w:rsidRPr="007253AF">
        <w:rPr>
          <w:rFonts w:ascii="Book Antiqua" w:hAnsi="Book Antiqua"/>
          <w:color w:val="000000"/>
          <w:sz w:val="24"/>
          <w:szCs w:val="24"/>
          <w:lang w:val="sr-Latn-RS"/>
        </w:rPr>
        <w:t xml:space="preserve"> kao i raspodelu dividendi od prihoda lutrije.  </w:t>
      </w:r>
    </w:p>
    <w:p w:rsidR="005F2388" w:rsidRPr="007253AF" w:rsidRDefault="005F2388" w:rsidP="005F2388">
      <w:pPr>
        <w:ind w:firstLine="360"/>
        <w:jc w:val="both"/>
        <w:rPr>
          <w:rFonts w:ascii="Book Antiqua" w:hAnsi="Book Antiqua"/>
          <w:color w:val="000000"/>
          <w:sz w:val="24"/>
          <w:szCs w:val="24"/>
          <w:lang w:val="sr-Latn-RS"/>
        </w:rPr>
      </w:pPr>
      <w:r w:rsidRPr="007253AF">
        <w:rPr>
          <w:rFonts w:ascii="Book Antiqua" w:hAnsi="Book Antiqua"/>
          <w:color w:val="000000"/>
          <w:sz w:val="24"/>
          <w:szCs w:val="24"/>
          <w:lang w:val="sr-Latn-RS"/>
        </w:rPr>
        <w:t xml:space="preserve">U trećem poglavlju ovog Nacrta zakona uređena su pitanja funkcionisanja Lutrije, pri čemu je utvrđeno da Lutrija ima pravni subjektivitet i ekskluzivnost u organizovanju igara na sreću, bez prava delegiranja ili delegiranja drugih subjekata. Takođe, ove odredbe predviđaju da je Vlada Republike Kosovo akcionar Kosovske </w:t>
      </w:r>
      <w:r w:rsidRPr="007253AF">
        <w:rPr>
          <w:rFonts w:ascii="Book Antiqua" w:hAnsi="Book Antiqua"/>
          <w:color w:val="000000"/>
          <w:sz w:val="24"/>
          <w:szCs w:val="24"/>
          <w:lang w:val="sr-Latn-RS"/>
        </w:rPr>
        <w:lastRenderedPageBreak/>
        <w:t>lutrije, a nadzorni organ lutrije je Odbor lutrije. Ovaj odbor, za koga se predlaže da ima četverogodišnji mandat, u skladu sa ovim odredbama imenuje se prema jasnim kriterijumima koji garantuju kvalitet i transparentne procedure.</w:t>
      </w:r>
    </w:p>
    <w:p w:rsidR="005F2388" w:rsidRPr="007253AF" w:rsidRDefault="005F2388" w:rsidP="005F2388">
      <w:pPr>
        <w:ind w:firstLine="360"/>
        <w:jc w:val="both"/>
        <w:rPr>
          <w:rFonts w:ascii="Book Antiqua" w:hAnsi="Book Antiqua"/>
          <w:color w:val="000000"/>
          <w:sz w:val="24"/>
          <w:szCs w:val="24"/>
          <w:lang w:val="sr-Latn-RS"/>
        </w:rPr>
      </w:pPr>
      <w:r w:rsidRPr="007253AF">
        <w:rPr>
          <w:rFonts w:ascii="Book Antiqua" w:hAnsi="Book Antiqua"/>
          <w:color w:val="000000"/>
          <w:sz w:val="24"/>
          <w:szCs w:val="24"/>
          <w:lang w:val="sr-Latn-RS"/>
        </w:rPr>
        <w:t>Poslednje poglavlje ovog Nacrta zakona reguliše odgovornosti za lutriju uspešnosti, gde je Lutrija definisana kao pravni naslednik bivše Kosovske lutrije i gde ova nova organizacija preuzima sve obaveze i koristi kao naslednik. Ova organizacija takođe pretpostavlja zapošljavanje bivših radnika lutrije, uključuju</w:t>
      </w:r>
      <w:r>
        <w:rPr>
          <w:rFonts w:ascii="Book Antiqua" w:hAnsi="Book Antiqua"/>
          <w:color w:val="000000"/>
          <w:sz w:val="24"/>
          <w:szCs w:val="24"/>
          <w:lang w:val="sr-Latn-RS"/>
        </w:rPr>
        <w:t>ć</w:t>
      </w:r>
      <w:r w:rsidRPr="007253AF">
        <w:rPr>
          <w:rFonts w:ascii="Book Antiqua" w:hAnsi="Book Antiqua"/>
          <w:color w:val="000000"/>
          <w:sz w:val="24"/>
          <w:szCs w:val="24"/>
          <w:lang w:val="sr-Latn-RS"/>
        </w:rPr>
        <w:t>i deo mandata Odbora..</w:t>
      </w:r>
    </w:p>
    <w:p w:rsidR="005F2388" w:rsidRPr="007253AF" w:rsidRDefault="005F2388" w:rsidP="005F2388">
      <w:pPr>
        <w:spacing w:after="0"/>
        <w:jc w:val="both"/>
        <w:rPr>
          <w:rFonts w:ascii="Book Antiqua" w:hAnsi="Book Antiqua" w:cs="Times New Roman"/>
          <w:b/>
          <w:sz w:val="24"/>
          <w:szCs w:val="24"/>
          <w:lang w:val="sr-Latn-RS"/>
        </w:rPr>
      </w:pPr>
      <w:r w:rsidRPr="007253AF">
        <w:rPr>
          <w:rFonts w:ascii="Book Antiqua" w:hAnsi="Book Antiqua" w:cs="Times New Roman"/>
          <w:b/>
          <w:bCs/>
          <w:color w:val="000000" w:themeColor="text1"/>
          <w:sz w:val="24"/>
          <w:szCs w:val="24"/>
          <w:lang w:val="sr-Latn-RS"/>
        </w:rPr>
        <w:t>3. Obrazloženje predloga za izmene i dopune nacrta zakona</w:t>
      </w:r>
      <w:r w:rsidRPr="007253AF">
        <w:rPr>
          <w:rFonts w:ascii="Book Antiqua" w:hAnsi="Book Antiqua" w:cs="Times New Roman"/>
          <w:b/>
          <w:sz w:val="24"/>
          <w:szCs w:val="24"/>
          <w:lang w:val="sr-Latn-RS"/>
        </w:rPr>
        <w:t>?</w:t>
      </w:r>
    </w:p>
    <w:p w:rsidR="005F2388" w:rsidRPr="007253AF" w:rsidRDefault="005F2388" w:rsidP="005F2388">
      <w:pPr>
        <w:spacing w:after="0"/>
        <w:jc w:val="both"/>
        <w:rPr>
          <w:rFonts w:ascii="Book Antiqua" w:hAnsi="Book Antiqua" w:cs="Times New Roman"/>
          <w:b/>
          <w:sz w:val="24"/>
          <w:szCs w:val="24"/>
          <w:lang w:val="sr-Latn-RS"/>
        </w:rPr>
      </w:pPr>
    </w:p>
    <w:p w:rsidR="005F2388" w:rsidRPr="007253AF" w:rsidRDefault="005F2388" w:rsidP="005F2388">
      <w:pPr>
        <w:spacing w:after="0"/>
        <w:rPr>
          <w:rFonts w:ascii="Book Antiqua" w:hAnsi="Book Antiqua" w:cs="Times New Roman"/>
          <w:sz w:val="24"/>
          <w:szCs w:val="24"/>
          <w:lang w:val="sr-Latn-RS"/>
        </w:rPr>
      </w:pPr>
      <w:r w:rsidRPr="007253AF">
        <w:rPr>
          <w:rFonts w:ascii="Book Antiqua" w:hAnsi="Book Antiqua" w:cs="Times New Roman"/>
          <w:sz w:val="24"/>
          <w:szCs w:val="24"/>
          <w:lang w:val="sr-Latn-RS"/>
        </w:rPr>
        <w:t>Nacrt zakona o lutriji Republike Kosovo, pošto ponovo uspostavlja ijednu ukinutu instituciju.</w:t>
      </w:r>
    </w:p>
    <w:p w:rsidR="005F2388" w:rsidRPr="007253AF" w:rsidRDefault="005F2388" w:rsidP="005F2388">
      <w:pPr>
        <w:spacing w:after="0"/>
        <w:jc w:val="both"/>
        <w:rPr>
          <w:rFonts w:ascii="Times New Roman" w:hAnsi="Times New Roman" w:cs="Times New Roman"/>
          <w:color w:val="00B050"/>
          <w:sz w:val="24"/>
          <w:szCs w:val="24"/>
          <w:shd w:val="clear" w:color="auto" w:fill="FFFFFF"/>
          <w:lang w:val="sr-Latn-RS"/>
        </w:rPr>
      </w:pPr>
    </w:p>
    <w:p w:rsidR="005F2388" w:rsidRPr="007253AF" w:rsidRDefault="005F2388" w:rsidP="005F2388">
      <w:pPr>
        <w:spacing w:after="0"/>
        <w:jc w:val="both"/>
        <w:rPr>
          <w:rFonts w:ascii="Book Antiqua" w:hAnsi="Book Antiqua" w:cs="Times New Roman"/>
          <w:b/>
          <w:color w:val="000000" w:themeColor="text1"/>
          <w:sz w:val="24"/>
          <w:szCs w:val="24"/>
          <w:lang w:val="sr-Latn-RS"/>
        </w:rPr>
      </w:pPr>
      <w:r w:rsidRPr="007253AF">
        <w:rPr>
          <w:rFonts w:ascii="Book Antiqua" w:hAnsi="Book Antiqua" w:cs="Times New Roman"/>
          <w:b/>
          <w:color w:val="000000" w:themeColor="text1"/>
          <w:sz w:val="24"/>
          <w:szCs w:val="24"/>
          <w:lang w:val="sr-Latn-RS"/>
        </w:rPr>
        <w:t>4. Preporučena opcija</w:t>
      </w:r>
    </w:p>
    <w:p w:rsidR="005F2388" w:rsidRPr="007253AF" w:rsidRDefault="005F2388" w:rsidP="005F2388">
      <w:pPr>
        <w:spacing w:after="0"/>
        <w:jc w:val="both"/>
        <w:rPr>
          <w:rFonts w:ascii="Book Antiqua" w:hAnsi="Book Antiqua" w:cs="Times New Roman"/>
          <w:b/>
          <w:color w:val="000000" w:themeColor="text1"/>
          <w:sz w:val="24"/>
          <w:szCs w:val="24"/>
          <w:lang w:val="sr-Latn-RS"/>
        </w:rPr>
      </w:pPr>
    </w:p>
    <w:p w:rsidR="005F2388" w:rsidRPr="007253AF" w:rsidRDefault="005F2388" w:rsidP="005F2388">
      <w:pPr>
        <w:shd w:val="clear" w:color="auto" w:fill="FFFFFF" w:themeFill="background1"/>
        <w:spacing w:line="240" w:lineRule="auto"/>
        <w:jc w:val="both"/>
        <w:rPr>
          <w:rFonts w:ascii="Times New Roman" w:eastAsia="MS Mincho" w:hAnsi="Times New Roman" w:cs="Times New Roman"/>
          <w:sz w:val="24"/>
          <w:szCs w:val="24"/>
          <w:lang w:val="sr-Latn-RS"/>
        </w:rPr>
      </w:pPr>
      <w:r w:rsidRPr="007B0BCD">
        <w:rPr>
          <w:rFonts w:ascii="Book Antiqua" w:hAnsi="Book Antiqua" w:cs="Times New Roman"/>
          <w:sz w:val="24"/>
          <w:szCs w:val="24"/>
          <w:lang w:val="sr-Latn-RS"/>
        </w:rPr>
        <w:t>Jedina opcija koju predlagač preporučuje u vezi sa ovim Nacrtom zakona je njegova saglasnost od Vlade Republike Kosovo i postupak razmatranja u Skupštini Republike Kosovo.</w:t>
      </w:r>
    </w:p>
    <w:p w:rsidR="005F2388" w:rsidRDefault="005F2388" w:rsidP="009C038A">
      <w:pPr>
        <w:spacing w:after="0" w:line="240" w:lineRule="auto"/>
        <w:jc w:val="both"/>
        <w:rPr>
          <w:rFonts w:ascii="Book Antiqua" w:hAnsi="Book Antiqua" w:cs="Times New Roman"/>
          <w:b/>
          <w:bCs/>
          <w:color w:val="000000" w:themeColor="text1"/>
          <w:sz w:val="24"/>
          <w:szCs w:val="24"/>
          <w:lang w:val="en-US"/>
        </w:rPr>
      </w:pPr>
      <w:bookmarkStart w:id="0" w:name="_GoBack"/>
      <w:bookmarkEnd w:id="0"/>
    </w:p>
    <w:p w:rsidR="003123A5" w:rsidRDefault="003123A5" w:rsidP="009C038A">
      <w:pPr>
        <w:spacing w:after="0" w:line="240" w:lineRule="auto"/>
        <w:jc w:val="both"/>
        <w:rPr>
          <w:rFonts w:ascii="Book Antiqua" w:hAnsi="Book Antiqua" w:cs="Times New Roman"/>
          <w:b/>
          <w:bCs/>
          <w:color w:val="000000" w:themeColor="text1"/>
          <w:sz w:val="24"/>
          <w:szCs w:val="24"/>
          <w:lang w:val="en-US"/>
        </w:rPr>
      </w:pPr>
    </w:p>
    <w:p w:rsidR="003123A5" w:rsidRDefault="003123A5" w:rsidP="009C038A">
      <w:pPr>
        <w:spacing w:after="0" w:line="240" w:lineRule="auto"/>
        <w:jc w:val="both"/>
        <w:rPr>
          <w:rFonts w:ascii="Book Antiqua" w:hAnsi="Book Antiqua" w:cs="Times New Roman"/>
          <w:b/>
          <w:bCs/>
          <w:color w:val="000000" w:themeColor="text1"/>
          <w:sz w:val="24"/>
          <w:szCs w:val="24"/>
          <w:lang w:val="en-US"/>
        </w:rPr>
      </w:pPr>
    </w:p>
    <w:p w:rsidR="003123A5" w:rsidRDefault="003123A5" w:rsidP="009C038A">
      <w:pPr>
        <w:spacing w:after="0" w:line="240" w:lineRule="auto"/>
        <w:jc w:val="both"/>
        <w:rPr>
          <w:rFonts w:ascii="Book Antiqua" w:hAnsi="Book Antiqua" w:cs="Times New Roman"/>
          <w:b/>
          <w:bCs/>
          <w:color w:val="000000" w:themeColor="text1"/>
          <w:sz w:val="24"/>
          <w:szCs w:val="24"/>
          <w:lang w:val="en-US"/>
        </w:rPr>
      </w:pPr>
    </w:p>
    <w:p w:rsidR="003123A5" w:rsidRPr="009C038A" w:rsidRDefault="003123A5" w:rsidP="009C038A">
      <w:pPr>
        <w:spacing w:after="0" w:line="240" w:lineRule="auto"/>
        <w:jc w:val="both"/>
        <w:rPr>
          <w:rFonts w:ascii="Times New Roman" w:hAnsi="Times New Roman" w:cs="Times New Roman"/>
          <w:color w:val="000000" w:themeColor="text1"/>
          <w:sz w:val="24"/>
          <w:szCs w:val="24"/>
        </w:rPr>
      </w:pPr>
    </w:p>
    <w:sectPr w:rsidR="003123A5" w:rsidRPr="009C038A">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901" w:rsidRDefault="00CD2901" w:rsidP="009910F4">
      <w:pPr>
        <w:spacing w:after="0" w:line="240" w:lineRule="auto"/>
      </w:pPr>
      <w:r>
        <w:separator/>
      </w:r>
    </w:p>
  </w:endnote>
  <w:endnote w:type="continuationSeparator" w:id="0">
    <w:p w:rsidR="00CD2901" w:rsidRDefault="00CD2901" w:rsidP="00991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091568"/>
      <w:docPartObj>
        <w:docPartGallery w:val="Page Numbers (Bottom of Page)"/>
        <w:docPartUnique/>
      </w:docPartObj>
    </w:sdtPr>
    <w:sdtEndPr/>
    <w:sdtContent>
      <w:sdt>
        <w:sdtPr>
          <w:id w:val="860082579"/>
          <w:docPartObj>
            <w:docPartGallery w:val="Page Numbers (Top of Page)"/>
            <w:docPartUnique/>
          </w:docPartObj>
        </w:sdtPr>
        <w:sdtEndPr/>
        <w:sdtContent>
          <w:p w:rsidR="006B0636" w:rsidRDefault="006B0636">
            <w:pPr>
              <w:pStyle w:val="Footer"/>
              <w:jc w:val="right"/>
            </w:pPr>
            <w:r>
              <w:t xml:space="preserve">Faqe </w:t>
            </w:r>
            <w:r>
              <w:rPr>
                <w:b/>
                <w:bCs/>
                <w:sz w:val="24"/>
                <w:szCs w:val="24"/>
              </w:rPr>
              <w:fldChar w:fldCharType="begin"/>
            </w:r>
            <w:r>
              <w:rPr>
                <w:b/>
                <w:bCs/>
              </w:rPr>
              <w:instrText xml:space="preserve"> PAGE </w:instrText>
            </w:r>
            <w:r>
              <w:rPr>
                <w:b/>
                <w:bCs/>
                <w:sz w:val="24"/>
                <w:szCs w:val="24"/>
              </w:rPr>
              <w:fldChar w:fldCharType="separate"/>
            </w:r>
            <w:r w:rsidR="005F2388">
              <w:rPr>
                <w:b/>
                <w:bCs/>
                <w:noProof/>
              </w:rPr>
              <w:t>6</w:t>
            </w:r>
            <w:r>
              <w:rPr>
                <w:b/>
                <w:bCs/>
                <w:sz w:val="24"/>
                <w:szCs w:val="24"/>
              </w:rPr>
              <w:fldChar w:fldCharType="end"/>
            </w:r>
            <w:r>
              <w:t xml:space="preserve"> deri </w:t>
            </w:r>
            <w:r>
              <w:rPr>
                <w:b/>
                <w:bCs/>
                <w:sz w:val="24"/>
                <w:szCs w:val="24"/>
              </w:rPr>
              <w:fldChar w:fldCharType="begin"/>
            </w:r>
            <w:r>
              <w:rPr>
                <w:b/>
                <w:bCs/>
              </w:rPr>
              <w:instrText xml:space="preserve"> NUMPAGES  </w:instrText>
            </w:r>
            <w:r>
              <w:rPr>
                <w:b/>
                <w:bCs/>
                <w:sz w:val="24"/>
                <w:szCs w:val="24"/>
              </w:rPr>
              <w:fldChar w:fldCharType="separate"/>
            </w:r>
            <w:r w:rsidR="005F2388">
              <w:rPr>
                <w:b/>
                <w:bCs/>
                <w:noProof/>
              </w:rPr>
              <w:t>6</w:t>
            </w:r>
            <w:r>
              <w:rPr>
                <w:b/>
                <w:bCs/>
                <w:sz w:val="24"/>
                <w:szCs w:val="24"/>
              </w:rPr>
              <w:fldChar w:fldCharType="end"/>
            </w:r>
          </w:p>
        </w:sdtContent>
      </w:sdt>
    </w:sdtContent>
  </w:sdt>
  <w:p w:rsidR="006B0636" w:rsidRDefault="006B06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901" w:rsidRDefault="00CD2901" w:rsidP="009910F4">
      <w:pPr>
        <w:spacing w:after="0" w:line="240" w:lineRule="auto"/>
      </w:pPr>
      <w:r>
        <w:separator/>
      </w:r>
    </w:p>
  </w:footnote>
  <w:footnote w:type="continuationSeparator" w:id="0">
    <w:p w:rsidR="00CD2901" w:rsidRDefault="00CD2901" w:rsidP="009910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61D82"/>
    <w:multiLevelType w:val="hybridMultilevel"/>
    <w:tmpl w:val="D0ACCB4A"/>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1396B2B"/>
    <w:multiLevelType w:val="hybridMultilevel"/>
    <w:tmpl w:val="0736222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FA10A33"/>
    <w:multiLevelType w:val="hybridMultilevel"/>
    <w:tmpl w:val="69DA3644"/>
    <w:lvl w:ilvl="0" w:tplc="D5E68276">
      <w:start w:val="6"/>
      <w:numFmt w:val="decimal"/>
      <w:lvlText w:val="%1."/>
      <w:lvlJc w:val="left"/>
      <w:pPr>
        <w:ind w:left="1080" w:hanging="360"/>
      </w:pPr>
      <w:rPr>
        <w:rFonts w:hint="default"/>
        <w:color w:val="000000" w:themeColor="text1"/>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2B2E5049"/>
    <w:multiLevelType w:val="hybridMultilevel"/>
    <w:tmpl w:val="4DF88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322D6B"/>
    <w:multiLevelType w:val="hybridMultilevel"/>
    <w:tmpl w:val="27C8A1A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328669C4"/>
    <w:multiLevelType w:val="hybridMultilevel"/>
    <w:tmpl w:val="5386B13C"/>
    <w:lvl w:ilvl="0" w:tplc="3E82940E">
      <w:start w:val="1"/>
      <w:numFmt w:val="decimal"/>
      <w:lvlText w:val="%1."/>
      <w:lvlJc w:val="left"/>
      <w:pPr>
        <w:ind w:left="720" w:hanging="360"/>
      </w:pPr>
      <w:rPr>
        <w:rFonts w:hint="default"/>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84B41C2"/>
    <w:multiLevelType w:val="hybridMultilevel"/>
    <w:tmpl w:val="0736222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3ACF668B"/>
    <w:multiLevelType w:val="hybridMultilevel"/>
    <w:tmpl w:val="36966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373DCB"/>
    <w:multiLevelType w:val="hybridMultilevel"/>
    <w:tmpl w:val="2CDC512C"/>
    <w:lvl w:ilvl="0" w:tplc="CA501A10">
      <w:start w:val="1"/>
      <w:numFmt w:val="decimal"/>
      <w:lvlText w:val="%1."/>
      <w:lvlJc w:val="left"/>
      <w:pPr>
        <w:ind w:left="720" w:hanging="360"/>
      </w:pPr>
      <w:rPr>
        <w:rFonts w:hint="default"/>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3EDF23E9"/>
    <w:multiLevelType w:val="multilevel"/>
    <w:tmpl w:val="59B278D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49D47DA2"/>
    <w:multiLevelType w:val="hybridMultilevel"/>
    <w:tmpl w:val="D0ACCB4A"/>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5FAB767A"/>
    <w:multiLevelType w:val="hybridMultilevel"/>
    <w:tmpl w:val="F098B51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670B5398"/>
    <w:multiLevelType w:val="hybridMultilevel"/>
    <w:tmpl w:val="D0ACCB4A"/>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75C31282"/>
    <w:multiLevelType w:val="multilevel"/>
    <w:tmpl w:val="59B278D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13"/>
  </w:num>
  <w:num w:numId="2">
    <w:abstractNumId w:val="9"/>
  </w:num>
  <w:num w:numId="3">
    <w:abstractNumId w:val="2"/>
  </w:num>
  <w:num w:numId="4">
    <w:abstractNumId w:val="10"/>
  </w:num>
  <w:num w:numId="5">
    <w:abstractNumId w:val="12"/>
  </w:num>
  <w:num w:numId="6">
    <w:abstractNumId w:val="0"/>
  </w:num>
  <w:num w:numId="7">
    <w:abstractNumId w:val="4"/>
  </w:num>
  <w:num w:numId="8">
    <w:abstractNumId w:val="5"/>
  </w:num>
  <w:num w:numId="9">
    <w:abstractNumId w:val="6"/>
  </w:num>
  <w:num w:numId="10">
    <w:abstractNumId w:val="1"/>
  </w:num>
  <w:num w:numId="11">
    <w:abstractNumId w:val="8"/>
  </w:num>
  <w:num w:numId="12">
    <w:abstractNumId w:val="3"/>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3AE"/>
    <w:rsid w:val="00076A4A"/>
    <w:rsid w:val="000B476F"/>
    <w:rsid w:val="000C22A6"/>
    <w:rsid w:val="000F1B5A"/>
    <w:rsid w:val="000F38E5"/>
    <w:rsid w:val="00150376"/>
    <w:rsid w:val="00174FD3"/>
    <w:rsid w:val="001819C1"/>
    <w:rsid w:val="001907D9"/>
    <w:rsid w:val="00194BC4"/>
    <w:rsid w:val="001A5109"/>
    <w:rsid w:val="001B1CD9"/>
    <w:rsid w:val="001B6B24"/>
    <w:rsid w:val="001D30C3"/>
    <w:rsid w:val="001F15B9"/>
    <w:rsid w:val="001F4F17"/>
    <w:rsid w:val="001F5017"/>
    <w:rsid w:val="002126FE"/>
    <w:rsid w:val="00255D34"/>
    <w:rsid w:val="002723D4"/>
    <w:rsid w:val="002B361E"/>
    <w:rsid w:val="002B7F77"/>
    <w:rsid w:val="002D1FAE"/>
    <w:rsid w:val="002E44C8"/>
    <w:rsid w:val="002F37B7"/>
    <w:rsid w:val="002F58DB"/>
    <w:rsid w:val="003123A5"/>
    <w:rsid w:val="003A76EC"/>
    <w:rsid w:val="003B0AA4"/>
    <w:rsid w:val="003B6455"/>
    <w:rsid w:val="003C6A91"/>
    <w:rsid w:val="003D2CC6"/>
    <w:rsid w:val="003E20B6"/>
    <w:rsid w:val="003E3628"/>
    <w:rsid w:val="003F311D"/>
    <w:rsid w:val="00407CF0"/>
    <w:rsid w:val="00416FBE"/>
    <w:rsid w:val="00434FD0"/>
    <w:rsid w:val="0045013B"/>
    <w:rsid w:val="0046655D"/>
    <w:rsid w:val="004824D0"/>
    <w:rsid w:val="004C6D88"/>
    <w:rsid w:val="005130E8"/>
    <w:rsid w:val="0052184C"/>
    <w:rsid w:val="0052760B"/>
    <w:rsid w:val="00554AD9"/>
    <w:rsid w:val="0058183A"/>
    <w:rsid w:val="005C35BE"/>
    <w:rsid w:val="005D46E4"/>
    <w:rsid w:val="005F2388"/>
    <w:rsid w:val="00600814"/>
    <w:rsid w:val="006115D5"/>
    <w:rsid w:val="00654DAA"/>
    <w:rsid w:val="0066136E"/>
    <w:rsid w:val="00677706"/>
    <w:rsid w:val="00690F4E"/>
    <w:rsid w:val="00696639"/>
    <w:rsid w:val="006B0636"/>
    <w:rsid w:val="006F6D18"/>
    <w:rsid w:val="00707973"/>
    <w:rsid w:val="00713090"/>
    <w:rsid w:val="0077497A"/>
    <w:rsid w:val="00780E8D"/>
    <w:rsid w:val="00792110"/>
    <w:rsid w:val="00793F69"/>
    <w:rsid w:val="007970B7"/>
    <w:rsid w:val="0079777A"/>
    <w:rsid w:val="007A3145"/>
    <w:rsid w:val="007B5A8A"/>
    <w:rsid w:val="007E40D5"/>
    <w:rsid w:val="007F0376"/>
    <w:rsid w:val="00800AE3"/>
    <w:rsid w:val="008326EC"/>
    <w:rsid w:val="00836B3F"/>
    <w:rsid w:val="0084673D"/>
    <w:rsid w:val="0085637C"/>
    <w:rsid w:val="00867FD4"/>
    <w:rsid w:val="0088793A"/>
    <w:rsid w:val="008904C9"/>
    <w:rsid w:val="008B62EB"/>
    <w:rsid w:val="008C7E90"/>
    <w:rsid w:val="008F1C76"/>
    <w:rsid w:val="0090184D"/>
    <w:rsid w:val="00947220"/>
    <w:rsid w:val="00964337"/>
    <w:rsid w:val="00974132"/>
    <w:rsid w:val="00986E6D"/>
    <w:rsid w:val="009910F4"/>
    <w:rsid w:val="00991553"/>
    <w:rsid w:val="009C038A"/>
    <w:rsid w:val="009C75F9"/>
    <w:rsid w:val="009F1F50"/>
    <w:rsid w:val="00A32A07"/>
    <w:rsid w:val="00A52D66"/>
    <w:rsid w:val="00A671AB"/>
    <w:rsid w:val="00A908C2"/>
    <w:rsid w:val="00AC5AD4"/>
    <w:rsid w:val="00AC617D"/>
    <w:rsid w:val="00AC7E80"/>
    <w:rsid w:val="00B02C14"/>
    <w:rsid w:val="00B2418E"/>
    <w:rsid w:val="00B54794"/>
    <w:rsid w:val="00B762E3"/>
    <w:rsid w:val="00B77B5A"/>
    <w:rsid w:val="00B85AE6"/>
    <w:rsid w:val="00B869CD"/>
    <w:rsid w:val="00BA5ED2"/>
    <w:rsid w:val="00BD3A91"/>
    <w:rsid w:val="00BE6195"/>
    <w:rsid w:val="00BF1D09"/>
    <w:rsid w:val="00BF403D"/>
    <w:rsid w:val="00BF5FDE"/>
    <w:rsid w:val="00C03D9C"/>
    <w:rsid w:val="00C34D23"/>
    <w:rsid w:val="00C55A06"/>
    <w:rsid w:val="00C56A03"/>
    <w:rsid w:val="00C66CDB"/>
    <w:rsid w:val="00C90113"/>
    <w:rsid w:val="00C9509D"/>
    <w:rsid w:val="00C96304"/>
    <w:rsid w:val="00CD1063"/>
    <w:rsid w:val="00CD2901"/>
    <w:rsid w:val="00CE06C6"/>
    <w:rsid w:val="00CF0057"/>
    <w:rsid w:val="00D03214"/>
    <w:rsid w:val="00D2753F"/>
    <w:rsid w:val="00D402DA"/>
    <w:rsid w:val="00D421BD"/>
    <w:rsid w:val="00D850EE"/>
    <w:rsid w:val="00D92437"/>
    <w:rsid w:val="00DC4DCA"/>
    <w:rsid w:val="00DC7D9C"/>
    <w:rsid w:val="00DF2EC0"/>
    <w:rsid w:val="00E1777A"/>
    <w:rsid w:val="00E37121"/>
    <w:rsid w:val="00E753A3"/>
    <w:rsid w:val="00E76C78"/>
    <w:rsid w:val="00E94D70"/>
    <w:rsid w:val="00EA6424"/>
    <w:rsid w:val="00EE23AE"/>
    <w:rsid w:val="00EF6010"/>
    <w:rsid w:val="00F07B14"/>
    <w:rsid w:val="00F17D04"/>
    <w:rsid w:val="00F45B39"/>
    <w:rsid w:val="00F65A84"/>
    <w:rsid w:val="00FB56C8"/>
    <w:rsid w:val="00FC709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4FE2"/>
  <w15:docId w15:val="{63585116-CFBE-4714-B046-748FF545D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3A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40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03D"/>
    <w:rPr>
      <w:rFonts w:ascii="Segoe UI" w:hAnsi="Segoe UI" w:cs="Segoe UI"/>
      <w:sz w:val="18"/>
      <w:szCs w:val="18"/>
    </w:rPr>
  </w:style>
  <w:style w:type="paragraph" w:customStyle="1" w:styleId="Default">
    <w:name w:val="Default"/>
    <w:link w:val="DefaultChar"/>
    <w:rsid w:val="00BF403D"/>
    <w:pPr>
      <w:autoSpaceDE w:val="0"/>
      <w:autoSpaceDN w:val="0"/>
      <w:adjustRightInd w:val="0"/>
      <w:spacing w:after="0" w:line="20" w:lineRule="atLeast"/>
      <w:jc w:val="both"/>
    </w:pPr>
    <w:rPr>
      <w:rFonts w:ascii="Times New Roman" w:eastAsia="Times New Roman" w:hAnsi="Times New Roman" w:cs="Times New Roman"/>
      <w:color w:val="000000"/>
      <w:sz w:val="24"/>
      <w:szCs w:val="24"/>
      <w:lang w:val="en-US"/>
    </w:rPr>
  </w:style>
  <w:style w:type="paragraph" w:styleId="ListParagraph">
    <w:name w:val="List Paragraph"/>
    <w:aliases w:val="Indent Paragraph,Lettre d'introduction,Paragraphe de liste PBLH,Graph &amp; Table tite"/>
    <w:basedOn w:val="Normal"/>
    <w:link w:val="ListParagraphChar"/>
    <w:uiPriority w:val="34"/>
    <w:qFormat/>
    <w:rsid w:val="00BF403D"/>
    <w:pPr>
      <w:spacing w:after="0" w:line="240" w:lineRule="auto"/>
      <w:ind w:left="720"/>
    </w:pPr>
    <w:rPr>
      <w:rFonts w:ascii="Times New Roman" w:eastAsia="MS Mincho" w:hAnsi="Times New Roman" w:cs="Times New Roman"/>
      <w:sz w:val="24"/>
      <w:szCs w:val="24"/>
      <w:lang w:val="x-none"/>
    </w:rPr>
  </w:style>
  <w:style w:type="character" w:customStyle="1" w:styleId="DefaultChar">
    <w:name w:val="Default Char"/>
    <w:link w:val="Default"/>
    <w:rsid w:val="00BF403D"/>
    <w:rPr>
      <w:rFonts w:ascii="Times New Roman" w:eastAsia="Times New Roman" w:hAnsi="Times New Roman" w:cs="Times New Roman"/>
      <w:color w:val="000000"/>
      <w:sz w:val="24"/>
      <w:szCs w:val="24"/>
      <w:lang w:val="en-US"/>
    </w:rPr>
  </w:style>
  <w:style w:type="character" w:customStyle="1" w:styleId="ListParagraphChar">
    <w:name w:val="List Paragraph Char"/>
    <w:aliases w:val="Indent Paragraph Char,Lettre d'introduction Char,Paragraphe de liste PBLH Char,Graph &amp; Table tite Char"/>
    <w:link w:val="ListParagraph"/>
    <w:uiPriority w:val="34"/>
    <w:rsid w:val="00BF403D"/>
    <w:rPr>
      <w:rFonts w:ascii="Times New Roman" w:eastAsia="MS Mincho" w:hAnsi="Times New Roman" w:cs="Times New Roman"/>
      <w:sz w:val="24"/>
      <w:szCs w:val="24"/>
      <w:lang w:val="x-none"/>
    </w:rPr>
  </w:style>
  <w:style w:type="character" w:customStyle="1" w:styleId="NoSpacingChar">
    <w:name w:val="No Spacing Char"/>
    <w:basedOn w:val="DefaultParagraphFont"/>
    <w:link w:val="NoSpacing"/>
    <w:locked/>
    <w:rsid w:val="00407CF0"/>
    <w:rPr>
      <w:rFonts w:ascii="Calibri" w:hAnsi="Calibri"/>
    </w:rPr>
  </w:style>
  <w:style w:type="paragraph" w:styleId="NoSpacing">
    <w:name w:val="No Spacing"/>
    <w:basedOn w:val="Normal"/>
    <w:link w:val="NoSpacingChar"/>
    <w:qFormat/>
    <w:rsid w:val="00407CF0"/>
    <w:pPr>
      <w:spacing w:after="0" w:line="240" w:lineRule="auto"/>
    </w:pPr>
    <w:rPr>
      <w:rFonts w:ascii="Calibri" w:hAnsi="Calibri"/>
    </w:rPr>
  </w:style>
  <w:style w:type="paragraph" w:styleId="FootnoteText">
    <w:name w:val="footnote text"/>
    <w:basedOn w:val="Normal"/>
    <w:link w:val="FootnoteTextChar"/>
    <w:uiPriority w:val="99"/>
    <w:unhideWhenUsed/>
    <w:rsid w:val="009910F4"/>
    <w:pPr>
      <w:spacing w:after="0" w:line="240" w:lineRule="auto"/>
    </w:pPr>
    <w:rPr>
      <w:rFonts w:ascii="Calibri" w:eastAsia="Calibri" w:hAnsi="Calibri" w:cs="Times New Roman"/>
      <w:sz w:val="20"/>
      <w:szCs w:val="20"/>
      <w:lang w:eastAsia="x-none"/>
    </w:rPr>
  </w:style>
  <w:style w:type="character" w:customStyle="1" w:styleId="FootnoteTextChar">
    <w:name w:val="Footnote Text Char"/>
    <w:basedOn w:val="DefaultParagraphFont"/>
    <w:link w:val="FootnoteText"/>
    <w:uiPriority w:val="99"/>
    <w:rsid w:val="009910F4"/>
    <w:rPr>
      <w:rFonts w:ascii="Calibri" w:eastAsia="Calibri" w:hAnsi="Calibri" w:cs="Times New Roman"/>
      <w:sz w:val="20"/>
      <w:szCs w:val="20"/>
      <w:lang w:eastAsia="x-none"/>
    </w:rPr>
  </w:style>
  <w:style w:type="character" w:styleId="FootnoteReference">
    <w:name w:val="footnote reference"/>
    <w:aliases w:val="Footnote Reference Number,Footnote Reference_LVL6,Footnote Reference_LVL61,Footnote Reference_LVL62,Footnote Reference_LVL63,Footnote Reference_LVL64,fr,ftref,Ref,de nota al pie,Rabbani Footnote,BVI fnr"/>
    <w:uiPriority w:val="99"/>
    <w:unhideWhenUsed/>
    <w:rsid w:val="009910F4"/>
    <w:rPr>
      <w:vertAlign w:val="superscript"/>
    </w:rPr>
  </w:style>
  <w:style w:type="paragraph" w:styleId="Header">
    <w:name w:val="header"/>
    <w:basedOn w:val="Normal"/>
    <w:link w:val="HeaderChar"/>
    <w:uiPriority w:val="99"/>
    <w:unhideWhenUsed/>
    <w:rsid w:val="006B0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636"/>
  </w:style>
  <w:style w:type="paragraph" w:styleId="Footer">
    <w:name w:val="footer"/>
    <w:basedOn w:val="Normal"/>
    <w:link w:val="FooterChar"/>
    <w:uiPriority w:val="99"/>
    <w:unhideWhenUsed/>
    <w:rsid w:val="006B0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390453">
      <w:bodyDiv w:val="1"/>
      <w:marLeft w:val="0"/>
      <w:marRight w:val="0"/>
      <w:marTop w:val="0"/>
      <w:marBottom w:val="0"/>
      <w:divBdr>
        <w:top w:val="none" w:sz="0" w:space="0" w:color="auto"/>
        <w:left w:val="none" w:sz="0" w:space="0" w:color="auto"/>
        <w:bottom w:val="none" w:sz="0" w:space="0" w:color="auto"/>
        <w:right w:val="none" w:sz="0" w:space="0" w:color="auto"/>
      </w:divBdr>
    </w:div>
    <w:div w:id="856425494">
      <w:bodyDiv w:val="1"/>
      <w:marLeft w:val="0"/>
      <w:marRight w:val="0"/>
      <w:marTop w:val="0"/>
      <w:marBottom w:val="0"/>
      <w:divBdr>
        <w:top w:val="none" w:sz="0" w:space="0" w:color="auto"/>
        <w:left w:val="none" w:sz="0" w:space="0" w:color="auto"/>
        <w:bottom w:val="none" w:sz="0" w:space="0" w:color="auto"/>
        <w:right w:val="none" w:sz="0" w:space="0" w:color="auto"/>
      </w:divBdr>
    </w:div>
    <w:div w:id="180881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BFDF3-DD41-4D06-89B2-D76DF5F79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1604</Words>
  <Characters>9144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Salihu</dc:creator>
  <cp:keywords/>
  <dc:description/>
  <cp:lastModifiedBy>Albiona Godeni</cp:lastModifiedBy>
  <cp:revision>4</cp:revision>
  <cp:lastPrinted>2016-10-25T07:56:00Z</cp:lastPrinted>
  <dcterms:created xsi:type="dcterms:W3CDTF">2020-08-11T11:02:00Z</dcterms:created>
  <dcterms:modified xsi:type="dcterms:W3CDTF">2020-08-11T11:14:00Z</dcterms:modified>
</cp:coreProperties>
</file>