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66" w:rsidRPr="003026F4" w:rsidRDefault="00A61766" w:rsidP="00A61766">
      <w:pPr>
        <w:jc w:val="center"/>
        <w:rPr>
          <w:rFonts w:ascii="Book Antiqua" w:hAnsi="Book Antiqua"/>
          <w:color w:val="000000" w:themeColor="text1"/>
          <w:sz w:val="24"/>
          <w:szCs w:val="24"/>
        </w:rPr>
      </w:pPr>
      <w:r w:rsidRPr="003026F4">
        <w:rPr>
          <w:rFonts w:ascii="Book Antiqua" w:hAnsi="Book Antiqua"/>
          <w:noProof/>
          <w:color w:val="000000" w:themeColor="text1"/>
          <w:sz w:val="24"/>
          <w:szCs w:val="24"/>
          <w:lang w:eastAsia="sq-AL"/>
        </w:rPr>
        <w:drawing>
          <wp:inline distT="0" distB="0" distL="0" distR="0" wp14:anchorId="389380A6" wp14:editId="0DBB4157">
            <wp:extent cx="876300" cy="9334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A61766" w:rsidRPr="003026F4" w:rsidRDefault="00A61766" w:rsidP="00A61766">
      <w:pPr>
        <w:pStyle w:val="Title"/>
        <w:outlineLvl w:val="0"/>
        <w:rPr>
          <w:rFonts w:ascii="Book Antiqua" w:hAnsi="Book Antiqua"/>
          <w:iCs/>
          <w:color w:val="000000" w:themeColor="text1"/>
        </w:rPr>
      </w:pPr>
      <w:r w:rsidRPr="003026F4">
        <w:rPr>
          <w:rFonts w:ascii="Book Antiqua" w:hAnsi="Book Antiqua"/>
          <w:iCs/>
          <w:color w:val="000000" w:themeColor="text1"/>
        </w:rPr>
        <w:t>Republika e Kosovës</w:t>
      </w:r>
    </w:p>
    <w:p w:rsidR="00A61766" w:rsidRPr="003026F4" w:rsidRDefault="00A61766" w:rsidP="00A61766">
      <w:pPr>
        <w:pStyle w:val="Title"/>
        <w:outlineLvl w:val="0"/>
        <w:rPr>
          <w:rFonts w:ascii="Book Antiqua" w:hAnsi="Book Antiqua"/>
          <w:iCs/>
          <w:color w:val="000000" w:themeColor="text1"/>
        </w:rPr>
      </w:pPr>
      <w:r w:rsidRPr="003026F4">
        <w:rPr>
          <w:rFonts w:ascii="Book Antiqua" w:hAnsi="Book Antiqua"/>
          <w:iCs/>
          <w:color w:val="000000" w:themeColor="text1"/>
        </w:rPr>
        <w:t xml:space="preserve">Republika Kosova - </w:t>
      </w:r>
      <w:proofErr w:type="spellStart"/>
      <w:r w:rsidRPr="003026F4">
        <w:rPr>
          <w:rFonts w:ascii="Book Antiqua" w:hAnsi="Book Antiqua"/>
          <w:iCs/>
          <w:color w:val="000000" w:themeColor="text1"/>
        </w:rPr>
        <w:t>Republic</w:t>
      </w:r>
      <w:proofErr w:type="spellEnd"/>
      <w:r w:rsidRPr="003026F4">
        <w:rPr>
          <w:rFonts w:ascii="Book Antiqua" w:hAnsi="Book Antiqua"/>
          <w:iCs/>
          <w:color w:val="000000" w:themeColor="text1"/>
        </w:rPr>
        <w:t xml:space="preserve"> </w:t>
      </w:r>
      <w:proofErr w:type="spellStart"/>
      <w:r w:rsidRPr="003026F4">
        <w:rPr>
          <w:rFonts w:ascii="Book Antiqua" w:hAnsi="Book Antiqua"/>
          <w:iCs/>
          <w:color w:val="000000" w:themeColor="text1"/>
        </w:rPr>
        <w:t>of</w:t>
      </w:r>
      <w:proofErr w:type="spellEnd"/>
      <w:r w:rsidRPr="003026F4">
        <w:rPr>
          <w:rFonts w:ascii="Book Antiqua" w:hAnsi="Book Antiqua"/>
          <w:iCs/>
          <w:color w:val="000000" w:themeColor="text1"/>
        </w:rPr>
        <w:t xml:space="preserve"> </w:t>
      </w:r>
      <w:proofErr w:type="spellStart"/>
      <w:r w:rsidRPr="003026F4">
        <w:rPr>
          <w:rFonts w:ascii="Book Antiqua" w:hAnsi="Book Antiqua"/>
          <w:iCs/>
          <w:color w:val="000000" w:themeColor="text1"/>
        </w:rPr>
        <w:t>Kosovo</w:t>
      </w:r>
      <w:proofErr w:type="spellEnd"/>
    </w:p>
    <w:p w:rsidR="00A61766" w:rsidRPr="003026F4" w:rsidRDefault="00A61766" w:rsidP="00A61766">
      <w:pPr>
        <w:pStyle w:val="Title"/>
        <w:outlineLvl w:val="0"/>
        <w:rPr>
          <w:rFonts w:ascii="Book Antiqua" w:hAnsi="Book Antiqua"/>
          <w:i/>
          <w:iCs/>
          <w:color w:val="000000" w:themeColor="text1"/>
        </w:rPr>
      </w:pPr>
      <w:r w:rsidRPr="003026F4">
        <w:rPr>
          <w:rFonts w:ascii="Book Antiqua" w:hAnsi="Book Antiqua"/>
          <w:i/>
          <w:iCs/>
          <w:color w:val="000000" w:themeColor="text1"/>
        </w:rPr>
        <w:t xml:space="preserve">Qeveria – </w:t>
      </w:r>
      <w:proofErr w:type="spellStart"/>
      <w:r w:rsidRPr="003026F4">
        <w:rPr>
          <w:rFonts w:ascii="Book Antiqua" w:hAnsi="Book Antiqua"/>
          <w:i/>
          <w:iCs/>
          <w:color w:val="000000" w:themeColor="text1"/>
        </w:rPr>
        <w:t>Vlada</w:t>
      </w:r>
      <w:proofErr w:type="spellEnd"/>
      <w:r w:rsidRPr="003026F4">
        <w:rPr>
          <w:rFonts w:ascii="Book Antiqua" w:hAnsi="Book Antiqua"/>
          <w:i/>
          <w:iCs/>
          <w:color w:val="000000" w:themeColor="text1"/>
        </w:rPr>
        <w:t xml:space="preserve"> – </w:t>
      </w:r>
      <w:proofErr w:type="spellStart"/>
      <w:r w:rsidRPr="003026F4">
        <w:rPr>
          <w:rFonts w:ascii="Book Antiqua" w:hAnsi="Book Antiqua"/>
          <w:i/>
          <w:iCs/>
          <w:color w:val="000000" w:themeColor="text1"/>
        </w:rPr>
        <w:t>Government</w:t>
      </w:r>
      <w:proofErr w:type="spellEnd"/>
    </w:p>
    <w:p w:rsidR="00A61766" w:rsidRPr="003026F4" w:rsidRDefault="00A61766" w:rsidP="00A61766">
      <w:pPr>
        <w:pStyle w:val="Title"/>
        <w:outlineLvl w:val="0"/>
        <w:rPr>
          <w:rFonts w:ascii="Book Antiqua" w:hAnsi="Book Antiqua"/>
          <w:i/>
          <w:iCs/>
          <w:color w:val="000000" w:themeColor="text1"/>
        </w:rPr>
      </w:pPr>
    </w:p>
    <w:p w:rsidR="00A61766" w:rsidRPr="003026F4" w:rsidRDefault="00A61766" w:rsidP="00A61766">
      <w:pPr>
        <w:spacing w:after="0" w:line="240" w:lineRule="auto"/>
        <w:jc w:val="center"/>
        <w:outlineLvl w:val="0"/>
        <w:rPr>
          <w:rFonts w:ascii="Book Antiqua" w:hAnsi="Book Antiqua"/>
          <w:b/>
          <w:color w:val="000000" w:themeColor="text1"/>
          <w:sz w:val="24"/>
          <w:szCs w:val="24"/>
        </w:rPr>
      </w:pPr>
      <w:r w:rsidRPr="003026F4">
        <w:rPr>
          <w:rFonts w:ascii="Book Antiqua" w:hAnsi="Book Antiqua"/>
          <w:b/>
          <w:color w:val="000000" w:themeColor="text1"/>
          <w:sz w:val="24"/>
          <w:szCs w:val="24"/>
        </w:rPr>
        <w:t>MINISTRIA E DREJTËSISË</w:t>
      </w:r>
    </w:p>
    <w:p w:rsidR="00A61766" w:rsidRPr="003026F4" w:rsidRDefault="00A61766" w:rsidP="00A61766">
      <w:pPr>
        <w:spacing w:after="0" w:line="240" w:lineRule="auto"/>
        <w:jc w:val="center"/>
        <w:outlineLvl w:val="0"/>
        <w:rPr>
          <w:rFonts w:ascii="Book Antiqua" w:hAnsi="Book Antiqua"/>
          <w:b/>
          <w:bCs/>
          <w:color w:val="000000" w:themeColor="text1"/>
          <w:sz w:val="24"/>
          <w:szCs w:val="24"/>
        </w:rPr>
      </w:pPr>
      <w:r w:rsidRPr="003026F4">
        <w:rPr>
          <w:rFonts w:ascii="Book Antiqua" w:hAnsi="Book Antiqua"/>
          <w:b/>
          <w:bCs/>
          <w:color w:val="000000" w:themeColor="text1"/>
          <w:sz w:val="24"/>
          <w:szCs w:val="24"/>
        </w:rPr>
        <w:t>MINISTARSTVO PRAVDE /MINISTRY OF JUSTICE</w:t>
      </w:r>
    </w:p>
    <w:p w:rsidR="00A61766" w:rsidRPr="003026F4" w:rsidRDefault="00A61766" w:rsidP="00A61766">
      <w:pPr>
        <w:spacing w:after="0" w:line="240" w:lineRule="auto"/>
        <w:jc w:val="center"/>
        <w:rPr>
          <w:rFonts w:ascii="Book Antiqua" w:hAnsi="Book Antiqua"/>
          <w:color w:val="000000" w:themeColor="text1"/>
          <w:sz w:val="24"/>
          <w:szCs w:val="24"/>
        </w:rPr>
      </w:pPr>
    </w:p>
    <w:p w:rsidR="00A61766" w:rsidRPr="003026F4" w:rsidRDefault="00A61766" w:rsidP="00A61766">
      <w:pPr>
        <w:spacing w:after="0" w:line="240" w:lineRule="auto"/>
        <w:jc w:val="center"/>
        <w:rPr>
          <w:rFonts w:ascii="Book Antiqua" w:hAnsi="Book Antiqua"/>
          <w:color w:val="000000" w:themeColor="text1"/>
          <w:sz w:val="24"/>
          <w:szCs w:val="24"/>
        </w:rPr>
      </w:pPr>
    </w:p>
    <w:p w:rsidR="00A61766" w:rsidRPr="003026F4" w:rsidRDefault="00A61766" w:rsidP="00A61766">
      <w:pPr>
        <w:spacing w:after="0" w:line="240" w:lineRule="auto"/>
        <w:jc w:val="center"/>
        <w:rPr>
          <w:rFonts w:ascii="Book Antiqua" w:hAnsi="Book Antiqua"/>
          <w:color w:val="000000" w:themeColor="text1"/>
          <w:sz w:val="24"/>
          <w:szCs w:val="24"/>
        </w:rPr>
      </w:pPr>
    </w:p>
    <w:p w:rsidR="00A61766" w:rsidRPr="003026F4" w:rsidRDefault="00A61766" w:rsidP="00A61766">
      <w:pPr>
        <w:spacing w:after="0" w:line="240" w:lineRule="auto"/>
        <w:jc w:val="center"/>
        <w:rPr>
          <w:rFonts w:ascii="Book Antiqua" w:hAnsi="Book Antiqua"/>
          <w:color w:val="000000" w:themeColor="text1"/>
          <w:sz w:val="24"/>
          <w:szCs w:val="24"/>
        </w:rPr>
      </w:pPr>
    </w:p>
    <w:p w:rsidR="00A61766" w:rsidRPr="003026F4" w:rsidRDefault="00A61766" w:rsidP="00A61766">
      <w:pPr>
        <w:spacing w:after="0" w:line="240" w:lineRule="auto"/>
        <w:jc w:val="center"/>
        <w:rPr>
          <w:rFonts w:ascii="Times New Roman" w:hAnsi="Times New Roman"/>
          <w:color w:val="000000" w:themeColor="text1"/>
          <w:sz w:val="24"/>
          <w:szCs w:val="24"/>
        </w:rPr>
      </w:pPr>
    </w:p>
    <w:p w:rsidR="00A61766" w:rsidRPr="003026F4" w:rsidRDefault="00A61766" w:rsidP="00A61766">
      <w:pPr>
        <w:spacing w:after="0"/>
        <w:jc w:val="center"/>
        <w:outlineLvl w:val="0"/>
        <w:rPr>
          <w:rFonts w:ascii="Times New Roman" w:hAnsi="Times New Roman"/>
          <w:b/>
          <w:color w:val="000000" w:themeColor="text1"/>
          <w:sz w:val="24"/>
          <w:szCs w:val="24"/>
        </w:rPr>
      </w:pPr>
      <w:r w:rsidRPr="003026F4">
        <w:rPr>
          <w:rFonts w:ascii="Times New Roman" w:hAnsi="Times New Roman"/>
          <w:b/>
          <w:color w:val="000000" w:themeColor="text1"/>
          <w:sz w:val="24"/>
          <w:szCs w:val="24"/>
        </w:rPr>
        <w:t xml:space="preserve">DOKUMENT KONSULTIMI </w:t>
      </w:r>
    </w:p>
    <w:p w:rsidR="007C5D2B" w:rsidRPr="003026F4" w:rsidRDefault="007C5D2B" w:rsidP="00A61766">
      <w:pPr>
        <w:spacing w:after="0"/>
        <w:jc w:val="center"/>
        <w:outlineLvl w:val="0"/>
        <w:rPr>
          <w:rFonts w:ascii="Times New Roman" w:hAnsi="Times New Roman"/>
          <w:b/>
          <w:color w:val="000000" w:themeColor="text1"/>
          <w:sz w:val="24"/>
          <w:szCs w:val="24"/>
        </w:rPr>
      </w:pPr>
    </w:p>
    <w:p w:rsidR="00CC018A" w:rsidRPr="003026F4" w:rsidRDefault="00CC018A" w:rsidP="00A61766">
      <w:pPr>
        <w:spacing w:after="0"/>
        <w:jc w:val="center"/>
        <w:outlineLvl w:val="0"/>
        <w:rPr>
          <w:rFonts w:ascii="Times New Roman" w:hAnsi="Times New Roman"/>
          <w:b/>
          <w:color w:val="000000" w:themeColor="text1"/>
          <w:sz w:val="24"/>
          <w:szCs w:val="24"/>
        </w:rPr>
      </w:pPr>
      <w:r w:rsidRPr="003026F4">
        <w:rPr>
          <w:rFonts w:ascii="Times New Roman" w:hAnsi="Times New Roman"/>
          <w:b/>
          <w:color w:val="000000" w:themeColor="text1"/>
          <w:sz w:val="24"/>
          <w:szCs w:val="24"/>
        </w:rPr>
        <w:t>PËR</w:t>
      </w:r>
    </w:p>
    <w:p w:rsidR="007C5D2B" w:rsidRPr="003026F4" w:rsidRDefault="007C5D2B" w:rsidP="00A61766">
      <w:pPr>
        <w:spacing w:after="0"/>
        <w:jc w:val="center"/>
        <w:outlineLvl w:val="0"/>
        <w:rPr>
          <w:rFonts w:ascii="Times New Roman" w:hAnsi="Times New Roman"/>
          <w:b/>
          <w:color w:val="000000" w:themeColor="text1"/>
          <w:sz w:val="24"/>
          <w:szCs w:val="24"/>
        </w:rPr>
      </w:pPr>
    </w:p>
    <w:p w:rsidR="00EE6849" w:rsidRPr="003026F4" w:rsidRDefault="00C13C57" w:rsidP="00EE6849">
      <w:pPr>
        <w:pStyle w:val="TableParagraph"/>
        <w:spacing w:line="276" w:lineRule="auto"/>
        <w:ind w:left="0"/>
        <w:jc w:val="center"/>
        <w:rPr>
          <w:b/>
          <w:color w:val="000000" w:themeColor="text1"/>
          <w:sz w:val="24"/>
          <w:szCs w:val="24"/>
          <w:lang w:val="sq-AL"/>
        </w:rPr>
      </w:pPr>
      <w:r>
        <w:rPr>
          <w:b/>
          <w:color w:val="000000" w:themeColor="text1"/>
          <w:sz w:val="24"/>
          <w:szCs w:val="24"/>
          <w:lang w:val="sq-AL"/>
        </w:rPr>
        <w:t xml:space="preserve">DRAFT </w:t>
      </w:r>
      <w:r w:rsidR="00EE6849" w:rsidRPr="003026F4">
        <w:rPr>
          <w:b/>
          <w:color w:val="000000" w:themeColor="text1"/>
          <w:sz w:val="24"/>
          <w:szCs w:val="24"/>
          <w:lang w:val="sq-AL"/>
        </w:rPr>
        <w:t xml:space="preserve"> UDHËZIM</w:t>
      </w:r>
      <w:r>
        <w:rPr>
          <w:b/>
          <w:color w:val="000000" w:themeColor="text1"/>
          <w:sz w:val="24"/>
          <w:szCs w:val="24"/>
          <w:lang w:val="sq-AL"/>
        </w:rPr>
        <w:t>IN</w:t>
      </w:r>
      <w:r w:rsidR="00EE6849" w:rsidRPr="003026F4">
        <w:rPr>
          <w:b/>
          <w:color w:val="000000" w:themeColor="text1"/>
          <w:sz w:val="24"/>
          <w:szCs w:val="24"/>
          <w:lang w:val="sq-AL"/>
        </w:rPr>
        <w:t xml:space="preserve"> ADMINISTRATIV MD-NR.XX/202</w:t>
      </w:r>
      <w:r>
        <w:rPr>
          <w:b/>
          <w:color w:val="000000" w:themeColor="text1"/>
          <w:sz w:val="24"/>
          <w:szCs w:val="24"/>
          <w:lang w:val="sq-AL"/>
        </w:rPr>
        <w:t>2</w:t>
      </w:r>
      <w:r w:rsidR="00EE6849" w:rsidRPr="003026F4">
        <w:rPr>
          <w:b/>
          <w:color w:val="000000" w:themeColor="text1"/>
          <w:sz w:val="24"/>
          <w:szCs w:val="24"/>
          <w:lang w:val="sq-AL"/>
        </w:rPr>
        <w:t xml:space="preserve"> </w:t>
      </w:r>
    </w:p>
    <w:p w:rsidR="00C13C57" w:rsidRPr="00B61555" w:rsidRDefault="00C13C57" w:rsidP="00C13C57">
      <w:pPr>
        <w:tabs>
          <w:tab w:val="left" w:pos="0"/>
        </w:tabs>
        <w:autoSpaceDE w:val="0"/>
        <w:autoSpaceDN w:val="0"/>
        <w:adjustRightInd w:val="0"/>
        <w:spacing w:after="0" w:line="240" w:lineRule="auto"/>
        <w:jc w:val="center"/>
        <w:outlineLvl w:val="0"/>
        <w:rPr>
          <w:rFonts w:ascii="Times New Roman" w:hAnsi="Times New Roman"/>
          <w:b/>
          <w:sz w:val="24"/>
          <w:szCs w:val="24"/>
        </w:rPr>
      </w:pPr>
      <w:r w:rsidRPr="00B61555">
        <w:rPr>
          <w:rFonts w:ascii="Times New Roman" w:hAnsi="Times New Roman"/>
          <w:b/>
          <w:sz w:val="24"/>
          <w:szCs w:val="24"/>
        </w:rPr>
        <w:t xml:space="preserve">PËR </w:t>
      </w:r>
      <w:r w:rsidRPr="00B61555">
        <w:rPr>
          <w:rFonts w:ascii="Times New Roman" w:hAnsi="Times New Roman"/>
          <w:b/>
          <w:sz w:val="24"/>
        </w:rPr>
        <w:t>EVIDENCËN PËR PERSONAT QË KANË DHËNË PROVIMIN PËR NOTERI</w:t>
      </w:r>
    </w:p>
    <w:p w:rsidR="00EE6849" w:rsidRPr="003026F4" w:rsidRDefault="00EE6849" w:rsidP="00EE6849">
      <w:pPr>
        <w:pStyle w:val="TableParagraph"/>
        <w:spacing w:line="276" w:lineRule="auto"/>
        <w:ind w:left="0"/>
        <w:jc w:val="center"/>
        <w:rPr>
          <w:b/>
          <w:color w:val="000000" w:themeColor="text1"/>
          <w:sz w:val="24"/>
          <w:szCs w:val="24"/>
          <w:lang w:val="sq-AL"/>
        </w:rPr>
      </w:pPr>
    </w:p>
    <w:p w:rsidR="00A61766" w:rsidRPr="003026F4" w:rsidRDefault="00A61766" w:rsidP="00A61766">
      <w:pPr>
        <w:autoSpaceDE w:val="0"/>
        <w:autoSpaceDN w:val="0"/>
        <w:adjustRightInd w:val="0"/>
        <w:spacing w:before="240" w:after="120"/>
        <w:jc w:val="center"/>
        <w:rPr>
          <w:rFonts w:ascii="Times New Roman" w:hAnsi="Times New Roman"/>
          <w:color w:val="000000" w:themeColor="text1"/>
          <w:sz w:val="24"/>
          <w:szCs w:val="24"/>
        </w:rPr>
      </w:pPr>
      <w:r w:rsidRPr="003026F4">
        <w:rPr>
          <w:rFonts w:ascii="Times New Roman" w:hAnsi="Times New Roman"/>
          <w:b/>
          <w:color w:val="000000" w:themeColor="text1"/>
          <w:sz w:val="24"/>
          <w:szCs w:val="24"/>
        </w:rPr>
        <w:t xml:space="preserve"> </w:t>
      </w: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A61766" w:rsidP="00A61766">
      <w:pPr>
        <w:pStyle w:val="LightGrid-Accent31"/>
        <w:ind w:left="0"/>
        <w:jc w:val="both"/>
        <w:rPr>
          <w:rFonts w:ascii="Book Antiqua" w:hAnsi="Book Antiqua"/>
          <w:color w:val="000000" w:themeColor="text1"/>
          <w:sz w:val="24"/>
          <w:szCs w:val="24"/>
        </w:rPr>
      </w:pPr>
    </w:p>
    <w:p w:rsidR="00A61766" w:rsidRPr="003026F4" w:rsidRDefault="00C13C57" w:rsidP="00A61766">
      <w:pPr>
        <w:spacing w:after="0"/>
        <w:jc w:val="center"/>
        <w:outlineLvl w:val="0"/>
        <w:rPr>
          <w:rFonts w:ascii="Book Antiqua" w:hAnsi="Book Antiqua"/>
          <w:b/>
          <w:color w:val="000000" w:themeColor="text1"/>
          <w:sz w:val="24"/>
          <w:szCs w:val="24"/>
        </w:rPr>
      </w:pPr>
      <w:r>
        <w:rPr>
          <w:rFonts w:ascii="Book Antiqua" w:hAnsi="Book Antiqua"/>
          <w:b/>
          <w:color w:val="000000" w:themeColor="text1"/>
          <w:sz w:val="24"/>
          <w:szCs w:val="24"/>
        </w:rPr>
        <w:t>Prill</w:t>
      </w:r>
      <w:r w:rsidR="00CC018A" w:rsidRPr="003026F4">
        <w:rPr>
          <w:rFonts w:ascii="Book Antiqua" w:hAnsi="Book Antiqua"/>
          <w:b/>
          <w:color w:val="000000" w:themeColor="text1"/>
          <w:sz w:val="24"/>
          <w:szCs w:val="24"/>
        </w:rPr>
        <w:t>,</w:t>
      </w:r>
      <w:r w:rsidR="004543F1" w:rsidRPr="003026F4">
        <w:rPr>
          <w:rFonts w:ascii="Book Antiqua" w:hAnsi="Book Antiqua"/>
          <w:b/>
          <w:color w:val="000000" w:themeColor="text1"/>
          <w:sz w:val="24"/>
          <w:szCs w:val="24"/>
        </w:rPr>
        <w:t xml:space="preserve"> 2022</w:t>
      </w:r>
    </w:p>
    <w:p w:rsidR="00B90664" w:rsidRPr="003026F4" w:rsidRDefault="00B90664" w:rsidP="00D043B7">
      <w:pPr>
        <w:jc w:val="both"/>
        <w:rPr>
          <w:rFonts w:ascii="Times New Roman" w:hAnsi="Times New Roman"/>
          <w:b/>
          <w:i/>
          <w:color w:val="000000" w:themeColor="text1"/>
          <w:sz w:val="24"/>
          <w:szCs w:val="24"/>
        </w:rPr>
      </w:pPr>
    </w:p>
    <w:p w:rsidR="00B90664" w:rsidRPr="003026F4" w:rsidRDefault="00B90664" w:rsidP="00D043B7">
      <w:pPr>
        <w:jc w:val="both"/>
        <w:rPr>
          <w:rFonts w:ascii="Times New Roman" w:hAnsi="Times New Roman"/>
          <w:b/>
          <w:i/>
          <w:color w:val="000000" w:themeColor="text1"/>
          <w:sz w:val="24"/>
          <w:szCs w:val="24"/>
        </w:rPr>
      </w:pPr>
    </w:p>
    <w:p w:rsidR="00C13C57" w:rsidRPr="00C13C57" w:rsidRDefault="00A61766" w:rsidP="00C13C57">
      <w:pPr>
        <w:tabs>
          <w:tab w:val="left" w:pos="0"/>
        </w:tabs>
        <w:autoSpaceDE w:val="0"/>
        <w:autoSpaceDN w:val="0"/>
        <w:adjustRightInd w:val="0"/>
        <w:spacing w:after="0" w:line="240" w:lineRule="auto"/>
        <w:jc w:val="both"/>
        <w:outlineLvl w:val="0"/>
        <w:rPr>
          <w:rFonts w:ascii="Times New Roman" w:hAnsi="Times New Roman"/>
          <w:b/>
          <w:i/>
          <w:sz w:val="24"/>
          <w:szCs w:val="24"/>
        </w:rPr>
      </w:pPr>
      <w:r w:rsidRPr="003026F4">
        <w:rPr>
          <w:rFonts w:ascii="Times New Roman" w:hAnsi="Times New Roman"/>
          <w:b/>
          <w:i/>
          <w:color w:val="000000" w:themeColor="text1"/>
          <w:sz w:val="24"/>
          <w:szCs w:val="24"/>
        </w:rPr>
        <w:t xml:space="preserve">Përmbledhje e shkurtër rreth </w:t>
      </w:r>
      <w:r w:rsidR="00EE6849" w:rsidRPr="003026F4">
        <w:rPr>
          <w:rFonts w:ascii="Times New Roman" w:hAnsi="Times New Roman"/>
          <w:b/>
          <w:i/>
          <w:color w:val="000000" w:themeColor="text1"/>
          <w:sz w:val="24"/>
          <w:szCs w:val="24"/>
        </w:rPr>
        <w:t>Draft Udhëzimit Administrativ MD-NR. XX/202</w:t>
      </w:r>
      <w:r w:rsidR="00C13C57">
        <w:rPr>
          <w:rFonts w:ascii="Times New Roman" w:hAnsi="Times New Roman"/>
          <w:b/>
          <w:i/>
          <w:color w:val="000000" w:themeColor="text1"/>
          <w:sz w:val="24"/>
          <w:szCs w:val="24"/>
        </w:rPr>
        <w:t>2</w:t>
      </w:r>
      <w:r w:rsidR="00EE6849" w:rsidRPr="003026F4">
        <w:rPr>
          <w:rFonts w:ascii="Times New Roman" w:hAnsi="Times New Roman"/>
          <w:b/>
          <w:i/>
          <w:color w:val="000000" w:themeColor="text1"/>
          <w:sz w:val="24"/>
          <w:szCs w:val="24"/>
        </w:rPr>
        <w:t xml:space="preserve"> </w:t>
      </w:r>
      <w:r w:rsidR="00C13C57" w:rsidRPr="00C13C57">
        <w:rPr>
          <w:rFonts w:ascii="Times New Roman" w:hAnsi="Times New Roman"/>
          <w:b/>
          <w:i/>
          <w:sz w:val="24"/>
          <w:szCs w:val="24"/>
        </w:rPr>
        <w:t xml:space="preserve">për </w:t>
      </w:r>
      <w:r w:rsidR="00C13C57" w:rsidRPr="00C13C57">
        <w:rPr>
          <w:rFonts w:ascii="Times New Roman" w:hAnsi="Times New Roman"/>
          <w:b/>
          <w:i/>
          <w:sz w:val="24"/>
        </w:rPr>
        <w:t>evidencën për personat që kanë dhënë provimin për noteri</w:t>
      </w:r>
    </w:p>
    <w:p w:rsidR="00004DA0" w:rsidRPr="003026F4" w:rsidRDefault="00345858" w:rsidP="00C13C57">
      <w:pPr>
        <w:spacing w:after="0" w:line="240" w:lineRule="auto"/>
        <w:jc w:val="both"/>
        <w:outlineLvl w:val="0"/>
        <w:rPr>
          <w:rFonts w:ascii="Times New Roman" w:hAnsi="Times New Roman"/>
          <w:b/>
          <w:color w:val="000000" w:themeColor="text1"/>
          <w:sz w:val="28"/>
        </w:rPr>
      </w:pPr>
      <w:r w:rsidRPr="003026F4">
        <w:rPr>
          <w:rFonts w:ascii="Times New Roman" w:hAnsi="Times New Roman"/>
          <w:b/>
          <w:i/>
          <w:color w:val="000000" w:themeColor="text1"/>
          <w:sz w:val="24"/>
          <w:szCs w:val="24"/>
        </w:rPr>
        <w:t>.</w:t>
      </w:r>
    </w:p>
    <w:p w:rsidR="00C13C57" w:rsidRPr="00C13C57" w:rsidRDefault="00A61766" w:rsidP="00C13C57">
      <w:pPr>
        <w:tabs>
          <w:tab w:val="left" w:pos="0"/>
        </w:tabs>
        <w:autoSpaceDE w:val="0"/>
        <w:autoSpaceDN w:val="0"/>
        <w:adjustRightInd w:val="0"/>
        <w:spacing w:after="0" w:line="240" w:lineRule="auto"/>
        <w:jc w:val="both"/>
        <w:outlineLvl w:val="0"/>
        <w:rPr>
          <w:rFonts w:ascii="Times New Roman" w:hAnsi="Times New Roman"/>
          <w:i/>
          <w:sz w:val="24"/>
          <w:szCs w:val="24"/>
        </w:rPr>
      </w:pPr>
      <w:r w:rsidRPr="003026F4">
        <w:rPr>
          <w:rFonts w:ascii="Times New Roman" w:hAnsi="Times New Roman"/>
          <w:i/>
          <w:color w:val="000000" w:themeColor="text1"/>
          <w:sz w:val="24"/>
          <w:szCs w:val="24"/>
        </w:rPr>
        <w:t xml:space="preserve">Çështjet kryesore të cilat i </w:t>
      </w:r>
      <w:r w:rsidR="00C13C57">
        <w:rPr>
          <w:rFonts w:ascii="Times New Roman" w:hAnsi="Times New Roman"/>
          <w:i/>
          <w:color w:val="000000" w:themeColor="text1"/>
          <w:sz w:val="24"/>
          <w:szCs w:val="24"/>
        </w:rPr>
        <w:t>Adreson Draft Udhëzimi</w:t>
      </w:r>
      <w:r w:rsidR="00EE6849" w:rsidRPr="003026F4">
        <w:rPr>
          <w:rFonts w:ascii="Times New Roman" w:hAnsi="Times New Roman"/>
          <w:i/>
          <w:color w:val="000000" w:themeColor="text1"/>
          <w:sz w:val="24"/>
          <w:szCs w:val="24"/>
        </w:rPr>
        <w:t xml:space="preserve"> Administrativ MD-NR. XX/2021 </w:t>
      </w:r>
      <w:r w:rsidR="00C13C57" w:rsidRPr="00C13C57">
        <w:rPr>
          <w:rFonts w:ascii="Times New Roman" w:hAnsi="Times New Roman"/>
          <w:i/>
          <w:sz w:val="24"/>
          <w:szCs w:val="24"/>
        </w:rPr>
        <w:t xml:space="preserve">për </w:t>
      </w:r>
      <w:r w:rsidR="00C13C57" w:rsidRPr="00C13C57">
        <w:rPr>
          <w:rFonts w:ascii="Times New Roman" w:hAnsi="Times New Roman"/>
          <w:i/>
          <w:sz w:val="24"/>
        </w:rPr>
        <w:t>evidencën për personat që kanë dhënë provimin për noteri</w:t>
      </w:r>
    </w:p>
    <w:p w:rsidR="00EE6849" w:rsidRPr="003026F4" w:rsidRDefault="00EE6849" w:rsidP="00A61766">
      <w:pPr>
        <w:spacing w:after="0" w:line="240" w:lineRule="auto"/>
        <w:jc w:val="both"/>
        <w:outlineLvl w:val="0"/>
        <w:rPr>
          <w:rFonts w:ascii="Times New Roman" w:hAnsi="Times New Roman"/>
          <w:i/>
          <w:color w:val="000000" w:themeColor="text1"/>
          <w:sz w:val="24"/>
          <w:szCs w:val="24"/>
        </w:rPr>
      </w:pPr>
    </w:p>
    <w:p w:rsidR="00EE6849" w:rsidRPr="003026F4" w:rsidRDefault="00EE6849" w:rsidP="00A61766">
      <w:pPr>
        <w:spacing w:after="0" w:line="240" w:lineRule="auto"/>
        <w:jc w:val="both"/>
        <w:outlineLvl w:val="0"/>
        <w:rPr>
          <w:rFonts w:ascii="Times New Roman" w:hAnsi="Times New Roman"/>
          <w:i/>
          <w:color w:val="000000" w:themeColor="text1"/>
          <w:sz w:val="24"/>
          <w:szCs w:val="24"/>
        </w:rPr>
      </w:pPr>
    </w:p>
    <w:p w:rsidR="00345858" w:rsidRDefault="00A61766" w:rsidP="00C13C57">
      <w:pPr>
        <w:pStyle w:val="TableParagraph"/>
        <w:spacing w:line="276" w:lineRule="auto"/>
        <w:ind w:left="0"/>
        <w:jc w:val="both"/>
        <w:rPr>
          <w:lang w:val="sq-AL"/>
        </w:rPr>
      </w:pPr>
      <w:r w:rsidRPr="003026F4">
        <w:rPr>
          <w:color w:val="000000" w:themeColor="text1"/>
          <w:sz w:val="24"/>
          <w:szCs w:val="24"/>
          <w:lang w:val="sq-AL"/>
        </w:rPr>
        <w:t xml:space="preserve">Ky </w:t>
      </w:r>
      <w:r w:rsidR="00B534DB" w:rsidRPr="003026F4">
        <w:rPr>
          <w:color w:val="000000" w:themeColor="text1"/>
          <w:sz w:val="24"/>
          <w:szCs w:val="24"/>
          <w:lang w:val="sq-AL"/>
        </w:rPr>
        <w:t xml:space="preserve">Draft </w:t>
      </w:r>
      <w:r w:rsidRPr="003026F4">
        <w:rPr>
          <w:color w:val="000000" w:themeColor="text1"/>
          <w:sz w:val="24"/>
          <w:szCs w:val="24"/>
          <w:lang w:val="sq-AL"/>
        </w:rPr>
        <w:t xml:space="preserve">Udhëzim Administrativ ka për qëllim </w:t>
      </w:r>
      <w:r w:rsidR="00C334EF" w:rsidRPr="00B61555">
        <w:rPr>
          <w:lang w:val="sq-AL"/>
        </w:rPr>
        <w:t>rregullim</w:t>
      </w:r>
      <w:r w:rsidR="00C334EF">
        <w:rPr>
          <w:lang w:val="sq-AL"/>
        </w:rPr>
        <w:t>in</w:t>
      </w:r>
      <w:r w:rsidR="00C13C57" w:rsidRPr="00B61555">
        <w:rPr>
          <w:lang w:val="sq-AL"/>
        </w:rPr>
        <w:t xml:space="preserve"> </w:t>
      </w:r>
      <w:r w:rsidR="00C13C57">
        <w:rPr>
          <w:lang w:val="sq-AL"/>
        </w:rPr>
        <w:t xml:space="preserve">e </w:t>
      </w:r>
      <w:r w:rsidR="00C13C57" w:rsidRPr="00B61555">
        <w:rPr>
          <w:lang w:val="sq-AL"/>
        </w:rPr>
        <w:t>mënyrës së mbajtjes së evidencës për personat që kanë dhënë provimin për noterinë</w:t>
      </w:r>
      <w:r w:rsidR="00C334EF">
        <w:rPr>
          <w:lang w:val="sq-AL"/>
        </w:rPr>
        <w:t>, përmbajtjen e regjistrit, si dhe qasjen në evidencën e regjistrit.</w:t>
      </w:r>
    </w:p>
    <w:p w:rsidR="00C13C57" w:rsidRPr="003026F4" w:rsidRDefault="00C13C57" w:rsidP="00C13C57">
      <w:pPr>
        <w:pStyle w:val="TableParagraph"/>
        <w:spacing w:line="276" w:lineRule="auto"/>
        <w:ind w:left="0"/>
        <w:jc w:val="both"/>
        <w:rPr>
          <w:color w:val="000000" w:themeColor="text1"/>
          <w:sz w:val="24"/>
          <w:szCs w:val="24"/>
        </w:rPr>
      </w:pPr>
    </w:p>
    <w:p w:rsidR="00C334EF" w:rsidRPr="00C334EF" w:rsidRDefault="00A61766" w:rsidP="00C334EF">
      <w:pPr>
        <w:tabs>
          <w:tab w:val="left" w:pos="0"/>
        </w:tabs>
        <w:autoSpaceDE w:val="0"/>
        <w:autoSpaceDN w:val="0"/>
        <w:adjustRightInd w:val="0"/>
        <w:spacing w:after="0" w:line="240" w:lineRule="auto"/>
        <w:jc w:val="both"/>
        <w:outlineLvl w:val="0"/>
        <w:rPr>
          <w:rFonts w:ascii="Times New Roman" w:hAnsi="Times New Roman"/>
          <w:b/>
          <w:i/>
          <w:sz w:val="24"/>
          <w:szCs w:val="24"/>
        </w:rPr>
      </w:pPr>
      <w:r w:rsidRPr="003026F4">
        <w:rPr>
          <w:rFonts w:ascii="Times New Roman" w:hAnsi="Times New Roman"/>
          <w:b/>
          <w:i/>
          <w:color w:val="000000" w:themeColor="text1"/>
          <w:sz w:val="24"/>
          <w:szCs w:val="24"/>
        </w:rPr>
        <w:t xml:space="preserve">Dokumentet zyrtare që autorizojnë përgatitjen </w:t>
      </w:r>
      <w:r w:rsidR="00EE6849" w:rsidRPr="003026F4">
        <w:rPr>
          <w:rFonts w:ascii="Times New Roman" w:hAnsi="Times New Roman"/>
          <w:b/>
          <w:i/>
          <w:color w:val="000000" w:themeColor="text1"/>
          <w:sz w:val="24"/>
          <w:szCs w:val="24"/>
        </w:rPr>
        <w:t>e Draft Udhëzimit Administrativ MD-NR. XX/202</w:t>
      </w:r>
      <w:r w:rsidR="00C334EF">
        <w:rPr>
          <w:rFonts w:ascii="Times New Roman" w:hAnsi="Times New Roman"/>
          <w:b/>
          <w:i/>
          <w:color w:val="000000" w:themeColor="text1"/>
          <w:sz w:val="24"/>
          <w:szCs w:val="24"/>
        </w:rPr>
        <w:t>2</w:t>
      </w:r>
      <w:r w:rsidR="00EE6849" w:rsidRPr="003026F4">
        <w:rPr>
          <w:rFonts w:ascii="Times New Roman" w:hAnsi="Times New Roman"/>
          <w:b/>
          <w:i/>
          <w:color w:val="000000" w:themeColor="text1"/>
          <w:sz w:val="24"/>
          <w:szCs w:val="24"/>
        </w:rPr>
        <w:t xml:space="preserve"> </w:t>
      </w:r>
      <w:r w:rsidR="00C334EF" w:rsidRPr="00C334EF">
        <w:rPr>
          <w:rFonts w:ascii="Times New Roman" w:hAnsi="Times New Roman"/>
          <w:b/>
          <w:i/>
          <w:sz w:val="24"/>
          <w:szCs w:val="24"/>
        </w:rPr>
        <w:t xml:space="preserve">për </w:t>
      </w:r>
      <w:r w:rsidR="00C334EF" w:rsidRPr="00C334EF">
        <w:rPr>
          <w:rFonts w:ascii="Times New Roman" w:hAnsi="Times New Roman"/>
          <w:b/>
          <w:i/>
          <w:sz w:val="24"/>
        </w:rPr>
        <w:t>evidencën për personat që kanë dhënë provimin për noteri</w:t>
      </w:r>
    </w:p>
    <w:p w:rsidR="00345858" w:rsidRPr="00C334EF" w:rsidRDefault="00345858" w:rsidP="00C334EF">
      <w:pPr>
        <w:jc w:val="both"/>
        <w:rPr>
          <w:rFonts w:ascii="Times New Roman" w:hAnsi="Times New Roman"/>
          <w:b/>
          <w:color w:val="000000" w:themeColor="text1"/>
          <w:sz w:val="24"/>
          <w:szCs w:val="24"/>
        </w:rPr>
      </w:pPr>
    </w:p>
    <w:p w:rsidR="00A61766" w:rsidRPr="003026F4" w:rsidRDefault="00A61766" w:rsidP="00004DA0">
      <w:pPr>
        <w:spacing w:after="0" w:line="240" w:lineRule="auto"/>
        <w:jc w:val="both"/>
        <w:rPr>
          <w:rFonts w:ascii="Times New Roman" w:eastAsia="Times New Roman" w:hAnsi="Times New Roman"/>
          <w:noProof/>
          <w:color w:val="000000" w:themeColor="text1"/>
          <w:sz w:val="24"/>
          <w:szCs w:val="24"/>
          <w:lang w:eastAsia="sr-Latn-CS"/>
        </w:rPr>
      </w:pPr>
      <w:r w:rsidRPr="003026F4">
        <w:rPr>
          <w:rFonts w:ascii="Times New Roman" w:eastAsia="Times New Roman" w:hAnsi="Times New Roman"/>
          <w:noProof/>
          <w:color w:val="000000" w:themeColor="text1"/>
          <w:sz w:val="24"/>
          <w:szCs w:val="24"/>
          <w:lang w:eastAsia="sr-Latn-CS"/>
        </w:rPr>
        <w:t>Ministria e Drejtësi</w:t>
      </w:r>
      <w:r w:rsidR="00004DA0" w:rsidRPr="003026F4">
        <w:rPr>
          <w:rFonts w:ascii="Times New Roman" w:eastAsia="Times New Roman" w:hAnsi="Times New Roman"/>
          <w:noProof/>
          <w:color w:val="000000" w:themeColor="text1"/>
          <w:sz w:val="24"/>
          <w:szCs w:val="24"/>
          <w:lang w:eastAsia="sr-Latn-CS"/>
        </w:rPr>
        <w:t>së në kuadër të mandatit të saj</w:t>
      </w:r>
      <w:r w:rsidRPr="003026F4">
        <w:rPr>
          <w:rFonts w:ascii="Times New Roman" w:eastAsia="Times New Roman" w:hAnsi="Times New Roman"/>
          <w:noProof/>
          <w:color w:val="000000" w:themeColor="text1"/>
          <w:sz w:val="24"/>
          <w:szCs w:val="24"/>
          <w:lang w:eastAsia="sr-Latn-CS"/>
        </w:rPr>
        <w:t xml:space="preserve"> ka hartimin e politikave dhe legjislacionit pr</w:t>
      </w:r>
      <w:r w:rsidR="00D043B7" w:rsidRPr="003026F4">
        <w:rPr>
          <w:rFonts w:ascii="Times New Roman" w:eastAsia="Times New Roman" w:hAnsi="Times New Roman"/>
          <w:noProof/>
          <w:color w:val="000000" w:themeColor="text1"/>
          <w:sz w:val="24"/>
          <w:szCs w:val="24"/>
          <w:lang w:eastAsia="sr-Latn-CS"/>
        </w:rPr>
        <w:t>imar dhe sekondar për fushën e d</w:t>
      </w:r>
      <w:r w:rsidRPr="003026F4">
        <w:rPr>
          <w:rFonts w:ascii="Times New Roman" w:eastAsia="Times New Roman" w:hAnsi="Times New Roman"/>
          <w:noProof/>
          <w:color w:val="000000" w:themeColor="text1"/>
          <w:sz w:val="24"/>
          <w:szCs w:val="24"/>
          <w:lang w:eastAsia="sr-Latn-CS"/>
        </w:rPr>
        <w:t>rejtësisë.</w:t>
      </w:r>
    </w:p>
    <w:p w:rsidR="00662CDB" w:rsidRPr="003026F4" w:rsidRDefault="00662CDB" w:rsidP="00004DA0">
      <w:pPr>
        <w:spacing w:after="0" w:line="240" w:lineRule="auto"/>
        <w:jc w:val="both"/>
        <w:rPr>
          <w:rFonts w:ascii="Times New Roman" w:eastAsia="Times New Roman" w:hAnsi="Times New Roman"/>
          <w:noProof/>
          <w:color w:val="000000" w:themeColor="text1"/>
          <w:sz w:val="24"/>
          <w:szCs w:val="24"/>
          <w:lang w:eastAsia="sr-Latn-CS"/>
        </w:rPr>
      </w:pPr>
    </w:p>
    <w:p w:rsidR="00A61766" w:rsidRPr="003026F4" w:rsidRDefault="00687CD0" w:rsidP="00004DA0">
      <w:pPr>
        <w:spacing w:after="0" w:line="240" w:lineRule="auto"/>
        <w:jc w:val="both"/>
        <w:rPr>
          <w:rFonts w:ascii="Times New Roman" w:eastAsia="Times New Roman" w:hAnsi="Times New Roman"/>
          <w:noProof/>
          <w:color w:val="000000" w:themeColor="text1"/>
          <w:sz w:val="24"/>
          <w:szCs w:val="24"/>
          <w:lang w:eastAsia="sr-Latn-CS"/>
        </w:rPr>
      </w:pPr>
      <w:r w:rsidRPr="003026F4">
        <w:rPr>
          <w:rFonts w:ascii="Times New Roman" w:eastAsia="Times New Roman" w:hAnsi="Times New Roman"/>
          <w:noProof/>
          <w:color w:val="000000" w:themeColor="text1"/>
          <w:sz w:val="24"/>
          <w:szCs w:val="24"/>
          <w:lang w:eastAsia="sr-Latn-CS"/>
        </w:rPr>
        <w:t>Kë</w:t>
      </w:r>
      <w:r w:rsidR="00DF271A" w:rsidRPr="003026F4">
        <w:rPr>
          <w:rFonts w:ascii="Times New Roman" w:eastAsia="Times New Roman" w:hAnsi="Times New Roman"/>
          <w:noProof/>
          <w:color w:val="000000" w:themeColor="text1"/>
          <w:sz w:val="24"/>
          <w:szCs w:val="24"/>
          <w:lang w:eastAsia="sr-Latn-CS"/>
        </w:rPr>
        <w:t>të</w:t>
      </w:r>
      <w:r w:rsidR="00A61766" w:rsidRPr="003026F4">
        <w:rPr>
          <w:rFonts w:ascii="Times New Roman" w:eastAsia="Times New Roman" w:hAnsi="Times New Roman"/>
          <w:noProof/>
          <w:color w:val="000000" w:themeColor="text1"/>
          <w:sz w:val="24"/>
          <w:szCs w:val="24"/>
          <w:lang w:eastAsia="sr-Latn-CS"/>
        </w:rPr>
        <w:t xml:space="preserve"> kompetencë e ushtron në harmoni me dispozitat përkatëse ligjore të cilat përcaktojn</w:t>
      </w:r>
      <w:r w:rsidR="00DF271A" w:rsidRPr="003026F4">
        <w:rPr>
          <w:rFonts w:ascii="Times New Roman" w:eastAsia="Times New Roman" w:hAnsi="Times New Roman"/>
          <w:noProof/>
          <w:color w:val="000000" w:themeColor="text1"/>
          <w:sz w:val="24"/>
          <w:szCs w:val="24"/>
          <w:lang w:eastAsia="sr-Latn-CS"/>
        </w:rPr>
        <w:t>ë</w:t>
      </w:r>
      <w:r w:rsidR="00CC018A" w:rsidRPr="003026F4">
        <w:rPr>
          <w:rFonts w:ascii="Times New Roman" w:eastAsia="Times New Roman" w:hAnsi="Times New Roman"/>
          <w:noProof/>
          <w:color w:val="000000" w:themeColor="text1"/>
          <w:sz w:val="24"/>
          <w:szCs w:val="24"/>
          <w:lang w:eastAsia="sr-Latn-CS"/>
        </w:rPr>
        <w:t xml:space="preserve"> kom</w:t>
      </w:r>
      <w:r w:rsidR="00A61766" w:rsidRPr="003026F4">
        <w:rPr>
          <w:rFonts w:ascii="Times New Roman" w:eastAsia="Times New Roman" w:hAnsi="Times New Roman"/>
          <w:noProof/>
          <w:color w:val="000000" w:themeColor="text1"/>
          <w:sz w:val="24"/>
          <w:szCs w:val="24"/>
          <w:lang w:eastAsia="sr-Latn-CS"/>
        </w:rPr>
        <w:t>petencën për iniciativa legjislative, aspe</w:t>
      </w:r>
      <w:r w:rsidR="00EE6849" w:rsidRPr="003026F4">
        <w:rPr>
          <w:rFonts w:ascii="Times New Roman" w:eastAsia="Times New Roman" w:hAnsi="Times New Roman"/>
          <w:noProof/>
          <w:color w:val="000000" w:themeColor="text1"/>
          <w:sz w:val="24"/>
          <w:szCs w:val="24"/>
          <w:lang w:eastAsia="sr-Latn-CS"/>
        </w:rPr>
        <w:t>ktin procedural nga fillimi deri</w:t>
      </w:r>
      <w:r w:rsidR="00A61766" w:rsidRPr="003026F4">
        <w:rPr>
          <w:rFonts w:ascii="Times New Roman" w:eastAsia="Times New Roman" w:hAnsi="Times New Roman"/>
          <w:noProof/>
          <w:color w:val="000000" w:themeColor="text1"/>
          <w:sz w:val="24"/>
          <w:szCs w:val="24"/>
          <w:lang w:eastAsia="sr-Latn-CS"/>
        </w:rPr>
        <w:t xml:space="preserve"> në fund dhe mënyrën e punës për hartimin e  politikave dhe legjislacionit.</w:t>
      </w:r>
    </w:p>
    <w:p w:rsidR="000F5679" w:rsidRPr="003026F4" w:rsidRDefault="000F5679" w:rsidP="00004DA0">
      <w:pPr>
        <w:spacing w:after="0" w:line="240" w:lineRule="auto"/>
        <w:jc w:val="both"/>
        <w:rPr>
          <w:rFonts w:ascii="Times New Roman" w:hAnsi="Times New Roman"/>
          <w:color w:val="000000" w:themeColor="text1"/>
          <w:sz w:val="24"/>
          <w:szCs w:val="24"/>
        </w:rPr>
      </w:pPr>
    </w:p>
    <w:p w:rsidR="00C334EF" w:rsidRPr="00C334EF" w:rsidRDefault="000F5679" w:rsidP="00C334EF">
      <w:pPr>
        <w:tabs>
          <w:tab w:val="left" w:pos="0"/>
        </w:tabs>
        <w:autoSpaceDE w:val="0"/>
        <w:autoSpaceDN w:val="0"/>
        <w:adjustRightInd w:val="0"/>
        <w:spacing w:after="0" w:line="240" w:lineRule="auto"/>
        <w:jc w:val="both"/>
        <w:outlineLvl w:val="0"/>
        <w:rPr>
          <w:rFonts w:ascii="Times New Roman" w:hAnsi="Times New Roman"/>
          <w:sz w:val="24"/>
          <w:szCs w:val="24"/>
        </w:rPr>
      </w:pPr>
      <w:r w:rsidRPr="003026F4">
        <w:rPr>
          <w:rFonts w:ascii="Times New Roman" w:hAnsi="Times New Roman"/>
          <w:color w:val="000000" w:themeColor="text1"/>
          <w:sz w:val="24"/>
          <w:szCs w:val="24"/>
        </w:rPr>
        <w:t>Ministria e Drejtësisë në kuadër të Planit Vjetor të P</w:t>
      </w:r>
      <w:r w:rsidR="00EE6849" w:rsidRPr="003026F4">
        <w:rPr>
          <w:rFonts w:ascii="Times New Roman" w:hAnsi="Times New Roman"/>
          <w:color w:val="000000" w:themeColor="text1"/>
          <w:sz w:val="24"/>
          <w:szCs w:val="24"/>
        </w:rPr>
        <w:t>unës së Qeverisë për vitin 202</w:t>
      </w:r>
      <w:r w:rsidR="00C13C57">
        <w:rPr>
          <w:rFonts w:ascii="Times New Roman" w:hAnsi="Times New Roman"/>
          <w:color w:val="000000" w:themeColor="text1"/>
          <w:sz w:val="24"/>
          <w:szCs w:val="24"/>
        </w:rPr>
        <w:t>2</w:t>
      </w:r>
      <w:r w:rsidR="00EE6849" w:rsidRPr="003026F4">
        <w:rPr>
          <w:rFonts w:ascii="Times New Roman" w:hAnsi="Times New Roman"/>
          <w:color w:val="000000" w:themeColor="text1"/>
          <w:sz w:val="24"/>
          <w:szCs w:val="24"/>
        </w:rPr>
        <w:t xml:space="preserve"> </w:t>
      </w:r>
      <w:r w:rsidRPr="003026F4">
        <w:rPr>
          <w:rFonts w:ascii="Times New Roman" w:hAnsi="Times New Roman"/>
          <w:color w:val="000000" w:themeColor="text1"/>
          <w:sz w:val="24"/>
          <w:szCs w:val="24"/>
        </w:rPr>
        <w:t>respektivisht në kuadër të Planit Leg</w:t>
      </w:r>
      <w:r w:rsidR="00EE6849" w:rsidRPr="003026F4">
        <w:rPr>
          <w:rFonts w:ascii="Times New Roman" w:hAnsi="Times New Roman"/>
          <w:color w:val="000000" w:themeColor="text1"/>
          <w:sz w:val="24"/>
          <w:szCs w:val="24"/>
        </w:rPr>
        <w:t>jislativ të MD-së për vitin 202</w:t>
      </w:r>
      <w:r w:rsidR="00C13C57">
        <w:rPr>
          <w:rFonts w:ascii="Times New Roman" w:hAnsi="Times New Roman"/>
          <w:color w:val="000000" w:themeColor="text1"/>
          <w:sz w:val="24"/>
          <w:szCs w:val="24"/>
        </w:rPr>
        <w:t>2</w:t>
      </w:r>
      <w:r w:rsidRPr="003026F4">
        <w:rPr>
          <w:rFonts w:ascii="Times New Roman" w:hAnsi="Times New Roman"/>
          <w:color w:val="000000" w:themeColor="text1"/>
          <w:sz w:val="24"/>
          <w:szCs w:val="24"/>
        </w:rPr>
        <w:t>, ka paraparë hartimin e</w:t>
      </w:r>
      <w:r w:rsidRPr="003026F4">
        <w:rPr>
          <w:rFonts w:ascii="Times New Roman" w:hAnsi="Times New Roman"/>
          <w:i/>
          <w:color w:val="000000" w:themeColor="text1"/>
          <w:sz w:val="24"/>
          <w:szCs w:val="24"/>
        </w:rPr>
        <w:t xml:space="preserve"> </w:t>
      </w:r>
      <w:r w:rsidR="00345858" w:rsidRPr="003026F4">
        <w:rPr>
          <w:rFonts w:ascii="Times New Roman" w:hAnsi="Times New Roman"/>
          <w:color w:val="000000" w:themeColor="text1"/>
          <w:sz w:val="24"/>
          <w:szCs w:val="24"/>
        </w:rPr>
        <w:t>Draft Udhëzi</w:t>
      </w:r>
      <w:r w:rsidR="000C06CD" w:rsidRPr="003026F4">
        <w:rPr>
          <w:rFonts w:ascii="Times New Roman" w:hAnsi="Times New Roman"/>
          <w:color w:val="000000" w:themeColor="text1"/>
          <w:sz w:val="24"/>
          <w:szCs w:val="24"/>
        </w:rPr>
        <w:t>mit Administrativ MD-NR. XX/202</w:t>
      </w:r>
      <w:r w:rsidR="00C334EF">
        <w:rPr>
          <w:rFonts w:ascii="Times New Roman" w:hAnsi="Times New Roman"/>
          <w:color w:val="000000" w:themeColor="text1"/>
          <w:sz w:val="24"/>
          <w:szCs w:val="24"/>
        </w:rPr>
        <w:t>2</w:t>
      </w:r>
      <w:r w:rsidR="00345858" w:rsidRPr="003026F4">
        <w:rPr>
          <w:rFonts w:ascii="Times New Roman" w:hAnsi="Times New Roman"/>
          <w:color w:val="000000" w:themeColor="text1"/>
          <w:sz w:val="24"/>
          <w:szCs w:val="24"/>
        </w:rPr>
        <w:t xml:space="preserve"> </w:t>
      </w:r>
      <w:r w:rsidR="000C06CD" w:rsidRPr="003026F4">
        <w:rPr>
          <w:rFonts w:ascii="Times New Roman" w:hAnsi="Times New Roman"/>
          <w:color w:val="000000" w:themeColor="text1"/>
          <w:sz w:val="24"/>
          <w:szCs w:val="24"/>
        </w:rPr>
        <w:t xml:space="preserve">për </w:t>
      </w:r>
      <w:r w:rsidR="00C334EF" w:rsidRPr="00C334EF">
        <w:rPr>
          <w:rFonts w:ascii="Times New Roman" w:hAnsi="Times New Roman"/>
          <w:sz w:val="24"/>
        </w:rPr>
        <w:t>evidencën për personat që kanë dhënë provimin për noteri</w:t>
      </w:r>
    </w:p>
    <w:p w:rsidR="000C06CD" w:rsidRPr="003026F4" w:rsidRDefault="000C06CD" w:rsidP="000C06CD">
      <w:pPr>
        <w:jc w:val="both"/>
        <w:rPr>
          <w:rFonts w:ascii="Times New Roman" w:hAnsi="Times New Roman"/>
          <w:color w:val="000000" w:themeColor="text1"/>
          <w:sz w:val="28"/>
        </w:rPr>
      </w:pPr>
      <w:r w:rsidRPr="003026F4">
        <w:rPr>
          <w:rFonts w:ascii="Times New Roman" w:hAnsi="Times New Roman"/>
          <w:color w:val="000000" w:themeColor="text1"/>
          <w:sz w:val="24"/>
          <w:szCs w:val="24"/>
        </w:rPr>
        <w:t>.</w:t>
      </w:r>
    </w:p>
    <w:p w:rsidR="00A61766" w:rsidRPr="003026F4" w:rsidRDefault="000F5679" w:rsidP="000C06CD">
      <w:pPr>
        <w:spacing w:after="0" w:line="240" w:lineRule="auto"/>
        <w:jc w:val="both"/>
        <w:outlineLvl w:val="0"/>
        <w:rPr>
          <w:rFonts w:ascii="Times New Roman" w:hAnsi="Times New Roman"/>
          <w:color w:val="000000" w:themeColor="text1"/>
          <w:sz w:val="24"/>
          <w:szCs w:val="24"/>
        </w:rPr>
      </w:pPr>
      <w:r w:rsidRPr="003026F4">
        <w:rPr>
          <w:rFonts w:ascii="Times New Roman" w:hAnsi="Times New Roman"/>
          <w:color w:val="000000" w:themeColor="text1"/>
          <w:sz w:val="24"/>
          <w:szCs w:val="24"/>
        </w:rPr>
        <w:t>Nga aspekti procedural</w:t>
      </w:r>
      <w:r w:rsidR="00004DA0" w:rsidRPr="003026F4">
        <w:rPr>
          <w:rFonts w:ascii="Times New Roman" w:hAnsi="Times New Roman"/>
          <w:color w:val="000000" w:themeColor="text1"/>
          <w:sz w:val="24"/>
          <w:szCs w:val="24"/>
        </w:rPr>
        <w:t xml:space="preserve"> drafti</w:t>
      </w:r>
      <w:r w:rsidRPr="003026F4">
        <w:rPr>
          <w:rFonts w:ascii="Times New Roman" w:hAnsi="Times New Roman"/>
          <w:color w:val="000000" w:themeColor="text1"/>
          <w:sz w:val="24"/>
          <w:szCs w:val="24"/>
        </w:rPr>
        <w:t xml:space="preserve"> është hartuar në bazë </w:t>
      </w:r>
      <w:r w:rsidR="00CC018A" w:rsidRPr="003026F4">
        <w:rPr>
          <w:rFonts w:ascii="Times New Roman" w:hAnsi="Times New Roman"/>
          <w:color w:val="000000" w:themeColor="text1"/>
          <w:sz w:val="24"/>
          <w:szCs w:val="24"/>
        </w:rPr>
        <w:t>të Udhëzimit Administrativ</w:t>
      </w:r>
      <w:r w:rsidR="00662CDB" w:rsidRPr="003026F4">
        <w:rPr>
          <w:rFonts w:ascii="Times New Roman" w:hAnsi="Times New Roman"/>
          <w:color w:val="000000" w:themeColor="text1"/>
          <w:sz w:val="24"/>
          <w:szCs w:val="24"/>
        </w:rPr>
        <w:t xml:space="preserve"> nr. 03/2019</w:t>
      </w:r>
      <w:r w:rsidR="00CC018A" w:rsidRPr="003026F4">
        <w:rPr>
          <w:rFonts w:ascii="Times New Roman" w:hAnsi="Times New Roman"/>
          <w:color w:val="000000" w:themeColor="text1"/>
          <w:sz w:val="24"/>
          <w:szCs w:val="24"/>
        </w:rPr>
        <w:t xml:space="preserve"> për s</w:t>
      </w:r>
      <w:r w:rsidRPr="003026F4">
        <w:rPr>
          <w:rFonts w:ascii="Times New Roman" w:hAnsi="Times New Roman"/>
          <w:color w:val="000000" w:themeColor="text1"/>
          <w:sz w:val="24"/>
          <w:szCs w:val="24"/>
        </w:rPr>
        <w:t>tandardet</w:t>
      </w:r>
      <w:r w:rsidR="00CC018A" w:rsidRPr="003026F4">
        <w:rPr>
          <w:rFonts w:ascii="Times New Roman" w:hAnsi="Times New Roman"/>
          <w:color w:val="000000" w:themeColor="text1"/>
          <w:sz w:val="24"/>
          <w:szCs w:val="24"/>
        </w:rPr>
        <w:t xml:space="preserve"> e h</w:t>
      </w:r>
      <w:r w:rsidRPr="003026F4">
        <w:rPr>
          <w:rFonts w:ascii="Times New Roman" w:hAnsi="Times New Roman"/>
          <w:color w:val="000000" w:themeColor="text1"/>
          <w:sz w:val="24"/>
          <w:szCs w:val="24"/>
        </w:rPr>
        <w:t>artimit</w:t>
      </w:r>
      <w:r w:rsidR="00CC018A" w:rsidRPr="003026F4">
        <w:rPr>
          <w:rFonts w:ascii="Times New Roman" w:hAnsi="Times New Roman"/>
          <w:color w:val="000000" w:themeColor="text1"/>
          <w:sz w:val="24"/>
          <w:szCs w:val="24"/>
        </w:rPr>
        <w:t xml:space="preserve"> të akteve n</w:t>
      </w:r>
      <w:r w:rsidR="00662CDB" w:rsidRPr="003026F4">
        <w:rPr>
          <w:rFonts w:ascii="Times New Roman" w:hAnsi="Times New Roman"/>
          <w:color w:val="000000" w:themeColor="text1"/>
          <w:sz w:val="24"/>
          <w:szCs w:val="24"/>
        </w:rPr>
        <w:t>ormative.</w:t>
      </w:r>
    </w:p>
    <w:p w:rsidR="000C06CD" w:rsidRPr="003026F4" w:rsidRDefault="000C06CD" w:rsidP="000C06CD">
      <w:pPr>
        <w:spacing w:after="0" w:line="240" w:lineRule="auto"/>
        <w:jc w:val="both"/>
        <w:outlineLvl w:val="0"/>
        <w:rPr>
          <w:rFonts w:ascii="Times New Roman" w:hAnsi="Times New Roman"/>
          <w:color w:val="000000" w:themeColor="text1"/>
          <w:sz w:val="24"/>
          <w:szCs w:val="24"/>
        </w:rPr>
      </w:pPr>
    </w:p>
    <w:p w:rsidR="00C334EF" w:rsidRPr="00C13C57" w:rsidRDefault="00A61766" w:rsidP="00C334EF">
      <w:pPr>
        <w:tabs>
          <w:tab w:val="left" w:pos="0"/>
        </w:tabs>
        <w:autoSpaceDE w:val="0"/>
        <w:autoSpaceDN w:val="0"/>
        <w:adjustRightInd w:val="0"/>
        <w:spacing w:after="0" w:line="240" w:lineRule="auto"/>
        <w:jc w:val="both"/>
        <w:outlineLvl w:val="0"/>
        <w:rPr>
          <w:rFonts w:ascii="Times New Roman" w:hAnsi="Times New Roman"/>
          <w:i/>
          <w:sz w:val="24"/>
          <w:szCs w:val="24"/>
        </w:rPr>
      </w:pPr>
      <w:r w:rsidRPr="003026F4">
        <w:rPr>
          <w:rFonts w:ascii="Times New Roman" w:hAnsi="Times New Roman"/>
          <w:b/>
          <w:color w:val="000000" w:themeColor="text1"/>
          <w:sz w:val="24"/>
          <w:szCs w:val="24"/>
          <w:u w:val="single"/>
        </w:rPr>
        <w:t xml:space="preserve">Objektivat që synohet të arrihen </w:t>
      </w:r>
      <w:r w:rsidR="000C06CD" w:rsidRPr="003026F4">
        <w:rPr>
          <w:rFonts w:ascii="Times New Roman" w:hAnsi="Times New Roman"/>
          <w:b/>
          <w:color w:val="000000" w:themeColor="text1"/>
          <w:sz w:val="24"/>
          <w:szCs w:val="24"/>
          <w:u w:val="single"/>
        </w:rPr>
        <w:t xml:space="preserve">me </w:t>
      </w:r>
      <w:r w:rsidR="00345858" w:rsidRPr="003026F4">
        <w:rPr>
          <w:rFonts w:ascii="Times New Roman" w:hAnsi="Times New Roman"/>
          <w:b/>
          <w:color w:val="000000" w:themeColor="text1"/>
          <w:sz w:val="24"/>
          <w:szCs w:val="24"/>
          <w:u w:val="single"/>
        </w:rPr>
        <w:t>Draf</w:t>
      </w:r>
      <w:r w:rsidR="000C06CD" w:rsidRPr="003026F4">
        <w:rPr>
          <w:rFonts w:ascii="Times New Roman" w:hAnsi="Times New Roman"/>
          <w:b/>
          <w:color w:val="000000" w:themeColor="text1"/>
          <w:sz w:val="24"/>
          <w:szCs w:val="24"/>
          <w:u w:val="single"/>
        </w:rPr>
        <w:t>t Udhëzimin</w:t>
      </w:r>
      <w:r w:rsidR="00345858" w:rsidRPr="003026F4">
        <w:rPr>
          <w:rFonts w:ascii="Times New Roman" w:hAnsi="Times New Roman"/>
          <w:b/>
          <w:color w:val="000000" w:themeColor="text1"/>
          <w:sz w:val="24"/>
          <w:szCs w:val="24"/>
          <w:u w:val="single"/>
        </w:rPr>
        <w:t xml:space="preserve"> Administrativ </w:t>
      </w:r>
      <w:r w:rsidR="000C06CD" w:rsidRPr="003026F4">
        <w:rPr>
          <w:rFonts w:ascii="Times New Roman" w:hAnsi="Times New Roman"/>
          <w:b/>
          <w:color w:val="000000" w:themeColor="text1"/>
          <w:sz w:val="24"/>
          <w:szCs w:val="24"/>
          <w:u w:val="single"/>
        </w:rPr>
        <w:t>MD-NR. XX/202</w:t>
      </w:r>
      <w:r w:rsidR="00254F04">
        <w:rPr>
          <w:rFonts w:ascii="Times New Roman" w:hAnsi="Times New Roman"/>
          <w:b/>
          <w:color w:val="000000" w:themeColor="text1"/>
          <w:sz w:val="24"/>
          <w:szCs w:val="24"/>
          <w:u w:val="single"/>
        </w:rPr>
        <w:t>2</w:t>
      </w:r>
      <w:r w:rsidR="000C06CD" w:rsidRPr="003026F4">
        <w:rPr>
          <w:rFonts w:ascii="Times New Roman" w:hAnsi="Times New Roman"/>
          <w:b/>
          <w:color w:val="000000" w:themeColor="text1"/>
          <w:sz w:val="24"/>
          <w:szCs w:val="24"/>
          <w:u w:val="single"/>
        </w:rPr>
        <w:t xml:space="preserve"> për </w:t>
      </w:r>
      <w:r w:rsidR="00C334EF" w:rsidRPr="00C334EF">
        <w:rPr>
          <w:rFonts w:ascii="Times New Roman" w:hAnsi="Times New Roman"/>
          <w:b/>
          <w:sz w:val="24"/>
          <w:u w:val="single"/>
        </w:rPr>
        <w:t>evidencën për personat që kanë dhënë provimin për noteri</w:t>
      </w:r>
    </w:p>
    <w:p w:rsidR="000C06CD" w:rsidRPr="003026F4" w:rsidRDefault="000C06CD" w:rsidP="000C06CD">
      <w:pPr>
        <w:jc w:val="both"/>
        <w:rPr>
          <w:rFonts w:ascii="Times New Roman" w:hAnsi="Times New Roman"/>
          <w:b/>
          <w:color w:val="000000" w:themeColor="text1"/>
          <w:sz w:val="28"/>
          <w:u w:val="single"/>
        </w:rPr>
      </w:pPr>
    </w:p>
    <w:p w:rsidR="00345858" w:rsidRPr="003026F4" w:rsidRDefault="00345858" w:rsidP="00A61766">
      <w:pPr>
        <w:spacing w:after="0" w:line="240" w:lineRule="auto"/>
        <w:jc w:val="both"/>
        <w:outlineLvl w:val="0"/>
        <w:rPr>
          <w:rFonts w:ascii="Times New Roman" w:hAnsi="Times New Roman"/>
          <w:b/>
          <w:color w:val="000000" w:themeColor="text1"/>
          <w:sz w:val="24"/>
          <w:szCs w:val="24"/>
          <w:u w:val="single"/>
        </w:rPr>
      </w:pPr>
    </w:p>
    <w:p w:rsidR="00E9009E" w:rsidRPr="003026F4" w:rsidRDefault="00CC018A" w:rsidP="00A61766">
      <w:pPr>
        <w:autoSpaceDE w:val="0"/>
        <w:autoSpaceDN w:val="0"/>
        <w:adjustRightInd w:val="0"/>
        <w:spacing w:after="0" w:line="240" w:lineRule="auto"/>
        <w:jc w:val="both"/>
        <w:rPr>
          <w:rFonts w:ascii="Times New Roman" w:hAnsi="Times New Roman"/>
          <w:color w:val="000000" w:themeColor="text1"/>
          <w:sz w:val="24"/>
          <w:szCs w:val="24"/>
          <w:shd w:val="clear" w:color="auto" w:fill="FFFFFF"/>
        </w:rPr>
      </w:pPr>
      <w:r w:rsidRPr="003026F4">
        <w:rPr>
          <w:rFonts w:ascii="Times New Roman" w:hAnsi="Times New Roman"/>
          <w:color w:val="000000" w:themeColor="text1"/>
          <w:sz w:val="24"/>
          <w:szCs w:val="24"/>
        </w:rPr>
        <w:t>Një ndër prioritetet e Qeverisë</w:t>
      </w:r>
      <w:r w:rsidR="00A61766" w:rsidRPr="003026F4">
        <w:rPr>
          <w:rFonts w:ascii="Times New Roman" w:hAnsi="Times New Roman"/>
          <w:color w:val="000000" w:themeColor="text1"/>
          <w:sz w:val="24"/>
          <w:szCs w:val="24"/>
        </w:rPr>
        <w:t xml:space="preserve"> është avancimi dhe krijimi i infrastrukt</w:t>
      </w:r>
      <w:r w:rsidR="000D036B" w:rsidRPr="003026F4">
        <w:rPr>
          <w:rFonts w:ascii="Times New Roman" w:hAnsi="Times New Roman"/>
          <w:color w:val="000000" w:themeColor="text1"/>
          <w:sz w:val="24"/>
          <w:szCs w:val="24"/>
        </w:rPr>
        <w:t>urë</w:t>
      </w:r>
      <w:r w:rsidR="00662CDB" w:rsidRPr="003026F4">
        <w:rPr>
          <w:rFonts w:ascii="Times New Roman" w:hAnsi="Times New Roman"/>
          <w:color w:val="000000" w:themeColor="text1"/>
          <w:sz w:val="24"/>
          <w:szCs w:val="24"/>
        </w:rPr>
        <w:t xml:space="preserve">s ligjore të përshtatshme </w:t>
      </w:r>
      <w:r w:rsidR="00DA5301">
        <w:rPr>
          <w:rFonts w:ascii="Times New Roman" w:hAnsi="Times New Roman"/>
          <w:color w:val="000000" w:themeColor="text1"/>
          <w:sz w:val="24"/>
          <w:szCs w:val="24"/>
        </w:rPr>
        <w:t>dhe funksionale, ku p</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rfshihet edhe m</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nyra e mbajt</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s s</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evidenc</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s s</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w:t>
      </w:r>
      <w:r w:rsidR="00F64013">
        <w:rPr>
          <w:rFonts w:ascii="Times New Roman" w:hAnsi="Times New Roman"/>
          <w:color w:val="000000" w:themeColor="text1"/>
          <w:sz w:val="24"/>
          <w:szCs w:val="24"/>
        </w:rPr>
        <w:t>personave</w:t>
      </w:r>
      <w:r w:rsidR="00DA5301">
        <w:rPr>
          <w:rFonts w:ascii="Times New Roman" w:hAnsi="Times New Roman"/>
          <w:color w:val="000000" w:themeColor="text1"/>
          <w:sz w:val="24"/>
          <w:szCs w:val="24"/>
        </w:rPr>
        <w:t xml:space="preserve"> q</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kan</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dh</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n</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provimin e noteris</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si dhe qasja n</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k</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t</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 regjist</w:t>
      </w:r>
      <w:r w:rsidR="00F64013">
        <w:rPr>
          <w:rFonts w:ascii="Times New Roman" w:hAnsi="Times New Roman"/>
          <w:color w:val="000000" w:themeColor="text1"/>
          <w:sz w:val="24"/>
          <w:szCs w:val="24"/>
        </w:rPr>
        <w:t>ë</w:t>
      </w:r>
      <w:r w:rsidR="00DA5301">
        <w:rPr>
          <w:rFonts w:ascii="Times New Roman" w:hAnsi="Times New Roman"/>
          <w:color w:val="000000" w:themeColor="text1"/>
          <w:sz w:val="24"/>
          <w:szCs w:val="24"/>
        </w:rPr>
        <w:t xml:space="preserve">r. </w:t>
      </w:r>
    </w:p>
    <w:p w:rsidR="00DA5301" w:rsidRDefault="00DA5301" w:rsidP="000C06CD">
      <w:pPr>
        <w:pStyle w:val="TableParagraph"/>
        <w:spacing w:line="276" w:lineRule="auto"/>
        <w:ind w:left="0"/>
        <w:jc w:val="both"/>
        <w:rPr>
          <w:color w:val="000000" w:themeColor="text1"/>
          <w:sz w:val="24"/>
          <w:szCs w:val="24"/>
          <w:shd w:val="clear" w:color="auto" w:fill="FFFFFF"/>
          <w:lang w:val="sq-AL"/>
        </w:rPr>
      </w:pPr>
    </w:p>
    <w:p w:rsidR="00627B2C" w:rsidRPr="003026F4" w:rsidRDefault="00627B2C" w:rsidP="00627B2C">
      <w:pPr>
        <w:spacing w:after="0" w:line="240" w:lineRule="auto"/>
        <w:jc w:val="both"/>
        <w:outlineLvl w:val="0"/>
        <w:rPr>
          <w:rFonts w:ascii="Times New Roman" w:hAnsi="Times New Roman"/>
          <w:color w:val="000000" w:themeColor="text1"/>
          <w:sz w:val="24"/>
          <w:szCs w:val="24"/>
        </w:rPr>
      </w:pPr>
    </w:p>
    <w:p w:rsidR="00A61766" w:rsidRPr="003026F4" w:rsidRDefault="00A61766" w:rsidP="00A61766">
      <w:pPr>
        <w:pStyle w:val="MediumShading2-Accent31"/>
        <w:pBdr>
          <w:bottom w:val="none" w:sz="0" w:space="0" w:color="auto"/>
        </w:pBdr>
        <w:spacing w:before="0" w:after="0" w:line="240" w:lineRule="auto"/>
        <w:ind w:left="0"/>
        <w:outlineLvl w:val="0"/>
        <w:rPr>
          <w:rFonts w:ascii="Times New Roman" w:hAnsi="Times New Roman"/>
          <w:i w:val="0"/>
          <w:color w:val="000000" w:themeColor="text1"/>
          <w:sz w:val="24"/>
          <w:szCs w:val="24"/>
          <w:u w:val="single"/>
          <w:lang w:val="sq-AL"/>
        </w:rPr>
      </w:pPr>
      <w:r w:rsidRPr="003026F4">
        <w:rPr>
          <w:rFonts w:ascii="Times New Roman" w:hAnsi="Times New Roman"/>
          <w:i w:val="0"/>
          <w:color w:val="000000" w:themeColor="text1"/>
          <w:sz w:val="24"/>
          <w:szCs w:val="24"/>
          <w:u w:val="single"/>
          <w:lang w:val="sq-AL"/>
        </w:rPr>
        <w:t>Qëllimi i konsultimit</w:t>
      </w:r>
    </w:p>
    <w:p w:rsidR="00A23C2D" w:rsidRPr="003026F4" w:rsidRDefault="00A23C2D" w:rsidP="00A23C2D">
      <w:pPr>
        <w:spacing w:after="0"/>
        <w:jc w:val="both"/>
        <w:rPr>
          <w:rFonts w:ascii="Times New Roman" w:hAnsi="Times New Roman"/>
          <w:color w:val="000000" w:themeColor="text1"/>
          <w:sz w:val="24"/>
          <w:szCs w:val="24"/>
        </w:rPr>
      </w:pPr>
    </w:p>
    <w:p w:rsidR="00A23C2D" w:rsidRPr="00DA5301" w:rsidRDefault="00A23C2D" w:rsidP="000C06CD">
      <w:pPr>
        <w:jc w:val="both"/>
        <w:rPr>
          <w:rFonts w:ascii="Times New Roman" w:hAnsi="Times New Roman"/>
          <w:color w:val="000000" w:themeColor="text1"/>
          <w:sz w:val="28"/>
        </w:rPr>
      </w:pPr>
      <w:r w:rsidRPr="003026F4">
        <w:rPr>
          <w:rFonts w:ascii="Times New Roman" w:hAnsi="Times New Roman"/>
          <w:color w:val="000000" w:themeColor="text1"/>
          <w:sz w:val="24"/>
          <w:szCs w:val="24"/>
        </w:rPr>
        <w:t>Përmes procesit të konsultimeve me publikun</w:t>
      </w:r>
      <w:r w:rsidR="00662CDB" w:rsidRPr="003026F4">
        <w:rPr>
          <w:rFonts w:ascii="Times New Roman" w:hAnsi="Times New Roman"/>
          <w:color w:val="000000" w:themeColor="text1"/>
          <w:sz w:val="24"/>
          <w:szCs w:val="24"/>
        </w:rPr>
        <w:t>,</w:t>
      </w:r>
      <w:r w:rsidRPr="003026F4">
        <w:rPr>
          <w:rFonts w:ascii="Times New Roman" w:hAnsi="Times New Roman"/>
          <w:color w:val="000000" w:themeColor="text1"/>
          <w:sz w:val="24"/>
          <w:szCs w:val="24"/>
        </w:rPr>
        <w:t xml:space="preserve"> synohet transparenca dhe ofrohet mundësia e </w:t>
      </w:r>
      <w:r w:rsidR="00004DA0" w:rsidRPr="003026F4">
        <w:rPr>
          <w:rFonts w:ascii="Times New Roman" w:hAnsi="Times New Roman"/>
          <w:color w:val="000000" w:themeColor="text1"/>
          <w:sz w:val="24"/>
          <w:szCs w:val="24"/>
        </w:rPr>
        <w:t>pjesëmarrjes</w:t>
      </w:r>
      <w:r w:rsidRPr="003026F4">
        <w:rPr>
          <w:rFonts w:ascii="Times New Roman" w:hAnsi="Times New Roman"/>
          <w:color w:val="000000" w:themeColor="text1"/>
          <w:sz w:val="24"/>
          <w:szCs w:val="24"/>
        </w:rPr>
        <w:t xml:space="preserve"> së publikut dhe palëve të interesuara në procesin</w:t>
      </w:r>
      <w:r w:rsidR="00004DA0" w:rsidRPr="003026F4">
        <w:rPr>
          <w:rFonts w:ascii="Times New Roman" w:hAnsi="Times New Roman"/>
          <w:color w:val="000000" w:themeColor="text1"/>
          <w:sz w:val="24"/>
          <w:szCs w:val="24"/>
        </w:rPr>
        <w:t xml:space="preserve"> e hartimit </w:t>
      </w:r>
      <w:r w:rsidR="000C06CD" w:rsidRPr="003026F4">
        <w:rPr>
          <w:rFonts w:ascii="Times New Roman" w:hAnsi="Times New Roman"/>
          <w:color w:val="000000" w:themeColor="text1"/>
          <w:sz w:val="24"/>
          <w:szCs w:val="24"/>
        </w:rPr>
        <w:t xml:space="preserve">të Draft Udhëzimit </w:t>
      </w:r>
      <w:r w:rsidR="000C06CD" w:rsidRPr="003026F4">
        <w:rPr>
          <w:rFonts w:ascii="Times New Roman" w:hAnsi="Times New Roman"/>
          <w:color w:val="000000" w:themeColor="text1"/>
          <w:sz w:val="24"/>
          <w:szCs w:val="24"/>
        </w:rPr>
        <w:lastRenderedPageBreak/>
        <w:t>Administrativ MD-NR. XX/202</w:t>
      </w:r>
      <w:r w:rsidR="00DA5301">
        <w:rPr>
          <w:rFonts w:ascii="Times New Roman" w:hAnsi="Times New Roman"/>
          <w:color w:val="000000" w:themeColor="text1"/>
          <w:sz w:val="24"/>
          <w:szCs w:val="24"/>
        </w:rPr>
        <w:t>2</w:t>
      </w:r>
      <w:r w:rsidR="000C06CD" w:rsidRPr="003026F4">
        <w:rPr>
          <w:rFonts w:ascii="Times New Roman" w:hAnsi="Times New Roman"/>
          <w:color w:val="000000" w:themeColor="text1"/>
          <w:sz w:val="24"/>
          <w:szCs w:val="24"/>
        </w:rPr>
        <w:t xml:space="preserve"> për </w:t>
      </w:r>
      <w:r w:rsidR="00DA5301" w:rsidRPr="00DA5301">
        <w:rPr>
          <w:rFonts w:ascii="Times New Roman" w:hAnsi="Times New Roman"/>
          <w:sz w:val="24"/>
        </w:rPr>
        <w:t>evidencën për personat që kanë dhënë provimin për noteri</w:t>
      </w:r>
      <w:r w:rsidRPr="00DA5301">
        <w:rPr>
          <w:rFonts w:ascii="Times New Roman" w:hAnsi="Times New Roman"/>
          <w:color w:val="000000" w:themeColor="text1"/>
          <w:sz w:val="24"/>
          <w:szCs w:val="24"/>
        </w:rPr>
        <w:t xml:space="preserve">.  </w:t>
      </w:r>
    </w:p>
    <w:p w:rsidR="00D043B7" w:rsidRPr="003026F4" w:rsidRDefault="00D043B7" w:rsidP="00A23C2D">
      <w:pPr>
        <w:spacing w:after="0"/>
        <w:jc w:val="both"/>
        <w:rPr>
          <w:rFonts w:ascii="Times New Roman" w:hAnsi="Times New Roman"/>
          <w:color w:val="000000" w:themeColor="text1"/>
          <w:sz w:val="24"/>
          <w:szCs w:val="24"/>
        </w:rPr>
      </w:pPr>
    </w:p>
    <w:p w:rsidR="00A23C2D" w:rsidRPr="003026F4" w:rsidRDefault="00627B2C" w:rsidP="00A23C2D">
      <w:pPr>
        <w:spacing w:after="0"/>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Në fazat më</w:t>
      </w:r>
      <w:r w:rsidR="00A23C2D" w:rsidRPr="003026F4">
        <w:rPr>
          <w:rFonts w:ascii="Times New Roman" w:hAnsi="Times New Roman"/>
          <w:color w:val="000000" w:themeColor="text1"/>
          <w:sz w:val="24"/>
          <w:szCs w:val="24"/>
        </w:rPr>
        <w:t xml:space="preserve"> të hershme të hartimit të draftit janë përfshirë palët e interesit të cilat kanë interes ose ndikim në hartimin e politikave dhe legji</w:t>
      </w:r>
      <w:r w:rsidRPr="003026F4">
        <w:rPr>
          <w:rFonts w:ascii="Times New Roman" w:hAnsi="Times New Roman"/>
          <w:color w:val="000000" w:themeColor="text1"/>
          <w:sz w:val="24"/>
          <w:szCs w:val="24"/>
        </w:rPr>
        <w:t xml:space="preserve">slacionit në fushën e </w:t>
      </w:r>
      <w:r w:rsidR="00F64013">
        <w:rPr>
          <w:rFonts w:ascii="Times New Roman" w:hAnsi="Times New Roman"/>
          <w:color w:val="000000" w:themeColor="text1"/>
          <w:sz w:val="24"/>
          <w:szCs w:val="24"/>
        </w:rPr>
        <w:t>noterisë</w:t>
      </w:r>
      <w:r w:rsidRPr="003026F4">
        <w:rPr>
          <w:rFonts w:ascii="Times New Roman" w:hAnsi="Times New Roman"/>
          <w:color w:val="000000" w:themeColor="text1"/>
          <w:sz w:val="24"/>
          <w:szCs w:val="24"/>
        </w:rPr>
        <w:t>.</w:t>
      </w:r>
    </w:p>
    <w:p w:rsidR="00A23C2D" w:rsidRPr="003026F4" w:rsidRDefault="00A23C2D" w:rsidP="00A23C2D">
      <w:pPr>
        <w:spacing w:after="0"/>
        <w:jc w:val="both"/>
        <w:rPr>
          <w:rFonts w:ascii="Times New Roman" w:hAnsi="Times New Roman"/>
          <w:color w:val="000000" w:themeColor="text1"/>
          <w:sz w:val="24"/>
          <w:szCs w:val="24"/>
        </w:rPr>
      </w:pPr>
    </w:p>
    <w:p w:rsidR="00A23C2D" w:rsidRPr="003026F4" w:rsidRDefault="00A23C2D" w:rsidP="00A23C2D">
      <w:pPr>
        <w:spacing w:after="0"/>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 xml:space="preserve">Faza e konsultimit më publikun bëhet përmes metodave të ndryshme, përfshirë Platformën Elektronike për konsultimet publike dhe takime </w:t>
      </w:r>
      <w:proofErr w:type="spellStart"/>
      <w:r w:rsidRPr="003026F4">
        <w:rPr>
          <w:rFonts w:ascii="Times New Roman" w:hAnsi="Times New Roman"/>
          <w:color w:val="000000" w:themeColor="text1"/>
          <w:sz w:val="24"/>
          <w:szCs w:val="24"/>
        </w:rPr>
        <w:t>direkte</w:t>
      </w:r>
      <w:proofErr w:type="spellEnd"/>
      <w:r w:rsidRPr="003026F4">
        <w:rPr>
          <w:rFonts w:ascii="Times New Roman" w:hAnsi="Times New Roman"/>
          <w:color w:val="000000" w:themeColor="text1"/>
          <w:sz w:val="24"/>
          <w:szCs w:val="24"/>
        </w:rPr>
        <w:t xml:space="preserve"> më palë të interesit, </w:t>
      </w:r>
      <w:r w:rsidR="00627B2C" w:rsidRPr="003026F4">
        <w:rPr>
          <w:rFonts w:ascii="Times New Roman" w:hAnsi="Times New Roman"/>
          <w:color w:val="000000" w:themeColor="text1"/>
          <w:sz w:val="24"/>
          <w:szCs w:val="24"/>
        </w:rPr>
        <w:t>ku do të përfshihen</w:t>
      </w:r>
      <w:r w:rsidRPr="003026F4">
        <w:rPr>
          <w:rFonts w:ascii="Times New Roman" w:hAnsi="Times New Roman"/>
          <w:color w:val="000000" w:themeColor="text1"/>
          <w:sz w:val="24"/>
          <w:szCs w:val="24"/>
        </w:rPr>
        <w:t xml:space="preserve"> të gjitha institucionet, organizatat e shoqërisë civile dhe të gjitha kategoritë e </w:t>
      </w:r>
      <w:r w:rsidR="00004DA0" w:rsidRPr="003026F4">
        <w:rPr>
          <w:rFonts w:ascii="Times New Roman" w:hAnsi="Times New Roman"/>
          <w:color w:val="000000" w:themeColor="text1"/>
          <w:sz w:val="24"/>
          <w:szCs w:val="24"/>
        </w:rPr>
        <w:t>shoqërisë</w:t>
      </w:r>
      <w:r w:rsidRPr="003026F4">
        <w:rPr>
          <w:rFonts w:ascii="Times New Roman" w:hAnsi="Times New Roman"/>
          <w:color w:val="000000" w:themeColor="text1"/>
          <w:sz w:val="24"/>
          <w:szCs w:val="24"/>
        </w:rPr>
        <w:t xml:space="preserve"> të cilët mund të japin kontributin e tyre për shqyrtimin dhe avancimin e legjislacionit në</w:t>
      </w:r>
      <w:r w:rsidR="00627B2C" w:rsidRPr="003026F4">
        <w:rPr>
          <w:rFonts w:ascii="Times New Roman" w:hAnsi="Times New Roman"/>
          <w:color w:val="000000" w:themeColor="text1"/>
          <w:sz w:val="24"/>
          <w:szCs w:val="24"/>
        </w:rPr>
        <w:t xml:space="preserve"> fushën e </w:t>
      </w:r>
      <w:r w:rsidR="00F64013">
        <w:rPr>
          <w:rFonts w:ascii="Times New Roman" w:hAnsi="Times New Roman"/>
          <w:color w:val="000000" w:themeColor="text1"/>
          <w:sz w:val="24"/>
          <w:szCs w:val="24"/>
        </w:rPr>
        <w:t>noterisë</w:t>
      </w:r>
      <w:r w:rsidR="00627B2C" w:rsidRPr="003026F4">
        <w:rPr>
          <w:rFonts w:ascii="Times New Roman" w:hAnsi="Times New Roman"/>
          <w:color w:val="000000" w:themeColor="text1"/>
          <w:sz w:val="24"/>
          <w:szCs w:val="24"/>
        </w:rPr>
        <w:t>.</w:t>
      </w:r>
    </w:p>
    <w:p w:rsidR="00A23C2D" w:rsidRPr="003026F4" w:rsidRDefault="00A23C2D" w:rsidP="00A23C2D">
      <w:pPr>
        <w:spacing w:after="0"/>
        <w:jc w:val="both"/>
        <w:rPr>
          <w:rFonts w:ascii="Times New Roman" w:hAnsi="Times New Roman"/>
          <w:color w:val="000000" w:themeColor="text1"/>
          <w:sz w:val="24"/>
          <w:szCs w:val="24"/>
        </w:rPr>
      </w:pPr>
    </w:p>
    <w:p w:rsidR="00A23C2D" w:rsidRPr="003026F4" w:rsidRDefault="00A23C2D" w:rsidP="00A23C2D">
      <w:pPr>
        <w:spacing w:after="0"/>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 xml:space="preserve">Kontribut të rëndësishëm mund të japin edhe organizatat ndërkombëtare në Kosovë dhe ekspertët e projekteve të ndryshme të asistencës teknike në institucionet e Republikës së Kosovës.  </w:t>
      </w:r>
    </w:p>
    <w:p w:rsidR="00627B2C" w:rsidRPr="003026F4" w:rsidRDefault="00627B2C" w:rsidP="00A23C2D">
      <w:pPr>
        <w:spacing w:after="0"/>
        <w:jc w:val="both"/>
        <w:rPr>
          <w:rFonts w:ascii="Times New Roman" w:hAnsi="Times New Roman"/>
          <w:color w:val="000000" w:themeColor="text1"/>
          <w:sz w:val="24"/>
          <w:szCs w:val="24"/>
        </w:rPr>
      </w:pPr>
    </w:p>
    <w:p w:rsidR="00631E0E" w:rsidRPr="003026F4" w:rsidRDefault="00631E0E" w:rsidP="00631E0E">
      <w:pPr>
        <w:spacing w:after="0" w:line="240" w:lineRule="auto"/>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Ministria e Drejtësisë është e përkushtuar që të krijoj hapësirë të nevojshme dhe të mjaftueshme për konsult</w:t>
      </w:r>
      <w:r w:rsidR="00662CDB" w:rsidRPr="003026F4">
        <w:rPr>
          <w:rFonts w:ascii="Times New Roman" w:hAnsi="Times New Roman"/>
          <w:color w:val="000000" w:themeColor="text1"/>
          <w:sz w:val="24"/>
          <w:szCs w:val="24"/>
        </w:rPr>
        <w:t>im</w:t>
      </w:r>
      <w:r w:rsidR="007544C5" w:rsidRPr="003026F4">
        <w:rPr>
          <w:rFonts w:ascii="Times New Roman" w:hAnsi="Times New Roman"/>
          <w:color w:val="000000" w:themeColor="text1"/>
          <w:sz w:val="24"/>
          <w:szCs w:val="24"/>
        </w:rPr>
        <w:t>e</w:t>
      </w:r>
      <w:r w:rsidR="00662CDB" w:rsidRPr="003026F4">
        <w:rPr>
          <w:rFonts w:ascii="Times New Roman" w:hAnsi="Times New Roman"/>
          <w:color w:val="000000" w:themeColor="text1"/>
          <w:sz w:val="24"/>
          <w:szCs w:val="24"/>
        </w:rPr>
        <w:t xml:space="preserve"> publik</w:t>
      </w:r>
      <w:r w:rsidR="007544C5" w:rsidRPr="003026F4">
        <w:rPr>
          <w:rFonts w:ascii="Times New Roman" w:hAnsi="Times New Roman"/>
          <w:color w:val="000000" w:themeColor="text1"/>
          <w:sz w:val="24"/>
          <w:szCs w:val="24"/>
        </w:rPr>
        <w:t>e</w:t>
      </w:r>
      <w:r w:rsidR="00662CDB" w:rsidRPr="003026F4">
        <w:rPr>
          <w:rFonts w:ascii="Times New Roman" w:hAnsi="Times New Roman"/>
          <w:color w:val="000000" w:themeColor="text1"/>
          <w:sz w:val="24"/>
          <w:szCs w:val="24"/>
        </w:rPr>
        <w:t>, gjithsesi në periudha</w:t>
      </w:r>
      <w:r w:rsidRPr="003026F4">
        <w:rPr>
          <w:rFonts w:ascii="Times New Roman" w:hAnsi="Times New Roman"/>
          <w:color w:val="000000" w:themeColor="text1"/>
          <w:sz w:val="24"/>
          <w:szCs w:val="24"/>
        </w:rPr>
        <w:t xml:space="preserve"> të ndryshme, va</w:t>
      </w:r>
      <w:r w:rsidR="00627B2C" w:rsidRPr="003026F4">
        <w:rPr>
          <w:rFonts w:ascii="Times New Roman" w:hAnsi="Times New Roman"/>
          <w:color w:val="000000" w:themeColor="text1"/>
          <w:sz w:val="24"/>
          <w:szCs w:val="24"/>
        </w:rPr>
        <w:t>rësisht prej fazës së procesit.</w:t>
      </w:r>
    </w:p>
    <w:p w:rsidR="00A61766" w:rsidRPr="003026F4" w:rsidRDefault="00A61766" w:rsidP="00A61766">
      <w:pPr>
        <w:spacing w:after="0" w:line="240" w:lineRule="auto"/>
        <w:jc w:val="both"/>
        <w:rPr>
          <w:rFonts w:ascii="Times New Roman" w:hAnsi="Times New Roman"/>
          <w:color w:val="000000" w:themeColor="text1"/>
          <w:sz w:val="24"/>
          <w:szCs w:val="24"/>
        </w:rPr>
      </w:pPr>
    </w:p>
    <w:p w:rsidR="00A61766" w:rsidRPr="003026F4" w:rsidRDefault="00A61766" w:rsidP="00A61766">
      <w:pPr>
        <w:autoSpaceDE w:val="0"/>
        <w:autoSpaceDN w:val="0"/>
        <w:adjustRightInd w:val="0"/>
        <w:spacing w:line="240" w:lineRule="auto"/>
        <w:jc w:val="both"/>
        <w:outlineLvl w:val="0"/>
        <w:rPr>
          <w:rFonts w:ascii="Times New Roman" w:hAnsi="Times New Roman"/>
          <w:b/>
          <w:color w:val="000000" w:themeColor="text1"/>
          <w:sz w:val="24"/>
          <w:szCs w:val="24"/>
          <w:u w:val="single"/>
        </w:rPr>
      </w:pPr>
      <w:r w:rsidRPr="003026F4">
        <w:rPr>
          <w:rFonts w:ascii="Times New Roman" w:hAnsi="Times New Roman"/>
          <w:b/>
          <w:color w:val="000000" w:themeColor="text1"/>
          <w:sz w:val="24"/>
          <w:szCs w:val="24"/>
          <w:u w:val="single"/>
        </w:rPr>
        <w:t xml:space="preserve">Temat e konsultimit dhe shqyrtimi i </w:t>
      </w:r>
      <w:r w:rsidR="00E9009E" w:rsidRPr="003026F4">
        <w:rPr>
          <w:rFonts w:ascii="Times New Roman" w:hAnsi="Times New Roman"/>
          <w:b/>
          <w:color w:val="000000" w:themeColor="text1"/>
          <w:sz w:val="24"/>
          <w:szCs w:val="24"/>
          <w:u w:val="single"/>
        </w:rPr>
        <w:t>opsioneve</w:t>
      </w:r>
    </w:p>
    <w:p w:rsidR="00A61766" w:rsidRPr="003026F4" w:rsidRDefault="00A61766" w:rsidP="00A61766">
      <w:pPr>
        <w:spacing w:line="240" w:lineRule="auto"/>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 xml:space="preserve">Komentet dhe rekomandimet për </w:t>
      </w:r>
      <w:r w:rsidR="000C06CD" w:rsidRPr="003026F4">
        <w:rPr>
          <w:rFonts w:ascii="Times New Roman" w:hAnsi="Times New Roman"/>
          <w:color w:val="000000" w:themeColor="text1"/>
          <w:sz w:val="24"/>
          <w:szCs w:val="24"/>
        </w:rPr>
        <w:t>Draft Udhëzimit Administrativ MD-NR. XX/202</w:t>
      </w:r>
      <w:r w:rsidR="00DA5301">
        <w:rPr>
          <w:rFonts w:ascii="Times New Roman" w:hAnsi="Times New Roman"/>
          <w:color w:val="000000" w:themeColor="text1"/>
          <w:sz w:val="24"/>
          <w:szCs w:val="24"/>
        </w:rPr>
        <w:t>2</w:t>
      </w:r>
      <w:r w:rsidR="000C06CD" w:rsidRPr="003026F4">
        <w:rPr>
          <w:rFonts w:ascii="Times New Roman" w:hAnsi="Times New Roman"/>
          <w:color w:val="000000" w:themeColor="text1"/>
          <w:sz w:val="24"/>
          <w:szCs w:val="24"/>
        </w:rPr>
        <w:t xml:space="preserve"> për </w:t>
      </w:r>
      <w:r w:rsidR="00DA5301" w:rsidRPr="00DA5301">
        <w:rPr>
          <w:rFonts w:ascii="Times New Roman" w:hAnsi="Times New Roman"/>
          <w:sz w:val="24"/>
        </w:rPr>
        <w:t>evidencën për personat që kanë dhënë provimin për noteri</w:t>
      </w:r>
      <w:r w:rsidR="00627B2C" w:rsidRPr="003026F4">
        <w:rPr>
          <w:rFonts w:ascii="Times New Roman" w:hAnsi="Times New Roman"/>
          <w:color w:val="000000" w:themeColor="text1"/>
          <w:sz w:val="24"/>
          <w:szCs w:val="24"/>
        </w:rPr>
        <w:t>,</w:t>
      </w:r>
      <w:r w:rsidRPr="003026F4">
        <w:rPr>
          <w:rFonts w:ascii="Times New Roman" w:hAnsi="Times New Roman"/>
          <w:color w:val="000000" w:themeColor="text1"/>
          <w:sz w:val="24"/>
          <w:szCs w:val="24"/>
        </w:rPr>
        <w:t xml:space="preserve"> mund të jepen për secilën çësh</w:t>
      </w:r>
      <w:r w:rsidR="00D043B7" w:rsidRPr="003026F4">
        <w:rPr>
          <w:rFonts w:ascii="Times New Roman" w:hAnsi="Times New Roman"/>
          <w:color w:val="000000" w:themeColor="text1"/>
          <w:sz w:val="24"/>
          <w:szCs w:val="24"/>
        </w:rPr>
        <w:t>tje të përfshirë në këtë Draft</w:t>
      </w:r>
      <w:r w:rsidRPr="003026F4">
        <w:rPr>
          <w:rFonts w:ascii="Times New Roman" w:hAnsi="Times New Roman"/>
          <w:color w:val="000000" w:themeColor="text1"/>
          <w:sz w:val="24"/>
          <w:szCs w:val="24"/>
        </w:rPr>
        <w:t xml:space="preserve"> Udhëzim Administrativ përmes Platformës Elektronike për konsultimet publike në pjesën ku ofrohen komentet e përgjithshme dhe specifike.  </w:t>
      </w:r>
    </w:p>
    <w:p w:rsidR="00A61766" w:rsidRPr="003026F4" w:rsidRDefault="00A61766" w:rsidP="00A61766">
      <w:pPr>
        <w:autoSpaceDE w:val="0"/>
        <w:autoSpaceDN w:val="0"/>
        <w:adjustRightInd w:val="0"/>
        <w:spacing w:line="240" w:lineRule="auto"/>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 xml:space="preserve">Komentet dhe kontributet mund të paraqiten më poshtë në përmbledhjen e opsioneve të shqyrtuara të cilat mund të orientojnë palët e interesit dhe kanë për qëllim të lehtësojnë procesin e konsultimit dhe identifikimin e çështjeve më kryesore për t’u komentuar.  </w:t>
      </w:r>
    </w:p>
    <w:p w:rsidR="00A61766" w:rsidRPr="003026F4" w:rsidRDefault="00A61766" w:rsidP="00A61766">
      <w:pPr>
        <w:rPr>
          <w:rFonts w:ascii="Times New Roman" w:hAnsi="Times New Roman"/>
          <w:color w:val="000000" w:themeColor="text1"/>
          <w:sz w:val="24"/>
          <w:szCs w:val="24"/>
        </w:rPr>
      </w:pPr>
    </w:p>
    <w:p w:rsidR="00A61766" w:rsidRPr="003026F4" w:rsidRDefault="00A61766" w:rsidP="00A61766">
      <w:pPr>
        <w:autoSpaceDE w:val="0"/>
        <w:autoSpaceDN w:val="0"/>
        <w:adjustRightInd w:val="0"/>
        <w:spacing w:line="240" w:lineRule="auto"/>
        <w:rPr>
          <w:rFonts w:ascii="Times New Roman" w:hAnsi="Times New Roman"/>
          <w:b/>
          <w:color w:val="000000" w:themeColor="text1"/>
          <w:sz w:val="24"/>
          <w:szCs w:val="24"/>
        </w:rPr>
        <w:sectPr w:rsidR="00A61766" w:rsidRPr="003026F4" w:rsidSect="00B93A88">
          <w:headerReference w:type="default" r:id="rId8"/>
          <w:footerReference w:type="even" r:id="rId9"/>
          <w:footerReference w:type="default" r:id="rId10"/>
          <w:pgSz w:w="11906" w:h="16838"/>
          <w:pgMar w:top="810" w:right="1440" w:bottom="720" w:left="1440" w:header="708" w:footer="708" w:gutter="0"/>
          <w:pgNumType w:start="1" w:chapStyle="1"/>
          <w:cols w:space="708"/>
          <w:docGrid w:linePitch="360"/>
        </w:sectPr>
      </w:pPr>
    </w:p>
    <w:tbl>
      <w:tblPr>
        <w:tblW w:w="1550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3"/>
        <w:gridCol w:w="6007"/>
        <w:gridCol w:w="6480"/>
        <w:gridCol w:w="21"/>
      </w:tblGrid>
      <w:tr w:rsidR="003026F4" w:rsidRPr="003026F4" w:rsidTr="0043371F">
        <w:trPr>
          <w:trHeight w:val="350"/>
        </w:trPr>
        <w:tc>
          <w:tcPr>
            <w:tcW w:w="15501" w:type="dxa"/>
            <w:gridSpan w:val="4"/>
          </w:tcPr>
          <w:p w:rsidR="00A61766" w:rsidRPr="003026F4" w:rsidRDefault="00A61766" w:rsidP="0043371F">
            <w:pPr>
              <w:autoSpaceDE w:val="0"/>
              <w:autoSpaceDN w:val="0"/>
              <w:adjustRightInd w:val="0"/>
              <w:spacing w:after="0" w:line="240" w:lineRule="auto"/>
              <w:jc w:val="center"/>
              <w:rPr>
                <w:rFonts w:ascii="Times New Roman" w:hAnsi="Times New Roman"/>
                <w:b/>
                <w:color w:val="000000" w:themeColor="text1"/>
                <w:sz w:val="24"/>
                <w:szCs w:val="24"/>
              </w:rPr>
            </w:pPr>
          </w:p>
          <w:p w:rsidR="00A61766" w:rsidRPr="003026F4" w:rsidRDefault="00A61766" w:rsidP="0043371F">
            <w:pPr>
              <w:autoSpaceDE w:val="0"/>
              <w:autoSpaceDN w:val="0"/>
              <w:adjustRightInd w:val="0"/>
              <w:spacing w:after="0" w:line="240" w:lineRule="auto"/>
              <w:jc w:val="center"/>
              <w:rPr>
                <w:rFonts w:ascii="Times New Roman" w:hAnsi="Times New Roman"/>
                <w:b/>
                <w:color w:val="000000" w:themeColor="text1"/>
                <w:sz w:val="24"/>
                <w:szCs w:val="24"/>
              </w:rPr>
            </w:pPr>
            <w:r w:rsidRPr="003026F4">
              <w:rPr>
                <w:rFonts w:ascii="Times New Roman" w:hAnsi="Times New Roman"/>
                <w:b/>
                <w:color w:val="000000" w:themeColor="text1"/>
                <w:sz w:val="24"/>
                <w:szCs w:val="24"/>
              </w:rPr>
              <w:t xml:space="preserve">TEMAT E KONSULTIMIT </w:t>
            </w:r>
          </w:p>
          <w:p w:rsidR="00A61766" w:rsidRPr="003026F4" w:rsidRDefault="00A61766" w:rsidP="0043371F">
            <w:pPr>
              <w:spacing w:line="240" w:lineRule="auto"/>
              <w:jc w:val="center"/>
              <w:rPr>
                <w:rFonts w:ascii="Times New Roman" w:hAnsi="Times New Roman"/>
                <w:b/>
                <w:color w:val="000000" w:themeColor="text1"/>
                <w:sz w:val="24"/>
                <w:szCs w:val="24"/>
              </w:rPr>
            </w:pPr>
            <w:r w:rsidRPr="003026F4">
              <w:rPr>
                <w:rFonts w:ascii="Times New Roman" w:hAnsi="Times New Roman"/>
                <w:b/>
                <w:bCs/>
                <w:color w:val="000000" w:themeColor="text1"/>
                <w:sz w:val="24"/>
                <w:szCs w:val="24"/>
              </w:rPr>
              <w:t>Seksioni I: Të gjitha institucionet &amp; shoqëria civile &amp; publiku</w:t>
            </w:r>
          </w:p>
        </w:tc>
      </w:tr>
      <w:tr w:rsidR="003026F4" w:rsidRPr="003026F4" w:rsidTr="0043371F">
        <w:trPr>
          <w:gridAfter w:val="1"/>
          <w:wAfter w:w="21" w:type="dxa"/>
          <w:trHeight w:val="809"/>
        </w:trPr>
        <w:tc>
          <w:tcPr>
            <w:tcW w:w="2993" w:type="dxa"/>
          </w:tcPr>
          <w:p w:rsidR="00A61766" w:rsidRPr="003026F4" w:rsidRDefault="00A61766" w:rsidP="0043371F">
            <w:pPr>
              <w:spacing w:after="0" w:line="240" w:lineRule="auto"/>
              <w:jc w:val="center"/>
              <w:rPr>
                <w:rFonts w:ascii="Times New Roman" w:hAnsi="Times New Roman"/>
                <w:b/>
                <w:color w:val="000000" w:themeColor="text1"/>
                <w:sz w:val="24"/>
                <w:szCs w:val="24"/>
              </w:rPr>
            </w:pPr>
          </w:p>
          <w:p w:rsidR="00A61766" w:rsidRPr="003026F4" w:rsidRDefault="00A61766" w:rsidP="0043371F">
            <w:pPr>
              <w:spacing w:after="0" w:line="240" w:lineRule="auto"/>
              <w:jc w:val="center"/>
              <w:rPr>
                <w:rFonts w:ascii="Times New Roman" w:hAnsi="Times New Roman"/>
                <w:b/>
                <w:color w:val="000000" w:themeColor="text1"/>
                <w:sz w:val="24"/>
                <w:szCs w:val="24"/>
              </w:rPr>
            </w:pPr>
            <w:r w:rsidRPr="003026F4">
              <w:rPr>
                <w:rFonts w:ascii="Times New Roman" w:hAnsi="Times New Roman"/>
                <w:b/>
                <w:color w:val="000000" w:themeColor="text1"/>
                <w:sz w:val="24"/>
                <w:szCs w:val="24"/>
              </w:rPr>
              <w:t>Temat e konsultimit</w:t>
            </w:r>
          </w:p>
        </w:tc>
        <w:tc>
          <w:tcPr>
            <w:tcW w:w="6007" w:type="dxa"/>
          </w:tcPr>
          <w:p w:rsidR="00A61766" w:rsidRPr="003026F4" w:rsidRDefault="00A61766" w:rsidP="0043371F">
            <w:pPr>
              <w:spacing w:after="0" w:line="240" w:lineRule="auto"/>
              <w:jc w:val="center"/>
              <w:rPr>
                <w:rFonts w:ascii="Times New Roman" w:hAnsi="Times New Roman"/>
                <w:b/>
                <w:color w:val="000000" w:themeColor="text1"/>
                <w:sz w:val="24"/>
                <w:szCs w:val="24"/>
              </w:rPr>
            </w:pPr>
          </w:p>
          <w:p w:rsidR="00A61766" w:rsidRPr="003026F4" w:rsidRDefault="00E9009E" w:rsidP="0043371F">
            <w:pPr>
              <w:spacing w:after="0" w:line="240" w:lineRule="auto"/>
              <w:jc w:val="center"/>
              <w:rPr>
                <w:rFonts w:ascii="Times New Roman" w:hAnsi="Times New Roman"/>
                <w:b/>
                <w:color w:val="000000" w:themeColor="text1"/>
                <w:sz w:val="24"/>
                <w:szCs w:val="24"/>
              </w:rPr>
            </w:pPr>
            <w:r w:rsidRPr="003026F4">
              <w:rPr>
                <w:rFonts w:ascii="Times New Roman" w:hAnsi="Times New Roman"/>
                <w:b/>
                <w:color w:val="000000" w:themeColor="text1"/>
                <w:sz w:val="24"/>
                <w:szCs w:val="24"/>
              </w:rPr>
              <w:t>Opsioni</w:t>
            </w:r>
          </w:p>
        </w:tc>
        <w:tc>
          <w:tcPr>
            <w:tcW w:w="6480" w:type="dxa"/>
          </w:tcPr>
          <w:p w:rsidR="0036596F" w:rsidRPr="003026F4" w:rsidRDefault="0036596F" w:rsidP="0036596F">
            <w:pPr>
              <w:tabs>
                <w:tab w:val="center" w:pos="1737"/>
              </w:tabs>
              <w:spacing w:after="0" w:line="240" w:lineRule="auto"/>
              <w:jc w:val="center"/>
              <w:rPr>
                <w:rFonts w:ascii="Times New Roman" w:hAnsi="Times New Roman"/>
                <w:b/>
                <w:color w:val="000000" w:themeColor="text1"/>
                <w:sz w:val="24"/>
                <w:szCs w:val="24"/>
              </w:rPr>
            </w:pPr>
          </w:p>
          <w:p w:rsidR="00A61766" w:rsidRPr="003026F4" w:rsidRDefault="0036596F" w:rsidP="0036596F">
            <w:pPr>
              <w:tabs>
                <w:tab w:val="center" w:pos="1737"/>
              </w:tabs>
              <w:spacing w:after="0" w:line="240" w:lineRule="auto"/>
              <w:jc w:val="center"/>
              <w:rPr>
                <w:rFonts w:ascii="Times New Roman" w:hAnsi="Times New Roman"/>
                <w:b/>
                <w:color w:val="000000" w:themeColor="text1"/>
                <w:sz w:val="24"/>
                <w:szCs w:val="24"/>
              </w:rPr>
            </w:pPr>
            <w:r w:rsidRPr="003026F4">
              <w:rPr>
                <w:rFonts w:ascii="Times New Roman" w:hAnsi="Times New Roman"/>
                <w:b/>
                <w:color w:val="000000" w:themeColor="text1"/>
                <w:sz w:val="24"/>
                <w:szCs w:val="24"/>
              </w:rPr>
              <w:t>Komente</w:t>
            </w:r>
          </w:p>
        </w:tc>
      </w:tr>
      <w:tr w:rsidR="003026F4" w:rsidRPr="003026F4" w:rsidTr="0043371F">
        <w:trPr>
          <w:gridAfter w:val="1"/>
          <w:wAfter w:w="21" w:type="dxa"/>
        </w:trPr>
        <w:tc>
          <w:tcPr>
            <w:tcW w:w="2993" w:type="dxa"/>
          </w:tcPr>
          <w:p w:rsidR="00DA5301" w:rsidRPr="00B61555" w:rsidRDefault="00DA5301" w:rsidP="00DA5301">
            <w:pPr>
              <w:pStyle w:val="Default"/>
              <w:jc w:val="center"/>
              <w:rPr>
                <w:b/>
                <w:lang w:val="sq-AL"/>
              </w:rPr>
            </w:pPr>
            <w:r w:rsidRPr="00B61555">
              <w:rPr>
                <w:b/>
                <w:lang w:val="sq-AL"/>
              </w:rPr>
              <w:t xml:space="preserve">Neni 3 </w:t>
            </w:r>
          </w:p>
          <w:p w:rsidR="00DA5301" w:rsidRPr="00B61555" w:rsidRDefault="00DA5301" w:rsidP="00DA5301">
            <w:pPr>
              <w:pStyle w:val="Default"/>
              <w:jc w:val="center"/>
              <w:rPr>
                <w:b/>
                <w:lang w:val="sq-AL"/>
              </w:rPr>
            </w:pPr>
            <w:r w:rsidRPr="00B61555">
              <w:rPr>
                <w:b/>
                <w:lang w:val="sq-AL"/>
              </w:rPr>
              <w:t xml:space="preserve">Mbajtja e evidencës </w:t>
            </w:r>
          </w:p>
          <w:p w:rsidR="00A61766" w:rsidRPr="003026F4" w:rsidRDefault="00A61766" w:rsidP="00345858">
            <w:pPr>
              <w:spacing w:line="240" w:lineRule="auto"/>
              <w:rPr>
                <w:rFonts w:ascii="Times New Roman" w:hAnsi="Times New Roman"/>
                <w:b/>
                <w:color w:val="000000" w:themeColor="text1"/>
                <w:sz w:val="24"/>
                <w:szCs w:val="24"/>
              </w:rPr>
            </w:pPr>
          </w:p>
        </w:tc>
        <w:tc>
          <w:tcPr>
            <w:tcW w:w="6007" w:type="dxa"/>
          </w:tcPr>
          <w:p w:rsidR="00DA5301" w:rsidRPr="00B61555" w:rsidRDefault="00DA5301" w:rsidP="00DA5301">
            <w:pPr>
              <w:pStyle w:val="Default"/>
              <w:numPr>
                <w:ilvl w:val="0"/>
                <w:numId w:val="3"/>
              </w:numPr>
              <w:tabs>
                <w:tab w:val="left" w:pos="240"/>
              </w:tabs>
              <w:ind w:left="0" w:firstLine="0"/>
              <w:jc w:val="both"/>
              <w:rPr>
                <w:lang w:val="sq-AL"/>
              </w:rPr>
            </w:pPr>
            <w:r w:rsidRPr="00B61555">
              <w:rPr>
                <w:lang w:val="sq-AL"/>
              </w:rPr>
              <w:t xml:space="preserve">Ministria e Drejtësisë mban evidence/regjistër manual ose elektronik për  të gjithë personat që kanë dhënë provimin për noterinë. </w:t>
            </w:r>
          </w:p>
          <w:p w:rsidR="00DA5301" w:rsidRPr="00B61555" w:rsidRDefault="00DA5301" w:rsidP="00DA5301">
            <w:pPr>
              <w:pStyle w:val="Default"/>
              <w:tabs>
                <w:tab w:val="left" w:pos="240"/>
              </w:tabs>
              <w:jc w:val="both"/>
              <w:rPr>
                <w:lang w:val="sq-AL"/>
              </w:rPr>
            </w:pPr>
          </w:p>
          <w:p w:rsidR="00DA5301" w:rsidRPr="00B61555" w:rsidRDefault="00DA5301" w:rsidP="00DA5301">
            <w:pPr>
              <w:pStyle w:val="Default"/>
              <w:numPr>
                <w:ilvl w:val="0"/>
                <w:numId w:val="3"/>
              </w:numPr>
              <w:tabs>
                <w:tab w:val="left" w:pos="240"/>
              </w:tabs>
              <w:ind w:left="0" w:firstLine="0"/>
              <w:jc w:val="both"/>
              <w:rPr>
                <w:lang w:val="sq-AL"/>
              </w:rPr>
            </w:pPr>
            <w:r w:rsidRPr="00B61555">
              <w:rPr>
                <w:lang w:val="sq-AL"/>
              </w:rPr>
              <w:t xml:space="preserve">Regjistri nga paragrafi 1 i këtij neni mund të përdoret për një ose me shumë vite kalendarike. </w:t>
            </w:r>
          </w:p>
          <w:p w:rsidR="00DA5301" w:rsidRPr="00B61555" w:rsidRDefault="00DA5301" w:rsidP="00DA5301">
            <w:pPr>
              <w:pStyle w:val="Default"/>
              <w:tabs>
                <w:tab w:val="left" w:pos="240"/>
              </w:tabs>
              <w:jc w:val="both"/>
              <w:rPr>
                <w:lang w:val="sq-AL"/>
              </w:rPr>
            </w:pPr>
          </w:p>
          <w:p w:rsidR="00DA5301" w:rsidRPr="00B61555" w:rsidRDefault="00DA5301" w:rsidP="00DA5301">
            <w:pPr>
              <w:pStyle w:val="Default"/>
              <w:numPr>
                <w:ilvl w:val="0"/>
                <w:numId w:val="3"/>
              </w:numPr>
              <w:tabs>
                <w:tab w:val="left" w:pos="240"/>
              </w:tabs>
              <w:ind w:left="0" w:firstLine="0"/>
              <w:jc w:val="both"/>
              <w:rPr>
                <w:lang w:val="sq-AL"/>
              </w:rPr>
            </w:pPr>
            <w:r w:rsidRPr="00B61555">
              <w:rPr>
                <w:lang w:val="sq-AL"/>
              </w:rPr>
              <w:t xml:space="preserve">Regjistri duhet të mbahet ndarazi për secilin vit kalendarik dhe mbyllet ne ditën e fundit të punës të vitit përkatës. Në fund të vitit kalendarik, regjistri manual ose një kopje e shtypur e regjistrit elektronik të </w:t>
            </w:r>
            <w:proofErr w:type="spellStart"/>
            <w:r w:rsidRPr="00B61555">
              <w:rPr>
                <w:lang w:val="sq-AL"/>
              </w:rPr>
              <w:t>të</w:t>
            </w:r>
            <w:proofErr w:type="spellEnd"/>
            <w:r w:rsidRPr="00B61555">
              <w:rPr>
                <w:lang w:val="sq-AL"/>
              </w:rPr>
              <w:t xml:space="preserve"> dhënave vërtetohet nga Departamenti përkatës për Profesione të Lira në Ministrinë e Drejtësisë dhe arkivohet sipas dispozitave përkatëse ligjore.  </w:t>
            </w:r>
          </w:p>
          <w:p w:rsidR="00DA5301" w:rsidRPr="00B61555" w:rsidRDefault="00DA5301" w:rsidP="00DA5301">
            <w:pPr>
              <w:pStyle w:val="Default"/>
              <w:rPr>
                <w:lang w:val="sq-AL"/>
              </w:rPr>
            </w:pPr>
          </w:p>
          <w:p w:rsidR="00A86383" w:rsidRPr="003026F4" w:rsidRDefault="00A86383" w:rsidP="008C7A5B">
            <w:pPr>
              <w:pStyle w:val="NoSpacing"/>
              <w:jc w:val="both"/>
              <w:rPr>
                <w:rFonts w:ascii="Book Antiqua" w:hAnsi="Book Antiqua" w:cstheme="minorHAnsi"/>
                <w:color w:val="000000" w:themeColor="text1"/>
                <w:lang w:val="sq-AL"/>
              </w:rPr>
            </w:pPr>
          </w:p>
        </w:tc>
        <w:tc>
          <w:tcPr>
            <w:tcW w:w="6480" w:type="dxa"/>
          </w:tcPr>
          <w:p w:rsidR="00A61766" w:rsidRPr="003026F4" w:rsidRDefault="00A61766" w:rsidP="00E9009E">
            <w:pPr>
              <w:tabs>
                <w:tab w:val="center" w:pos="1737"/>
              </w:tabs>
              <w:spacing w:line="240" w:lineRule="auto"/>
              <w:jc w:val="both"/>
              <w:rPr>
                <w:rFonts w:ascii="Times New Roman" w:hAnsi="Times New Roman"/>
                <w:bCs/>
                <w:color w:val="000000" w:themeColor="text1"/>
                <w:sz w:val="24"/>
                <w:szCs w:val="24"/>
              </w:rPr>
            </w:pPr>
          </w:p>
        </w:tc>
      </w:tr>
      <w:tr w:rsidR="003026F4" w:rsidRPr="003026F4" w:rsidTr="00DA5301">
        <w:trPr>
          <w:gridAfter w:val="1"/>
          <w:wAfter w:w="21" w:type="dxa"/>
          <w:trHeight w:val="4220"/>
        </w:trPr>
        <w:tc>
          <w:tcPr>
            <w:tcW w:w="2993" w:type="dxa"/>
            <w:shd w:val="clear" w:color="auto" w:fill="auto"/>
          </w:tcPr>
          <w:p w:rsidR="00DA5301" w:rsidRPr="00B61555" w:rsidRDefault="00DA5301" w:rsidP="00DA5301">
            <w:pPr>
              <w:pStyle w:val="Default"/>
              <w:jc w:val="center"/>
              <w:rPr>
                <w:b/>
                <w:lang w:val="sq-AL"/>
              </w:rPr>
            </w:pPr>
            <w:r w:rsidRPr="00B61555">
              <w:rPr>
                <w:b/>
                <w:lang w:val="sq-AL"/>
              </w:rPr>
              <w:lastRenderedPageBreak/>
              <w:t>Neni 4</w:t>
            </w:r>
          </w:p>
          <w:p w:rsidR="00DA5301" w:rsidRPr="00B61555" w:rsidRDefault="00DA5301" w:rsidP="00DA5301">
            <w:pPr>
              <w:pStyle w:val="Default"/>
              <w:jc w:val="center"/>
              <w:rPr>
                <w:b/>
                <w:lang w:val="sq-AL"/>
              </w:rPr>
            </w:pPr>
            <w:r w:rsidRPr="00B61555">
              <w:rPr>
                <w:b/>
                <w:lang w:val="sq-AL"/>
              </w:rPr>
              <w:t xml:space="preserve">Përmbajtja e Regjistrit </w:t>
            </w:r>
          </w:p>
          <w:p w:rsidR="00DA5301" w:rsidRPr="00B61555" w:rsidRDefault="00DA5301" w:rsidP="00DA5301">
            <w:pPr>
              <w:pStyle w:val="Default"/>
              <w:rPr>
                <w:b/>
                <w:lang w:val="sq-AL"/>
              </w:rPr>
            </w:pPr>
          </w:p>
          <w:p w:rsidR="00533E68" w:rsidRPr="003026F4" w:rsidRDefault="00533E68" w:rsidP="00E9009E">
            <w:pPr>
              <w:spacing w:after="0" w:line="240" w:lineRule="auto"/>
              <w:rPr>
                <w:rFonts w:ascii="Times New Roman" w:hAnsi="Times New Roman"/>
                <w:b/>
                <w:color w:val="000000" w:themeColor="text1"/>
                <w:sz w:val="24"/>
                <w:szCs w:val="24"/>
              </w:rPr>
            </w:pPr>
          </w:p>
          <w:p w:rsidR="00A61766" w:rsidRPr="003026F4" w:rsidRDefault="00A61766" w:rsidP="00741548">
            <w:pPr>
              <w:spacing w:after="0" w:line="240" w:lineRule="auto"/>
              <w:rPr>
                <w:rFonts w:ascii="Times New Roman" w:hAnsi="Times New Roman"/>
                <w:b/>
                <w:color w:val="000000" w:themeColor="text1"/>
                <w:sz w:val="24"/>
                <w:szCs w:val="24"/>
              </w:rPr>
            </w:pPr>
          </w:p>
        </w:tc>
        <w:tc>
          <w:tcPr>
            <w:tcW w:w="6007" w:type="dxa"/>
          </w:tcPr>
          <w:p w:rsidR="00DA5301" w:rsidRPr="00B61555" w:rsidRDefault="00DA5301" w:rsidP="00DA5301">
            <w:pPr>
              <w:pStyle w:val="Default"/>
              <w:jc w:val="both"/>
              <w:rPr>
                <w:lang w:val="sq-AL"/>
              </w:rPr>
            </w:pPr>
            <w:r w:rsidRPr="00B61555">
              <w:rPr>
                <w:lang w:val="sq-AL"/>
              </w:rPr>
              <w:t xml:space="preserve">1. Regjistri manual ose elektronik i te dhënave të personit që ka dhënë provimin për noterinë, duhet të përmbaj: </w:t>
            </w:r>
          </w:p>
          <w:p w:rsidR="00DA5301" w:rsidRPr="00B61555" w:rsidRDefault="00DA5301" w:rsidP="00DA5301">
            <w:pPr>
              <w:pStyle w:val="Default"/>
              <w:rPr>
                <w:lang w:val="sq-AL"/>
              </w:rPr>
            </w:pPr>
          </w:p>
          <w:p w:rsidR="00DA5301" w:rsidRPr="00B61555" w:rsidRDefault="00DA5301" w:rsidP="00DA5301">
            <w:pPr>
              <w:pStyle w:val="Default"/>
              <w:numPr>
                <w:ilvl w:val="1"/>
                <w:numId w:val="4"/>
              </w:numPr>
              <w:ind w:hanging="27"/>
              <w:jc w:val="both"/>
              <w:rPr>
                <w:lang w:val="sq-AL"/>
              </w:rPr>
            </w:pPr>
            <w:r w:rsidRPr="00B61555">
              <w:rPr>
                <w:lang w:val="sq-AL"/>
              </w:rPr>
              <w:t xml:space="preserve">Numrin e regjistrit dhe datën e regjistrimit; </w:t>
            </w:r>
          </w:p>
          <w:p w:rsidR="00DA5301" w:rsidRPr="00B61555" w:rsidRDefault="00DA5301" w:rsidP="00DA5301">
            <w:pPr>
              <w:pStyle w:val="Default"/>
              <w:ind w:left="360" w:hanging="27"/>
              <w:jc w:val="both"/>
              <w:rPr>
                <w:lang w:val="sq-AL"/>
              </w:rPr>
            </w:pPr>
          </w:p>
          <w:p w:rsidR="00DA5301" w:rsidRPr="00B61555" w:rsidRDefault="00DA5301" w:rsidP="00DA5301">
            <w:pPr>
              <w:pStyle w:val="Default"/>
              <w:numPr>
                <w:ilvl w:val="1"/>
                <w:numId w:val="4"/>
              </w:numPr>
              <w:ind w:hanging="27"/>
              <w:jc w:val="both"/>
              <w:rPr>
                <w:lang w:val="sq-AL"/>
              </w:rPr>
            </w:pPr>
            <w:r w:rsidRPr="00B61555">
              <w:rPr>
                <w:lang w:val="sq-AL"/>
              </w:rPr>
              <w:t xml:space="preserve">Emrin, emrin e prindit, mbiemrin dhe adresën e personit që ka dhënë provimin për noterinë; </w:t>
            </w:r>
          </w:p>
          <w:p w:rsidR="00DA5301" w:rsidRPr="00B61555" w:rsidRDefault="00DA5301" w:rsidP="00DA5301">
            <w:pPr>
              <w:pStyle w:val="Default"/>
              <w:ind w:hanging="27"/>
              <w:jc w:val="both"/>
              <w:rPr>
                <w:lang w:val="sq-AL"/>
              </w:rPr>
            </w:pPr>
          </w:p>
          <w:p w:rsidR="00DA5301" w:rsidRPr="00B61555" w:rsidRDefault="00DA5301" w:rsidP="00DA5301">
            <w:pPr>
              <w:pStyle w:val="Default"/>
              <w:numPr>
                <w:ilvl w:val="1"/>
                <w:numId w:val="4"/>
              </w:numPr>
              <w:ind w:hanging="27"/>
              <w:jc w:val="both"/>
              <w:rPr>
                <w:lang w:val="sq-AL"/>
              </w:rPr>
            </w:pPr>
            <w:r w:rsidRPr="00B61555">
              <w:rPr>
                <w:lang w:val="sq-AL"/>
              </w:rPr>
              <w:t>Datën dhe vendin e lindjes së personit që ka dhënë provimin;</w:t>
            </w:r>
          </w:p>
          <w:p w:rsidR="00DA5301" w:rsidRPr="00B61555" w:rsidRDefault="00DA5301" w:rsidP="00DA5301">
            <w:pPr>
              <w:pStyle w:val="Default"/>
              <w:ind w:hanging="27"/>
              <w:jc w:val="both"/>
              <w:rPr>
                <w:lang w:val="sq-AL"/>
              </w:rPr>
            </w:pPr>
            <w:r w:rsidRPr="00B61555">
              <w:rPr>
                <w:lang w:val="sq-AL"/>
              </w:rPr>
              <w:t xml:space="preserve"> </w:t>
            </w:r>
          </w:p>
          <w:p w:rsidR="00DA5301" w:rsidRPr="00B61555" w:rsidRDefault="00DA5301" w:rsidP="00DA5301">
            <w:pPr>
              <w:pStyle w:val="Default"/>
              <w:numPr>
                <w:ilvl w:val="1"/>
                <w:numId w:val="4"/>
              </w:numPr>
              <w:ind w:hanging="27"/>
              <w:jc w:val="both"/>
              <w:rPr>
                <w:lang w:val="sq-AL"/>
              </w:rPr>
            </w:pPr>
            <w:r w:rsidRPr="00B61555">
              <w:rPr>
                <w:lang w:val="sq-AL"/>
              </w:rPr>
              <w:t xml:space="preserve">Emrin e universitetit dhe datën e diplomimit; </w:t>
            </w:r>
          </w:p>
          <w:p w:rsidR="00DA5301" w:rsidRPr="00B61555" w:rsidRDefault="00DA5301" w:rsidP="00DA5301">
            <w:pPr>
              <w:pStyle w:val="Default"/>
              <w:ind w:hanging="27"/>
              <w:jc w:val="both"/>
              <w:rPr>
                <w:lang w:val="sq-AL"/>
              </w:rPr>
            </w:pPr>
          </w:p>
          <w:p w:rsidR="00DA5301" w:rsidRPr="00B61555" w:rsidRDefault="00DA5301" w:rsidP="00DA5301">
            <w:pPr>
              <w:pStyle w:val="Default"/>
              <w:numPr>
                <w:ilvl w:val="1"/>
                <w:numId w:val="4"/>
              </w:numPr>
              <w:ind w:hanging="27"/>
              <w:jc w:val="both"/>
              <w:rPr>
                <w:lang w:val="sq-AL"/>
              </w:rPr>
            </w:pPr>
            <w:r w:rsidRPr="00B61555">
              <w:rPr>
                <w:lang w:val="sq-AL"/>
              </w:rPr>
              <w:t xml:space="preserve">Datën e hyrjes në provimin për noterinë, datën e dhënies së provimit; </w:t>
            </w:r>
          </w:p>
          <w:p w:rsidR="00DA5301" w:rsidRPr="00B61555" w:rsidRDefault="00DA5301" w:rsidP="00DA5301">
            <w:pPr>
              <w:pStyle w:val="Default"/>
              <w:ind w:hanging="27"/>
              <w:jc w:val="both"/>
              <w:rPr>
                <w:lang w:val="sq-AL"/>
              </w:rPr>
            </w:pPr>
          </w:p>
          <w:p w:rsidR="00DA5301" w:rsidRPr="00B61555" w:rsidRDefault="00DA5301" w:rsidP="00DA5301">
            <w:pPr>
              <w:pStyle w:val="Default"/>
              <w:numPr>
                <w:ilvl w:val="1"/>
                <w:numId w:val="4"/>
              </w:numPr>
              <w:ind w:hanging="27"/>
              <w:jc w:val="both"/>
              <w:rPr>
                <w:lang w:val="sq-AL"/>
              </w:rPr>
            </w:pPr>
            <w:r w:rsidRPr="00B61555">
              <w:rPr>
                <w:lang w:val="sq-AL"/>
              </w:rPr>
              <w:t xml:space="preserve">Rezultatin e provimit të personit që ka dhënë provimin; si dhe </w:t>
            </w:r>
          </w:p>
          <w:p w:rsidR="00DA5301" w:rsidRPr="00B61555" w:rsidRDefault="00DA5301" w:rsidP="00DA5301">
            <w:pPr>
              <w:pStyle w:val="Default"/>
              <w:ind w:hanging="27"/>
              <w:jc w:val="both"/>
              <w:rPr>
                <w:lang w:val="sq-AL"/>
              </w:rPr>
            </w:pPr>
          </w:p>
          <w:p w:rsidR="00DA5301" w:rsidRPr="00B61555" w:rsidRDefault="00DA5301" w:rsidP="00DA5301">
            <w:pPr>
              <w:pStyle w:val="Default"/>
              <w:numPr>
                <w:ilvl w:val="1"/>
                <w:numId w:val="4"/>
              </w:numPr>
              <w:ind w:hanging="27"/>
              <w:jc w:val="both"/>
              <w:rPr>
                <w:lang w:val="sq-AL"/>
              </w:rPr>
            </w:pPr>
            <w:r w:rsidRPr="00B61555">
              <w:rPr>
                <w:lang w:val="sq-AL"/>
              </w:rPr>
              <w:t xml:space="preserve">Vërejtje </w:t>
            </w:r>
            <w:r w:rsidRPr="00B61555">
              <w:rPr>
                <w:color w:val="auto"/>
                <w:lang w:val="sq-AL"/>
              </w:rPr>
              <w:t>eventuale.</w:t>
            </w:r>
          </w:p>
          <w:p w:rsidR="00A61766" w:rsidRPr="003026F4" w:rsidRDefault="008C7A5B" w:rsidP="008C7A5B">
            <w:pPr>
              <w:pStyle w:val="TableParagraph"/>
              <w:tabs>
                <w:tab w:val="left" w:pos="889"/>
              </w:tabs>
              <w:spacing w:line="276" w:lineRule="auto"/>
              <w:ind w:left="0"/>
              <w:jc w:val="both"/>
              <w:rPr>
                <w:color w:val="000000" w:themeColor="text1"/>
                <w:sz w:val="24"/>
                <w:szCs w:val="24"/>
              </w:rPr>
            </w:pPr>
            <w:r w:rsidRPr="003026F4">
              <w:rPr>
                <w:color w:val="000000" w:themeColor="text1"/>
                <w:sz w:val="24"/>
                <w:szCs w:val="24"/>
                <w:lang w:val="sq-AL"/>
              </w:rPr>
              <w:t>.</w:t>
            </w:r>
          </w:p>
        </w:tc>
        <w:tc>
          <w:tcPr>
            <w:tcW w:w="6480" w:type="dxa"/>
          </w:tcPr>
          <w:p w:rsidR="00A61766" w:rsidRPr="003026F4" w:rsidRDefault="00A61766" w:rsidP="00E9009E">
            <w:pPr>
              <w:spacing w:after="0" w:line="240" w:lineRule="auto"/>
              <w:jc w:val="both"/>
              <w:rPr>
                <w:rFonts w:ascii="Times New Roman" w:hAnsi="Times New Roman"/>
                <w:bCs/>
                <w:color w:val="000000" w:themeColor="text1"/>
                <w:sz w:val="24"/>
                <w:szCs w:val="24"/>
              </w:rPr>
            </w:pPr>
          </w:p>
        </w:tc>
      </w:tr>
      <w:tr w:rsidR="003026F4" w:rsidRPr="003026F4" w:rsidTr="00240476">
        <w:trPr>
          <w:gridAfter w:val="1"/>
          <w:wAfter w:w="21" w:type="dxa"/>
          <w:trHeight w:val="4148"/>
        </w:trPr>
        <w:tc>
          <w:tcPr>
            <w:tcW w:w="2993" w:type="dxa"/>
          </w:tcPr>
          <w:p w:rsidR="00DA5301" w:rsidRPr="00B61555" w:rsidRDefault="00DA5301" w:rsidP="00DA5301">
            <w:pPr>
              <w:pStyle w:val="Default"/>
              <w:jc w:val="center"/>
              <w:rPr>
                <w:b/>
                <w:lang w:val="sq-AL"/>
              </w:rPr>
            </w:pPr>
            <w:r w:rsidRPr="00B61555">
              <w:rPr>
                <w:b/>
                <w:lang w:val="sq-AL"/>
              </w:rPr>
              <w:lastRenderedPageBreak/>
              <w:t xml:space="preserve">Neni 5 </w:t>
            </w:r>
          </w:p>
          <w:p w:rsidR="00DA5301" w:rsidRPr="00B61555" w:rsidRDefault="00DA5301" w:rsidP="00DA5301">
            <w:pPr>
              <w:pStyle w:val="Default"/>
              <w:jc w:val="center"/>
              <w:rPr>
                <w:b/>
                <w:lang w:val="sq-AL"/>
              </w:rPr>
            </w:pPr>
            <w:r w:rsidRPr="00B61555">
              <w:rPr>
                <w:b/>
                <w:lang w:val="sq-AL"/>
              </w:rPr>
              <w:t>Qasje në evidencë/regjistër</w:t>
            </w:r>
          </w:p>
          <w:p w:rsidR="00A61766" w:rsidRPr="003026F4" w:rsidRDefault="00A61766" w:rsidP="00345858">
            <w:pPr>
              <w:shd w:val="clear" w:color="auto" w:fill="FFFFFF"/>
              <w:tabs>
                <w:tab w:val="left" w:pos="270"/>
              </w:tabs>
              <w:spacing w:after="0" w:line="240" w:lineRule="auto"/>
              <w:jc w:val="both"/>
              <w:rPr>
                <w:rFonts w:ascii="Times New Roman" w:hAnsi="Times New Roman"/>
                <w:b/>
                <w:color w:val="000000" w:themeColor="text1"/>
                <w:sz w:val="24"/>
                <w:szCs w:val="24"/>
              </w:rPr>
            </w:pPr>
          </w:p>
        </w:tc>
        <w:tc>
          <w:tcPr>
            <w:tcW w:w="6007" w:type="dxa"/>
          </w:tcPr>
          <w:p w:rsidR="00DA5301" w:rsidRPr="00B61555" w:rsidRDefault="00DA5301" w:rsidP="00DA5301">
            <w:pPr>
              <w:pStyle w:val="Default"/>
              <w:jc w:val="both"/>
              <w:rPr>
                <w:lang w:val="sq-AL"/>
              </w:rPr>
            </w:pPr>
            <w:r w:rsidRPr="00B61555">
              <w:rPr>
                <w:lang w:val="sq-AL"/>
              </w:rPr>
              <w:t>Ministria e Drejtësisë në pajtim me legjislacionin në fuqi për qasje në dokumente publike do ju ofroj palëve të interesuar qasje në këtë regjistër, duke marr parasysh edhe legjislacionin në fuqi për mbrojtjen e të dhënave personale.</w:t>
            </w:r>
          </w:p>
          <w:p w:rsidR="00D61818" w:rsidRPr="003026F4" w:rsidRDefault="00D61818"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p w:rsidR="0036596F" w:rsidRPr="003026F4" w:rsidRDefault="0036596F" w:rsidP="0036596F">
            <w:pPr>
              <w:pStyle w:val="TableParagraph"/>
              <w:tabs>
                <w:tab w:val="left" w:pos="0"/>
                <w:tab w:val="left" w:pos="90"/>
              </w:tabs>
              <w:spacing w:line="276" w:lineRule="auto"/>
              <w:ind w:left="0"/>
              <w:rPr>
                <w:color w:val="000000" w:themeColor="text1"/>
                <w:sz w:val="24"/>
                <w:szCs w:val="24"/>
                <w:lang w:val="sq-AL"/>
              </w:rPr>
            </w:pPr>
          </w:p>
        </w:tc>
        <w:tc>
          <w:tcPr>
            <w:tcW w:w="6480" w:type="dxa"/>
          </w:tcPr>
          <w:p w:rsidR="00A61766" w:rsidRPr="003026F4" w:rsidRDefault="00A61766" w:rsidP="00E9009E">
            <w:pPr>
              <w:spacing w:after="0" w:line="240" w:lineRule="auto"/>
              <w:rPr>
                <w:rFonts w:ascii="Times New Roman" w:hAnsi="Times New Roman"/>
                <w:b/>
                <w:bCs/>
                <w:color w:val="000000" w:themeColor="text1"/>
                <w:sz w:val="24"/>
                <w:szCs w:val="24"/>
              </w:rPr>
            </w:pPr>
          </w:p>
        </w:tc>
      </w:tr>
    </w:tbl>
    <w:p w:rsidR="00A61766" w:rsidRPr="003026F4" w:rsidRDefault="00A61766" w:rsidP="00E9009E">
      <w:pPr>
        <w:autoSpaceDE w:val="0"/>
        <w:autoSpaceDN w:val="0"/>
        <w:adjustRightInd w:val="0"/>
        <w:spacing w:line="240" w:lineRule="auto"/>
        <w:jc w:val="both"/>
        <w:rPr>
          <w:rFonts w:ascii="Times New Roman" w:hAnsi="Times New Roman"/>
          <w:b/>
          <w:color w:val="000000" w:themeColor="text1"/>
          <w:sz w:val="24"/>
          <w:szCs w:val="24"/>
        </w:rPr>
        <w:sectPr w:rsidR="00A61766" w:rsidRPr="003026F4" w:rsidSect="00505978">
          <w:pgSz w:w="16840" w:h="11900" w:orient="landscape"/>
          <w:pgMar w:top="1440" w:right="1260" w:bottom="1440" w:left="1080" w:header="708" w:footer="708" w:gutter="0"/>
          <w:pgNumType w:chapStyle="1"/>
          <w:cols w:space="708"/>
          <w:docGrid w:linePitch="360"/>
        </w:sectPr>
      </w:pPr>
    </w:p>
    <w:p w:rsidR="00A61766" w:rsidRPr="003026F4" w:rsidRDefault="00A61766" w:rsidP="00E9009E">
      <w:pPr>
        <w:autoSpaceDE w:val="0"/>
        <w:autoSpaceDN w:val="0"/>
        <w:adjustRightInd w:val="0"/>
        <w:spacing w:line="240" w:lineRule="auto"/>
        <w:jc w:val="both"/>
        <w:outlineLvl w:val="0"/>
        <w:rPr>
          <w:rFonts w:ascii="Times New Roman" w:hAnsi="Times New Roman"/>
          <w:b/>
          <w:color w:val="000000" w:themeColor="text1"/>
          <w:sz w:val="24"/>
          <w:szCs w:val="24"/>
        </w:rPr>
      </w:pPr>
      <w:r w:rsidRPr="003026F4">
        <w:rPr>
          <w:rFonts w:ascii="Times New Roman" w:hAnsi="Times New Roman"/>
          <w:b/>
          <w:color w:val="000000" w:themeColor="text1"/>
          <w:sz w:val="24"/>
          <w:szCs w:val="24"/>
        </w:rPr>
        <w:lastRenderedPageBreak/>
        <w:t>Hapat që pasojnë procesi</w:t>
      </w:r>
      <w:r w:rsidR="00662CDB" w:rsidRPr="003026F4">
        <w:rPr>
          <w:rFonts w:ascii="Times New Roman" w:hAnsi="Times New Roman"/>
          <w:b/>
          <w:color w:val="000000" w:themeColor="text1"/>
          <w:sz w:val="24"/>
          <w:szCs w:val="24"/>
        </w:rPr>
        <w:t>n</w:t>
      </w:r>
      <w:r w:rsidRPr="003026F4">
        <w:rPr>
          <w:rFonts w:ascii="Times New Roman" w:hAnsi="Times New Roman"/>
          <w:b/>
          <w:color w:val="000000" w:themeColor="text1"/>
          <w:sz w:val="24"/>
          <w:szCs w:val="24"/>
        </w:rPr>
        <w:t xml:space="preserve"> e konsultimit</w:t>
      </w:r>
    </w:p>
    <w:p w:rsidR="00A61766" w:rsidRPr="003026F4" w:rsidRDefault="00A61766" w:rsidP="00E9009E">
      <w:pPr>
        <w:autoSpaceDE w:val="0"/>
        <w:autoSpaceDN w:val="0"/>
        <w:adjustRightInd w:val="0"/>
        <w:spacing w:line="240" w:lineRule="auto"/>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 xml:space="preserve">Pas finalizimit të procesit të konsultimit publik të këtij </w:t>
      </w:r>
      <w:r w:rsidR="00662CDB" w:rsidRPr="003026F4">
        <w:rPr>
          <w:rFonts w:ascii="Times New Roman" w:hAnsi="Times New Roman"/>
          <w:color w:val="000000" w:themeColor="text1"/>
          <w:sz w:val="24"/>
          <w:szCs w:val="24"/>
        </w:rPr>
        <w:t xml:space="preserve">Draft </w:t>
      </w:r>
      <w:r w:rsidRPr="003026F4">
        <w:rPr>
          <w:rFonts w:ascii="Times New Roman" w:hAnsi="Times New Roman"/>
          <w:color w:val="000000" w:themeColor="text1"/>
          <w:sz w:val="24"/>
          <w:szCs w:val="24"/>
        </w:rPr>
        <w:t>Udhëzimi Administr</w:t>
      </w:r>
      <w:r w:rsidR="00E9009E" w:rsidRPr="003026F4">
        <w:rPr>
          <w:rFonts w:ascii="Times New Roman" w:hAnsi="Times New Roman"/>
          <w:color w:val="000000" w:themeColor="text1"/>
          <w:sz w:val="24"/>
          <w:szCs w:val="24"/>
        </w:rPr>
        <w:t>ativ, komentet</w:t>
      </w:r>
      <w:r w:rsidRPr="003026F4">
        <w:rPr>
          <w:rFonts w:ascii="Times New Roman" w:hAnsi="Times New Roman"/>
          <w:color w:val="000000" w:themeColor="text1"/>
          <w:sz w:val="24"/>
          <w:szCs w:val="24"/>
        </w:rPr>
        <w:t xml:space="preserve"> e pranuara do të shqyrtohen me grupin punues. Si rezultat i pun</w:t>
      </w:r>
      <w:r w:rsidR="00E9009E" w:rsidRPr="003026F4">
        <w:rPr>
          <w:rFonts w:ascii="Times New Roman" w:hAnsi="Times New Roman"/>
          <w:color w:val="000000" w:themeColor="text1"/>
          <w:sz w:val="24"/>
          <w:szCs w:val="24"/>
        </w:rPr>
        <w:t>ës së shqyrtimit të komenteve</w:t>
      </w:r>
      <w:r w:rsidRPr="003026F4">
        <w:rPr>
          <w:rFonts w:ascii="Times New Roman" w:hAnsi="Times New Roman"/>
          <w:color w:val="000000" w:themeColor="text1"/>
          <w:sz w:val="24"/>
          <w:szCs w:val="24"/>
        </w:rPr>
        <w:t xml:space="preserve"> dhe rekomandimeve të konsultimit do të hartohet drafti i përmirësuar i Udhëzimit Administrativ. </w:t>
      </w:r>
    </w:p>
    <w:p w:rsidR="00A61766" w:rsidRPr="003026F4" w:rsidRDefault="00A61766" w:rsidP="00E9009E">
      <w:pPr>
        <w:autoSpaceDE w:val="0"/>
        <w:autoSpaceDN w:val="0"/>
        <w:adjustRightInd w:val="0"/>
        <w:spacing w:line="240" w:lineRule="auto"/>
        <w:jc w:val="both"/>
        <w:rPr>
          <w:rFonts w:ascii="Times New Roman" w:hAnsi="Times New Roman"/>
          <w:color w:val="000000" w:themeColor="text1"/>
          <w:sz w:val="24"/>
          <w:szCs w:val="24"/>
        </w:rPr>
      </w:pPr>
    </w:p>
    <w:p w:rsidR="00A61766" w:rsidRPr="003026F4" w:rsidRDefault="00A61766" w:rsidP="00E9009E">
      <w:pPr>
        <w:pStyle w:val="MediumShading2-Accent31"/>
        <w:spacing w:line="240" w:lineRule="auto"/>
        <w:outlineLvl w:val="0"/>
        <w:rPr>
          <w:rFonts w:ascii="Times New Roman" w:hAnsi="Times New Roman"/>
          <w:i w:val="0"/>
          <w:color w:val="000000" w:themeColor="text1"/>
          <w:sz w:val="24"/>
          <w:szCs w:val="24"/>
          <w:lang w:val="sq-AL"/>
        </w:rPr>
      </w:pPr>
      <w:r w:rsidRPr="003026F4">
        <w:rPr>
          <w:rFonts w:ascii="Times New Roman" w:hAnsi="Times New Roman"/>
          <w:i w:val="0"/>
          <w:color w:val="000000" w:themeColor="text1"/>
          <w:sz w:val="24"/>
          <w:szCs w:val="24"/>
          <w:lang w:val="sq-AL"/>
        </w:rPr>
        <w:t>Ku dhe si duhet t’i dërgoni kontributet tuaja me shkrim</w:t>
      </w:r>
    </w:p>
    <w:p w:rsidR="00A61766" w:rsidRPr="003026F4" w:rsidRDefault="00A61766" w:rsidP="00E9009E">
      <w:pPr>
        <w:spacing w:line="240" w:lineRule="auto"/>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Afati përfundimtar i dorëzimit të kontributit me shkrim në kuadër të procesi</w:t>
      </w:r>
      <w:r w:rsidR="00292702" w:rsidRPr="003026F4">
        <w:rPr>
          <w:rFonts w:ascii="Times New Roman" w:hAnsi="Times New Roman"/>
          <w:color w:val="000000" w:themeColor="text1"/>
          <w:sz w:val="24"/>
          <w:szCs w:val="24"/>
        </w:rPr>
        <w:t xml:space="preserve">t të konsultimit për </w:t>
      </w:r>
      <w:r w:rsidR="008C7A5B" w:rsidRPr="003026F4">
        <w:rPr>
          <w:rFonts w:ascii="Times New Roman" w:hAnsi="Times New Roman"/>
          <w:color w:val="000000" w:themeColor="text1"/>
          <w:sz w:val="24"/>
          <w:szCs w:val="24"/>
        </w:rPr>
        <w:t>Draft Udhëzimit Administrativ MD-NR. XX/202</w:t>
      </w:r>
      <w:r w:rsidR="00DA5301">
        <w:rPr>
          <w:rFonts w:ascii="Times New Roman" w:hAnsi="Times New Roman"/>
          <w:color w:val="000000" w:themeColor="text1"/>
          <w:sz w:val="24"/>
          <w:szCs w:val="24"/>
        </w:rPr>
        <w:t>2</w:t>
      </w:r>
      <w:r w:rsidR="008C7A5B" w:rsidRPr="003026F4">
        <w:rPr>
          <w:rFonts w:ascii="Times New Roman" w:hAnsi="Times New Roman"/>
          <w:color w:val="000000" w:themeColor="text1"/>
          <w:sz w:val="24"/>
          <w:szCs w:val="24"/>
        </w:rPr>
        <w:t xml:space="preserve"> </w:t>
      </w:r>
      <w:r w:rsidR="00F64013" w:rsidRPr="003026F4">
        <w:rPr>
          <w:rFonts w:ascii="Times New Roman" w:hAnsi="Times New Roman"/>
          <w:color w:val="000000" w:themeColor="text1"/>
          <w:sz w:val="24"/>
          <w:szCs w:val="24"/>
        </w:rPr>
        <w:t xml:space="preserve">për </w:t>
      </w:r>
      <w:r w:rsidR="00F64013" w:rsidRPr="00DA5301">
        <w:rPr>
          <w:rFonts w:ascii="Times New Roman" w:hAnsi="Times New Roman"/>
          <w:sz w:val="24"/>
        </w:rPr>
        <w:t>evidencën për personat që kanë dhënë provimin për noteri</w:t>
      </w:r>
      <w:r w:rsidR="00627B2C" w:rsidRPr="003026F4">
        <w:rPr>
          <w:rFonts w:ascii="Times New Roman" w:hAnsi="Times New Roman"/>
          <w:color w:val="000000" w:themeColor="text1"/>
          <w:sz w:val="24"/>
          <w:szCs w:val="24"/>
        </w:rPr>
        <w:t xml:space="preserve">, </w:t>
      </w:r>
      <w:r w:rsidRPr="003026F4">
        <w:rPr>
          <w:rFonts w:ascii="Times New Roman" w:hAnsi="Times New Roman"/>
          <w:color w:val="000000" w:themeColor="text1"/>
          <w:sz w:val="24"/>
          <w:szCs w:val="24"/>
        </w:rPr>
        <w:t xml:space="preserve">bëhet përmes platformës </w:t>
      </w:r>
      <w:r w:rsidR="00F65CA2" w:rsidRPr="003026F4">
        <w:rPr>
          <w:rFonts w:ascii="Times New Roman" w:hAnsi="Times New Roman"/>
          <w:color w:val="000000" w:themeColor="text1"/>
          <w:sz w:val="24"/>
          <w:szCs w:val="24"/>
        </w:rPr>
        <w:t>elektronike</w:t>
      </w:r>
      <w:r w:rsidRPr="003026F4">
        <w:rPr>
          <w:rFonts w:ascii="Times New Roman" w:hAnsi="Times New Roman"/>
          <w:color w:val="000000" w:themeColor="text1"/>
          <w:sz w:val="24"/>
          <w:szCs w:val="24"/>
        </w:rPr>
        <w:t xml:space="preserve"> të konsultimeve publike ose në e-</w:t>
      </w:r>
      <w:proofErr w:type="spellStart"/>
      <w:r w:rsidRPr="003026F4">
        <w:rPr>
          <w:rFonts w:ascii="Times New Roman" w:hAnsi="Times New Roman"/>
          <w:color w:val="000000" w:themeColor="text1"/>
          <w:sz w:val="24"/>
          <w:szCs w:val="24"/>
        </w:rPr>
        <w:t>mail</w:t>
      </w:r>
      <w:proofErr w:type="spellEnd"/>
      <w:r w:rsidR="00292702" w:rsidRPr="003026F4">
        <w:rPr>
          <w:rFonts w:ascii="Times New Roman" w:hAnsi="Times New Roman"/>
          <w:color w:val="000000" w:themeColor="text1"/>
          <w:sz w:val="24"/>
          <w:szCs w:val="24"/>
        </w:rPr>
        <w:t xml:space="preserve"> adresën: </w:t>
      </w:r>
      <w:hyperlink r:id="rId11" w:history="1">
        <w:r w:rsidR="00F64013" w:rsidRPr="00205CE4">
          <w:rPr>
            <w:rStyle w:val="Hyperlink"/>
            <w:rFonts w:ascii="Times New Roman" w:hAnsi="Times New Roman"/>
            <w:sz w:val="24"/>
            <w:szCs w:val="24"/>
          </w:rPr>
          <w:t>burbuqe.spahija@rks-gov.net</w:t>
        </w:r>
      </w:hyperlink>
      <w:r w:rsidR="008C7A5B" w:rsidRPr="003026F4">
        <w:rPr>
          <w:rFonts w:ascii="Times New Roman" w:hAnsi="Times New Roman"/>
          <w:color w:val="000000" w:themeColor="text1"/>
          <w:sz w:val="24"/>
          <w:szCs w:val="24"/>
        </w:rPr>
        <w:t xml:space="preserve"> </w:t>
      </w:r>
      <w:r w:rsidR="00292702" w:rsidRPr="003026F4">
        <w:rPr>
          <w:rFonts w:ascii="Times New Roman" w:hAnsi="Times New Roman"/>
          <w:color w:val="000000" w:themeColor="text1"/>
          <w:sz w:val="24"/>
          <w:szCs w:val="24"/>
        </w:rPr>
        <w:t xml:space="preserve"> </w:t>
      </w:r>
      <w:r w:rsidR="000E3177" w:rsidRPr="003026F4">
        <w:rPr>
          <w:rFonts w:ascii="Times New Roman" w:hAnsi="Times New Roman"/>
          <w:color w:val="000000" w:themeColor="text1"/>
          <w:sz w:val="24"/>
          <w:szCs w:val="24"/>
        </w:rPr>
        <w:t xml:space="preserve">jo më larg se deri me datën </w:t>
      </w:r>
      <w:r w:rsidR="00CA7814">
        <w:rPr>
          <w:rFonts w:ascii="Times New Roman" w:hAnsi="Times New Roman"/>
          <w:color w:val="000000" w:themeColor="text1"/>
          <w:sz w:val="24"/>
          <w:szCs w:val="24"/>
        </w:rPr>
        <w:t>30.05.2022</w:t>
      </w:r>
    </w:p>
    <w:p w:rsidR="00A61766" w:rsidRPr="003026F4" w:rsidRDefault="00A61766" w:rsidP="00E9009E">
      <w:pPr>
        <w:spacing w:line="240" w:lineRule="auto"/>
        <w:jc w:val="both"/>
        <w:rPr>
          <w:rFonts w:ascii="Times New Roman" w:hAnsi="Times New Roman"/>
          <w:color w:val="000000" w:themeColor="text1"/>
          <w:sz w:val="24"/>
          <w:szCs w:val="24"/>
        </w:rPr>
      </w:pPr>
    </w:p>
    <w:p w:rsidR="00A61766" w:rsidRPr="003026F4" w:rsidRDefault="00A61766" w:rsidP="00E9009E">
      <w:pPr>
        <w:spacing w:line="240" w:lineRule="auto"/>
        <w:jc w:val="both"/>
        <w:rPr>
          <w:rFonts w:ascii="Times New Roman" w:hAnsi="Times New Roman"/>
          <w:color w:val="000000" w:themeColor="text1"/>
          <w:sz w:val="24"/>
          <w:szCs w:val="24"/>
        </w:rPr>
      </w:pPr>
      <w:r w:rsidRPr="003026F4">
        <w:rPr>
          <w:rFonts w:ascii="Times New Roman" w:hAnsi="Times New Roman"/>
          <w:color w:val="000000" w:themeColor="text1"/>
          <w:sz w:val="24"/>
          <w:szCs w:val="24"/>
        </w:rPr>
        <w:tab/>
      </w:r>
    </w:p>
    <w:p w:rsidR="00A61766" w:rsidRPr="003026F4" w:rsidRDefault="00A61766" w:rsidP="00E9009E">
      <w:pPr>
        <w:spacing w:line="240" w:lineRule="auto"/>
        <w:rPr>
          <w:rFonts w:ascii="Times New Roman" w:hAnsi="Times New Roman"/>
          <w:color w:val="000000" w:themeColor="text1"/>
          <w:sz w:val="24"/>
          <w:szCs w:val="24"/>
        </w:rPr>
      </w:pPr>
      <w:bookmarkStart w:id="0" w:name="_GoBack"/>
      <w:bookmarkEnd w:id="0"/>
    </w:p>
    <w:p w:rsidR="009D3DF0" w:rsidRPr="003026F4" w:rsidRDefault="009D3DF0" w:rsidP="00E9009E">
      <w:pPr>
        <w:spacing w:line="240" w:lineRule="auto"/>
        <w:rPr>
          <w:rFonts w:ascii="Times New Roman" w:hAnsi="Times New Roman"/>
          <w:color w:val="000000" w:themeColor="text1"/>
          <w:sz w:val="24"/>
          <w:szCs w:val="24"/>
        </w:rPr>
      </w:pPr>
    </w:p>
    <w:sectPr w:rsidR="009D3DF0" w:rsidRPr="003026F4" w:rsidSect="005344F0">
      <w:pgSz w:w="11906" w:h="16838"/>
      <w:pgMar w:top="1080" w:right="1440" w:bottom="1260" w:left="1440" w:header="708" w:footer="708"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57" w:rsidRDefault="00644C57">
      <w:pPr>
        <w:spacing w:after="0" w:line="240" w:lineRule="auto"/>
      </w:pPr>
      <w:r>
        <w:separator/>
      </w:r>
    </w:p>
  </w:endnote>
  <w:endnote w:type="continuationSeparator" w:id="0">
    <w:p w:rsidR="00644C57" w:rsidRDefault="006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8B" w:rsidRDefault="00A61766" w:rsidP="003F21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88B" w:rsidRDefault="00644C57" w:rsidP="00CE62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8B" w:rsidRDefault="00644C57" w:rsidP="003F2144">
    <w:pPr>
      <w:pStyle w:val="Footer"/>
      <w:framePr w:wrap="around" w:vAnchor="text" w:hAnchor="margin" w:xAlign="center" w:y="1"/>
      <w:rPr>
        <w:rStyle w:val="PageNumber"/>
      </w:rPr>
    </w:pPr>
  </w:p>
  <w:p w:rsidR="005A5E87" w:rsidRDefault="00644C57" w:rsidP="003F2144">
    <w:pPr>
      <w:pStyle w:val="Footer"/>
      <w:framePr w:wrap="around" w:vAnchor="text" w:hAnchor="margin" w:xAlign="center" w:y="1"/>
      <w:rPr>
        <w:rStyle w:val="PageNumber"/>
      </w:rPr>
    </w:pPr>
  </w:p>
  <w:p w:rsidR="006C0BE2" w:rsidRDefault="00644C57" w:rsidP="006C0B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57" w:rsidRDefault="00644C57">
      <w:pPr>
        <w:spacing w:after="0" w:line="240" w:lineRule="auto"/>
      </w:pPr>
      <w:r>
        <w:separator/>
      </w:r>
    </w:p>
  </w:footnote>
  <w:footnote w:type="continuationSeparator" w:id="0">
    <w:p w:rsidR="00644C57" w:rsidRDefault="0064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88B" w:rsidRDefault="00644C57" w:rsidP="00CE6223">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32E0"/>
    <w:multiLevelType w:val="hybridMultilevel"/>
    <w:tmpl w:val="F0F8FBDE"/>
    <w:lvl w:ilvl="0" w:tplc="041C0001">
      <w:start w:val="1"/>
      <w:numFmt w:val="bullet"/>
      <w:lvlText w:val=""/>
      <w:lvlJc w:val="left"/>
      <w:pPr>
        <w:ind w:left="720" w:hanging="360"/>
      </w:pPr>
      <w:rPr>
        <w:rFonts w:ascii="Symbol" w:hAnsi="Symbol" w:hint="default"/>
      </w:rPr>
    </w:lvl>
    <w:lvl w:ilvl="1" w:tplc="3AD8D4F0">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4292D"/>
    <w:multiLevelType w:val="hybridMultilevel"/>
    <w:tmpl w:val="31EA3F5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668A0EF8"/>
    <w:multiLevelType w:val="hybridMultilevel"/>
    <w:tmpl w:val="3D4A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E700C2"/>
    <w:multiLevelType w:val="multilevel"/>
    <w:tmpl w:val="9F24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66"/>
    <w:rsid w:val="00004DA0"/>
    <w:rsid w:val="000265BD"/>
    <w:rsid w:val="00030EE1"/>
    <w:rsid w:val="00037A35"/>
    <w:rsid w:val="000B3A07"/>
    <w:rsid w:val="000C06CD"/>
    <w:rsid w:val="000D036B"/>
    <w:rsid w:val="000E3177"/>
    <w:rsid w:val="000F5679"/>
    <w:rsid w:val="00122597"/>
    <w:rsid w:val="001F7591"/>
    <w:rsid w:val="00233955"/>
    <w:rsid w:val="00240476"/>
    <w:rsid w:val="00254F04"/>
    <w:rsid w:val="00292702"/>
    <w:rsid w:val="002C395F"/>
    <w:rsid w:val="003026F4"/>
    <w:rsid w:val="003174D6"/>
    <w:rsid w:val="00345858"/>
    <w:rsid w:val="0036596F"/>
    <w:rsid w:val="004543F1"/>
    <w:rsid w:val="0049096E"/>
    <w:rsid w:val="00491E4F"/>
    <w:rsid w:val="0049432A"/>
    <w:rsid w:val="00533E68"/>
    <w:rsid w:val="0061385D"/>
    <w:rsid w:val="00627B2C"/>
    <w:rsid w:val="00631E0E"/>
    <w:rsid w:val="00644C57"/>
    <w:rsid w:val="00662CDB"/>
    <w:rsid w:val="00683D0F"/>
    <w:rsid w:val="00687CD0"/>
    <w:rsid w:val="00714CA6"/>
    <w:rsid w:val="00741548"/>
    <w:rsid w:val="007544C5"/>
    <w:rsid w:val="007C5D2B"/>
    <w:rsid w:val="00805A8A"/>
    <w:rsid w:val="0082768B"/>
    <w:rsid w:val="00866153"/>
    <w:rsid w:val="008C7A5B"/>
    <w:rsid w:val="009D3DF0"/>
    <w:rsid w:val="00A23C2D"/>
    <w:rsid w:val="00A468F2"/>
    <w:rsid w:val="00A57A29"/>
    <w:rsid w:val="00A61766"/>
    <w:rsid w:val="00A86383"/>
    <w:rsid w:val="00B534DB"/>
    <w:rsid w:val="00B90664"/>
    <w:rsid w:val="00C13C57"/>
    <w:rsid w:val="00C334EF"/>
    <w:rsid w:val="00CA7814"/>
    <w:rsid w:val="00CB41C8"/>
    <w:rsid w:val="00CC018A"/>
    <w:rsid w:val="00D043B7"/>
    <w:rsid w:val="00D067D8"/>
    <w:rsid w:val="00D41E30"/>
    <w:rsid w:val="00D61818"/>
    <w:rsid w:val="00D62505"/>
    <w:rsid w:val="00DA5301"/>
    <w:rsid w:val="00DC5C4B"/>
    <w:rsid w:val="00DF271A"/>
    <w:rsid w:val="00E33F53"/>
    <w:rsid w:val="00E9009E"/>
    <w:rsid w:val="00EA03FA"/>
    <w:rsid w:val="00EE6849"/>
    <w:rsid w:val="00EF1E7C"/>
    <w:rsid w:val="00F64013"/>
    <w:rsid w:val="00F65CA2"/>
    <w:rsid w:val="00F9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D9FA"/>
  <w15:docId w15:val="{361E832E-BCFC-4667-AAC7-90455900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66"/>
    <w:pPr>
      <w:spacing w:after="200" w:line="276" w:lineRule="auto"/>
    </w:pPr>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A61766"/>
    <w:pPr>
      <w:ind w:left="720"/>
      <w:contextualSpacing/>
    </w:pPr>
  </w:style>
  <w:style w:type="paragraph" w:styleId="Footer">
    <w:name w:val="footer"/>
    <w:basedOn w:val="Normal"/>
    <w:link w:val="FooterChar"/>
    <w:uiPriority w:val="99"/>
    <w:rsid w:val="00A61766"/>
    <w:pPr>
      <w:tabs>
        <w:tab w:val="center" w:pos="4320"/>
        <w:tab w:val="right" w:pos="8640"/>
      </w:tabs>
    </w:pPr>
    <w:rPr>
      <w:sz w:val="20"/>
      <w:szCs w:val="20"/>
      <w:lang w:val="x-none" w:eastAsia="x-none"/>
    </w:rPr>
  </w:style>
  <w:style w:type="character" w:customStyle="1" w:styleId="FooterChar">
    <w:name w:val="Footer Char"/>
    <w:basedOn w:val="DefaultParagraphFont"/>
    <w:link w:val="Footer"/>
    <w:uiPriority w:val="99"/>
    <w:rsid w:val="00A61766"/>
    <w:rPr>
      <w:rFonts w:ascii="Calibri" w:eastAsia="MS Mincho" w:hAnsi="Calibri" w:cs="Times New Roman"/>
      <w:sz w:val="20"/>
      <w:szCs w:val="20"/>
      <w:lang w:val="x-none" w:eastAsia="x-none"/>
    </w:rPr>
  </w:style>
  <w:style w:type="character" w:styleId="PageNumber">
    <w:name w:val="page number"/>
    <w:rsid w:val="00A61766"/>
  </w:style>
  <w:style w:type="paragraph" w:styleId="Title">
    <w:name w:val="Title"/>
    <w:basedOn w:val="Normal"/>
    <w:link w:val="TitleChar"/>
    <w:qFormat/>
    <w:rsid w:val="00A61766"/>
    <w:pPr>
      <w:spacing w:after="0" w:line="240" w:lineRule="auto"/>
      <w:jc w:val="center"/>
    </w:pPr>
    <w:rPr>
      <w:rFonts w:ascii="Times New Roman" w:hAnsi="Times New Roman"/>
      <w:b/>
      <w:bCs/>
      <w:sz w:val="24"/>
      <w:szCs w:val="24"/>
      <w:lang w:eastAsia="x-none"/>
    </w:rPr>
  </w:style>
  <w:style w:type="character" w:customStyle="1" w:styleId="TitleChar">
    <w:name w:val="Title Char"/>
    <w:basedOn w:val="DefaultParagraphFont"/>
    <w:link w:val="Title"/>
    <w:rsid w:val="00A61766"/>
    <w:rPr>
      <w:rFonts w:ascii="Times New Roman" w:eastAsia="MS Mincho" w:hAnsi="Times New Roman" w:cs="Times New Roman"/>
      <w:b/>
      <w:bCs/>
      <w:sz w:val="24"/>
      <w:szCs w:val="24"/>
      <w:lang w:val="sq-AL" w:eastAsia="x-none"/>
    </w:rPr>
  </w:style>
  <w:style w:type="paragraph" w:customStyle="1" w:styleId="MediumShading2-Accent31">
    <w:name w:val="Medium Shading 2 - Accent 31"/>
    <w:basedOn w:val="Normal"/>
    <w:next w:val="Normal"/>
    <w:link w:val="MediumShading2-Accent3Char"/>
    <w:uiPriority w:val="30"/>
    <w:qFormat/>
    <w:rsid w:val="00A61766"/>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A61766"/>
    <w:rPr>
      <w:rFonts w:ascii="Calibri" w:eastAsia="MS Mincho" w:hAnsi="Calibri" w:cs="Times New Roman"/>
      <w:b/>
      <w:bCs/>
      <w:i/>
      <w:iCs/>
      <w:color w:val="4F81BD"/>
      <w:sz w:val="20"/>
      <w:szCs w:val="20"/>
      <w:lang w:val="x-none" w:eastAsia="x-none"/>
    </w:rPr>
  </w:style>
  <w:style w:type="paragraph" w:styleId="ListParagraph">
    <w:name w:val="List Paragraph"/>
    <w:basedOn w:val="Normal"/>
    <w:link w:val="ListParagraphChar"/>
    <w:uiPriority w:val="34"/>
    <w:qFormat/>
    <w:rsid w:val="00A61766"/>
    <w:pPr>
      <w:spacing w:after="160" w:line="259" w:lineRule="auto"/>
      <w:ind w:left="720"/>
      <w:contextualSpacing/>
    </w:pPr>
    <w:rPr>
      <w:lang w:val="en-US"/>
    </w:rPr>
  </w:style>
  <w:style w:type="paragraph" w:styleId="NoSpacing">
    <w:name w:val="No Spacing"/>
    <w:link w:val="NoSpacingChar"/>
    <w:uiPriority w:val="1"/>
    <w:qFormat/>
    <w:rsid w:val="00A61766"/>
    <w:pPr>
      <w:spacing w:after="0" w:line="240" w:lineRule="auto"/>
    </w:pPr>
  </w:style>
  <w:style w:type="character" w:customStyle="1" w:styleId="NoSpacingChar">
    <w:name w:val="No Spacing Char"/>
    <w:basedOn w:val="DefaultParagraphFont"/>
    <w:link w:val="NoSpacing"/>
    <w:uiPriority w:val="1"/>
    <w:locked/>
    <w:rsid w:val="00A61766"/>
  </w:style>
  <w:style w:type="character" w:styleId="Hyperlink">
    <w:name w:val="Hyperlink"/>
    <w:basedOn w:val="DefaultParagraphFont"/>
    <w:uiPriority w:val="99"/>
    <w:unhideWhenUsed/>
    <w:rsid w:val="00292702"/>
    <w:rPr>
      <w:color w:val="0563C1" w:themeColor="hyperlink"/>
      <w:u w:val="single"/>
    </w:rPr>
  </w:style>
  <w:style w:type="character" w:customStyle="1" w:styleId="ListParagraphChar">
    <w:name w:val="List Paragraph Char"/>
    <w:link w:val="ListParagraph"/>
    <w:uiPriority w:val="34"/>
    <w:rsid w:val="00741548"/>
    <w:rPr>
      <w:rFonts w:ascii="Calibri" w:eastAsia="MS Mincho" w:hAnsi="Calibri" w:cs="Times New Roman"/>
    </w:rPr>
  </w:style>
  <w:style w:type="paragraph" w:styleId="BalloonText">
    <w:name w:val="Balloon Text"/>
    <w:basedOn w:val="Normal"/>
    <w:link w:val="BalloonTextChar"/>
    <w:semiHidden/>
    <w:unhideWhenUsed/>
    <w:rsid w:val="00B90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90664"/>
    <w:rPr>
      <w:rFonts w:ascii="Tahoma" w:eastAsia="MS Mincho" w:hAnsi="Tahoma" w:cs="Tahoma"/>
      <w:sz w:val="16"/>
      <w:szCs w:val="16"/>
      <w:lang w:val="sq-AL"/>
    </w:rPr>
  </w:style>
  <w:style w:type="paragraph" w:customStyle="1" w:styleId="TableParagraph">
    <w:name w:val="Table Paragraph"/>
    <w:basedOn w:val="Normal"/>
    <w:uiPriority w:val="1"/>
    <w:qFormat/>
    <w:rsid w:val="00EE6849"/>
    <w:pPr>
      <w:widowControl w:val="0"/>
      <w:autoSpaceDE w:val="0"/>
      <w:autoSpaceDN w:val="0"/>
      <w:spacing w:after="0" w:line="240" w:lineRule="auto"/>
      <w:ind w:left="105"/>
    </w:pPr>
    <w:rPr>
      <w:rFonts w:ascii="Times New Roman" w:eastAsia="Times New Roman" w:hAnsi="Times New Roman"/>
      <w:lang w:val="en-US" w:bidi="en-US"/>
    </w:rPr>
  </w:style>
  <w:style w:type="paragraph" w:customStyle="1" w:styleId="Default">
    <w:name w:val="Default"/>
    <w:rsid w:val="003659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67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buqe.spahija@rks-gov.ne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Valmira Uka</dc:creator>
  <cp:keywords/>
  <dc:description/>
  <cp:lastModifiedBy>Burbuqe Spahija</cp:lastModifiedBy>
  <cp:revision>3</cp:revision>
  <dcterms:created xsi:type="dcterms:W3CDTF">2022-04-22T07:56:00Z</dcterms:created>
  <dcterms:modified xsi:type="dcterms:W3CDTF">2022-05-06T07:09:00Z</dcterms:modified>
</cp:coreProperties>
</file>