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8914" w14:textId="77777777" w:rsidR="00700949" w:rsidRDefault="00700949">
      <w:pPr>
        <w:rPr>
          <w:lang w:val="sq-AL"/>
        </w:rPr>
      </w:pPr>
      <w:bookmarkStart w:id="0" w:name="_GoBack"/>
      <w:bookmarkEnd w:id="0"/>
    </w:p>
    <w:p w14:paraId="78703DFA" w14:textId="2E769D41" w:rsidR="009C64FE" w:rsidRPr="009E674D" w:rsidRDefault="00696A7C">
      <w:pPr>
        <w:rPr>
          <w:lang w:val="sq-AL"/>
        </w:rPr>
      </w:pPr>
      <w:r w:rsidRPr="009E674D">
        <w:rPr>
          <w:noProof/>
        </w:rPr>
        <w:drawing>
          <wp:inline distT="0" distB="0" distL="0" distR="0" wp14:anchorId="6C609CE0" wp14:editId="516F28BF">
            <wp:extent cx="5943600" cy="1942071"/>
            <wp:effectExtent l="0" t="0" r="0" b="1270"/>
            <wp:docPr id="43" name="Picture 43" descr="http://ekonomia-ks.com/repository/images/main/28_04_2016_1760757_Ministria_e_Administrimit_te_Pushtetit_Lokal_MA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nomia-ks.com/repository/images/main/28_04_2016_1760757_Ministria_e_Administrimit_te_Pushtetit_Lokal_MA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42071"/>
                    </a:xfrm>
                    <a:prstGeom prst="rect">
                      <a:avLst/>
                    </a:prstGeom>
                    <a:noFill/>
                    <a:ln>
                      <a:noFill/>
                    </a:ln>
                  </pic:spPr>
                </pic:pic>
              </a:graphicData>
            </a:graphic>
          </wp:inline>
        </w:drawing>
      </w:r>
    </w:p>
    <w:p w14:paraId="050691DD" w14:textId="77777777" w:rsidR="00696A7C" w:rsidRPr="009E674D" w:rsidRDefault="00696A7C">
      <w:pPr>
        <w:rPr>
          <w:lang w:val="sq-AL"/>
        </w:rPr>
      </w:pPr>
    </w:p>
    <w:p w14:paraId="68169071" w14:textId="77777777" w:rsidR="00696A7C" w:rsidRPr="009E674D" w:rsidRDefault="00696A7C">
      <w:pPr>
        <w:rPr>
          <w:lang w:val="sq-AL"/>
        </w:rPr>
      </w:pPr>
    </w:p>
    <w:p w14:paraId="44B031FE" w14:textId="77777777" w:rsidR="00696A7C" w:rsidRPr="009E674D" w:rsidRDefault="00696A7C">
      <w:pPr>
        <w:rPr>
          <w:lang w:val="sq-AL"/>
        </w:rPr>
      </w:pPr>
    </w:p>
    <w:p w14:paraId="367AA92D" w14:textId="77777777" w:rsidR="00696A7C" w:rsidRPr="009E674D" w:rsidRDefault="00696A7C" w:rsidP="00E74542">
      <w:pPr>
        <w:rPr>
          <w:sz w:val="36"/>
          <w:lang w:val="sq-AL"/>
        </w:rPr>
      </w:pPr>
    </w:p>
    <w:p w14:paraId="1AB8FD44" w14:textId="77777777" w:rsidR="00696A7C" w:rsidRPr="009E674D" w:rsidRDefault="00696A7C" w:rsidP="00696A7C">
      <w:pPr>
        <w:jc w:val="center"/>
        <w:rPr>
          <w:sz w:val="36"/>
          <w:lang w:val="sq-AL"/>
        </w:rPr>
      </w:pPr>
    </w:p>
    <w:p w14:paraId="45D8CBFB" w14:textId="77777777" w:rsidR="00696A7C" w:rsidRPr="009E674D" w:rsidRDefault="00696A7C" w:rsidP="00696A7C">
      <w:pPr>
        <w:jc w:val="center"/>
        <w:rPr>
          <w:sz w:val="48"/>
          <w:lang w:val="sq-AL"/>
        </w:rPr>
      </w:pPr>
      <w:r w:rsidRPr="009E674D">
        <w:rPr>
          <w:sz w:val="48"/>
          <w:lang w:val="sq-AL"/>
        </w:rPr>
        <w:t>PROGRAMI NACIONAL PËR ZHVILLIM EKONOMIK LOKAL 2030</w:t>
      </w:r>
    </w:p>
    <w:p w14:paraId="29163174" w14:textId="77777777" w:rsidR="00696A7C" w:rsidRPr="009E674D" w:rsidRDefault="00696A7C">
      <w:pPr>
        <w:rPr>
          <w:sz w:val="48"/>
          <w:lang w:val="sq-AL"/>
        </w:rPr>
      </w:pPr>
    </w:p>
    <w:p w14:paraId="5373FDBD" w14:textId="77777777" w:rsidR="00696A7C" w:rsidRPr="009E674D" w:rsidRDefault="00696A7C" w:rsidP="00696A7C">
      <w:pPr>
        <w:jc w:val="center"/>
        <w:rPr>
          <w:sz w:val="48"/>
          <w:lang w:val="sq-AL"/>
        </w:rPr>
      </w:pPr>
      <w:r w:rsidRPr="009E674D">
        <w:rPr>
          <w:sz w:val="48"/>
          <w:lang w:val="sq-AL"/>
        </w:rPr>
        <w:t>[DRAFT]</w:t>
      </w:r>
    </w:p>
    <w:p w14:paraId="23DA2A42" w14:textId="77777777" w:rsidR="009C64FE" w:rsidRPr="009E674D" w:rsidRDefault="009C64FE">
      <w:pPr>
        <w:rPr>
          <w:noProof/>
          <w:lang w:val="sq-AL"/>
        </w:rPr>
      </w:pPr>
    </w:p>
    <w:p w14:paraId="0393DD5A" w14:textId="77777777" w:rsidR="00696A7C" w:rsidRPr="009E674D" w:rsidRDefault="00696A7C">
      <w:pPr>
        <w:rPr>
          <w:noProof/>
          <w:lang w:val="sq-AL"/>
        </w:rPr>
      </w:pPr>
    </w:p>
    <w:p w14:paraId="5A9F8216" w14:textId="77777777" w:rsidR="00696A7C" w:rsidRPr="009E674D" w:rsidRDefault="00696A7C">
      <w:pPr>
        <w:rPr>
          <w:noProof/>
          <w:lang w:val="sq-AL"/>
        </w:rPr>
      </w:pPr>
    </w:p>
    <w:p w14:paraId="344E6F44" w14:textId="77777777" w:rsidR="00696A7C" w:rsidRPr="009E674D" w:rsidRDefault="00696A7C">
      <w:pPr>
        <w:rPr>
          <w:noProof/>
          <w:lang w:val="sq-AL"/>
        </w:rPr>
      </w:pPr>
    </w:p>
    <w:p w14:paraId="400F6569" w14:textId="77777777" w:rsidR="00696A7C" w:rsidRPr="009E674D" w:rsidRDefault="00696A7C">
      <w:pPr>
        <w:rPr>
          <w:noProof/>
          <w:lang w:val="sq-AL"/>
        </w:rPr>
      </w:pPr>
    </w:p>
    <w:p w14:paraId="29B24197" w14:textId="77777777" w:rsidR="00696A7C" w:rsidRPr="009E674D" w:rsidRDefault="00696A7C" w:rsidP="00696A7C">
      <w:pPr>
        <w:jc w:val="center"/>
        <w:rPr>
          <w:noProof/>
          <w:lang w:val="sq-AL"/>
        </w:rPr>
      </w:pPr>
    </w:p>
    <w:p w14:paraId="0F6C8C9C" w14:textId="4F9448E3" w:rsidR="00696A7C" w:rsidRPr="009E674D" w:rsidRDefault="00696A7C" w:rsidP="00F84DDB">
      <w:pPr>
        <w:rPr>
          <w:noProof/>
          <w:lang w:val="sq-AL"/>
        </w:rPr>
      </w:pPr>
    </w:p>
    <w:p w14:paraId="525AEFEC" w14:textId="6BED0F28" w:rsidR="00696A7C" w:rsidRPr="009E674D" w:rsidRDefault="009E674D" w:rsidP="00696A7C">
      <w:pPr>
        <w:jc w:val="center"/>
        <w:rPr>
          <w:noProof/>
          <w:lang w:val="sq-AL"/>
        </w:rPr>
      </w:pPr>
      <w:r>
        <w:rPr>
          <w:noProof/>
          <w:lang w:val="sq-AL"/>
        </w:rPr>
        <w:t>Prill</w:t>
      </w:r>
      <w:r w:rsidR="00696A7C" w:rsidRPr="009E674D">
        <w:rPr>
          <w:noProof/>
          <w:lang w:val="sq-AL"/>
        </w:rPr>
        <w:t xml:space="preserve"> 2023</w:t>
      </w:r>
    </w:p>
    <w:sdt>
      <w:sdtPr>
        <w:rPr>
          <w:rFonts w:asciiTheme="minorHAnsi" w:eastAsiaTheme="minorHAnsi" w:hAnsiTheme="minorHAnsi" w:cstheme="minorBidi"/>
          <w:b/>
          <w:noProof/>
          <w:color w:val="auto"/>
          <w:sz w:val="22"/>
          <w:szCs w:val="22"/>
          <w:lang w:val="sq-AL"/>
        </w:rPr>
        <w:id w:val="1892620663"/>
        <w:docPartObj>
          <w:docPartGallery w:val="Table of Contents"/>
          <w:docPartUnique/>
        </w:docPartObj>
      </w:sdtPr>
      <w:sdtEndPr>
        <w:rPr>
          <w:rFonts w:eastAsia="MS Mincho"/>
          <w:bCs/>
        </w:rPr>
      </w:sdtEndPr>
      <w:sdtContent>
        <w:p w14:paraId="05B313DE" w14:textId="77777777" w:rsidR="00467AC9" w:rsidRPr="009E674D" w:rsidRDefault="00AE4C40">
          <w:pPr>
            <w:pStyle w:val="TOCHeading"/>
            <w:rPr>
              <w:sz w:val="12"/>
              <w:lang w:val="sq-AL"/>
            </w:rPr>
          </w:pPr>
          <w:r w:rsidRPr="009E674D">
            <w:rPr>
              <w:lang w:val="sq-AL"/>
            </w:rPr>
            <w:t>Përmbajtja</w:t>
          </w:r>
          <w:r w:rsidRPr="009E674D">
            <w:rPr>
              <w:lang w:val="sq-AL"/>
            </w:rPr>
            <w:br/>
          </w:r>
        </w:p>
        <w:p w14:paraId="049A0452" w14:textId="27B3D51E" w:rsidR="009E674D" w:rsidRDefault="00467AC9">
          <w:pPr>
            <w:pStyle w:val="TOC1"/>
            <w:rPr>
              <w:rFonts w:eastAsiaTheme="minorEastAsia"/>
              <w:b w:val="0"/>
              <w:lang w:val="en-US"/>
            </w:rPr>
          </w:pPr>
          <w:r w:rsidRPr="009E674D">
            <w:fldChar w:fldCharType="begin"/>
          </w:r>
          <w:r w:rsidRPr="009E674D">
            <w:instrText xml:space="preserve"> TOC \o "1-3" \h \z \u </w:instrText>
          </w:r>
          <w:r w:rsidRPr="009E674D">
            <w:fldChar w:fldCharType="separate"/>
          </w:r>
          <w:hyperlink w:anchor="_Toc132188422" w:history="1">
            <w:r w:rsidR="009E674D" w:rsidRPr="00A60582">
              <w:rPr>
                <w:rStyle w:val="Hyperlink"/>
              </w:rPr>
              <w:t>Akronimet</w:t>
            </w:r>
            <w:r w:rsidR="009E674D">
              <w:rPr>
                <w:webHidden/>
              </w:rPr>
              <w:tab/>
            </w:r>
            <w:r w:rsidR="009E674D">
              <w:rPr>
                <w:webHidden/>
              </w:rPr>
              <w:fldChar w:fldCharType="begin"/>
            </w:r>
            <w:r w:rsidR="009E674D">
              <w:rPr>
                <w:webHidden/>
              </w:rPr>
              <w:instrText xml:space="preserve"> PAGEREF _Toc132188422 \h </w:instrText>
            </w:r>
            <w:r w:rsidR="009E674D">
              <w:rPr>
                <w:webHidden/>
              </w:rPr>
            </w:r>
            <w:r w:rsidR="009E674D">
              <w:rPr>
                <w:webHidden/>
              </w:rPr>
              <w:fldChar w:fldCharType="separate"/>
            </w:r>
            <w:r w:rsidR="00F84DDB">
              <w:rPr>
                <w:webHidden/>
              </w:rPr>
              <w:t>2</w:t>
            </w:r>
            <w:r w:rsidR="009E674D">
              <w:rPr>
                <w:webHidden/>
              </w:rPr>
              <w:fldChar w:fldCharType="end"/>
            </w:r>
          </w:hyperlink>
        </w:p>
        <w:p w14:paraId="23A46A86" w14:textId="6DC42B48" w:rsidR="009E674D" w:rsidRDefault="006A7130">
          <w:pPr>
            <w:pStyle w:val="TOC1"/>
            <w:rPr>
              <w:rFonts w:eastAsiaTheme="minorEastAsia"/>
              <w:b w:val="0"/>
              <w:lang w:val="en-US"/>
            </w:rPr>
          </w:pPr>
          <w:hyperlink w:anchor="_Toc132188423" w:history="1">
            <w:r w:rsidR="009E674D" w:rsidRPr="00A60582">
              <w:rPr>
                <w:rStyle w:val="Hyperlink"/>
              </w:rPr>
              <w:t>Përmbledhja ekzekutive</w:t>
            </w:r>
            <w:r w:rsidR="009E674D">
              <w:rPr>
                <w:webHidden/>
              </w:rPr>
              <w:tab/>
            </w:r>
            <w:r w:rsidR="009E674D">
              <w:rPr>
                <w:webHidden/>
              </w:rPr>
              <w:fldChar w:fldCharType="begin"/>
            </w:r>
            <w:r w:rsidR="009E674D">
              <w:rPr>
                <w:webHidden/>
              </w:rPr>
              <w:instrText xml:space="preserve"> PAGEREF _Toc132188423 \h </w:instrText>
            </w:r>
            <w:r w:rsidR="009E674D">
              <w:rPr>
                <w:webHidden/>
              </w:rPr>
            </w:r>
            <w:r w:rsidR="009E674D">
              <w:rPr>
                <w:webHidden/>
              </w:rPr>
              <w:fldChar w:fldCharType="separate"/>
            </w:r>
            <w:r w:rsidR="00F84DDB">
              <w:rPr>
                <w:webHidden/>
              </w:rPr>
              <w:t>3</w:t>
            </w:r>
            <w:r w:rsidR="009E674D">
              <w:rPr>
                <w:webHidden/>
              </w:rPr>
              <w:fldChar w:fldCharType="end"/>
            </w:r>
          </w:hyperlink>
        </w:p>
        <w:p w14:paraId="75975B03" w14:textId="0FB634FF" w:rsidR="009E674D" w:rsidRDefault="006A7130">
          <w:pPr>
            <w:pStyle w:val="TOC1"/>
            <w:tabs>
              <w:tab w:val="left" w:pos="440"/>
            </w:tabs>
            <w:rPr>
              <w:rFonts w:eastAsiaTheme="minorEastAsia"/>
              <w:b w:val="0"/>
              <w:lang w:val="en-US"/>
            </w:rPr>
          </w:pPr>
          <w:hyperlink w:anchor="_Toc132188424" w:history="1">
            <w:r w:rsidR="009E674D" w:rsidRPr="00A60582">
              <w:rPr>
                <w:rStyle w:val="Hyperlink"/>
              </w:rPr>
              <w:t>1.</w:t>
            </w:r>
            <w:r w:rsidR="009E674D">
              <w:rPr>
                <w:rFonts w:eastAsiaTheme="minorEastAsia"/>
                <w:b w:val="0"/>
                <w:lang w:val="en-US"/>
              </w:rPr>
              <w:tab/>
            </w:r>
            <w:r w:rsidR="009E674D" w:rsidRPr="00A60582">
              <w:rPr>
                <w:rStyle w:val="Hyperlink"/>
              </w:rPr>
              <w:t>Hyrja</w:t>
            </w:r>
            <w:r w:rsidR="009E674D">
              <w:rPr>
                <w:webHidden/>
              </w:rPr>
              <w:tab/>
            </w:r>
            <w:r w:rsidR="009E674D">
              <w:rPr>
                <w:webHidden/>
              </w:rPr>
              <w:fldChar w:fldCharType="begin"/>
            </w:r>
            <w:r w:rsidR="009E674D">
              <w:rPr>
                <w:webHidden/>
              </w:rPr>
              <w:instrText xml:space="preserve"> PAGEREF _Toc132188424 \h </w:instrText>
            </w:r>
            <w:r w:rsidR="009E674D">
              <w:rPr>
                <w:webHidden/>
              </w:rPr>
            </w:r>
            <w:r w:rsidR="009E674D">
              <w:rPr>
                <w:webHidden/>
              </w:rPr>
              <w:fldChar w:fldCharType="separate"/>
            </w:r>
            <w:r w:rsidR="00F84DDB">
              <w:rPr>
                <w:webHidden/>
              </w:rPr>
              <w:t>5</w:t>
            </w:r>
            <w:r w:rsidR="009E674D">
              <w:rPr>
                <w:webHidden/>
              </w:rPr>
              <w:fldChar w:fldCharType="end"/>
            </w:r>
          </w:hyperlink>
        </w:p>
        <w:p w14:paraId="4A8B751B" w14:textId="2E7A84C7" w:rsidR="009E674D" w:rsidRDefault="006A7130">
          <w:pPr>
            <w:pStyle w:val="TOC1"/>
            <w:tabs>
              <w:tab w:val="left" w:pos="440"/>
            </w:tabs>
            <w:rPr>
              <w:rFonts w:eastAsiaTheme="minorEastAsia"/>
              <w:b w:val="0"/>
              <w:lang w:val="en-US"/>
            </w:rPr>
          </w:pPr>
          <w:hyperlink w:anchor="_Toc132188425" w:history="1">
            <w:r w:rsidR="009E674D" w:rsidRPr="00A60582">
              <w:rPr>
                <w:rStyle w:val="Hyperlink"/>
              </w:rPr>
              <w:t>2.</w:t>
            </w:r>
            <w:r w:rsidR="009E674D">
              <w:rPr>
                <w:rFonts w:eastAsiaTheme="minorEastAsia"/>
                <w:b w:val="0"/>
                <w:lang w:val="en-US"/>
              </w:rPr>
              <w:tab/>
            </w:r>
            <w:r w:rsidR="009E674D" w:rsidRPr="00A60582">
              <w:rPr>
                <w:rStyle w:val="Hyperlink"/>
              </w:rPr>
              <w:t>Metodologjia</w:t>
            </w:r>
            <w:r w:rsidR="009E674D">
              <w:rPr>
                <w:webHidden/>
              </w:rPr>
              <w:tab/>
            </w:r>
            <w:r w:rsidR="009E674D">
              <w:rPr>
                <w:webHidden/>
              </w:rPr>
              <w:fldChar w:fldCharType="begin"/>
            </w:r>
            <w:r w:rsidR="009E674D">
              <w:rPr>
                <w:webHidden/>
              </w:rPr>
              <w:instrText xml:space="preserve"> PAGEREF _Toc132188425 \h </w:instrText>
            </w:r>
            <w:r w:rsidR="009E674D">
              <w:rPr>
                <w:webHidden/>
              </w:rPr>
            </w:r>
            <w:r w:rsidR="009E674D">
              <w:rPr>
                <w:webHidden/>
              </w:rPr>
              <w:fldChar w:fldCharType="separate"/>
            </w:r>
            <w:r w:rsidR="00F84DDB">
              <w:rPr>
                <w:webHidden/>
              </w:rPr>
              <w:t>7</w:t>
            </w:r>
            <w:r w:rsidR="009E674D">
              <w:rPr>
                <w:webHidden/>
              </w:rPr>
              <w:fldChar w:fldCharType="end"/>
            </w:r>
          </w:hyperlink>
        </w:p>
        <w:p w14:paraId="63185FC1" w14:textId="13115725" w:rsidR="009E674D" w:rsidRDefault="006A7130">
          <w:pPr>
            <w:pStyle w:val="TOC1"/>
            <w:tabs>
              <w:tab w:val="left" w:pos="440"/>
            </w:tabs>
            <w:rPr>
              <w:rFonts w:eastAsiaTheme="minorEastAsia"/>
              <w:b w:val="0"/>
              <w:lang w:val="en-US"/>
            </w:rPr>
          </w:pPr>
          <w:hyperlink w:anchor="_Toc132188426" w:history="1">
            <w:r w:rsidR="009E674D" w:rsidRPr="00A60582">
              <w:rPr>
                <w:rStyle w:val="Hyperlink"/>
              </w:rPr>
              <w:t>3.</w:t>
            </w:r>
            <w:r w:rsidR="009E674D">
              <w:rPr>
                <w:rFonts w:eastAsiaTheme="minorEastAsia"/>
                <w:b w:val="0"/>
                <w:lang w:val="en-US"/>
              </w:rPr>
              <w:tab/>
            </w:r>
            <w:r w:rsidR="009E674D" w:rsidRPr="00A60582">
              <w:rPr>
                <w:rStyle w:val="Hyperlink"/>
              </w:rPr>
              <w:t>Konteksti i përgjithshëm</w:t>
            </w:r>
            <w:r w:rsidR="009E674D">
              <w:rPr>
                <w:webHidden/>
              </w:rPr>
              <w:tab/>
            </w:r>
            <w:r w:rsidR="009E674D">
              <w:rPr>
                <w:webHidden/>
              </w:rPr>
              <w:fldChar w:fldCharType="begin"/>
            </w:r>
            <w:r w:rsidR="009E674D">
              <w:rPr>
                <w:webHidden/>
              </w:rPr>
              <w:instrText xml:space="preserve"> PAGEREF _Toc132188426 \h </w:instrText>
            </w:r>
            <w:r w:rsidR="009E674D">
              <w:rPr>
                <w:webHidden/>
              </w:rPr>
            </w:r>
            <w:r w:rsidR="009E674D">
              <w:rPr>
                <w:webHidden/>
              </w:rPr>
              <w:fldChar w:fldCharType="separate"/>
            </w:r>
            <w:r w:rsidR="00F84DDB">
              <w:rPr>
                <w:webHidden/>
              </w:rPr>
              <w:t>9</w:t>
            </w:r>
            <w:r w:rsidR="009E674D">
              <w:rPr>
                <w:webHidden/>
              </w:rPr>
              <w:fldChar w:fldCharType="end"/>
            </w:r>
          </w:hyperlink>
        </w:p>
        <w:p w14:paraId="391E4BE0" w14:textId="0518643B" w:rsidR="009E674D" w:rsidRDefault="006A7130">
          <w:pPr>
            <w:pStyle w:val="TOC1"/>
            <w:tabs>
              <w:tab w:val="left" w:pos="440"/>
            </w:tabs>
            <w:rPr>
              <w:rFonts w:eastAsiaTheme="minorEastAsia"/>
              <w:b w:val="0"/>
              <w:lang w:val="en-US"/>
            </w:rPr>
          </w:pPr>
          <w:hyperlink w:anchor="_Toc132188427" w:history="1">
            <w:r w:rsidR="009E674D" w:rsidRPr="00A60582">
              <w:rPr>
                <w:rStyle w:val="Hyperlink"/>
              </w:rPr>
              <w:t>4.</w:t>
            </w:r>
            <w:r w:rsidR="009E674D">
              <w:rPr>
                <w:rFonts w:eastAsiaTheme="minorEastAsia"/>
                <w:b w:val="0"/>
                <w:lang w:val="en-US"/>
              </w:rPr>
              <w:tab/>
            </w:r>
            <w:r w:rsidR="009E674D" w:rsidRPr="00A60582">
              <w:rPr>
                <w:rStyle w:val="Hyperlink"/>
              </w:rPr>
              <w:t>Analiza SWOT</w:t>
            </w:r>
            <w:r w:rsidR="009E674D">
              <w:rPr>
                <w:webHidden/>
              </w:rPr>
              <w:tab/>
            </w:r>
            <w:r w:rsidR="009E674D">
              <w:rPr>
                <w:webHidden/>
              </w:rPr>
              <w:fldChar w:fldCharType="begin"/>
            </w:r>
            <w:r w:rsidR="009E674D">
              <w:rPr>
                <w:webHidden/>
              </w:rPr>
              <w:instrText xml:space="preserve"> PAGEREF _Toc132188427 \h </w:instrText>
            </w:r>
            <w:r w:rsidR="009E674D">
              <w:rPr>
                <w:webHidden/>
              </w:rPr>
            </w:r>
            <w:r w:rsidR="009E674D">
              <w:rPr>
                <w:webHidden/>
              </w:rPr>
              <w:fldChar w:fldCharType="separate"/>
            </w:r>
            <w:r w:rsidR="00F84DDB">
              <w:rPr>
                <w:webHidden/>
              </w:rPr>
              <w:t>11</w:t>
            </w:r>
            <w:r w:rsidR="009E674D">
              <w:rPr>
                <w:webHidden/>
              </w:rPr>
              <w:fldChar w:fldCharType="end"/>
            </w:r>
          </w:hyperlink>
        </w:p>
        <w:p w14:paraId="5A51A544" w14:textId="0E2D7C00" w:rsidR="009E674D" w:rsidRDefault="006A7130">
          <w:pPr>
            <w:pStyle w:val="TOC1"/>
            <w:tabs>
              <w:tab w:val="left" w:pos="440"/>
            </w:tabs>
            <w:rPr>
              <w:rFonts w:eastAsiaTheme="minorEastAsia"/>
              <w:b w:val="0"/>
              <w:lang w:val="en-US"/>
            </w:rPr>
          </w:pPr>
          <w:hyperlink w:anchor="_Toc132188428" w:history="1">
            <w:r w:rsidR="009E674D" w:rsidRPr="00A60582">
              <w:rPr>
                <w:rStyle w:val="Hyperlink"/>
              </w:rPr>
              <w:t>5.</w:t>
            </w:r>
            <w:r w:rsidR="009E674D">
              <w:rPr>
                <w:rFonts w:eastAsiaTheme="minorEastAsia"/>
                <w:b w:val="0"/>
                <w:lang w:val="en-US"/>
              </w:rPr>
              <w:tab/>
            </w:r>
            <w:r w:rsidR="009E674D" w:rsidRPr="00A60582">
              <w:rPr>
                <w:rStyle w:val="Hyperlink"/>
              </w:rPr>
              <w:t>Përmbledhja e analizës së problemeve</w:t>
            </w:r>
            <w:r w:rsidR="009E674D">
              <w:rPr>
                <w:webHidden/>
              </w:rPr>
              <w:tab/>
            </w:r>
            <w:r w:rsidR="009E674D">
              <w:rPr>
                <w:webHidden/>
              </w:rPr>
              <w:fldChar w:fldCharType="begin"/>
            </w:r>
            <w:r w:rsidR="009E674D">
              <w:rPr>
                <w:webHidden/>
              </w:rPr>
              <w:instrText xml:space="preserve"> PAGEREF _Toc132188428 \h </w:instrText>
            </w:r>
            <w:r w:rsidR="009E674D">
              <w:rPr>
                <w:webHidden/>
              </w:rPr>
            </w:r>
            <w:r w:rsidR="009E674D">
              <w:rPr>
                <w:webHidden/>
              </w:rPr>
              <w:fldChar w:fldCharType="separate"/>
            </w:r>
            <w:r w:rsidR="00F84DDB">
              <w:rPr>
                <w:webHidden/>
              </w:rPr>
              <w:t>12</w:t>
            </w:r>
            <w:r w:rsidR="009E674D">
              <w:rPr>
                <w:webHidden/>
              </w:rPr>
              <w:fldChar w:fldCharType="end"/>
            </w:r>
          </w:hyperlink>
        </w:p>
        <w:p w14:paraId="093E1A31" w14:textId="4CFDC27A" w:rsidR="009E674D" w:rsidRDefault="006A7130">
          <w:pPr>
            <w:pStyle w:val="TOC1"/>
            <w:tabs>
              <w:tab w:val="left" w:pos="440"/>
            </w:tabs>
            <w:rPr>
              <w:rFonts w:eastAsiaTheme="minorEastAsia"/>
              <w:b w:val="0"/>
              <w:lang w:val="en-US"/>
            </w:rPr>
          </w:pPr>
          <w:hyperlink w:anchor="_Toc132188429" w:history="1">
            <w:r w:rsidR="009E674D" w:rsidRPr="00A60582">
              <w:rPr>
                <w:rStyle w:val="Hyperlink"/>
              </w:rPr>
              <w:t>6.</w:t>
            </w:r>
            <w:r w:rsidR="009E674D">
              <w:rPr>
                <w:rFonts w:eastAsiaTheme="minorEastAsia"/>
                <w:b w:val="0"/>
                <w:lang w:val="en-US"/>
              </w:rPr>
              <w:tab/>
            </w:r>
            <w:r w:rsidR="009E674D" w:rsidRPr="00A60582">
              <w:rPr>
                <w:rStyle w:val="Hyperlink"/>
              </w:rPr>
              <w:t>Ndërlidhja me dokumentet strategjike relevante</w:t>
            </w:r>
            <w:r w:rsidR="009E674D">
              <w:rPr>
                <w:webHidden/>
              </w:rPr>
              <w:tab/>
            </w:r>
            <w:r w:rsidR="009E674D">
              <w:rPr>
                <w:webHidden/>
              </w:rPr>
              <w:fldChar w:fldCharType="begin"/>
            </w:r>
            <w:r w:rsidR="009E674D">
              <w:rPr>
                <w:webHidden/>
              </w:rPr>
              <w:instrText xml:space="preserve"> PAGEREF _Toc132188429 \h </w:instrText>
            </w:r>
            <w:r w:rsidR="009E674D">
              <w:rPr>
                <w:webHidden/>
              </w:rPr>
            </w:r>
            <w:r w:rsidR="009E674D">
              <w:rPr>
                <w:webHidden/>
              </w:rPr>
              <w:fldChar w:fldCharType="separate"/>
            </w:r>
            <w:r w:rsidR="00F84DDB">
              <w:rPr>
                <w:webHidden/>
              </w:rPr>
              <w:t>17</w:t>
            </w:r>
            <w:r w:rsidR="009E674D">
              <w:rPr>
                <w:webHidden/>
              </w:rPr>
              <w:fldChar w:fldCharType="end"/>
            </w:r>
          </w:hyperlink>
        </w:p>
        <w:p w14:paraId="2E7F8046" w14:textId="351C6C50" w:rsidR="009E674D" w:rsidRDefault="006A7130">
          <w:pPr>
            <w:pStyle w:val="TOC1"/>
            <w:tabs>
              <w:tab w:val="left" w:pos="440"/>
            </w:tabs>
            <w:rPr>
              <w:rFonts w:eastAsiaTheme="minorEastAsia"/>
              <w:b w:val="0"/>
              <w:lang w:val="en-US"/>
            </w:rPr>
          </w:pPr>
          <w:hyperlink w:anchor="_Toc132188430" w:history="1">
            <w:r w:rsidR="009E674D" w:rsidRPr="00A60582">
              <w:rPr>
                <w:rStyle w:val="Hyperlink"/>
              </w:rPr>
              <w:t>7.</w:t>
            </w:r>
            <w:r w:rsidR="009E674D">
              <w:rPr>
                <w:rFonts w:eastAsiaTheme="minorEastAsia"/>
                <w:b w:val="0"/>
                <w:lang w:val="en-US"/>
              </w:rPr>
              <w:tab/>
            </w:r>
            <w:r w:rsidR="009E674D" w:rsidRPr="00A60582">
              <w:rPr>
                <w:rStyle w:val="Hyperlink"/>
              </w:rPr>
              <w:t>Vizioni, objektivat dhe masat</w:t>
            </w:r>
            <w:r w:rsidR="009E674D">
              <w:rPr>
                <w:webHidden/>
              </w:rPr>
              <w:tab/>
            </w:r>
            <w:r w:rsidR="009E674D">
              <w:rPr>
                <w:webHidden/>
              </w:rPr>
              <w:fldChar w:fldCharType="begin"/>
            </w:r>
            <w:r w:rsidR="009E674D">
              <w:rPr>
                <w:webHidden/>
              </w:rPr>
              <w:instrText xml:space="preserve"> PAGEREF _Toc132188430 \h </w:instrText>
            </w:r>
            <w:r w:rsidR="009E674D">
              <w:rPr>
                <w:webHidden/>
              </w:rPr>
            </w:r>
            <w:r w:rsidR="009E674D">
              <w:rPr>
                <w:webHidden/>
              </w:rPr>
              <w:fldChar w:fldCharType="separate"/>
            </w:r>
            <w:r w:rsidR="00F84DDB">
              <w:rPr>
                <w:webHidden/>
              </w:rPr>
              <w:t>19</w:t>
            </w:r>
            <w:r w:rsidR="009E674D">
              <w:rPr>
                <w:webHidden/>
              </w:rPr>
              <w:fldChar w:fldCharType="end"/>
            </w:r>
          </w:hyperlink>
        </w:p>
        <w:p w14:paraId="6C68D94A" w14:textId="6CD7C432" w:rsidR="009E674D" w:rsidRDefault="006A7130">
          <w:pPr>
            <w:pStyle w:val="TOC2"/>
            <w:tabs>
              <w:tab w:val="right" w:leader="dot" w:pos="9350"/>
            </w:tabs>
            <w:rPr>
              <w:rFonts w:eastAsiaTheme="minorEastAsia"/>
              <w:noProof/>
            </w:rPr>
          </w:pPr>
          <w:hyperlink w:anchor="_Toc132188431" w:history="1">
            <w:r w:rsidR="009E674D" w:rsidRPr="00A60582">
              <w:rPr>
                <w:rStyle w:val="Hyperlink"/>
                <w:noProof/>
                <w:lang w:val="sq-AL"/>
              </w:rPr>
              <w:t>Objektivi 1: Ekonomi lokale konkurruese</w:t>
            </w:r>
            <w:r w:rsidR="009E674D">
              <w:rPr>
                <w:noProof/>
                <w:webHidden/>
              </w:rPr>
              <w:tab/>
            </w:r>
            <w:r w:rsidR="009E674D">
              <w:rPr>
                <w:noProof/>
                <w:webHidden/>
              </w:rPr>
              <w:fldChar w:fldCharType="begin"/>
            </w:r>
            <w:r w:rsidR="009E674D">
              <w:rPr>
                <w:noProof/>
                <w:webHidden/>
              </w:rPr>
              <w:instrText xml:space="preserve"> PAGEREF _Toc132188431 \h </w:instrText>
            </w:r>
            <w:r w:rsidR="009E674D">
              <w:rPr>
                <w:noProof/>
                <w:webHidden/>
              </w:rPr>
            </w:r>
            <w:r w:rsidR="009E674D">
              <w:rPr>
                <w:noProof/>
                <w:webHidden/>
              </w:rPr>
              <w:fldChar w:fldCharType="separate"/>
            </w:r>
            <w:r w:rsidR="00F84DDB">
              <w:rPr>
                <w:noProof/>
                <w:webHidden/>
              </w:rPr>
              <w:t>20</w:t>
            </w:r>
            <w:r w:rsidR="009E674D">
              <w:rPr>
                <w:noProof/>
                <w:webHidden/>
              </w:rPr>
              <w:fldChar w:fldCharType="end"/>
            </w:r>
          </w:hyperlink>
        </w:p>
        <w:p w14:paraId="0D64E040" w14:textId="29EEEA42" w:rsidR="009E674D" w:rsidRDefault="006A7130">
          <w:pPr>
            <w:pStyle w:val="TOC3"/>
            <w:tabs>
              <w:tab w:val="right" w:leader="dot" w:pos="9350"/>
            </w:tabs>
            <w:rPr>
              <w:rFonts w:eastAsiaTheme="minorEastAsia"/>
              <w:noProof/>
            </w:rPr>
          </w:pPr>
          <w:hyperlink w:anchor="_Toc132188432" w:history="1">
            <w:r w:rsidR="009E674D" w:rsidRPr="00A60582">
              <w:rPr>
                <w:rStyle w:val="Hyperlink"/>
                <w:noProof/>
                <w:lang w:val="sq-AL"/>
              </w:rPr>
              <w:t>Objektivi specifik 1.1:  Rritja e investimeve në fushat me potencial për zhvillim ekonomik lokal</w:t>
            </w:r>
            <w:r w:rsidR="009E674D">
              <w:rPr>
                <w:noProof/>
                <w:webHidden/>
              </w:rPr>
              <w:tab/>
            </w:r>
            <w:r w:rsidR="009E674D">
              <w:rPr>
                <w:noProof/>
                <w:webHidden/>
              </w:rPr>
              <w:fldChar w:fldCharType="begin"/>
            </w:r>
            <w:r w:rsidR="009E674D">
              <w:rPr>
                <w:noProof/>
                <w:webHidden/>
              </w:rPr>
              <w:instrText xml:space="preserve"> PAGEREF _Toc132188432 \h </w:instrText>
            </w:r>
            <w:r w:rsidR="009E674D">
              <w:rPr>
                <w:noProof/>
                <w:webHidden/>
              </w:rPr>
            </w:r>
            <w:r w:rsidR="009E674D">
              <w:rPr>
                <w:noProof/>
                <w:webHidden/>
              </w:rPr>
              <w:fldChar w:fldCharType="separate"/>
            </w:r>
            <w:r w:rsidR="00F84DDB">
              <w:rPr>
                <w:noProof/>
                <w:webHidden/>
              </w:rPr>
              <w:t>20</w:t>
            </w:r>
            <w:r w:rsidR="009E674D">
              <w:rPr>
                <w:noProof/>
                <w:webHidden/>
              </w:rPr>
              <w:fldChar w:fldCharType="end"/>
            </w:r>
          </w:hyperlink>
        </w:p>
        <w:p w14:paraId="71FBAE2B" w14:textId="05212A88" w:rsidR="009E674D" w:rsidRDefault="006A7130">
          <w:pPr>
            <w:pStyle w:val="TOC3"/>
            <w:tabs>
              <w:tab w:val="right" w:leader="dot" w:pos="9350"/>
            </w:tabs>
            <w:rPr>
              <w:rFonts w:eastAsiaTheme="minorEastAsia"/>
              <w:noProof/>
            </w:rPr>
          </w:pPr>
          <w:hyperlink w:anchor="_Toc132188433" w:history="1">
            <w:r w:rsidR="009E674D" w:rsidRPr="00A60582">
              <w:rPr>
                <w:rStyle w:val="Hyperlink"/>
                <w:noProof/>
                <w:lang w:val="sq-AL"/>
              </w:rPr>
              <w:t>Objektivi specifik 1.2: Rritja e produktivitetit në bujqësi dhe promovimi i turizmit lokal</w:t>
            </w:r>
            <w:r w:rsidR="009E674D">
              <w:rPr>
                <w:noProof/>
                <w:webHidden/>
              </w:rPr>
              <w:tab/>
            </w:r>
            <w:r w:rsidR="009E674D">
              <w:rPr>
                <w:noProof/>
                <w:webHidden/>
              </w:rPr>
              <w:fldChar w:fldCharType="begin"/>
            </w:r>
            <w:r w:rsidR="009E674D">
              <w:rPr>
                <w:noProof/>
                <w:webHidden/>
              </w:rPr>
              <w:instrText xml:space="preserve"> PAGEREF _Toc132188433 \h </w:instrText>
            </w:r>
            <w:r w:rsidR="009E674D">
              <w:rPr>
                <w:noProof/>
                <w:webHidden/>
              </w:rPr>
            </w:r>
            <w:r w:rsidR="009E674D">
              <w:rPr>
                <w:noProof/>
                <w:webHidden/>
              </w:rPr>
              <w:fldChar w:fldCharType="separate"/>
            </w:r>
            <w:r w:rsidR="00F84DDB">
              <w:rPr>
                <w:noProof/>
                <w:webHidden/>
              </w:rPr>
              <w:t>21</w:t>
            </w:r>
            <w:r w:rsidR="009E674D">
              <w:rPr>
                <w:noProof/>
                <w:webHidden/>
              </w:rPr>
              <w:fldChar w:fldCharType="end"/>
            </w:r>
          </w:hyperlink>
        </w:p>
        <w:p w14:paraId="5F55AD4B" w14:textId="70C99D17" w:rsidR="009E674D" w:rsidRDefault="006A7130">
          <w:pPr>
            <w:pStyle w:val="TOC3"/>
            <w:tabs>
              <w:tab w:val="right" w:leader="dot" w:pos="9350"/>
            </w:tabs>
            <w:rPr>
              <w:rFonts w:eastAsiaTheme="minorEastAsia"/>
              <w:noProof/>
            </w:rPr>
          </w:pPr>
          <w:hyperlink w:anchor="_Toc132188434" w:history="1">
            <w:r w:rsidR="009E674D" w:rsidRPr="00A60582">
              <w:rPr>
                <w:rStyle w:val="Hyperlink"/>
                <w:noProof/>
                <w:lang w:val="sq-AL"/>
              </w:rPr>
              <w:t>Objektivi specifik 1.3: Përkrahja e ndërmarrësisë me fokus në digjitalizim dhe inovacion</w:t>
            </w:r>
            <w:r w:rsidR="009E674D">
              <w:rPr>
                <w:noProof/>
                <w:webHidden/>
              </w:rPr>
              <w:tab/>
            </w:r>
            <w:r w:rsidR="009E674D">
              <w:rPr>
                <w:noProof/>
                <w:webHidden/>
              </w:rPr>
              <w:fldChar w:fldCharType="begin"/>
            </w:r>
            <w:r w:rsidR="009E674D">
              <w:rPr>
                <w:noProof/>
                <w:webHidden/>
              </w:rPr>
              <w:instrText xml:space="preserve"> PAGEREF _Toc132188434 \h </w:instrText>
            </w:r>
            <w:r w:rsidR="009E674D">
              <w:rPr>
                <w:noProof/>
                <w:webHidden/>
              </w:rPr>
            </w:r>
            <w:r w:rsidR="009E674D">
              <w:rPr>
                <w:noProof/>
                <w:webHidden/>
              </w:rPr>
              <w:fldChar w:fldCharType="separate"/>
            </w:r>
            <w:r w:rsidR="00F84DDB">
              <w:rPr>
                <w:noProof/>
                <w:webHidden/>
              </w:rPr>
              <w:t>22</w:t>
            </w:r>
            <w:r w:rsidR="009E674D">
              <w:rPr>
                <w:noProof/>
                <w:webHidden/>
              </w:rPr>
              <w:fldChar w:fldCharType="end"/>
            </w:r>
          </w:hyperlink>
        </w:p>
        <w:p w14:paraId="74E5F1E1" w14:textId="09C54FCF" w:rsidR="009E674D" w:rsidRDefault="006A7130">
          <w:pPr>
            <w:pStyle w:val="TOC2"/>
            <w:tabs>
              <w:tab w:val="right" w:leader="dot" w:pos="9350"/>
            </w:tabs>
            <w:rPr>
              <w:rFonts w:eastAsiaTheme="minorEastAsia"/>
              <w:noProof/>
            </w:rPr>
          </w:pPr>
          <w:hyperlink w:anchor="_Toc132188435" w:history="1">
            <w:r w:rsidR="009E674D" w:rsidRPr="00A60582">
              <w:rPr>
                <w:rStyle w:val="Hyperlink"/>
                <w:noProof/>
                <w:lang w:val="sq-AL"/>
              </w:rPr>
              <w:t>Objektivi 2: Punësim gjithëpërfshirës</w:t>
            </w:r>
            <w:r w:rsidR="009E674D">
              <w:rPr>
                <w:noProof/>
                <w:webHidden/>
              </w:rPr>
              <w:tab/>
            </w:r>
            <w:r w:rsidR="009E674D">
              <w:rPr>
                <w:noProof/>
                <w:webHidden/>
              </w:rPr>
              <w:fldChar w:fldCharType="begin"/>
            </w:r>
            <w:r w:rsidR="009E674D">
              <w:rPr>
                <w:noProof/>
                <w:webHidden/>
              </w:rPr>
              <w:instrText xml:space="preserve"> PAGEREF _Toc132188435 \h </w:instrText>
            </w:r>
            <w:r w:rsidR="009E674D">
              <w:rPr>
                <w:noProof/>
                <w:webHidden/>
              </w:rPr>
            </w:r>
            <w:r w:rsidR="009E674D">
              <w:rPr>
                <w:noProof/>
                <w:webHidden/>
              </w:rPr>
              <w:fldChar w:fldCharType="separate"/>
            </w:r>
            <w:r w:rsidR="00F84DDB">
              <w:rPr>
                <w:noProof/>
                <w:webHidden/>
              </w:rPr>
              <w:t>23</w:t>
            </w:r>
            <w:r w:rsidR="009E674D">
              <w:rPr>
                <w:noProof/>
                <w:webHidden/>
              </w:rPr>
              <w:fldChar w:fldCharType="end"/>
            </w:r>
          </w:hyperlink>
        </w:p>
        <w:p w14:paraId="347D4A90" w14:textId="178326C0" w:rsidR="009E674D" w:rsidRDefault="006A7130">
          <w:pPr>
            <w:pStyle w:val="TOC3"/>
            <w:tabs>
              <w:tab w:val="right" w:leader="dot" w:pos="9350"/>
            </w:tabs>
            <w:rPr>
              <w:rFonts w:eastAsiaTheme="minorEastAsia"/>
              <w:noProof/>
            </w:rPr>
          </w:pPr>
          <w:hyperlink w:anchor="_Toc132188436" w:history="1">
            <w:r w:rsidR="009E674D" w:rsidRPr="00A60582">
              <w:rPr>
                <w:rStyle w:val="Hyperlink"/>
                <w:noProof/>
                <w:lang w:val="sq-AL"/>
              </w:rPr>
              <w:t>Objektivi specifik 2.1: Zvogëlimi i hendekut të shkathtësive në tregun e punës</w:t>
            </w:r>
            <w:r w:rsidR="009E674D">
              <w:rPr>
                <w:noProof/>
                <w:webHidden/>
              </w:rPr>
              <w:tab/>
            </w:r>
            <w:r w:rsidR="009E674D">
              <w:rPr>
                <w:noProof/>
                <w:webHidden/>
              </w:rPr>
              <w:fldChar w:fldCharType="begin"/>
            </w:r>
            <w:r w:rsidR="009E674D">
              <w:rPr>
                <w:noProof/>
                <w:webHidden/>
              </w:rPr>
              <w:instrText xml:space="preserve"> PAGEREF _Toc132188436 \h </w:instrText>
            </w:r>
            <w:r w:rsidR="009E674D">
              <w:rPr>
                <w:noProof/>
                <w:webHidden/>
              </w:rPr>
            </w:r>
            <w:r w:rsidR="009E674D">
              <w:rPr>
                <w:noProof/>
                <w:webHidden/>
              </w:rPr>
              <w:fldChar w:fldCharType="separate"/>
            </w:r>
            <w:r w:rsidR="00F84DDB">
              <w:rPr>
                <w:noProof/>
                <w:webHidden/>
              </w:rPr>
              <w:t>23</w:t>
            </w:r>
            <w:r w:rsidR="009E674D">
              <w:rPr>
                <w:noProof/>
                <w:webHidden/>
              </w:rPr>
              <w:fldChar w:fldCharType="end"/>
            </w:r>
          </w:hyperlink>
        </w:p>
        <w:p w14:paraId="45A239AC" w14:textId="5FF34C87" w:rsidR="009E674D" w:rsidRDefault="006A7130">
          <w:pPr>
            <w:pStyle w:val="TOC3"/>
            <w:tabs>
              <w:tab w:val="right" w:leader="dot" w:pos="9350"/>
            </w:tabs>
            <w:rPr>
              <w:rFonts w:eastAsiaTheme="minorEastAsia"/>
              <w:noProof/>
            </w:rPr>
          </w:pPr>
          <w:hyperlink w:anchor="_Toc132188437" w:history="1">
            <w:r w:rsidR="009E674D" w:rsidRPr="00A60582">
              <w:rPr>
                <w:rStyle w:val="Hyperlink"/>
                <w:noProof/>
                <w:lang w:val="sq-AL"/>
              </w:rPr>
              <w:t>Objektivi specifik 2.2: Rritja e punësimit të dinjitetshëm për gra, të rinj dhe kategori të cenueshme</w:t>
            </w:r>
            <w:r w:rsidR="009E674D">
              <w:rPr>
                <w:noProof/>
                <w:webHidden/>
              </w:rPr>
              <w:tab/>
            </w:r>
            <w:r w:rsidR="009E674D">
              <w:rPr>
                <w:noProof/>
                <w:webHidden/>
              </w:rPr>
              <w:fldChar w:fldCharType="begin"/>
            </w:r>
            <w:r w:rsidR="009E674D">
              <w:rPr>
                <w:noProof/>
                <w:webHidden/>
              </w:rPr>
              <w:instrText xml:space="preserve"> PAGEREF _Toc132188437 \h </w:instrText>
            </w:r>
            <w:r w:rsidR="009E674D">
              <w:rPr>
                <w:noProof/>
                <w:webHidden/>
              </w:rPr>
            </w:r>
            <w:r w:rsidR="009E674D">
              <w:rPr>
                <w:noProof/>
                <w:webHidden/>
              </w:rPr>
              <w:fldChar w:fldCharType="separate"/>
            </w:r>
            <w:r w:rsidR="00F84DDB">
              <w:rPr>
                <w:noProof/>
                <w:webHidden/>
              </w:rPr>
              <w:t>23</w:t>
            </w:r>
            <w:r w:rsidR="009E674D">
              <w:rPr>
                <w:noProof/>
                <w:webHidden/>
              </w:rPr>
              <w:fldChar w:fldCharType="end"/>
            </w:r>
          </w:hyperlink>
        </w:p>
        <w:p w14:paraId="7B8B60A2" w14:textId="342E68D5" w:rsidR="009E674D" w:rsidRDefault="006A7130">
          <w:pPr>
            <w:pStyle w:val="TOC2"/>
            <w:tabs>
              <w:tab w:val="right" w:leader="dot" w:pos="9350"/>
            </w:tabs>
            <w:rPr>
              <w:rFonts w:eastAsiaTheme="minorEastAsia"/>
              <w:noProof/>
            </w:rPr>
          </w:pPr>
          <w:hyperlink w:anchor="_Toc132188438" w:history="1">
            <w:r w:rsidR="009E674D" w:rsidRPr="00A60582">
              <w:rPr>
                <w:rStyle w:val="Hyperlink"/>
                <w:rFonts w:eastAsia="Times New Roman"/>
                <w:noProof/>
                <w:lang w:val="sq-AL"/>
              </w:rPr>
              <w:t>Objektivi 3: Infrastrukturë lokale e përmirësuar</w:t>
            </w:r>
            <w:r w:rsidR="009E674D">
              <w:rPr>
                <w:noProof/>
                <w:webHidden/>
              </w:rPr>
              <w:tab/>
            </w:r>
            <w:r w:rsidR="009E674D">
              <w:rPr>
                <w:noProof/>
                <w:webHidden/>
              </w:rPr>
              <w:fldChar w:fldCharType="begin"/>
            </w:r>
            <w:r w:rsidR="009E674D">
              <w:rPr>
                <w:noProof/>
                <w:webHidden/>
              </w:rPr>
              <w:instrText xml:space="preserve"> PAGEREF _Toc132188438 \h </w:instrText>
            </w:r>
            <w:r w:rsidR="009E674D">
              <w:rPr>
                <w:noProof/>
                <w:webHidden/>
              </w:rPr>
            </w:r>
            <w:r w:rsidR="009E674D">
              <w:rPr>
                <w:noProof/>
                <w:webHidden/>
              </w:rPr>
              <w:fldChar w:fldCharType="separate"/>
            </w:r>
            <w:r w:rsidR="00F84DDB">
              <w:rPr>
                <w:noProof/>
                <w:webHidden/>
              </w:rPr>
              <w:t>24</w:t>
            </w:r>
            <w:r w:rsidR="009E674D">
              <w:rPr>
                <w:noProof/>
                <w:webHidden/>
              </w:rPr>
              <w:fldChar w:fldCharType="end"/>
            </w:r>
          </w:hyperlink>
        </w:p>
        <w:p w14:paraId="2D072F4C" w14:textId="557BF35C" w:rsidR="009E674D" w:rsidRDefault="006A7130">
          <w:pPr>
            <w:pStyle w:val="TOC3"/>
            <w:tabs>
              <w:tab w:val="right" w:leader="dot" w:pos="9350"/>
            </w:tabs>
            <w:rPr>
              <w:rFonts w:eastAsiaTheme="minorEastAsia"/>
              <w:noProof/>
            </w:rPr>
          </w:pPr>
          <w:hyperlink w:anchor="_Toc132188439" w:history="1">
            <w:r w:rsidR="009E674D" w:rsidRPr="00A60582">
              <w:rPr>
                <w:rStyle w:val="Hyperlink"/>
                <w:rFonts w:eastAsia="Times New Roman"/>
                <w:noProof/>
                <w:lang w:val="sq-AL"/>
              </w:rPr>
              <w:t xml:space="preserve">Objektivi specifik 3.1. Përmirësimi infrastrukturës së transportit lokal dhe </w:t>
            </w:r>
            <w:r w:rsidR="009E674D" w:rsidRPr="00A60582">
              <w:rPr>
                <w:rStyle w:val="Hyperlink"/>
                <w:noProof/>
                <w:lang w:val="sq-AL"/>
              </w:rPr>
              <w:t>shërbimeve</w:t>
            </w:r>
            <w:r w:rsidR="009E674D">
              <w:rPr>
                <w:noProof/>
                <w:webHidden/>
              </w:rPr>
              <w:tab/>
            </w:r>
            <w:r w:rsidR="009E674D">
              <w:rPr>
                <w:noProof/>
                <w:webHidden/>
              </w:rPr>
              <w:fldChar w:fldCharType="begin"/>
            </w:r>
            <w:r w:rsidR="009E674D">
              <w:rPr>
                <w:noProof/>
                <w:webHidden/>
              </w:rPr>
              <w:instrText xml:space="preserve"> PAGEREF _Toc132188439 \h </w:instrText>
            </w:r>
            <w:r w:rsidR="009E674D">
              <w:rPr>
                <w:noProof/>
                <w:webHidden/>
              </w:rPr>
            </w:r>
            <w:r w:rsidR="009E674D">
              <w:rPr>
                <w:noProof/>
                <w:webHidden/>
              </w:rPr>
              <w:fldChar w:fldCharType="separate"/>
            </w:r>
            <w:r w:rsidR="00F84DDB">
              <w:rPr>
                <w:noProof/>
                <w:webHidden/>
              </w:rPr>
              <w:t>24</w:t>
            </w:r>
            <w:r w:rsidR="009E674D">
              <w:rPr>
                <w:noProof/>
                <w:webHidden/>
              </w:rPr>
              <w:fldChar w:fldCharType="end"/>
            </w:r>
          </w:hyperlink>
        </w:p>
        <w:p w14:paraId="07AE479C" w14:textId="750AF26C" w:rsidR="009E674D" w:rsidRDefault="006A7130">
          <w:pPr>
            <w:pStyle w:val="TOC3"/>
            <w:tabs>
              <w:tab w:val="right" w:leader="dot" w:pos="9350"/>
            </w:tabs>
            <w:rPr>
              <w:rFonts w:eastAsiaTheme="minorEastAsia"/>
              <w:noProof/>
            </w:rPr>
          </w:pPr>
          <w:hyperlink w:anchor="_Toc132188440" w:history="1">
            <w:r w:rsidR="009E674D" w:rsidRPr="00A60582">
              <w:rPr>
                <w:rStyle w:val="Hyperlink"/>
                <w:noProof/>
                <w:lang w:val="sq-AL"/>
              </w:rPr>
              <w:t>Objektivi specifik 3.2: Sigurimi i qasjes në infrastrukturë përcjellëse</w:t>
            </w:r>
            <w:r w:rsidR="009E674D">
              <w:rPr>
                <w:noProof/>
                <w:webHidden/>
              </w:rPr>
              <w:tab/>
            </w:r>
            <w:r w:rsidR="009E674D">
              <w:rPr>
                <w:noProof/>
                <w:webHidden/>
              </w:rPr>
              <w:fldChar w:fldCharType="begin"/>
            </w:r>
            <w:r w:rsidR="009E674D">
              <w:rPr>
                <w:noProof/>
                <w:webHidden/>
              </w:rPr>
              <w:instrText xml:space="preserve"> PAGEREF _Toc132188440 \h </w:instrText>
            </w:r>
            <w:r w:rsidR="009E674D">
              <w:rPr>
                <w:noProof/>
                <w:webHidden/>
              </w:rPr>
            </w:r>
            <w:r w:rsidR="009E674D">
              <w:rPr>
                <w:noProof/>
                <w:webHidden/>
              </w:rPr>
              <w:fldChar w:fldCharType="separate"/>
            </w:r>
            <w:r w:rsidR="00F84DDB">
              <w:rPr>
                <w:noProof/>
                <w:webHidden/>
              </w:rPr>
              <w:t>25</w:t>
            </w:r>
            <w:r w:rsidR="009E674D">
              <w:rPr>
                <w:noProof/>
                <w:webHidden/>
              </w:rPr>
              <w:fldChar w:fldCharType="end"/>
            </w:r>
          </w:hyperlink>
        </w:p>
        <w:p w14:paraId="43FDECB6" w14:textId="04E08874" w:rsidR="009E674D" w:rsidRDefault="006A7130">
          <w:pPr>
            <w:pStyle w:val="TOC3"/>
            <w:tabs>
              <w:tab w:val="right" w:leader="dot" w:pos="9350"/>
            </w:tabs>
            <w:rPr>
              <w:rFonts w:eastAsiaTheme="minorEastAsia"/>
              <w:noProof/>
            </w:rPr>
          </w:pPr>
          <w:hyperlink w:anchor="_Toc132188441" w:history="1">
            <w:r w:rsidR="009E674D" w:rsidRPr="00A60582">
              <w:rPr>
                <w:rStyle w:val="Hyperlink"/>
                <w:noProof/>
                <w:lang w:val="sq-AL"/>
              </w:rPr>
              <w:t>Objektivi specifik 3.3: Menaxhimi i integruar i mbeturinave</w:t>
            </w:r>
            <w:r w:rsidR="009E674D">
              <w:rPr>
                <w:noProof/>
                <w:webHidden/>
              </w:rPr>
              <w:tab/>
            </w:r>
            <w:r w:rsidR="009E674D">
              <w:rPr>
                <w:noProof/>
                <w:webHidden/>
              </w:rPr>
              <w:fldChar w:fldCharType="begin"/>
            </w:r>
            <w:r w:rsidR="009E674D">
              <w:rPr>
                <w:noProof/>
                <w:webHidden/>
              </w:rPr>
              <w:instrText xml:space="preserve"> PAGEREF _Toc132188441 \h </w:instrText>
            </w:r>
            <w:r w:rsidR="009E674D">
              <w:rPr>
                <w:noProof/>
                <w:webHidden/>
              </w:rPr>
            </w:r>
            <w:r w:rsidR="009E674D">
              <w:rPr>
                <w:noProof/>
                <w:webHidden/>
              </w:rPr>
              <w:fldChar w:fldCharType="separate"/>
            </w:r>
            <w:r w:rsidR="00F84DDB">
              <w:rPr>
                <w:noProof/>
                <w:webHidden/>
              </w:rPr>
              <w:t>25</w:t>
            </w:r>
            <w:r w:rsidR="009E674D">
              <w:rPr>
                <w:noProof/>
                <w:webHidden/>
              </w:rPr>
              <w:fldChar w:fldCharType="end"/>
            </w:r>
          </w:hyperlink>
        </w:p>
        <w:p w14:paraId="7F6ECF11" w14:textId="497A1C15" w:rsidR="009E674D" w:rsidRDefault="006A7130">
          <w:pPr>
            <w:pStyle w:val="TOC3"/>
            <w:tabs>
              <w:tab w:val="right" w:leader="dot" w:pos="9350"/>
            </w:tabs>
            <w:rPr>
              <w:rFonts w:eastAsiaTheme="minorEastAsia"/>
              <w:noProof/>
            </w:rPr>
          </w:pPr>
          <w:hyperlink w:anchor="_Toc132188442" w:history="1">
            <w:r w:rsidR="009E674D" w:rsidRPr="00A60582">
              <w:rPr>
                <w:rStyle w:val="Hyperlink"/>
                <w:rFonts w:eastAsia="Times New Roman"/>
                <w:noProof/>
                <w:lang w:val="sq-AL"/>
              </w:rPr>
              <w:t>Objektivi specifik 3.4: Përmirësimi i efiçencës së energjisë në infrastrukturë</w:t>
            </w:r>
            <w:r w:rsidR="009E674D">
              <w:rPr>
                <w:noProof/>
                <w:webHidden/>
              </w:rPr>
              <w:tab/>
            </w:r>
            <w:r w:rsidR="009E674D">
              <w:rPr>
                <w:noProof/>
                <w:webHidden/>
              </w:rPr>
              <w:fldChar w:fldCharType="begin"/>
            </w:r>
            <w:r w:rsidR="009E674D">
              <w:rPr>
                <w:noProof/>
                <w:webHidden/>
              </w:rPr>
              <w:instrText xml:space="preserve"> PAGEREF _Toc132188442 \h </w:instrText>
            </w:r>
            <w:r w:rsidR="009E674D">
              <w:rPr>
                <w:noProof/>
                <w:webHidden/>
              </w:rPr>
            </w:r>
            <w:r w:rsidR="009E674D">
              <w:rPr>
                <w:noProof/>
                <w:webHidden/>
              </w:rPr>
              <w:fldChar w:fldCharType="separate"/>
            </w:r>
            <w:r w:rsidR="00F84DDB">
              <w:rPr>
                <w:noProof/>
                <w:webHidden/>
              </w:rPr>
              <w:t>26</w:t>
            </w:r>
            <w:r w:rsidR="009E674D">
              <w:rPr>
                <w:noProof/>
                <w:webHidden/>
              </w:rPr>
              <w:fldChar w:fldCharType="end"/>
            </w:r>
          </w:hyperlink>
        </w:p>
        <w:p w14:paraId="590AADEB" w14:textId="1EFFC3E0" w:rsidR="009E674D" w:rsidRDefault="006A7130">
          <w:pPr>
            <w:pStyle w:val="TOC2"/>
            <w:tabs>
              <w:tab w:val="right" w:leader="dot" w:pos="9350"/>
            </w:tabs>
            <w:rPr>
              <w:rFonts w:eastAsiaTheme="minorEastAsia"/>
              <w:noProof/>
            </w:rPr>
          </w:pPr>
          <w:hyperlink w:anchor="_Toc132188443" w:history="1">
            <w:r w:rsidR="009E674D" w:rsidRPr="00A60582">
              <w:rPr>
                <w:rStyle w:val="Hyperlink"/>
                <w:rFonts w:eastAsia="Times New Roman"/>
                <w:noProof/>
                <w:lang w:val="sq-AL"/>
              </w:rPr>
              <w:t>Objektivi 4: Qeverisje ekonomike efektive dhe bashkëpunuese</w:t>
            </w:r>
            <w:r w:rsidR="009E674D">
              <w:rPr>
                <w:noProof/>
                <w:webHidden/>
              </w:rPr>
              <w:tab/>
            </w:r>
            <w:r w:rsidR="009E674D">
              <w:rPr>
                <w:noProof/>
                <w:webHidden/>
              </w:rPr>
              <w:fldChar w:fldCharType="begin"/>
            </w:r>
            <w:r w:rsidR="009E674D">
              <w:rPr>
                <w:noProof/>
                <w:webHidden/>
              </w:rPr>
              <w:instrText xml:space="preserve"> PAGEREF _Toc132188443 \h </w:instrText>
            </w:r>
            <w:r w:rsidR="009E674D">
              <w:rPr>
                <w:noProof/>
                <w:webHidden/>
              </w:rPr>
            </w:r>
            <w:r w:rsidR="009E674D">
              <w:rPr>
                <w:noProof/>
                <w:webHidden/>
              </w:rPr>
              <w:fldChar w:fldCharType="separate"/>
            </w:r>
            <w:r w:rsidR="00F84DDB">
              <w:rPr>
                <w:noProof/>
                <w:webHidden/>
              </w:rPr>
              <w:t>26</w:t>
            </w:r>
            <w:r w:rsidR="009E674D">
              <w:rPr>
                <w:noProof/>
                <w:webHidden/>
              </w:rPr>
              <w:fldChar w:fldCharType="end"/>
            </w:r>
          </w:hyperlink>
        </w:p>
        <w:p w14:paraId="09BEFC32" w14:textId="3FB8DBC9" w:rsidR="009E674D" w:rsidRDefault="006A7130">
          <w:pPr>
            <w:pStyle w:val="TOC3"/>
            <w:tabs>
              <w:tab w:val="right" w:leader="dot" w:pos="9350"/>
            </w:tabs>
            <w:rPr>
              <w:rFonts w:eastAsiaTheme="minorEastAsia"/>
              <w:noProof/>
            </w:rPr>
          </w:pPr>
          <w:hyperlink w:anchor="_Toc132188444" w:history="1">
            <w:r w:rsidR="009E674D" w:rsidRPr="00A60582">
              <w:rPr>
                <w:rStyle w:val="Hyperlink"/>
                <w:rFonts w:eastAsia="Times New Roman"/>
                <w:noProof/>
                <w:lang w:val="sq-AL"/>
              </w:rPr>
              <w:t>Objektivi specifik 4.1: Financa të pushtetit lokal të qëndrueshme dhe efektive</w:t>
            </w:r>
            <w:r w:rsidR="009E674D">
              <w:rPr>
                <w:noProof/>
                <w:webHidden/>
              </w:rPr>
              <w:tab/>
            </w:r>
            <w:r w:rsidR="009E674D">
              <w:rPr>
                <w:noProof/>
                <w:webHidden/>
              </w:rPr>
              <w:fldChar w:fldCharType="begin"/>
            </w:r>
            <w:r w:rsidR="009E674D">
              <w:rPr>
                <w:noProof/>
                <w:webHidden/>
              </w:rPr>
              <w:instrText xml:space="preserve"> PAGEREF _Toc132188444 \h </w:instrText>
            </w:r>
            <w:r w:rsidR="009E674D">
              <w:rPr>
                <w:noProof/>
                <w:webHidden/>
              </w:rPr>
            </w:r>
            <w:r w:rsidR="009E674D">
              <w:rPr>
                <w:noProof/>
                <w:webHidden/>
              </w:rPr>
              <w:fldChar w:fldCharType="separate"/>
            </w:r>
            <w:r w:rsidR="00F84DDB">
              <w:rPr>
                <w:noProof/>
                <w:webHidden/>
              </w:rPr>
              <w:t>27</w:t>
            </w:r>
            <w:r w:rsidR="009E674D">
              <w:rPr>
                <w:noProof/>
                <w:webHidden/>
              </w:rPr>
              <w:fldChar w:fldCharType="end"/>
            </w:r>
          </w:hyperlink>
        </w:p>
        <w:p w14:paraId="7EDDCC3F" w14:textId="53BFA93C" w:rsidR="009E674D" w:rsidRDefault="006A7130">
          <w:pPr>
            <w:pStyle w:val="TOC3"/>
            <w:tabs>
              <w:tab w:val="right" w:leader="dot" w:pos="9350"/>
            </w:tabs>
            <w:rPr>
              <w:rFonts w:eastAsiaTheme="minorEastAsia"/>
              <w:noProof/>
            </w:rPr>
          </w:pPr>
          <w:hyperlink w:anchor="_Toc132188445" w:history="1">
            <w:r w:rsidR="009E674D" w:rsidRPr="00A60582">
              <w:rPr>
                <w:rStyle w:val="Hyperlink"/>
                <w:rFonts w:eastAsia="Times New Roman"/>
                <w:noProof/>
                <w:lang w:val="sq-AL"/>
              </w:rPr>
              <w:t>Objektivi specifik 4.2: Avancimi i proceseve dhe resurseve në planifikimin dhe zhvillimin e politikave lokale</w:t>
            </w:r>
            <w:r w:rsidR="009E674D">
              <w:rPr>
                <w:noProof/>
                <w:webHidden/>
              </w:rPr>
              <w:tab/>
            </w:r>
            <w:r w:rsidR="009E674D">
              <w:rPr>
                <w:noProof/>
                <w:webHidden/>
              </w:rPr>
              <w:fldChar w:fldCharType="begin"/>
            </w:r>
            <w:r w:rsidR="009E674D">
              <w:rPr>
                <w:noProof/>
                <w:webHidden/>
              </w:rPr>
              <w:instrText xml:space="preserve"> PAGEREF _Toc132188445 \h </w:instrText>
            </w:r>
            <w:r w:rsidR="009E674D">
              <w:rPr>
                <w:noProof/>
                <w:webHidden/>
              </w:rPr>
            </w:r>
            <w:r w:rsidR="009E674D">
              <w:rPr>
                <w:noProof/>
                <w:webHidden/>
              </w:rPr>
              <w:fldChar w:fldCharType="separate"/>
            </w:r>
            <w:r w:rsidR="00F84DDB">
              <w:rPr>
                <w:noProof/>
                <w:webHidden/>
              </w:rPr>
              <w:t>27</w:t>
            </w:r>
            <w:r w:rsidR="009E674D">
              <w:rPr>
                <w:noProof/>
                <w:webHidden/>
              </w:rPr>
              <w:fldChar w:fldCharType="end"/>
            </w:r>
          </w:hyperlink>
        </w:p>
        <w:p w14:paraId="1DF19509" w14:textId="2FF67A06" w:rsidR="009E674D" w:rsidRDefault="006A7130">
          <w:pPr>
            <w:pStyle w:val="TOC3"/>
            <w:tabs>
              <w:tab w:val="right" w:leader="dot" w:pos="9350"/>
            </w:tabs>
            <w:rPr>
              <w:rFonts w:eastAsiaTheme="minorEastAsia"/>
              <w:noProof/>
            </w:rPr>
          </w:pPr>
          <w:hyperlink w:anchor="_Toc132188446" w:history="1">
            <w:r w:rsidR="009E674D" w:rsidRPr="00A60582">
              <w:rPr>
                <w:rStyle w:val="Hyperlink"/>
                <w:rFonts w:eastAsia="Times New Roman"/>
                <w:noProof/>
                <w:lang w:val="sq-AL"/>
              </w:rPr>
              <w:t>Objektivi specifik 4.3: Përmirësimi i shërbimit dhe p</w:t>
            </w:r>
            <w:r w:rsidR="009E674D" w:rsidRPr="00A60582">
              <w:rPr>
                <w:rStyle w:val="Hyperlink"/>
                <w:noProof/>
                <w:lang w:val="sq-AL"/>
              </w:rPr>
              <w:t>ërgjegjshmërisë komunale</w:t>
            </w:r>
            <w:r w:rsidR="009E674D">
              <w:rPr>
                <w:noProof/>
                <w:webHidden/>
              </w:rPr>
              <w:tab/>
            </w:r>
            <w:r w:rsidR="009E674D">
              <w:rPr>
                <w:noProof/>
                <w:webHidden/>
              </w:rPr>
              <w:fldChar w:fldCharType="begin"/>
            </w:r>
            <w:r w:rsidR="009E674D">
              <w:rPr>
                <w:noProof/>
                <w:webHidden/>
              </w:rPr>
              <w:instrText xml:space="preserve"> PAGEREF _Toc132188446 \h </w:instrText>
            </w:r>
            <w:r w:rsidR="009E674D">
              <w:rPr>
                <w:noProof/>
                <w:webHidden/>
              </w:rPr>
            </w:r>
            <w:r w:rsidR="009E674D">
              <w:rPr>
                <w:noProof/>
                <w:webHidden/>
              </w:rPr>
              <w:fldChar w:fldCharType="separate"/>
            </w:r>
            <w:r w:rsidR="00F84DDB">
              <w:rPr>
                <w:noProof/>
                <w:webHidden/>
              </w:rPr>
              <w:t>28</w:t>
            </w:r>
            <w:r w:rsidR="009E674D">
              <w:rPr>
                <w:noProof/>
                <w:webHidden/>
              </w:rPr>
              <w:fldChar w:fldCharType="end"/>
            </w:r>
          </w:hyperlink>
        </w:p>
        <w:p w14:paraId="57EF2F64" w14:textId="5FDB80F6" w:rsidR="009E674D" w:rsidRDefault="006A7130">
          <w:pPr>
            <w:pStyle w:val="TOC3"/>
            <w:tabs>
              <w:tab w:val="right" w:leader="dot" w:pos="9350"/>
            </w:tabs>
            <w:rPr>
              <w:rFonts w:eastAsiaTheme="minorEastAsia"/>
              <w:noProof/>
            </w:rPr>
          </w:pPr>
          <w:hyperlink w:anchor="_Toc132188447" w:history="1">
            <w:r w:rsidR="009E674D" w:rsidRPr="00A60582">
              <w:rPr>
                <w:rStyle w:val="Hyperlink"/>
                <w:rFonts w:eastAsia="Times New Roman"/>
                <w:noProof/>
                <w:lang w:val="sq-AL"/>
              </w:rPr>
              <w:t>Objektivi specifik 4.4: Forcimi i partneritetit për zhvillim ekonomik lokal</w:t>
            </w:r>
            <w:r w:rsidR="009E674D">
              <w:rPr>
                <w:noProof/>
                <w:webHidden/>
              </w:rPr>
              <w:tab/>
            </w:r>
            <w:r w:rsidR="009E674D">
              <w:rPr>
                <w:noProof/>
                <w:webHidden/>
              </w:rPr>
              <w:fldChar w:fldCharType="begin"/>
            </w:r>
            <w:r w:rsidR="009E674D">
              <w:rPr>
                <w:noProof/>
                <w:webHidden/>
              </w:rPr>
              <w:instrText xml:space="preserve"> PAGEREF _Toc132188447 \h </w:instrText>
            </w:r>
            <w:r w:rsidR="009E674D">
              <w:rPr>
                <w:noProof/>
                <w:webHidden/>
              </w:rPr>
            </w:r>
            <w:r w:rsidR="009E674D">
              <w:rPr>
                <w:noProof/>
                <w:webHidden/>
              </w:rPr>
              <w:fldChar w:fldCharType="separate"/>
            </w:r>
            <w:r w:rsidR="00F84DDB">
              <w:rPr>
                <w:noProof/>
                <w:webHidden/>
              </w:rPr>
              <w:t>29</w:t>
            </w:r>
            <w:r w:rsidR="009E674D">
              <w:rPr>
                <w:noProof/>
                <w:webHidden/>
              </w:rPr>
              <w:fldChar w:fldCharType="end"/>
            </w:r>
          </w:hyperlink>
        </w:p>
        <w:p w14:paraId="0DFA0737" w14:textId="04D9D34E" w:rsidR="009E674D" w:rsidRDefault="006A7130">
          <w:pPr>
            <w:pStyle w:val="TOC2"/>
            <w:tabs>
              <w:tab w:val="right" w:leader="dot" w:pos="9350"/>
            </w:tabs>
            <w:rPr>
              <w:rFonts w:eastAsiaTheme="minorEastAsia"/>
              <w:noProof/>
            </w:rPr>
          </w:pPr>
          <w:hyperlink w:anchor="_Toc132188448" w:history="1">
            <w:r w:rsidR="009E674D" w:rsidRPr="00A60582">
              <w:rPr>
                <w:rStyle w:val="Hyperlink"/>
                <w:noProof/>
                <w:lang w:val="sq-AL"/>
              </w:rPr>
              <w:t>Treguesit</w:t>
            </w:r>
            <w:r w:rsidR="009E674D">
              <w:rPr>
                <w:noProof/>
                <w:webHidden/>
              </w:rPr>
              <w:tab/>
            </w:r>
            <w:r w:rsidR="009E674D">
              <w:rPr>
                <w:noProof/>
                <w:webHidden/>
              </w:rPr>
              <w:fldChar w:fldCharType="begin"/>
            </w:r>
            <w:r w:rsidR="009E674D">
              <w:rPr>
                <w:noProof/>
                <w:webHidden/>
              </w:rPr>
              <w:instrText xml:space="preserve"> PAGEREF _Toc132188448 \h </w:instrText>
            </w:r>
            <w:r w:rsidR="009E674D">
              <w:rPr>
                <w:noProof/>
                <w:webHidden/>
              </w:rPr>
            </w:r>
            <w:r w:rsidR="009E674D">
              <w:rPr>
                <w:noProof/>
                <w:webHidden/>
              </w:rPr>
              <w:fldChar w:fldCharType="separate"/>
            </w:r>
            <w:r w:rsidR="00F84DDB">
              <w:rPr>
                <w:noProof/>
                <w:webHidden/>
              </w:rPr>
              <w:t>30</w:t>
            </w:r>
            <w:r w:rsidR="009E674D">
              <w:rPr>
                <w:noProof/>
                <w:webHidden/>
              </w:rPr>
              <w:fldChar w:fldCharType="end"/>
            </w:r>
          </w:hyperlink>
        </w:p>
        <w:p w14:paraId="4BF3946F" w14:textId="094079A0" w:rsidR="009E674D" w:rsidRDefault="006A7130">
          <w:pPr>
            <w:pStyle w:val="TOC1"/>
            <w:tabs>
              <w:tab w:val="left" w:pos="440"/>
            </w:tabs>
            <w:rPr>
              <w:rFonts w:eastAsiaTheme="minorEastAsia"/>
              <w:b w:val="0"/>
              <w:lang w:val="en-US"/>
            </w:rPr>
          </w:pPr>
          <w:hyperlink w:anchor="_Toc132188449" w:history="1">
            <w:r w:rsidR="009E674D" w:rsidRPr="00A60582">
              <w:rPr>
                <w:rStyle w:val="Hyperlink"/>
              </w:rPr>
              <w:t>8.</w:t>
            </w:r>
            <w:r w:rsidR="009E674D">
              <w:rPr>
                <w:rFonts w:eastAsiaTheme="minorEastAsia"/>
                <w:b w:val="0"/>
                <w:lang w:val="en-US"/>
              </w:rPr>
              <w:tab/>
            </w:r>
            <w:r w:rsidR="009E674D" w:rsidRPr="00A60582">
              <w:rPr>
                <w:rStyle w:val="Hyperlink"/>
              </w:rPr>
              <w:t>Zbatimi, monitorimi, raportimi dhe vlerësimi</w:t>
            </w:r>
            <w:r w:rsidR="009E674D">
              <w:rPr>
                <w:webHidden/>
              </w:rPr>
              <w:tab/>
            </w:r>
            <w:r w:rsidR="009E674D">
              <w:rPr>
                <w:webHidden/>
              </w:rPr>
              <w:fldChar w:fldCharType="begin"/>
            </w:r>
            <w:r w:rsidR="009E674D">
              <w:rPr>
                <w:webHidden/>
              </w:rPr>
              <w:instrText xml:space="preserve"> PAGEREF _Toc132188449 \h </w:instrText>
            </w:r>
            <w:r w:rsidR="009E674D">
              <w:rPr>
                <w:webHidden/>
              </w:rPr>
            </w:r>
            <w:r w:rsidR="009E674D">
              <w:rPr>
                <w:webHidden/>
              </w:rPr>
              <w:fldChar w:fldCharType="separate"/>
            </w:r>
            <w:r w:rsidR="00F84DDB">
              <w:rPr>
                <w:webHidden/>
              </w:rPr>
              <w:t>33</w:t>
            </w:r>
            <w:r w:rsidR="009E674D">
              <w:rPr>
                <w:webHidden/>
              </w:rPr>
              <w:fldChar w:fldCharType="end"/>
            </w:r>
          </w:hyperlink>
        </w:p>
        <w:p w14:paraId="5A923CCA" w14:textId="5C28F1EE" w:rsidR="009E674D" w:rsidRDefault="006A7130">
          <w:pPr>
            <w:pStyle w:val="TOC1"/>
            <w:tabs>
              <w:tab w:val="left" w:pos="440"/>
            </w:tabs>
            <w:rPr>
              <w:rFonts w:eastAsiaTheme="minorEastAsia"/>
              <w:b w:val="0"/>
              <w:lang w:val="en-US"/>
            </w:rPr>
          </w:pPr>
          <w:hyperlink w:anchor="_Toc132188450" w:history="1">
            <w:r w:rsidR="009E674D" w:rsidRPr="00A60582">
              <w:rPr>
                <w:rStyle w:val="Hyperlink"/>
              </w:rPr>
              <w:t>9.</w:t>
            </w:r>
            <w:r w:rsidR="009E674D">
              <w:rPr>
                <w:rFonts w:eastAsiaTheme="minorEastAsia"/>
                <w:b w:val="0"/>
                <w:lang w:val="en-US"/>
              </w:rPr>
              <w:tab/>
            </w:r>
            <w:r w:rsidR="009E674D" w:rsidRPr="00A60582">
              <w:rPr>
                <w:rStyle w:val="Hyperlink"/>
              </w:rPr>
              <w:t>Ndikimi financiar</w:t>
            </w:r>
            <w:r w:rsidR="009E674D">
              <w:rPr>
                <w:webHidden/>
              </w:rPr>
              <w:tab/>
            </w:r>
            <w:r w:rsidR="009E674D">
              <w:rPr>
                <w:webHidden/>
              </w:rPr>
              <w:fldChar w:fldCharType="begin"/>
            </w:r>
            <w:r w:rsidR="009E674D">
              <w:rPr>
                <w:webHidden/>
              </w:rPr>
              <w:instrText xml:space="preserve"> PAGEREF _Toc132188450 \h </w:instrText>
            </w:r>
            <w:r w:rsidR="009E674D">
              <w:rPr>
                <w:webHidden/>
              </w:rPr>
            </w:r>
            <w:r w:rsidR="009E674D">
              <w:rPr>
                <w:webHidden/>
              </w:rPr>
              <w:fldChar w:fldCharType="separate"/>
            </w:r>
            <w:r w:rsidR="00F84DDB">
              <w:rPr>
                <w:webHidden/>
              </w:rPr>
              <w:t>34</w:t>
            </w:r>
            <w:r w:rsidR="009E674D">
              <w:rPr>
                <w:webHidden/>
              </w:rPr>
              <w:fldChar w:fldCharType="end"/>
            </w:r>
          </w:hyperlink>
        </w:p>
        <w:p w14:paraId="38A65099" w14:textId="7BE006FB" w:rsidR="00F61FB7" w:rsidRPr="009E674D" w:rsidRDefault="006A7130" w:rsidP="009E674D">
          <w:pPr>
            <w:pStyle w:val="TOC1"/>
            <w:rPr>
              <w:bCs/>
            </w:rPr>
          </w:pPr>
          <w:hyperlink w:anchor="_Toc132188451" w:history="1">
            <w:r w:rsidR="009E674D" w:rsidRPr="00A60582">
              <w:rPr>
                <w:rStyle w:val="Hyperlink"/>
              </w:rPr>
              <w:t>Shto</w:t>
            </w:r>
            <w:r w:rsidR="009E674D">
              <w:rPr>
                <w:rStyle w:val="Hyperlink"/>
              </w:rPr>
              <w:t>jcat</w:t>
            </w:r>
            <w:r w:rsidR="009E674D">
              <w:rPr>
                <w:webHidden/>
              </w:rPr>
              <w:tab/>
            </w:r>
            <w:r w:rsidR="009E674D">
              <w:rPr>
                <w:webHidden/>
              </w:rPr>
              <w:fldChar w:fldCharType="begin"/>
            </w:r>
            <w:r w:rsidR="009E674D">
              <w:rPr>
                <w:webHidden/>
              </w:rPr>
              <w:instrText xml:space="preserve"> PAGEREF _Toc132188451 \h </w:instrText>
            </w:r>
            <w:r w:rsidR="009E674D">
              <w:rPr>
                <w:webHidden/>
              </w:rPr>
            </w:r>
            <w:r w:rsidR="009E674D">
              <w:rPr>
                <w:webHidden/>
              </w:rPr>
              <w:fldChar w:fldCharType="separate"/>
            </w:r>
            <w:r w:rsidR="00F84DDB">
              <w:rPr>
                <w:webHidden/>
              </w:rPr>
              <w:t>35</w:t>
            </w:r>
            <w:r w:rsidR="009E674D">
              <w:rPr>
                <w:webHidden/>
              </w:rPr>
              <w:fldChar w:fldCharType="end"/>
            </w:r>
          </w:hyperlink>
          <w:r w:rsidR="00467AC9" w:rsidRPr="009E674D">
            <w:rPr>
              <w:b w:val="0"/>
              <w:bCs/>
            </w:rPr>
            <w:fldChar w:fldCharType="end"/>
          </w:r>
        </w:p>
      </w:sdtContent>
    </w:sdt>
    <w:p w14:paraId="5F6ECBBB" w14:textId="77777777" w:rsidR="00A604A8" w:rsidRPr="009E674D" w:rsidRDefault="00467AC9" w:rsidP="00AE4C40">
      <w:pPr>
        <w:pStyle w:val="Heading1"/>
        <w:rPr>
          <w:bCs/>
          <w:lang w:val="sq-AL"/>
        </w:rPr>
      </w:pPr>
      <w:bookmarkStart w:id="1" w:name="_Toc132188422"/>
      <w:r w:rsidRPr="009E674D">
        <w:rPr>
          <w:b/>
          <w:sz w:val="28"/>
          <w:lang w:val="sq-AL"/>
        </w:rPr>
        <w:lastRenderedPageBreak/>
        <w:t>Akronimet</w:t>
      </w:r>
      <w:bookmarkEnd w:id="1"/>
    </w:p>
    <w:p w14:paraId="388AB015" w14:textId="77777777" w:rsidR="00334D5D" w:rsidRPr="009E674D" w:rsidRDefault="00334D5D" w:rsidP="00334D5D">
      <w:pPr>
        <w:rPr>
          <w:lang w:val="sq-AL"/>
        </w:rPr>
      </w:pPr>
    </w:p>
    <w:tbl>
      <w:tblPr>
        <w:tblStyle w:val="TableGrid"/>
        <w:tblW w:w="0" w:type="auto"/>
        <w:tblLook w:val="04A0" w:firstRow="1" w:lastRow="0" w:firstColumn="1" w:lastColumn="0" w:noHBand="0" w:noVBand="1"/>
      </w:tblPr>
      <w:tblGrid>
        <w:gridCol w:w="1795"/>
        <w:gridCol w:w="7555"/>
      </w:tblGrid>
      <w:tr w:rsidR="00F55F39" w:rsidRPr="009E674D" w14:paraId="5BFB644E" w14:textId="77777777" w:rsidTr="00A604A8">
        <w:tc>
          <w:tcPr>
            <w:tcW w:w="1795" w:type="dxa"/>
          </w:tcPr>
          <w:p w14:paraId="3B91E5BA" w14:textId="77777777" w:rsidR="00F55F39" w:rsidRPr="009E674D" w:rsidRDefault="00F55F39" w:rsidP="00334D5D">
            <w:pPr>
              <w:jc w:val="center"/>
              <w:rPr>
                <w:b/>
                <w:lang w:val="sq-AL"/>
              </w:rPr>
            </w:pPr>
            <w:r w:rsidRPr="009E674D">
              <w:rPr>
                <w:b/>
                <w:lang w:val="sq-AL"/>
              </w:rPr>
              <w:t>ARBK</w:t>
            </w:r>
          </w:p>
        </w:tc>
        <w:tc>
          <w:tcPr>
            <w:tcW w:w="7555" w:type="dxa"/>
          </w:tcPr>
          <w:p w14:paraId="6726F113" w14:textId="77777777" w:rsidR="00F55F39" w:rsidRPr="009E674D" w:rsidRDefault="00F55F39" w:rsidP="00F55F39">
            <w:pPr>
              <w:rPr>
                <w:lang w:val="sq-AL"/>
              </w:rPr>
            </w:pPr>
            <w:r w:rsidRPr="009E674D">
              <w:rPr>
                <w:lang w:val="sq-AL"/>
              </w:rPr>
              <w:t>Agjencia e Regjistrimit të Bizneseve të Kosovës</w:t>
            </w:r>
          </w:p>
        </w:tc>
      </w:tr>
      <w:tr w:rsidR="00A604A8" w:rsidRPr="009E674D" w14:paraId="26F4CD43" w14:textId="77777777" w:rsidTr="00A604A8">
        <w:tc>
          <w:tcPr>
            <w:tcW w:w="1795" w:type="dxa"/>
          </w:tcPr>
          <w:p w14:paraId="5643EE95" w14:textId="77777777" w:rsidR="00A604A8" w:rsidRPr="009E674D" w:rsidRDefault="00A604A8" w:rsidP="00334D5D">
            <w:pPr>
              <w:jc w:val="center"/>
              <w:rPr>
                <w:b/>
                <w:lang w:val="sq-AL"/>
              </w:rPr>
            </w:pPr>
            <w:r w:rsidRPr="009E674D">
              <w:rPr>
                <w:b/>
                <w:lang w:val="sq-AL"/>
              </w:rPr>
              <w:t>BB</w:t>
            </w:r>
          </w:p>
        </w:tc>
        <w:tc>
          <w:tcPr>
            <w:tcW w:w="7555" w:type="dxa"/>
          </w:tcPr>
          <w:p w14:paraId="0724B9B3" w14:textId="77777777" w:rsidR="00A604A8" w:rsidRPr="009E674D" w:rsidRDefault="00A604A8" w:rsidP="00A604A8">
            <w:pPr>
              <w:rPr>
                <w:lang w:val="sq-AL"/>
              </w:rPr>
            </w:pPr>
            <w:r w:rsidRPr="009E674D">
              <w:rPr>
                <w:lang w:val="sq-AL"/>
              </w:rPr>
              <w:t>Banka Botërore</w:t>
            </w:r>
          </w:p>
        </w:tc>
      </w:tr>
      <w:tr w:rsidR="00F55F39" w:rsidRPr="009E674D" w14:paraId="706AED2C" w14:textId="77777777" w:rsidTr="00A604A8">
        <w:tc>
          <w:tcPr>
            <w:tcW w:w="1795" w:type="dxa"/>
          </w:tcPr>
          <w:p w14:paraId="187356E3" w14:textId="77777777" w:rsidR="00F55F39" w:rsidRPr="009E674D" w:rsidRDefault="00F55F39" w:rsidP="00334D5D">
            <w:pPr>
              <w:jc w:val="center"/>
              <w:rPr>
                <w:b/>
                <w:lang w:val="sq-AL"/>
              </w:rPr>
            </w:pPr>
            <w:r w:rsidRPr="009E674D">
              <w:rPr>
                <w:b/>
                <w:lang w:val="sq-AL"/>
              </w:rPr>
              <w:t>BE</w:t>
            </w:r>
          </w:p>
        </w:tc>
        <w:tc>
          <w:tcPr>
            <w:tcW w:w="7555" w:type="dxa"/>
          </w:tcPr>
          <w:p w14:paraId="1BD90A40" w14:textId="77777777" w:rsidR="00F55F39" w:rsidRPr="009E674D" w:rsidRDefault="00F55F39" w:rsidP="00A604A8">
            <w:pPr>
              <w:rPr>
                <w:lang w:val="sq-AL"/>
              </w:rPr>
            </w:pPr>
            <w:r w:rsidRPr="009E674D">
              <w:rPr>
                <w:lang w:val="sq-AL"/>
              </w:rPr>
              <w:t xml:space="preserve">Bashkimi Evropian </w:t>
            </w:r>
          </w:p>
        </w:tc>
      </w:tr>
      <w:tr w:rsidR="00373316" w:rsidRPr="009E674D" w14:paraId="7A4D0C72" w14:textId="77777777" w:rsidTr="00A604A8">
        <w:tc>
          <w:tcPr>
            <w:tcW w:w="1795" w:type="dxa"/>
          </w:tcPr>
          <w:p w14:paraId="5119AC77" w14:textId="77777777" w:rsidR="00373316" w:rsidRPr="009E674D" w:rsidRDefault="00373316" w:rsidP="00334D5D">
            <w:pPr>
              <w:jc w:val="center"/>
              <w:rPr>
                <w:b/>
                <w:lang w:val="sq-AL"/>
              </w:rPr>
            </w:pPr>
            <w:r w:rsidRPr="009E674D">
              <w:rPr>
                <w:b/>
                <w:lang w:val="sq-AL"/>
              </w:rPr>
              <w:t>BP</w:t>
            </w:r>
          </w:p>
        </w:tc>
        <w:tc>
          <w:tcPr>
            <w:tcW w:w="7555" w:type="dxa"/>
          </w:tcPr>
          <w:p w14:paraId="60FA3841" w14:textId="77777777" w:rsidR="00373316" w:rsidRPr="009E674D" w:rsidRDefault="00373316" w:rsidP="00A604A8">
            <w:pPr>
              <w:rPr>
                <w:lang w:val="sq-AL"/>
              </w:rPr>
            </w:pPr>
            <w:r w:rsidRPr="009E674D">
              <w:rPr>
                <w:lang w:val="sq-AL"/>
              </w:rPr>
              <w:t>Ballkani Per</w:t>
            </w:r>
            <w:r w:rsidRPr="009E674D">
              <w:rPr>
                <w:rFonts w:ascii="Calibri" w:eastAsia="Times New Roman" w:hAnsi="Calibri" w:cs="Times New Roman"/>
                <w:color w:val="000000" w:themeColor="text1"/>
                <w:lang w:val="sq-AL"/>
              </w:rPr>
              <w:t xml:space="preserve">ëndimor </w:t>
            </w:r>
          </w:p>
        </w:tc>
      </w:tr>
      <w:tr w:rsidR="00553C71" w:rsidRPr="009E674D" w14:paraId="1DBCA749" w14:textId="77777777" w:rsidTr="00A604A8">
        <w:tc>
          <w:tcPr>
            <w:tcW w:w="1795" w:type="dxa"/>
          </w:tcPr>
          <w:p w14:paraId="78E374C3" w14:textId="77777777" w:rsidR="00553C71" w:rsidRPr="009E674D" w:rsidRDefault="00553C71" w:rsidP="00334D5D">
            <w:pPr>
              <w:jc w:val="center"/>
              <w:rPr>
                <w:b/>
                <w:lang w:val="sq-AL"/>
              </w:rPr>
            </w:pPr>
            <w:r w:rsidRPr="009E674D">
              <w:rPr>
                <w:b/>
                <w:lang w:val="sq-AL"/>
              </w:rPr>
              <w:t>DEMOS</w:t>
            </w:r>
          </w:p>
        </w:tc>
        <w:tc>
          <w:tcPr>
            <w:tcW w:w="7555" w:type="dxa"/>
          </w:tcPr>
          <w:p w14:paraId="490346B7" w14:textId="77777777" w:rsidR="00553C71" w:rsidRPr="009E674D" w:rsidRDefault="00553C71" w:rsidP="00A604A8">
            <w:pPr>
              <w:rPr>
                <w:lang w:val="sq-AL"/>
              </w:rPr>
            </w:pPr>
            <w:r w:rsidRPr="009E674D">
              <w:rPr>
                <w:lang w:val="sq-AL"/>
              </w:rPr>
              <w:t>Projekti për Decentralizim dhe Mbështetje të Komunave</w:t>
            </w:r>
          </w:p>
        </w:tc>
      </w:tr>
      <w:tr w:rsidR="00A604A8" w:rsidRPr="009E674D" w14:paraId="11744DEC" w14:textId="77777777" w:rsidTr="00A604A8">
        <w:tc>
          <w:tcPr>
            <w:tcW w:w="1795" w:type="dxa"/>
          </w:tcPr>
          <w:p w14:paraId="696A55F6" w14:textId="77777777" w:rsidR="00A604A8" w:rsidRPr="009E674D" w:rsidRDefault="00A604A8" w:rsidP="00334D5D">
            <w:pPr>
              <w:jc w:val="center"/>
              <w:rPr>
                <w:b/>
                <w:lang w:val="sq-AL"/>
              </w:rPr>
            </w:pPr>
            <w:r w:rsidRPr="009E674D">
              <w:rPr>
                <w:b/>
                <w:lang w:val="sq-AL"/>
              </w:rPr>
              <w:t>IHD</w:t>
            </w:r>
          </w:p>
        </w:tc>
        <w:tc>
          <w:tcPr>
            <w:tcW w:w="7555" w:type="dxa"/>
          </w:tcPr>
          <w:p w14:paraId="2F70B248" w14:textId="77777777" w:rsidR="00A604A8" w:rsidRPr="009E674D" w:rsidRDefault="00A604A8" w:rsidP="00A604A8">
            <w:pPr>
              <w:rPr>
                <w:lang w:val="sq-AL"/>
              </w:rPr>
            </w:pPr>
            <w:r w:rsidRPr="009E674D">
              <w:rPr>
                <w:lang w:val="sq-AL"/>
              </w:rPr>
              <w:t>Investimet e Huaja Direkte</w:t>
            </w:r>
          </w:p>
        </w:tc>
      </w:tr>
      <w:tr w:rsidR="00553C71" w:rsidRPr="009E674D" w14:paraId="4442A961" w14:textId="77777777" w:rsidTr="00A604A8">
        <w:tc>
          <w:tcPr>
            <w:tcW w:w="1795" w:type="dxa"/>
          </w:tcPr>
          <w:p w14:paraId="35DE2170" w14:textId="77777777" w:rsidR="00553C71" w:rsidRPr="009E674D" w:rsidRDefault="00553C71" w:rsidP="00334D5D">
            <w:pPr>
              <w:jc w:val="center"/>
              <w:rPr>
                <w:b/>
                <w:lang w:val="sq-AL"/>
              </w:rPr>
            </w:pPr>
            <w:r w:rsidRPr="009E674D">
              <w:rPr>
                <w:b/>
                <w:lang w:val="sq-AL"/>
              </w:rPr>
              <w:t>MAPL</w:t>
            </w:r>
          </w:p>
        </w:tc>
        <w:tc>
          <w:tcPr>
            <w:tcW w:w="7555" w:type="dxa"/>
          </w:tcPr>
          <w:p w14:paraId="25B5A333" w14:textId="77777777" w:rsidR="00553C71" w:rsidRPr="009E674D" w:rsidRDefault="00553C71" w:rsidP="00A604A8">
            <w:pPr>
              <w:rPr>
                <w:lang w:val="sq-AL"/>
              </w:rPr>
            </w:pPr>
            <w:r w:rsidRPr="009E674D">
              <w:rPr>
                <w:lang w:val="sq-AL"/>
              </w:rPr>
              <w:t>Ministria e Administrimit të Pushtetit Lokal</w:t>
            </w:r>
          </w:p>
        </w:tc>
      </w:tr>
      <w:tr w:rsidR="00553C71" w:rsidRPr="009E674D" w14:paraId="1DF415FF" w14:textId="77777777" w:rsidTr="00A604A8">
        <w:tc>
          <w:tcPr>
            <w:tcW w:w="1795" w:type="dxa"/>
          </w:tcPr>
          <w:p w14:paraId="4C68BD83" w14:textId="77777777" w:rsidR="00553C71" w:rsidRPr="009E674D" w:rsidRDefault="00553C71" w:rsidP="00334D5D">
            <w:pPr>
              <w:jc w:val="center"/>
              <w:rPr>
                <w:b/>
                <w:lang w:val="sq-AL"/>
              </w:rPr>
            </w:pPr>
            <w:r w:rsidRPr="009E674D">
              <w:rPr>
                <w:b/>
                <w:lang w:val="sq-AL"/>
              </w:rPr>
              <w:t>MASHT</w:t>
            </w:r>
          </w:p>
        </w:tc>
        <w:tc>
          <w:tcPr>
            <w:tcW w:w="7555" w:type="dxa"/>
          </w:tcPr>
          <w:p w14:paraId="693B2B2C" w14:textId="77777777" w:rsidR="00553C71" w:rsidRPr="009E674D" w:rsidRDefault="00553C71" w:rsidP="00A604A8">
            <w:pPr>
              <w:rPr>
                <w:lang w:val="sq-AL"/>
              </w:rPr>
            </w:pPr>
            <w:r w:rsidRPr="009E674D">
              <w:rPr>
                <w:lang w:val="sq-AL"/>
              </w:rPr>
              <w:t xml:space="preserve">Ministria e Arsimit Shkencës dhe Teknologjisë dhe Inovacionit </w:t>
            </w:r>
          </w:p>
        </w:tc>
      </w:tr>
      <w:tr w:rsidR="000E639E" w:rsidRPr="009E674D" w14:paraId="3E9105B6" w14:textId="77777777" w:rsidTr="00A604A8">
        <w:tc>
          <w:tcPr>
            <w:tcW w:w="1795" w:type="dxa"/>
          </w:tcPr>
          <w:p w14:paraId="37FC9767" w14:textId="77777777" w:rsidR="000E639E" w:rsidRPr="009E674D" w:rsidRDefault="000E639E" w:rsidP="00334D5D">
            <w:pPr>
              <w:jc w:val="center"/>
              <w:rPr>
                <w:b/>
                <w:lang w:val="sq-AL"/>
              </w:rPr>
            </w:pPr>
            <w:r w:rsidRPr="009E674D">
              <w:rPr>
                <w:b/>
                <w:lang w:val="sq-AL"/>
              </w:rPr>
              <w:t>MATP</w:t>
            </w:r>
          </w:p>
        </w:tc>
        <w:tc>
          <w:tcPr>
            <w:tcW w:w="7555" w:type="dxa"/>
          </w:tcPr>
          <w:p w14:paraId="704913FF" w14:textId="77777777" w:rsidR="000E639E" w:rsidRPr="009E674D" w:rsidRDefault="000E639E" w:rsidP="00A604A8">
            <w:pPr>
              <w:rPr>
                <w:lang w:val="sq-AL"/>
              </w:rPr>
            </w:pPr>
            <w:r w:rsidRPr="009E674D">
              <w:rPr>
                <w:lang w:val="sq-AL"/>
              </w:rPr>
              <w:t>Masat Aktive të Tregut të Punës</w:t>
            </w:r>
          </w:p>
        </w:tc>
      </w:tr>
      <w:tr w:rsidR="00553C71" w:rsidRPr="009E674D" w14:paraId="62D15166" w14:textId="77777777" w:rsidTr="00A604A8">
        <w:tc>
          <w:tcPr>
            <w:tcW w:w="1795" w:type="dxa"/>
          </w:tcPr>
          <w:p w14:paraId="5C94FC7E" w14:textId="77777777" w:rsidR="00553C71" w:rsidRPr="009E674D" w:rsidRDefault="00553C71" w:rsidP="00334D5D">
            <w:pPr>
              <w:jc w:val="center"/>
              <w:rPr>
                <w:b/>
                <w:lang w:val="sq-AL"/>
              </w:rPr>
            </w:pPr>
            <w:r w:rsidRPr="009E674D">
              <w:rPr>
                <w:b/>
                <w:lang w:val="sq-AL"/>
              </w:rPr>
              <w:t>MFPT</w:t>
            </w:r>
          </w:p>
        </w:tc>
        <w:tc>
          <w:tcPr>
            <w:tcW w:w="7555" w:type="dxa"/>
          </w:tcPr>
          <w:p w14:paraId="5AA764C2" w14:textId="77777777" w:rsidR="00553C71" w:rsidRPr="009E674D" w:rsidRDefault="00553C71" w:rsidP="00A604A8">
            <w:pPr>
              <w:rPr>
                <w:lang w:val="sq-AL"/>
              </w:rPr>
            </w:pPr>
            <w:r w:rsidRPr="009E674D">
              <w:rPr>
                <w:lang w:val="sq-AL"/>
              </w:rPr>
              <w:t>Ministria e Financave, Punës dhe Transfereve</w:t>
            </w:r>
          </w:p>
        </w:tc>
      </w:tr>
      <w:tr w:rsidR="005B3F71" w:rsidRPr="009E674D" w14:paraId="7D3D3369" w14:textId="77777777" w:rsidTr="00A604A8">
        <w:tc>
          <w:tcPr>
            <w:tcW w:w="1795" w:type="dxa"/>
          </w:tcPr>
          <w:p w14:paraId="132C979D" w14:textId="77777777" w:rsidR="005B3F71" w:rsidRPr="009E674D" w:rsidRDefault="005B3F71" w:rsidP="00334D5D">
            <w:pPr>
              <w:jc w:val="center"/>
              <w:rPr>
                <w:b/>
                <w:lang w:val="sq-AL"/>
              </w:rPr>
            </w:pPr>
            <w:r w:rsidRPr="009E674D">
              <w:rPr>
                <w:b/>
                <w:lang w:val="sq-AL"/>
              </w:rPr>
              <w:t>MINT</w:t>
            </w:r>
          </w:p>
        </w:tc>
        <w:tc>
          <w:tcPr>
            <w:tcW w:w="7555" w:type="dxa"/>
          </w:tcPr>
          <w:p w14:paraId="30C1288B" w14:textId="77777777" w:rsidR="005B3F71" w:rsidRPr="009E674D" w:rsidRDefault="005B3F71" w:rsidP="00A604A8">
            <w:pPr>
              <w:rPr>
                <w:lang w:val="sq-AL"/>
              </w:rPr>
            </w:pPr>
            <w:r w:rsidRPr="009E674D">
              <w:rPr>
                <w:lang w:val="sq-AL"/>
              </w:rPr>
              <w:t>Ministria e Industrisë</w:t>
            </w:r>
            <w:r w:rsidR="00553C71" w:rsidRPr="009E674D">
              <w:rPr>
                <w:lang w:val="sq-AL"/>
              </w:rPr>
              <w:t>, Ndërmarrësisë</w:t>
            </w:r>
            <w:r w:rsidRPr="009E674D">
              <w:rPr>
                <w:lang w:val="sq-AL"/>
              </w:rPr>
              <w:t xml:space="preserve"> dhe Tregtisë</w:t>
            </w:r>
          </w:p>
        </w:tc>
      </w:tr>
      <w:tr w:rsidR="00553C71" w:rsidRPr="009E674D" w14:paraId="6B17233E" w14:textId="77777777" w:rsidTr="00A604A8">
        <w:tc>
          <w:tcPr>
            <w:tcW w:w="1795" w:type="dxa"/>
          </w:tcPr>
          <w:p w14:paraId="2FEA37F6" w14:textId="77777777" w:rsidR="00553C71" w:rsidRPr="009E674D" w:rsidRDefault="00553C71" w:rsidP="00334D5D">
            <w:pPr>
              <w:jc w:val="center"/>
              <w:rPr>
                <w:b/>
                <w:lang w:val="sq-AL"/>
              </w:rPr>
            </w:pPr>
            <w:r w:rsidRPr="009E674D">
              <w:rPr>
                <w:b/>
                <w:lang w:val="sq-AL"/>
              </w:rPr>
              <w:t>MMPHI</w:t>
            </w:r>
          </w:p>
        </w:tc>
        <w:tc>
          <w:tcPr>
            <w:tcW w:w="7555" w:type="dxa"/>
          </w:tcPr>
          <w:p w14:paraId="477192BC" w14:textId="77777777" w:rsidR="00553C71" w:rsidRPr="009E674D" w:rsidRDefault="00553C71" w:rsidP="00A604A8">
            <w:pPr>
              <w:rPr>
                <w:lang w:val="sq-AL"/>
              </w:rPr>
            </w:pPr>
            <w:r w:rsidRPr="009E674D">
              <w:rPr>
                <w:lang w:val="sq-AL"/>
              </w:rPr>
              <w:t>Ministria e Mjedisit, Planifikimit Hapësinor dhe Infrastrukturës</w:t>
            </w:r>
          </w:p>
        </w:tc>
      </w:tr>
      <w:tr w:rsidR="00373316" w:rsidRPr="009E674D" w14:paraId="2C1BA7F0" w14:textId="77777777" w:rsidTr="00A604A8">
        <w:tc>
          <w:tcPr>
            <w:tcW w:w="1795" w:type="dxa"/>
          </w:tcPr>
          <w:p w14:paraId="71AFDF68" w14:textId="77777777" w:rsidR="00373316" w:rsidRPr="009E674D" w:rsidRDefault="00373316" w:rsidP="00334D5D">
            <w:pPr>
              <w:jc w:val="center"/>
              <w:rPr>
                <w:b/>
                <w:lang w:val="sq-AL"/>
              </w:rPr>
            </w:pPr>
            <w:r w:rsidRPr="009E674D">
              <w:rPr>
                <w:b/>
                <w:lang w:val="sq-AL"/>
              </w:rPr>
              <w:t>NVM</w:t>
            </w:r>
          </w:p>
        </w:tc>
        <w:tc>
          <w:tcPr>
            <w:tcW w:w="7555" w:type="dxa"/>
          </w:tcPr>
          <w:p w14:paraId="031A898D" w14:textId="77777777" w:rsidR="00373316" w:rsidRPr="009E674D" w:rsidRDefault="00373316" w:rsidP="00A604A8">
            <w:pPr>
              <w:rPr>
                <w:lang w:val="sq-AL"/>
              </w:rPr>
            </w:pPr>
            <w:r w:rsidRPr="009E674D">
              <w:rPr>
                <w:lang w:val="sq-AL"/>
              </w:rPr>
              <w:t>Nd</w:t>
            </w:r>
            <w:r w:rsidRPr="009E674D">
              <w:rPr>
                <w:rFonts w:ascii="Calibri" w:eastAsia="Times New Roman" w:hAnsi="Calibri" w:cs="Times New Roman"/>
                <w:color w:val="000000" w:themeColor="text1"/>
                <w:lang w:val="sq-AL"/>
              </w:rPr>
              <w:t xml:space="preserve">ërmarrje të Vogla </w:t>
            </w:r>
            <w:r w:rsidR="00696A7C" w:rsidRPr="009E674D">
              <w:rPr>
                <w:rFonts w:ascii="Calibri" w:eastAsia="Times New Roman" w:hAnsi="Calibri" w:cs="Times New Roman"/>
                <w:color w:val="000000" w:themeColor="text1"/>
                <w:lang w:val="sq-AL"/>
              </w:rPr>
              <w:t xml:space="preserve">dhe </w:t>
            </w:r>
            <w:r w:rsidRPr="009E674D">
              <w:rPr>
                <w:rFonts w:ascii="Calibri" w:eastAsia="Times New Roman" w:hAnsi="Calibri" w:cs="Times New Roman"/>
                <w:color w:val="000000" w:themeColor="text1"/>
                <w:lang w:val="sq-AL"/>
              </w:rPr>
              <w:t xml:space="preserve">të Mesme </w:t>
            </w:r>
          </w:p>
        </w:tc>
      </w:tr>
      <w:tr w:rsidR="00F55F39" w:rsidRPr="009E674D" w14:paraId="4B6A12EB" w14:textId="77777777" w:rsidTr="00A604A8">
        <w:tc>
          <w:tcPr>
            <w:tcW w:w="1795" w:type="dxa"/>
          </w:tcPr>
          <w:p w14:paraId="3C066121" w14:textId="77777777" w:rsidR="00F55F39" w:rsidRPr="009E674D" w:rsidRDefault="00F55F39" w:rsidP="00334D5D">
            <w:pPr>
              <w:jc w:val="center"/>
              <w:rPr>
                <w:b/>
                <w:lang w:val="sq-AL"/>
              </w:rPr>
            </w:pPr>
            <w:r w:rsidRPr="009E674D">
              <w:rPr>
                <w:b/>
                <w:lang w:val="sq-AL"/>
              </w:rPr>
              <w:t>OEK</w:t>
            </w:r>
          </w:p>
        </w:tc>
        <w:tc>
          <w:tcPr>
            <w:tcW w:w="7555" w:type="dxa"/>
          </w:tcPr>
          <w:p w14:paraId="5BC90FA5" w14:textId="77777777" w:rsidR="00F55F39" w:rsidRPr="009E674D" w:rsidRDefault="00F55F39" w:rsidP="00A604A8">
            <w:pPr>
              <w:rPr>
                <w:lang w:val="sq-AL"/>
              </w:rPr>
            </w:pPr>
            <w:r w:rsidRPr="009E674D">
              <w:rPr>
                <w:lang w:val="sq-AL"/>
              </w:rPr>
              <w:t>Oda Ekonomike e Kosovës</w:t>
            </w:r>
          </w:p>
        </w:tc>
      </w:tr>
      <w:tr w:rsidR="00A604A8" w:rsidRPr="009E674D" w14:paraId="31AE5E5B" w14:textId="77777777" w:rsidTr="00A604A8">
        <w:tc>
          <w:tcPr>
            <w:tcW w:w="1795" w:type="dxa"/>
          </w:tcPr>
          <w:p w14:paraId="3F64A361" w14:textId="77777777" w:rsidR="00A604A8" w:rsidRPr="009E674D" w:rsidRDefault="00A604A8" w:rsidP="00334D5D">
            <w:pPr>
              <w:jc w:val="center"/>
              <w:rPr>
                <w:b/>
                <w:lang w:val="sq-AL"/>
              </w:rPr>
            </w:pPr>
            <w:r w:rsidRPr="009E674D">
              <w:rPr>
                <w:b/>
                <w:lang w:val="sq-AL"/>
              </w:rPr>
              <w:t>PBV</w:t>
            </w:r>
          </w:p>
        </w:tc>
        <w:tc>
          <w:tcPr>
            <w:tcW w:w="7555" w:type="dxa"/>
          </w:tcPr>
          <w:p w14:paraId="12DC8A32" w14:textId="77777777" w:rsidR="00A604A8" w:rsidRPr="009E674D" w:rsidRDefault="00A604A8" w:rsidP="00A604A8">
            <w:pPr>
              <w:rPr>
                <w:lang w:val="sq-AL"/>
              </w:rPr>
            </w:pPr>
            <w:r w:rsidRPr="009E674D">
              <w:rPr>
                <w:lang w:val="sq-AL"/>
              </w:rPr>
              <w:t xml:space="preserve">Produkti Bruto Vendor </w:t>
            </w:r>
          </w:p>
        </w:tc>
      </w:tr>
      <w:tr w:rsidR="009E674D" w:rsidRPr="009E674D" w14:paraId="3BBDD113" w14:textId="77777777" w:rsidTr="00A604A8">
        <w:tc>
          <w:tcPr>
            <w:tcW w:w="1795" w:type="dxa"/>
          </w:tcPr>
          <w:p w14:paraId="0B40111B" w14:textId="03285F72" w:rsidR="009E674D" w:rsidRPr="009E674D" w:rsidRDefault="009E674D" w:rsidP="00334D5D">
            <w:pPr>
              <w:jc w:val="center"/>
              <w:rPr>
                <w:b/>
                <w:lang w:val="sq-AL"/>
              </w:rPr>
            </w:pPr>
            <w:r>
              <w:rPr>
                <w:b/>
                <w:lang w:val="sq-AL"/>
              </w:rPr>
              <w:t>PKZH</w:t>
            </w:r>
          </w:p>
        </w:tc>
        <w:tc>
          <w:tcPr>
            <w:tcW w:w="7555" w:type="dxa"/>
          </w:tcPr>
          <w:p w14:paraId="33DCE159" w14:textId="195E0A3E" w:rsidR="009E674D" w:rsidRPr="009E674D" w:rsidRDefault="009E674D" w:rsidP="00A604A8">
            <w:pPr>
              <w:rPr>
                <w:lang w:val="sq-AL"/>
              </w:rPr>
            </w:pPr>
            <w:r>
              <w:rPr>
                <w:lang w:val="sq-AL"/>
              </w:rPr>
              <w:t>Plani Komb</w:t>
            </w:r>
            <w:r w:rsidRPr="009E674D">
              <w:rPr>
                <w:lang w:val="sq-AL"/>
              </w:rPr>
              <w:t>ë</w:t>
            </w:r>
            <w:r>
              <w:rPr>
                <w:lang w:val="sq-AL"/>
              </w:rPr>
              <w:t>tar p</w:t>
            </w:r>
            <w:r w:rsidRPr="009E674D">
              <w:rPr>
                <w:lang w:val="sq-AL"/>
              </w:rPr>
              <w:t>ë</w:t>
            </w:r>
            <w:r>
              <w:rPr>
                <w:lang w:val="sq-AL"/>
              </w:rPr>
              <w:t>r Zhvillim</w:t>
            </w:r>
          </w:p>
        </w:tc>
      </w:tr>
      <w:tr w:rsidR="00A604A8" w:rsidRPr="009E674D" w14:paraId="77B9CACC" w14:textId="77777777" w:rsidTr="00A604A8">
        <w:trPr>
          <w:trHeight w:val="90"/>
        </w:trPr>
        <w:tc>
          <w:tcPr>
            <w:tcW w:w="1795" w:type="dxa"/>
          </w:tcPr>
          <w:p w14:paraId="096699C3" w14:textId="77777777" w:rsidR="00A604A8" w:rsidRPr="009E674D" w:rsidRDefault="00312D8F" w:rsidP="00334D5D">
            <w:pPr>
              <w:jc w:val="center"/>
              <w:rPr>
                <w:b/>
                <w:lang w:val="sq-AL"/>
              </w:rPr>
            </w:pPr>
            <w:r w:rsidRPr="009E674D">
              <w:rPr>
                <w:b/>
                <w:lang w:val="sq-AL"/>
              </w:rPr>
              <w:t>PNZHEL</w:t>
            </w:r>
          </w:p>
        </w:tc>
        <w:tc>
          <w:tcPr>
            <w:tcW w:w="7555" w:type="dxa"/>
          </w:tcPr>
          <w:p w14:paraId="40257301" w14:textId="77777777" w:rsidR="00A604A8" w:rsidRPr="009E674D" w:rsidRDefault="00C807FE" w:rsidP="00A604A8">
            <w:pPr>
              <w:rPr>
                <w:lang w:val="sq-AL"/>
              </w:rPr>
            </w:pPr>
            <w:r w:rsidRPr="009E674D">
              <w:rPr>
                <w:lang w:val="sq-AL"/>
              </w:rPr>
              <w:t>Programi</w:t>
            </w:r>
            <w:r w:rsidR="003A1E16" w:rsidRPr="009E674D">
              <w:rPr>
                <w:lang w:val="sq-AL"/>
              </w:rPr>
              <w:t xml:space="preserve"> Nacional</w:t>
            </w:r>
            <w:r w:rsidRPr="009E674D">
              <w:rPr>
                <w:lang w:val="sq-AL"/>
              </w:rPr>
              <w:t xml:space="preserve"> për Zhvillim</w:t>
            </w:r>
            <w:r w:rsidR="00A604A8" w:rsidRPr="009E674D">
              <w:rPr>
                <w:lang w:val="sq-AL"/>
              </w:rPr>
              <w:t xml:space="preserve"> Ekonomik Lokal</w:t>
            </w:r>
          </w:p>
        </w:tc>
      </w:tr>
      <w:tr w:rsidR="00A604A8" w:rsidRPr="009E674D" w14:paraId="0E9F8918" w14:textId="77777777" w:rsidTr="00A604A8">
        <w:tc>
          <w:tcPr>
            <w:tcW w:w="1795" w:type="dxa"/>
          </w:tcPr>
          <w:p w14:paraId="2DA5E15B" w14:textId="77777777" w:rsidR="00A604A8" w:rsidRPr="009E674D" w:rsidRDefault="00A604A8" w:rsidP="00334D5D">
            <w:pPr>
              <w:jc w:val="center"/>
              <w:rPr>
                <w:b/>
                <w:lang w:val="sq-AL"/>
              </w:rPr>
            </w:pPr>
            <w:r w:rsidRPr="009E674D">
              <w:rPr>
                <w:b/>
                <w:lang w:val="sq-AL"/>
              </w:rPr>
              <w:t>SKZH</w:t>
            </w:r>
          </w:p>
        </w:tc>
        <w:tc>
          <w:tcPr>
            <w:tcW w:w="7555" w:type="dxa"/>
          </w:tcPr>
          <w:p w14:paraId="4FC3339A" w14:textId="77777777" w:rsidR="00A604A8" w:rsidRPr="009E674D" w:rsidRDefault="00A604A8" w:rsidP="00A604A8">
            <w:pPr>
              <w:rPr>
                <w:lang w:val="sq-AL"/>
              </w:rPr>
            </w:pPr>
            <w:r w:rsidRPr="009E674D">
              <w:rPr>
                <w:lang w:val="sq-AL"/>
              </w:rPr>
              <w:t>Strategjia Kombëtare për Zhvillim</w:t>
            </w:r>
            <w:r w:rsidRPr="009E674D">
              <w:rPr>
                <w:b/>
                <w:lang w:val="sq-AL"/>
              </w:rPr>
              <w:t xml:space="preserve"> </w:t>
            </w:r>
          </w:p>
        </w:tc>
      </w:tr>
      <w:tr w:rsidR="00312D8F" w:rsidRPr="009E674D" w14:paraId="5DFB7279" w14:textId="77777777" w:rsidTr="00A604A8">
        <w:tc>
          <w:tcPr>
            <w:tcW w:w="1795" w:type="dxa"/>
          </w:tcPr>
          <w:p w14:paraId="195B11A6" w14:textId="77777777" w:rsidR="00312D8F" w:rsidRPr="009E674D" w:rsidRDefault="00312D8F" w:rsidP="00334D5D">
            <w:pPr>
              <w:jc w:val="center"/>
              <w:rPr>
                <w:b/>
                <w:lang w:val="sq-AL"/>
              </w:rPr>
            </w:pPr>
            <w:r w:rsidRPr="009E674D">
              <w:rPr>
                <w:b/>
                <w:lang w:val="sq-AL"/>
              </w:rPr>
              <w:t>SDG</w:t>
            </w:r>
          </w:p>
        </w:tc>
        <w:tc>
          <w:tcPr>
            <w:tcW w:w="7555" w:type="dxa"/>
          </w:tcPr>
          <w:p w14:paraId="55C0BC0F" w14:textId="77777777" w:rsidR="00312D8F" w:rsidRPr="009E674D" w:rsidRDefault="00312D8F" w:rsidP="00A604A8">
            <w:pPr>
              <w:rPr>
                <w:lang w:val="sq-AL"/>
              </w:rPr>
            </w:pPr>
            <w:r w:rsidRPr="009E674D">
              <w:rPr>
                <w:lang w:val="sq-AL"/>
              </w:rPr>
              <w:t>Objektivat për Zhvillim të Qëndrueshëm</w:t>
            </w:r>
          </w:p>
        </w:tc>
      </w:tr>
      <w:tr w:rsidR="00875E6C" w:rsidRPr="009E674D" w14:paraId="4BAD29BB" w14:textId="77777777" w:rsidTr="00A604A8">
        <w:tc>
          <w:tcPr>
            <w:tcW w:w="1795" w:type="dxa"/>
          </w:tcPr>
          <w:p w14:paraId="126382CC" w14:textId="77777777" w:rsidR="00875E6C" w:rsidRPr="009E674D" w:rsidRDefault="00875E6C" w:rsidP="00334D5D">
            <w:pPr>
              <w:jc w:val="center"/>
              <w:rPr>
                <w:b/>
                <w:lang w:val="sq-AL"/>
              </w:rPr>
            </w:pPr>
            <w:r w:rsidRPr="009E674D">
              <w:rPr>
                <w:b/>
                <w:lang w:val="sq-AL"/>
              </w:rPr>
              <w:t>TIK</w:t>
            </w:r>
          </w:p>
        </w:tc>
        <w:tc>
          <w:tcPr>
            <w:tcW w:w="7555" w:type="dxa"/>
          </w:tcPr>
          <w:p w14:paraId="0E9D82BC" w14:textId="77777777" w:rsidR="00875E6C" w:rsidRPr="009E674D" w:rsidRDefault="00875E6C" w:rsidP="00A604A8">
            <w:pPr>
              <w:rPr>
                <w:lang w:val="sq-AL"/>
              </w:rPr>
            </w:pPr>
            <w:r w:rsidRPr="009E674D">
              <w:rPr>
                <w:lang w:val="sq-AL"/>
              </w:rPr>
              <w:t>Teknologjia e Informacionit dhe Komunikimit</w:t>
            </w:r>
          </w:p>
        </w:tc>
      </w:tr>
      <w:tr w:rsidR="00F55F39" w:rsidRPr="009E674D" w14:paraId="516227A8" w14:textId="77777777" w:rsidTr="00A604A8">
        <w:tc>
          <w:tcPr>
            <w:tcW w:w="1795" w:type="dxa"/>
          </w:tcPr>
          <w:p w14:paraId="4D26D70E" w14:textId="77777777" w:rsidR="00F55F39" w:rsidRPr="009E674D" w:rsidRDefault="00F55F39" w:rsidP="00334D5D">
            <w:pPr>
              <w:jc w:val="center"/>
              <w:rPr>
                <w:b/>
                <w:lang w:val="sq-AL"/>
              </w:rPr>
            </w:pPr>
            <w:r w:rsidRPr="009E674D">
              <w:rPr>
                <w:b/>
                <w:lang w:val="sq-AL"/>
              </w:rPr>
              <w:t>UNDP</w:t>
            </w:r>
          </w:p>
        </w:tc>
        <w:tc>
          <w:tcPr>
            <w:tcW w:w="7555" w:type="dxa"/>
          </w:tcPr>
          <w:p w14:paraId="6615120B" w14:textId="77777777" w:rsidR="00F55F39" w:rsidRPr="009E674D" w:rsidRDefault="00F55F39" w:rsidP="00A604A8">
            <w:pPr>
              <w:rPr>
                <w:lang w:val="sq-AL"/>
              </w:rPr>
            </w:pPr>
            <w:r w:rsidRPr="009E674D">
              <w:rPr>
                <w:lang w:val="sq-AL"/>
              </w:rPr>
              <w:t>Programi i Kombeve të Bashkuara për Zhvillimin</w:t>
            </w:r>
          </w:p>
        </w:tc>
      </w:tr>
      <w:tr w:rsidR="00875E6C" w:rsidRPr="009E674D" w14:paraId="48CD4D7B" w14:textId="77777777" w:rsidTr="00A604A8">
        <w:tc>
          <w:tcPr>
            <w:tcW w:w="1795" w:type="dxa"/>
          </w:tcPr>
          <w:p w14:paraId="3D9834F1" w14:textId="77777777" w:rsidR="00875E6C" w:rsidRPr="009E674D" w:rsidRDefault="00875E6C" w:rsidP="00334D5D">
            <w:pPr>
              <w:jc w:val="center"/>
              <w:rPr>
                <w:b/>
                <w:lang w:val="sq-AL"/>
              </w:rPr>
            </w:pPr>
            <w:r w:rsidRPr="009E674D">
              <w:rPr>
                <w:b/>
                <w:lang w:val="sq-AL"/>
              </w:rPr>
              <w:t>ZKA</w:t>
            </w:r>
          </w:p>
        </w:tc>
        <w:tc>
          <w:tcPr>
            <w:tcW w:w="7555" w:type="dxa"/>
          </w:tcPr>
          <w:p w14:paraId="1333E462" w14:textId="77777777" w:rsidR="00875E6C" w:rsidRPr="009E674D" w:rsidRDefault="00875E6C" w:rsidP="00A604A8">
            <w:pPr>
              <w:rPr>
                <w:lang w:val="sq-AL"/>
              </w:rPr>
            </w:pPr>
            <w:r w:rsidRPr="009E674D">
              <w:rPr>
                <w:lang w:val="sq-AL"/>
              </w:rPr>
              <w:t>Zyra Komb</w:t>
            </w:r>
            <w:r w:rsidRPr="009E674D">
              <w:rPr>
                <w:rFonts w:cstheme="minorHAnsi"/>
                <w:color w:val="000000" w:themeColor="text1"/>
                <w:szCs w:val="24"/>
                <w:lang w:val="sq-AL"/>
              </w:rPr>
              <w:t>ëtare e Auditimit</w:t>
            </w:r>
          </w:p>
        </w:tc>
      </w:tr>
      <w:tr w:rsidR="00553C71" w:rsidRPr="009E674D" w14:paraId="44D49B9E" w14:textId="77777777" w:rsidTr="00A604A8">
        <w:tc>
          <w:tcPr>
            <w:tcW w:w="1795" w:type="dxa"/>
          </w:tcPr>
          <w:p w14:paraId="07224546" w14:textId="77777777" w:rsidR="00553C71" w:rsidRPr="009E674D" w:rsidRDefault="00553C71" w:rsidP="00334D5D">
            <w:pPr>
              <w:jc w:val="center"/>
              <w:rPr>
                <w:b/>
                <w:lang w:val="sq-AL"/>
              </w:rPr>
            </w:pPr>
            <w:r w:rsidRPr="009E674D">
              <w:rPr>
                <w:b/>
                <w:lang w:val="sq-AL"/>
              </w:rPr>
              <w:t>ZKM</w:t>
            </w:r>
          </w:p>
        </w:tc>
        <w:tc>
          <w:tcPr>
            <w:tcW w:w="7555" w:type="dxa"/>
          </w:tcPr>
          <w:p w14:paraId="48C83CE3" w14:textId="77777777" w:rsidR="00553C71" w:rsidRPr="009E674D" w:rsidRDefault="00553C71" w:rsidP="00A604A8">
            <w:pPr>
              <w:rPr>
                <w:lang w:val="sq-AL"/>
              </w:rPr>
            </w:pPr>
            <w:r w:rsidRPr="009E674D">
              <w:rPr>
                <w:lang w:val="sq-AL"/>
              </w:rPr>
              <w:t xml:space="preserve">Zyra e Kryeministrit </w:t>
            </w:r>
          </w:p>
        </w:tc>
      </w:tr>
    </w:tbl>
    <w:p w14:paraId="0AD2C78D" w14:textId="647C3E5E" w:rsidR="0001223E" w:rsidRPr="00F84DDB" w:rsidRDefault="00467AC9" w:rsidP="0001223E">
      <w:pPr>
        <w:pStyle w:val="Heading1"/>
        <w:rPr>
          <w:b/>
          <w:lang w:val="sq-AL"/>
        </w:rPr>
      </w:pPr>
      <w:r w:rsidRPr="009E674D">
        <w:rPr>
          <w:b/>
          <w:lang w:val="sq-AL"/>
        </w:rPr>
        <w:br w:type="page"/>
      </w:r>
      <w:bookmarkStart w:id="2" w:name="_Toc132188423"/>
      <w:r w:rsidR="0001223E" w:rsidRPr="009E674D">
        <w:rPr>
          <w:b/>
          <w:sz w:val="28"/>
          <w:lang w:val="sq-AL"/>
        </w:rPr>
        <w:lastRenderedPageBreak/>
        <w:t>Përmbledhja ekzekutive</w:t>
      </w:r>
      <w:bookmarkEnd w:id="2"/>
    </w:p>
    <w:p w14:paraId="533E1761" w14:textId="6228FD6F" w:rsidR="0001223E" w:rsidRPr="009E674D" w:rsidRDefault="0001223E" w:rsidP="0001223E">
      <w:pPr>
        <w:jc w:val="both"/>
        <w:rPr>
          <w:lang w:val="sq-AL"/>
        </w:rPr>
      </w:pPr>
      <w:r w:rsidRPr="009E674D">
        <w:rPr>
          <w:lang w:val="sq-AL"/>
        </w:rPr>
        <w:br/>
      </w:r>
      <w:r w:rsidR="002C63B7" w:rsidRPr="009E674D">
        <w:rPr>
          <w:lang w:val="sq-AL"/>
        </w:rPr>
        <w:t>Zhvillimi ekonomik lokal është një proces që ka për qëllim përmirësimin e jetës së qytetarëve, duke nxitur rritjen e investimeve, stimuluar ndërmarrjet me potencial</w:t>
      </w:r>
      <w:r w:rsidR="00E13193">
        <w:rPr>
          <w:lang w:val="sq-AL"/>
        </w:rPr>
        <w:t xml:space="preserve"> zhvillimi</w:t>
      </w:r>
      <w:r w:rsidR="002C63B7" w:rsidRPr="009E674D">
        <w:rPr>
          <w:lang w:val="sq-AL"/>
        </w:rPr>
        <w:t>, promovuar krijimin e vendeve të</w:t>
      </w:r>
      <w:r w:rsidR="000F4145">
        <w:rPr>
          <w:lang w:val="sq-AL"/>
        </w:rPr>
        <w:t xml:space="preserve"> reja t</w:t>
      </w:r>
      <w:r w:rsidR="000F4145" w:rsidRPr="009E674D">
        <w:rPr>
          <w:lang w:val="sq-AL"/>
        </w:rPr>
        <w:t>ë</w:t>
      </w:r>
      <w:r w:rsidR="002C63B7" w:rsidRPr="009E674D">
        <w:rPr>
          <w:lang w:val="sq-AL"/>
        </w:rPr>
        <w:t xml:space="preserve"> punës</w:t>
      </w:r>
      <w:r w:rsidR="00E55C33">
        <w:rPr>
          <w:lang w:val="sq-AL"/>
        </w:rPr>
        <w:t>, si</w:t>
      </w:r>
      <w:r w:rsidR="00497AF1">
        <w:rPr>
          <w:lang w:val="sq-AL"/>
        </w:rPr>
        <w:t xml:space="preserve"> dhe</w:t>
      </w:r>
      <w:r w:rsidR="00E55C33">
        <w:rPr>
          <w:lang w:val="sq-AL"/>
        </w:rPr>
        <w:t xml:space="preserve"> duke ngritur infrastrukturën e</w:t>
      </w:r>
      <w:r w:rsidR="002C63B7" w:rsidRPr="009E674D">
        <w:rPr>
          <w:lang w:val="sq-AL"/>
        </w:rPr>
        <w:t xml:space="preserve"> nevojshme për </w:t>
      </w:r>
      <w:r w:rsidR="003C5C6C" w:rsidRPr="009E674D">
        <w:rPr>
          <w:lang w:val="sq-AL"/>
        </w:rPr>
        <w:t>t</w:t>
      </w:r>
      <w:r w:rsidR="003C5C6C">
        <w:rPr>
          <w:lang w:val="sq-AL"/>
        </w:rPr>
        <w:t>a</w:t>
      </w:r>
      <w:r w:rsidR="003C5C6C" w:rsidRPr="009E674D">
        <w:rPr>
          <w:lang w:val="sq-AL"/>
        </w:rPr>
        <w:t xml:space="preserve"> </w:t>
      </w:r>
      <w:r w:rsidR="002C63B7" w:rsidRPr="009E674D">
        <w:rPr>
          <w:lang w:val="sq-AL"/>
        </w:rPr>
        <w:t xml:space="preserve">lehtësuar bashkëpunimin </w:t>
      </w:r>
      <w:r w:rsidR="00844CE8">
        <w:rPr>
          <w:lang w:val="sq-AL"/>
        </w:rPr>
        <w:t>midis</w:t>
      </w:r>
      <w:r w:rsidR="00844CE8" w:rsidRPr="009E674D">
        <w:rPr>
          <w:lang w:val="sq-AL"/>
        </w:rPr>
        <w:t xml:space="preserve"> </w:t>
      </w:r>
      <w:r w:rsidR="002C63B7" w:rsidRPr="009E674D">
        <w:rPr>
          <w:lang w:val="sq-AL"/>
        </w:rPr>
        <w:t>palëve.</w:t>
      </w:r>
      <w:r w:rsidRPr="009E674D">
        <w:rPr>
          <w:lang w:val="sq-AL"/>
        </w:rPr>
        <w:t xml:space="preserve"> Programi Nacional për Zhvillim Ekonomik Lokal (</w:t>
      </w:r>
      <w:r w:rsidR="00312D8F" w:rsidRPr="009E674D">
        <w:rPr>
          <w:lang w:val="sq-AL"/>
        </w:rPr>
        <w:t>PNZHEL</w:t>
      </w:r>
      <w:r w:rsidR="00F61FB7" w:rsidRPr="009E674D">
        <w:rPr>
          <w:lang w:val="sq-AL"/>
        </w:rPr>
        <w:t xml:space="preserve"> 2030</w:t>
      </w:r>
      <w:r w:rsidRPr="009E674D">
        <w:rPr>
          <w:lang w:val="sq-AL"/>
        </w:rPr>
        <w:t>) synon të lokalizojë përcaktimet strategjike që dalin nga Strategjia</w:t>
      </w:r>
      <w:r w:rsidR="002C63B7" w:rsidRPr="009E674D">
        <w:rPr>
          <w:lang w:val="sq-AL"/>
        </w:rPr>
        <w:t xml:space="preserve"> dhe Plani</w:t>
      </w:r>
      <w:r w:rsidRPr="009E674D">
        <w:rPr>
          <w:lang w:val="sq-AL"/>
        </w:rPr>
        <w:t xml:space="preserve"> K</w:t>
      </w:r>
      <w:r w:rsidR="002C63B7" w:rsidRPr="009E674D">
        <w:rPr>
          <w:lang w:val="sq-AL"/>
        </w:rPr>
        <w:t>ombëtar</w:t>
      </w:r>
      <w:r w:rsidR="00F61FB7" w:rsidRPr="009E674D">
        <w:rPr>
          <w:lang w:val="sq-AL"/>
        </w:rPr>
        <w:t xml:space="preserve"> për Zhvillim</w:t>
      </w:r>
      <w:r w:rsidR="002C63B7" w:rsidRPr="009E674D">
        <w:rPr>
          <w:lang w:val="sq-AL"/>
        </w:rPr>
        <w:t xml:space="preserve"> (SKZH dhe PKZH 2030) dhe </w:t>
      </w:r>
      <w:r w:rsidRPr="009E674D">
        <w:rPr>
          <w:lang w:val="sq-AL"/>
        </w:rPr>
        <w:t xml:space="preserve">strategjitë relevante sektoriale. </w:t>
      </w:r>
      <w:r w:rsidR="00312D8F" w:rsidRPr="009E674D">
        <w:rPr>
          <w:lang w:val="sq-AL"/>
        </w:rPr>
        <w:t>PNZHEL</w:t>
      </w:r>
      <w:r w:rsidR="00F61FB7" w:rsidRPr="009E674D">
        <w:rPr>
          <w:lang w:val="sq-AL"/>
        </w:rPr>
        <w:t xml:space="preserve"> 2030</w:t>
      </w:r>
      <w:r w:rsidRPr="009E674D">
        <w:rPr>
          <w:lang w:val="sq-AL"/>
        </w:rPr>
        <w:t xml:space="preserve"> kryesisht fokusohet në çështje ekonomike që prekin shumicën dër</w:t>
      </w:r>
      <w:r w:rsidR="00700949">
        <w:rPr>
          <w:lang w:val="sq-AL"/>
        </w:rPr>
        <w:t>r</w:t>
      </w:r>
      <w:r w:rsidRPr="009E674D">
        <w:rPr>
          <w:lang w:val="sq-AL"/>
        </w:rPr>
        <w:t>muese</w:t>
      </w:r>
      <w:r w:rsidR="009F5696">
        <w:rPr>
          <w:lang w:val="sq-AL"/>
        </w:rPr>
        <w:t xml:space="preserve"> të komunave, por një</w:t>
      </w:r>
      <w:r w:rsidRPr="009E674D">
        <w:rPr>
          <w:lang w:val="sq-AL"/>
        </w:rPr>
        <w:t>kohë</w:t>
      </w:r>
      <w:r w:rsidR="009F5696">
        <w:rPr>
          <w:lang w:val="sq-AL"/>
        </w:rPr>
        <w:t>sisht</w:t>
      </w:r>
      <w:r w:rsidRPr="009E674D">
        <w:rPr>
          <w:lang w:val="sq-AL"/>
        </w:rPr>
        <w:t xml:space="preserve"> adreson edhe çështje që i takojnë nivelit qendror, të tilla që kanë ndikim të drejtpërdrejtë në zhvillimin ekonomik lokal. Ky program pritet të shërbejë si bazë për komunat</w:t>
      </w:r>
      <w:r w:rsidR="00497AF1">
        <w:rPr>
          <w:lang w:val="sq-AL"/>
        </w:rPr>
        <w:t>, ashtu</w:t>
      </w:r>
      <w:r w:rsidRPr="009E674D">
        <w:rPr>
          <w:lang w:val="sq-AL"/>
        </w:rPr>
        <w:t xml:space="preserve"> që ato t’i hartojnë strategjitë e tyre të zhvillimit ekonomik në përputhje me kornizën strategjike ekonomike të hartuar në nivel vendi. </w:t>
      </w:r>
    </w:p>
    <w:p w14:paraId="1013D60F" w14:textId="66E7CDB3" w:rsidR="0001223E" w:rsidRPr="009E674D" w:rsidRDefault="0001223E" w:rsidP="0001223E">
      <w:pPr>
        <w:spacing w:before="120" w:after="0"/>
        <w:jc w:val="both"/>
        <w:rPr>
          <w:lang w:val="sq-AL"/>
        </w:rPr>
      </w:pPr>
      <w:r w:rsidRPr="009E674D">
        <w:rPr>
          <w:lang w:val="sq-AL"/>
        </w:rPr>
        <w:t xml:space="preserve">Procesi i hartimit të </w:t>
      </w:r>
      <w:r w:rsidR="00312D8F" w:rsidRPr="009E674D">
        <w:rPr>
          <w:lang w:val="sq-AL"/>
        </w:rPr>
        <w:t>PNZHEL</w:t>
      </w:r>
      <w:r w:rsidR="00F61FB7" w:rsidRPr="009E674D">
        <w:rPr>
          <w:lang w:val="sq-AL"/>
        </w:rPr>
        <w:t xml:space="preserve"> 2030</w:t>
      </w:r>
      <w:r w:rsidRPr="009E674D">
        <w:rPr>
          <w:lang w:val="sq-AL"/>
        </w:rPr>
        <w:t xml:space="preserve"> ës</w:t>
      </w:r>
      <w:r w:rsidR="00B7322D">
        <w:rPr>
          <w:lang w:val="sq-AL"/>
        </w:rPr>
        <w:t xml:space="preserve">htë udhëhequr nga Grupi Punues, ku </w:t>
      </w:r>
      <w:r w:rsidRPr="009E674D">
        <w:rPr>
          <w:lang w:val="sq-AL"/>
        </w:rPr>
        <w:t>bartëse ishte Ministria e Administrimit të Pushtetit Lokal (MAPL). Puna është zhvilluar në</w:t>
      </w:r>
      <w:r w:rsidR="00700949">
        <w:rPr>
          <w:lang w:val="sq-AL"/>
        </w:rPr>
        <w:t xml:space="preserve"> dy drejtime: n</w:t>
      </w:r>
      <w:r w:rsidRPr="009E674D">
        <w:rPr>
          <w:lang w:val="sq-AL"/>
        </w:rPr>
        <w:t>ë njërën anë, janë identifikuar sfidat dhe orientimet e përgjithshme nga nivelit</w:t>
      </w:r>
      <w:r w:rsidR="00066C9F" w:rsidRPr="009E674D">
        <w:rPr>
          <w:lang w:val="sq-AL"/>
        </w:rPr>
        <w:t xml:space="preserve"> qendror,</w:t>
      </w:r>
      <w:r w:rsidRPr="009E674D">
        <w:rPr>
          <w:lang w:val="sq-AL"/>
        </w:rPr>
        <w:t xml:space="preserve"> ndërsa në anën tjetër, </w:t>
      </w:r>
      <w:r w:rsidR="00066C9F" w:rsidRPr="009E674D">
        <w:rPr>
          <w:lang w:val="sq-AL"/>
        </w:rPr>
        <w:t>është nxjerrë perspektiva e nivelit lokal përmes mjeteve të ndryshme për mbledhje të të dhënave</w:t>
      </w:r>
      <w:r w:rsidRPr="009E674D">
        <w:rPr>
          <w:lang w:val="sq-AL"/>
        </w:rPr>
        <w:t xml:space="preserve">. </w:t>
      </w:r>
      <w:r w:rsidR="00066C9F" w:rsidRPr="009E674D">
        <w:rPr>
          <w:lang w:val="sq-AL"/>
        </w:rPr>
        <w:t>P</w:t>
      </w:r>
      <w:r w:rsidRPr="009E674D">
        <w:rPr>
          <w:lang w:val="sq-AL"/>
        </w:rPr>
        <w:t>rocesi i hartimit ka qenë</w:t>
      </w:r>
      <w:r w:rsidR="00066C9F" w:rsidRPr="009E674D">
        <w:rPr>
          <w:lang w:val="sq-AL"/>
        </w:rPr>
        <w:t xml:space="preserve"> gjithëpërfshirës, ku përveç</w:t>
      </w:r>
      <w:r w:rsidRPr="009E674D">
        <w:rPr>
          <w:lang w:val="sq-AL"/>
        </w:rPr>
        <w:t xml:space="preserve"> angazhimit të përfaqësuesve nga institucionet e nivelit qendror dhe lokal, janë përfshirë edhe përfaqësues nga organizata të ndryshme, shoqata të biznesit dhe palë të tjera relevante. Duhet theksuar se gjatë përcaktimit të kornizës metodologjike janë marrë në konsideratë: </w:t>
      </w:r>
      <w:r w:rsidR="00066C9F" w:rsidRPr="009E674D">
        <w:rPr>
          <w:lang w:val="sq-AL"/>
        </w:rPr>
        <w:t xml:space="preserve">“Udhëzimi </w:t>
      </w:r>
      <w:r w:rsidRPr="009E674D">
        <w:rPr>
          <w:lang w:val="sq-AL"/>
        </w:rPr>
        <w:t>Administrativ për Planifikimin dhe hartimin e dokumenteve strategjike dhe planeve të veprimit</w:t>
      </w:r>
      <w:r w:rsidR="00E74542" w:rsidRPr="009E674D">
        <w:rPr>
          <w:lang w:val="sq-AL"/>
        </w:rPr>
        <w:t>”</w:t>
      </w:r>
      <w:r w:rsidRPr="009E674D">
        <w:rPr>
          <w:lang w:val="sq-AL"/>
        </w:rPr>
        <w:t xml:space="preserve"> dhe </w:t>
      </w:r>
      <w:r w:rsidR="00E74542" w:rsidRPr="009E674D">
        <w:rPr>
          <w:lang w:val="sq-AL"/>
        </w:rPr>
        <w:t>“</w:t>
      </w:r>
      <w:r w:rsidRPr="009E674D">
        <w:rPr>
          <w:lang w:val="sq-AL"/>
        </w:rPr>
        <w:t>Manuali për planifikimin, hartimin dhe monitorimin e dokumenteve strategjike dhe planeve të tyre të veprimit</w:t>
      </w:r>
      <w:r w:rsidR="00E74542" w:rsidRPr="009E674D">
        <w:rPr>
          <w:lang w:val="sq-AL"/>
        </w:rPr>
        <w:t>”</w:t>
      </w:r>
      <w:r w:rsidRPr="009E674D">
        <w:rPr>
          <w:lang w:val="sq-AL"/>
        </w:rPr>
        <w:t xml:space="preserve">. </w:t>
      </w:r>
    </w:p>
    <w:p w14:paraId="6407AD8D" w14:textId="24F6CFC5" w:rsidR="0001223E" w:rsidRPr="009E674D" w:rsidRDefault="0001223E" w:rsidP="0001223E">
      <w:pPr>
        <w:spacing w:before="120" w:after="0"/>
        <w:jc w:val="both"/>
        <w:rPr>
          <w:lang w:val="sq-AL"/>
        </w:rPr>
      </w:pPr>
      <w:r w:rsidRPr="009E674D">
        <w:rPr>
          <w:lang w:val="sq-AL"/>
        </w:rPr>
        <w:t xml:space="preserve">Përkundër bazës së mirë rregullative dhe përpjekjeve </w:t>
      </w:r>
      <w:r w:rsidR="00066C9F" w:rsidRPr="009E674D">
        <w:rPr>
          <w:lang w:val="sq-AL"/>
        </w:rPr>
        <w:t xml:space="preserve">të bëra </w:t>
      </w:r>
      <w:r w:rsidRPr="009E674D">
        <w:rPr>
          <w:lang w:val="sq-AL"/>
        </w:rPr>
        <w:t>ndër vite, shumica e komunave të Kosovës ende nuk  kanë planifikim cilësor për zhvillim ekonomik lokal dhe sfidohen me pro</w:t>
      </w:r>
      <w:r w:rsidR="009F5696">
        <w:rPr>
          <w:lang w:val="sq-AL"/>
        </w:rPr>
        <w:t xml:space="preserve">bleme të natyrave të ndryshme. </w:t>
      </w:r>
      <w:r w:rsidRPr="009E674D">
        <w:rPr>
          <w:lang w:val="sq-AL"/>
        </w:rPr>
        <w:t>Disa nga problemet janë mungesa e investimeve, shpërputhja e aftësive në tregun e punës</w:t>
      </w:r>
      <w:r w:rsidR="00E74542" w:rsidRPr="009E674D">
        <w:rPr>
          <w:lang w:val="sq-AL"/>
        </w:rPr>
        <w:t>,</w:t>
      </w:r>
      <w:r w:rsidRPr="009E674D">
        <w:rPr>
          <w:lang w:val="sq-AL"/>
        </w:rPr>
        <w:t xml:space="preserve"> mungesa qëndrueshmërisë financiare dhe bashkëpunimi i kufizuar.</w:t>
      </w:r>
    </w:p>
    <w:p w14:paraId="1599EB98" w14:textId="5D3DF633" w:rsidR="0001223E" w:rsidRPr="009E674D" w:rsidRDefault="00BC2E7C" w:rsidP="0001223E">
      <w:pPr>
        <w:spacing w:before="120" w:after="0"/>
        <w:jc w:val="both"/>
        <w:rPr>
          <w:lang w:val="sq-AL"/>
        </w:rPr>
      </w:pPr>
      <w:r>
        <w:rPr>
          <w:lang w:val="sq-AL"/>
        </w:rPr>
        <w:t xml:space="preserve">Vizioni i këtij programi </w:t>
      </w:r>
      <w:r w:rsidR="00066C9F" w:rsidRPr="009E674D">
        <w:rPr>
          <w:lang w:val="sq-AL"/>
        </w:rPr>
        <w:t xml:space="preserve">është "Krijimi i një ekonomie lokale të qëndrueshme, të larmishme dhe të përshtatshme ndaj ndryshimeve, që sjell zhvillim dhe prosperitet për të gjithë". Për </w:t>
      </w:r>
      <w:r w:rsidR="003C5C6C" w:rsidRPr="009E674D">
        <w:rPr>
          <w:lang w:val="sq-AL"/>
        </w:rPr>
        <w:t>t</w:t>
      </w:r>
      <w:r w:rsidR="003C5C6C">
        <w:rPr>
          <w:lang w:val="sq-AL"/>
        </w:rPr>
        <w:t>a</w:t>
      </w:r>
      <w:r w:rsidR="003C5C6C" w:rsidRPr="009E674D">
        <w:rPr>
          <w:lang w:val="sq-AL"/>
        </w:rPr>
        <w:t xml:space="preserve"> </w:t>
      </w:r>
      <w:r w:rsidR="00066C9F" w:rsidRPr="009E674D">
        <w:rPr>
          <w:lang w:val="sq-AL"/>
        </w:rPr>
        <w:t>arritur këtë vizion deri në 2030-ën, PNZHEL ka paraparë katër objektiva kryesore, të cilat janë: (1) Krijimi i një ekonomie lokale konkurruese; (2) Promovimi i punësimit gjithëpërfshirës; (3) Përmirësimi i infrastrukturës lokale dhe (4) Qeverisja ekonomike efektive dhe bashkëpunuese. Objektivi 1 parashihet të arrihet duke rritur investimet në fusha me potencial për zhvillim ekonomik lokal; ngritur produktivitetin në bujqësi dhe promovuar turizmin lokal; dhe përkrahur ndërmarrësinë me fokus në digjitalizim dhe inovacio</w:t>
      </w:r>
      <w:r>
        <w:rPr>
          <w:lang w:val="sq-AL"/>
        </w:rPr>
        <w:t>n. Objektivi 2 pritet të p</w:t>
      </w:r>
      <w:r>
        <w:rPr>
          <w:lang w:val="sq-AL"/>
        </w:rPr>
        <w:t>ë</w:t>
      </w:r>
      <w:r>
        <w:rPr>
          <w:lang w:val="sq-AL"/>
        </w:rPr>
        <w:t>rmbushet</w:t>
      </w:r>
      <w:r w:rsidR="00066C9F" w:rsidRPr="009E674D">
        <w:rPr>
          <w:lang w:val="sq-AL"/>
        </w:rPr>
        <w:t xml:space="preserve"> duke zvogëluar hendekun e shkathtësive në tregun e punës dhe duke rritur punësimin e dinjitetshëm për gra, të rinj dhe grupe të cenueshme. Objektivi 3 pritet të</w:t>
      </w:r>
      <w:r>
        <w:rPr>
          <w:lang w:val="sq-AL"/>
        </w:rPr>
        <w:t xml:space="preserve"> realizohet</w:t>
      </w:r>
      <w:r w:rsidR="00066C9F" w:rsidRPr="009E674D">
        <w:rPr>
          <w:lang w:val="sq-AL"/>
        </w:rPr>
        <w:t xml:space="preserve"> përmes përmirësimit të infrastrukturës së transportit lokal dhe shërbimeve; sigurimit të qasjes në infrastrukturën përcjellëse; menaxhimit të integruar të mbeturinave; dhe përmirësimit të efikasitetit të energjisë në infrastrukturë. Në fund, Objektivi 4 parashihet të arrihet përmes financave lokale të qëndrueshme dhe efektive; avancimit të proceseve dhe resurseve në planifikimin dhe zhvillimin e politikave lokale; përmirësimit të shërbimeve dhe përgjegjësisë komunale; dhe forcimit të partneritetit për zhvillim ekonomik lokal.</w:t>
      </w:r>
    </w:p>
    <w:p w14:paraId="4CEFD2E0" w14:textId="6477052D" w:rsidR="00F53523" w:rsidRPr="009E674D" w:rsidRDefault="0001223E" w:rsidP="00F53523">
      <w:pPr>
        <w:spacing w:before="120" w:after="0"/>
        <w:jc w:val="both"/>
        <w:rPr>
          <w:lang w:val="sq-AL"/>
        </w:rPr>
      </w:pPr>
      <w:r w:rsidRPr="009E674D">
        <w:rPr>
          <w:lang w:val="sq-AL"/>
        </w:rPr>
        <w:lastRenderedPageBreak/>
        <w:t>Implementimi i këtij programi kërkon bashkëpunim të ngushtë ne mes të institucioneve, komunitetit të bizneseve dhe qytetarëve. Përmes bashkëpun</w:t>
      </w:r>
      <w:r w:rsidR="00700949">
        <w:rPr>
          <w:lang w:val="sq-AL"/>
        </w:rPr>
        <w:t>imit në zbatim, krijohen kushte</w:t>
      </w:r>
      <w:r w:rsidRPr="009E674D">
        <w:rPr>
          <w:lang w:val="sq-AL"/>
        </w:rPr>
        <w:t xml:space="preserve"> që të ndërto</w:t>
      </w:r>
      <w:r w:rsidR="00700949">
        <w:rPr>
          <w:lang w:val="sq-AL"/>
        </w:rPr>
        <w:t>het një ekonomie lokale që nxit</w:t>
      </w:r>
      <w:r w:rsidRPr="009E674D">
        <w:rPr>
          <w:lang w:val="sq-AL"/>
        </w:rPr>
        <w:t xml:space="preserve"> rritjen dhe zhvillimin për të gjithë. </w:t>
      </w:r>
      <w:r w:rsidRPr="009E674D">
        <w:rPr>
          <w:b/>
          <w:sz w:val="28"/>
          <w:lang w:val="sq-AL"/>
        </w:rPr>
        <w:br w:type="page"/>
      </w:r>
    </w:p>
    <w:p w14:paraId="2779BF1B" w14:textId="77777777" w:rsidR="00B4243E" w:rsidRPr="009E674D" w:rsidRDefault="00CB403C" w:rsidP="00E74542">
      <w:pPr>
        <w:pStyle w:val="Heading1"/>
        <w:numPr>
          <w:ilvl w:val="0"/>
          <w:numId w:val="12"/>
        </w:numPr>
        <w:rPr>
          <w:b/>
          <w:sz w:val="28"/>
          <w:lang w:val="sq-AL"/>
        </w:rPr>
      </w:pPr>
      <w:bookmarkStart w:id="3" w:name="_Toc132188424"/>
      <w:r w:rsidRPr="009E674D">
        <w:rPr>
          <w:b/>
          <w:sz w:val="28"/>
          <w:lang w:val="sq-AL"/>
        </w:rPr>
        <w:lastRenderedPageBreak/>
        <w:t>Hyrja</w:t>
      </w:r>
      <w:bookmarkEnd w:id="3"/>
    </w:p>
    <w:p w14:paraId="04A53F96" w14:textId="5CDA41BA" w:rsidR="00AE6C39" w:rsidRPr="009E674D" w:rsidRDefault="00CB403C" w:rsidP="00B4243E">
      <w:pPr>
        <w:jc w:val="both"/>
        <w:rPr>
          <w:lang w:val="sq-AL"/>
        </w:rPr>
      </w:pPr>
      <w:r w:rsidRPr="009E674D">
        <w:rPr>
          <w:lang w:val="sq-AL"/>
        </w:rPr>
        <w:br/>
      </w:r>
      <w:r w:rsidR="00B4243E" w:rsidRPr="009E674D">
        <w:rPr>
          <w:lang w:val="sq-AL"/>
        </w:rPr>
        <w:t>Zhvillimi ekonomik lokal jep kontribut qenësor në p</w:t>
      </w:r>
      <w:r w:rsidR="00235B48" w:rsidRPr="009E674D">
        <w:rPr>
          <w:lang w:val="sq-AL"/>
        </w:rPr>
        <w:t>erfor</w:t>
      </w:r>
      <w:r w:rsidR="00B4243E" w:rsidRPr="009E674D">
        <w:rPr>
          <w:lang w:val="sq-AL"/>
        </w:rPr>
        <w:t>mancën</w:t>
      </w:r>
      <w:r w:rsidR="005B3F71" w:rsidRPr="009E674D">
        <w:rPr>
          <w:lang w:val="sq-AL"/>
        </w:rPr>
        <w:t xml:space="preserve"> e përgjithshme</w:t>
      </w:r>
      <w:r w:rsidR="00B4243E" w:rsidRPr="009E674D">
        <w:rPr>
          <w:lang w:val="sq-AL"/>
        </w:rPr>
        <w:t xml:space="preserve"> ekonomike të </w:t>
      </w:r>
      <w:r w:rsidR="00F55F39" w:rsidRPr="009E674D">
        <w:rPr>
          <w:lang w:val="sq-AL"/>
        </w:rPr>
        <w:t>shtetit</w:t>
      </w:r>
      <w:r w:rsidR="00B4243E" w:rsidRPr="009E674D">
        <w:rPr>
          <w:lang w:val="sq-AL"/>
        </w:rPr>
        <w:t>. Rëndësia</w:t>
      </w:r>
      <w:r w:rsidR="00AE6C39" w:rsidRPr="009E674D">
        <w:rPr>
          <w:lang w:val="sq-AL"/>
        </w:rPr>
        <w:t xml:space="preserve"> e</w:t>
      </w:r>
      <w:r w:rsidR="00B4243E" w:rsidRPr="009E674D">
        <w:rPr>
          <w:lang w:val="sq-AL"/>
        </w:rPr>
        <w:t xml:space="preserve"> zhvillimit në këtë nivel po bëhet </w:t>
      </w:r>
      <w:r w:rsidR="003C5C6C" w:rsidRPr="009E674D">
        <w:rPr>
          <w:lang w:val="sq-AL"/>
        </w:rPr>
        <w:t>gjith</w:t>
      </w:r>
      <w:r w:rsidR="003C5C6C">
        <w:rPr>
          <w:lang w:val="sq-AL"/>
        </w:rPr>
        <w:t>nj</w:t>
      </w:r>
      <w:r w:rsidR="003C5C6C" w:rsidRPr="009E674D">
        <w:rPr>
          <w:lang w:val="sq-AL"/>
        </w:rPr>
        <w:t xml:space="preserve">ë </w:t>
      </w:r>
      <w:r w:rsidR="00B4243E" w:rsidRPr="009E674D">
        <w:rPr>
          <w:lang w:val="sq-AL"/>
        </w:rPr>
        <w:t>e më kritike si rezultat i rritjes së konkurrencës në</w:t>
      </w:r>
      <w:r w:rsidR="00585F14" w:rsidRPr="009E674D">
        <w:rPr>
          <w:lang w:val="sq-AL"/>
        </w:rPr>
        <w:t xml:space="preserve"> nivel global, </w:t>
      </w:r>
      <w:r w:rsidR="00235B48" w:rsidRPr="009E674D">
        <w:rPr>
          <w:lang w:val="sq-AL"/>
        </w:rPr>
        <w:t>lëvizjes</w:t>
      </w:r>
      <w:r w:rsidR="00585F14" w:rsidRPr="009E674D">
        <w:rPr>
          <w:lang w:val="sq-AL"/>
        </w:rPr>
        <w:t xml:space="preserve"> s</w:t>
      </w:r>
      <w:r w:rsidR="00B4243E" w:rsidRPr="009E674D">
        <w:rPr>
          <w:lang w:val="sq-AL"/>
        </w:rPr>
        <w:t>ë</w:t>
      </w:r>
      <w:r w:rsidR="00585F14" w:rsidRPr="009E674D">
        <w:rPr>
          <w:lang w:val="sq-AL"/>
        </w:rPr>
        <w:t xml:space="preserve"> </w:t>
      </w:r>
      <w:r w:rsidR="00B4243E" w:rsidRPr="009E674D">
        <w:rPr>
          <w:lang w:val="sq-AL"/>
        </w:rPr>
        <w:t xml:space="preserve">popullatës, avancimit të teknologjisë dhe dallimeve </w:t>
      </w:r>
      <w:r w:rsidR="00235B48" w:rsidRPr="009E674D">
        <w:rPr>
          <w:lang w:val="sq-AL"/>
        </w:rPr>
        <w:t>hapësinore</w:t>
      </w:r>
      <w:r w:rsidR="00B32F11" w:rsidRPr="009E674D">
        <w:rPr>
          <w:lang w:val="sq-AL"/>
        </w:rPr>
        <w:t xml:space="preserve"> në rritje</w:t>
      </w:r>
      <w:r w:rsidR="00B4243E" w:rsidRPr="009E674D">
        <w:rPr>
          <w:lang w:val="sq-AL"/>
        </w:rPr>
        <w:t xml:space="preserve">. </w:t>
      </w:r>
      <w:r w:rsidR="00AE6C39" w:rsidRPr="009E674D">
        <w:rPr>
          <w:lang w:val="sq-AL"/>
        </w:rPr>
        <w:t xml:space="preserve">Në këtë </w:t>
      </w:r>
      <w:r w:rsidR="00235B48" w:rsidRPr="009E674D">
        <w:rPr>
          <w:lang w:val="sq-AL"/>
        </w:rPr>
        <w:t>kontekst</w:t>
      </w:r>
      <w:r w:rsidR="00AE6C39" w:rsidRPr="009E674D">
        <w:rPr>
          <w:lang w:val="sq-AL"/>
        </w:rPr>
        <w:t>, z</w:t>
      </w:r>
      <w:r w:rsidR="00280B8D" w:rsidRPr="009E674D">
        <w:rPr>
          <w:lang w:val="sq-AL"/>
        </w:rPr>
        <w:t xml:space="preserve">hvillimi ekonomik lokal është </w:t>
      </w:r>
      <w:r w:rsidR="00AE6C39" w:rsidRPr="009E674D">
        <w:rPr>
          <w:lang w:val="sq-AL"/>
        </w:rPr>
        <w:t xml:space="preserve">bërë i </w:t>
      </w:r>
      <w:r w:rsidR="00585F14" w:rsidRPr="009E674D">
        <w:rPr>
          <w:lang w:val="sq-AL"/>
        </w:rPr>
        <w:t xml:space="preserve">domosdoshëm </w:t>
      </w:r>
      <w:r w:rsidR="00616EA7" w:rsidRPr="009E674D">
        <w:rPr>
          <w:lang w:val="sq-AL"/>
        </w:rPr>
        <w:t>për të nxitur investime</w:t>
      </w:r>
      <w:r w:rsidR="00585F14" w:rsidRPr="009E674D">
        <w:rPr>
          <w:lang w:val="sq-AL"/>
        </w:rPr>
        <w:t xml:space="preserve"> drejt aktiviteteve që përkojnë me po</w:t>
      </w:r>
      <w:r w:rsidR="005E0430" w:rsidRPr="009E674D">
        <w:rPr>
          <w:lang w:val="sq-AL"/>
        </w:rPr>
        <w:t>tencialet dhe karakteristikat</w:t>
      </w:r>
      <w:r w:rsidR="00616EA7" w:rsidRPr="009E674D">
        <w:rPr>
          <w:lang w:val="sq-AL"/>
        </w:rPr>
        <w:t xml:space="preserve"> lokale</w:t>
      </w:r>
      <w:r w:rsidR="00025E2F" w:rsidRPr="009E674D">
        <w:rPr>
          <w:lang w:val="sq-AL"/>
        </w:rPr>
        <w:t>,</w:t>
      </w:r>
      <w:r w:rsidR="00616EA7" w:rsidRPr="009E674D">
        <w:rPr>
          <w:lang w:val="sq-AL"/>
        </w:rPr>
        <w:t xml:space="preserve"> </w:t>
      </w:r>
      <w:r w:rsidR="00C505A1" w:rsidRPr="009E674D">
        <w:rPr>
          <w:lang w:val="sq-AL"/>
        </w:rPr>
        <w:t xml:space="preserve">për të </w:t>
      </w:r>
      <w:r w:rsidR="00700949">
        <w:rPr>
          <w:lang w:val="sq-AL"/>
        </w:rPr>
        <w:t>krijuar vende të reja pune</w:t>
      </w:r>
      <w:r w:rsidR="00616EA7" w:rsidRPr="009E674D">
        <w:rPr>
          <w:lang w:val="sq-AL"/>
        </w:rPr>
        <w:t xml:space="preserve"> dhe për të shkrirë dallimet në mes të vendeve të pasura dhe të varfra</w:t>
      </w:r>
      <w:r w:rsidR="00585F14" w:rsidRPr="009E674D">
        <w:rPr>
          <w:lang w:val="sq-AL"/>
        </w:rPr>
        <w:t>.</w:t>
      </w:r>
    </w:p>
    <w:p w14:paraId="528509A0" w14:textId="75A7B60E" w:rsidR="00B32F11" w:rsidRPr="009E674D" w:rsidRDefault="00AE6C39" w:rsidP="00B32F11">
      <w:pPr>
        <w:jc w:val="both"/>
        <w:rPr>
          <w:lang w:val="sq-AL"/>
        </w:rPr>
      </w:pPr>
      <w:r w:rsidRPr="009E674D">
        <w:rPr>
          <w:lang w:val="sq-AL"/>
        </w:rPr>
        <w:t>Komunitetet lokale të suksesshme ekonomikisht sot janë ato të cilat krijojnë</w:t>
      </w:r>
      <w:r w:rsidR="00235B48" w:rsidRPr="009E674D">
        <w:rPr>
          <w:lang w:val="sq-AL"/>
        </w:rPr>
        <w:t xml:space="preserve"> mekanizma për adresimin e sfidave lokale dhe njëkohësisht zhvillojnë</w:t>
      </w:r>
      <w:r w:rsidRPr="009E674D">
        <w:rPr>
          <w:lang w:val="sq-AL"/>
        </w:rPr>
        <w:t xml:space="preserve"> aftësi që t’i adaptohen dinamikave dhe ndryshimeve të vazhdueshme në rra</w:t>
      </w:r>
      <w:r w:rsidR="00235B48" w:rsidRPr="009E674D">
        <w:rPr>
          <w:lang w:val="sq-AL"/>
        </w:rPr>
        <w:t>f</w:t>
      </w:r>
      <w:r w:rsidRPr="009E674D">
        <w:rPr>
          <w:lang w:val="sq-AL"/>
        </w:rPr>
        <w:t>shin e brendshë</w:t>
      </w:r>
      <w:r w:rsidR="00207262" w:rsidRPr="009E674D">
        <w:rPr>
          <w:lang w:val="sq-AL"/>
        </w:rPr>
        <w:t>m dhe</w:t>
      </w:r>
      <w:r w:rsidRPr="009E674D">
        <w:rPr>
          <w:lang w:val="sq-AL"/>
        </w:rPr>
        <w:t xml:space="preserve"> atë ndërkombë</w:t>
      </w:r>
      <w:r w:rsidR="00207262" w:rsidRPr="009E674D">
        <w:rPr>
          <w:lang w:val="sq-AL"/>
        </w:rPr>
        <w:t xml:space="preserve">tar. </w:t>
      </w:r>
      <w:r w:rsidR="0036401F" w:rsidRPr="009E674D">
        <w:rPr>
          <w:lang w:val="sq-AL"/>
        </w:rPr>
        <w:t>Zhvillimi ekonomik lokal është pikërisht procesi që e mundëson këtë adaptim</w:t>
      </w:r>
      <w:r w:rsidR="00700949">
        <w:rPr>
          <w:lang w:val="sq-AL"/>
        </w:rPr>
        <w:t>,</w:t>
      </w:r>
      <w:r w:rsidR="0036401F" w:rsidRPr="009E674D">
        <w:rPr>
          <w:lang w:val="sq-AL"/>
        </w:rPr>
        <w:t xml:space="preserve"> përmes</w:t>
      </w:r>
      <w:r w:rsidR="001B1BA9" w:rsidRPr="009E674D">
        <w:rPr>
          <w:lang w:val="sq-AL"/>
        </w:rPr>
        <w:t xml:space="preserve"> </w:t>
      </w:r>
      <w:r w:rsidR="0036401F" w:rsidRPr="009E674D">
        <w:rPr>
          <w:lang w:val="sq-AL"/>
        </w:rPr>
        <w:t xml:space="preserve">planifikimit </w:t>
      </w:r>
      <w:r w:rsidR="00B32F11" w:rsidRPr="009E674D">
        <w:rPr>
          <w:lang w:val="sq-AL"/>
        </w:rPr>
        <w:t xml:space="preserve">me pjesëmarrje gjithëpërfshirëse dhe dialog </w:t>
      </w:r>
      <w:r w:rsidR="007A09B3" w:rsidRPr="009E674D">
        <w:rPr>
          <w:lang w:val="sq-AL"/>
        </w:rPr>
        <w:t xml:space="preserve">të </w:t>
      </w:r>
      <w:r w:rsidR="00B32F11" w:rsidRPr="009E674D">
        <w:rPr>
          <w:lang w:val="sq-AL"/>
        </w:rPr>
        <w:t>vazhdueshëm</w:t>
      </w:r>
      <w:r w:rsidR="007A09B3" w:rsidRPr="009E674D">
        <w:rPr>
          <w:lang w:val="sq-AL"/>
        </w:rPr>
        <w:t xml:space="preserve"> lokal</w:t>
      </w:r>
      <w:r w:rsidR="0036401F" w:rsidRPr="009E674D">
        <w:rPr>
          <w:lang w:val="sq-AL"/>
        </w:rPr>
        <w:t xml:space="preserve"> </w:t>
      </w:r>
      <w:r w:rsidR="007A09B3" w:rsidRPr="009E674D">
        <w:rPr>
          <w:lang w:val="sq-AL"/>
        </w:rPr>
        <w:t>dhe bashkërendimit të resurseve</w:t>
      </w:r>
      <w:r w:rsidR="0036401F" w:rsidRPr="009E674D">
        <w:rPr>
          <w:lang w:val="sq-AL"/>
        </w:rPr>
        <w:t xml:space="preserve"> brenda dhe jashtë komunitetit. </w:t>
      </w:r>
    </w:p>
    <w:p w14:paraId="54CF1870" w14:textId="26CBFC82" w:rsidR="00025E2F" w:rsidRPr="009E674D" w:rsidRDefault="006D3062" w:rsidP="00B4243E">
      <w:pPr>
        <w:jc w:val="both"/>
        <w:rPr>
          <w:lang w:val="sq-AL"/>
        </w:rPr>
      </w:pPr>
      <w:r w:rsidRPr="009E674D">
        <w:rPr>
          <w:lang w:val="sq-AL"/>
        </w:rPr>
        <w:t>Për dallim nga shumë</w:t>
      </w:r>
      <w:r w:rsidR="00575F76" w:rsidRPr="009E674D">
        <w:rPr>
          <w:lang w:val="sq-AL"/>
        </w:rPr>
        <w:t xml:space="preserve"> vende </w:t>
      </w:r>
      <w:r w:rsidR="003C5C6C">
        <w:rPr>
          <w:lang w:val="sq-AL"/>
        </w:rPr>
        <w:t xml:space="preserve">të </w:t>
      </w:r>
      <w:r w:rsidR="00575F76" w:rsidRPr="009E674D">
        <w:rPr>
          <w:lang w:val="sq-AL"/>
        </w:rPr>
        <w:t>tjera, Kosova</w:t>
      </w:r>
      <w:r w:rsidR="00196F3B" w:rsidRPr="009E674D">
        <w:rPr>
          <w:lang w:val="sq-AL"/>
        </w:rPr>
        <w:t xml:space="preserve">, të paktën në rrafshin ligjor, </w:t>
      </w:r>
      <w:r w:rsidRPr="009E674D">
        <w:rPr>
          <w:lang w:val="sq-AL"/>
        </w:rPr>
        <w:t>e ka të rregulluar mirë çështjen e zhvillimit ekonomik lokal. Në Ligjin</w:t>
      </w:r>
      <w:r w:rsidR="007A09B3" w:rsidRPr="009E674D">
        <w:rPr>
          <w:lang w:val="sq-AL"/>
        </w:rPr>
        <w:t xml:space="preserve"> për Vetëqeverisje Lokale</w:t>
      </w:r>
      <w:r w:rsidRPr="009E674D">
        <w:rPr>
          <w:lang w:val="sq-AL"/>
        </w:rPr>
        <w:t>, përkatësisht në nenin 17</w:t>
      </w:r>
      <w:r w:rsidR="00025E2F" w:rsidRPr="009E674D">
        <w:rPr>
          <w:lang w:val="sq-AL"/>
        </w:rPr>
        <w:t xml:space="preserve">, zhvillimi ekonomik lokal </w:t>
      </w:r>
      <w:r w:rsidRPr="009E674D">
        <w:rPr>
          <w:lang w:val="sq-AL"/>
        </w:rPr>
        <w:t>ë</w:t>
      </w:r>
      <w:r w:rsidR="00025E2F" w:rsidRPr="009E674D">
        <w:rPr>
          <w:lang w:val="sq-AL"/>
        </w:rPr>
        <w:t>shtë në mesin e kompetencave</w:t>
      </w:r>
      <w:r w:rsidRPr="009E674D">
        <w:rPr>
          <w:lang w:val="sq-AL"/>
        </w:rPr>
        <w:t xml:space="preserve"> vetanake</w:t>
      </w:r>
      <w:r w:rsidR="00025E2F" w:rsidRPr="009E674D">
        <w:rPr>
          <w:lang w:val="sq-AL"/>
        </w:rPr>
        <w:t xml:space="preserve"> të komunave</w:t>
      </w:r>
      <w:r w:rsidRPr="009E674D">
        <w:rPr>
          <w:lang w:val="sq-AL"/>
        </w:rPr>
        <w:t>,</w:t>
      </w:r>
      <w:r w:rsidR="00025E2F" w:rsidRPr="009E674D">
        <w:rPr>
          <w:lang w:val="sq-AL"/>
        </w:rPr>
        <w:t xml:space="preserve"> që, mes tjerash, nënkupton se komunat kanë hapësirë që ta planifikojnë zhvillimin ekonomik lokal të tyre, t’i përcaktojnë përparësitë zhvillimore dhe strukturore</w:t>
      </w:r>
      <w:r w:rsidR="00B52DE8" w:rsidRPr="009E674D">
        <w:rPr>
          <w:lang w:val="sq-AL"/>
        </w:rPr>
        <w:t>, si</w:t>
      </w:r>
      <w:r w:rsidR="00025E2F" w:rsidRPr="009E674D">
        <w:rPr>
          <w:lang w:val="sq-AL"/>
        </w:rPr>
        <w:t xml:space="preserve"> dhe ta definojnë përkrahjen për zhvillimin e ekosistemit ekonomik lokal. </w:t>
      </w:r>
    </w:p>
    <w:p w14:paraId="27E96E4F" w14:textId="76878E66" w:rsidR="00760248" w:rsidRPr="009E674D" w:rsidRDefault="00CF27AA" w:rsidP="00B4243E">
      <w:pPr>
        <w:jc w:val="both"/>
        <w:rPr>
          <w:lang w:val="sq-AL"/>
        </w:rPr>
      </w:pPr>
      <w:r w:rsidRPr="009E674D">
        <w:rPr>
          <w:lang w:val="sq-AL"/>
        </w:rPr>
        <w:t>Përkundër rregullimit të mirë ligjor dhe përpjekjeve n</w:t>
      </w:r>
      <w:r w:rsidR="00726CD4" w:rsidRPr="009E674D">
        <w:rPr>
          <w:lang w:val="sq-AL"/>
        </w:rPr>
        <w:t>dër vite</w:t>
      </w:r>
      <w:r w:rsidRPr="009E674D">
        <w:rPr>
          <w:lang w:val="sq-AL"/>
        </w:rPr>
        <w:t>,</w:t>
      </w:r>
      <w:r w:rsidR="00E74542" w:rsidRPr="009E674D">
        <w:rPr>
          <w:lang w:val="sq-AL"/>
        </w:rPr>
        <w:t xml:space="preserve"> shumica e komunave të Kosovës </w:t>
      </w:r>
      <w:r w:rsidR="005B3F71" w:rsidRPr="009E674D">
        <w:rPr>
          <w:lang w:val="sq-AL"/>
        </w:rPr>
        <w:t xml:space="preserve">ende nuk  kanë planifikim cilësor në lidhje me zhvillimin ekonomik lokal dhe ballafaqohen me sfida sistemike që pengojnë në zhvillimin dhe avancimin e tyre. </w:t>
      </w:r>
      <w:r w:rsidRPr="009E674D">
        <w:rPr>
          <w:lang w:val="sq-AL"/>
        </w:rPr>
        <w:t xml:space="preserve"> </w:t>
      </w:r>
      <w:r w:rsidR="00B52DE8" w:rsidRPr="009E674D">
        <w:rPr>
          <w:lang w:val="sq-AL"/>
        </w:rPr>
        <w:t>N</w:t>
      </w:r>
      <w:r w:rsidR="00F71EDC" w:rsidRPr="009E674D">
        <w:rPr>
          <w:lang w:val="sq-AL"/>
        </w:rPr>
        <w:t>dër sfidat kryesore</w:t>
      </w:r>
      <w:r w:rsidR="00C505A1" w:rsidRPr="009E674D">
        <w:rPr>
          <w:lang w:val="sq-AL"/>
        </w:rPr>
        <w:t xml:space="preserve"> me të cilat ballafaqohet</w:t>
      </w:r>
      <w:r w:rsidR="00D41BC7" w:rsidRPr="009E674D">
        <w:rPr>
          <w:lang w:val="sq-AL"/>
        </w:rPr>
        <w:t xml:space="preserve"> </w:t>
      </w:r>
      <w:r w:rsidR="00575F76" w:rsidRPr="009E674D">
        <w:rPr>
          <w:lang w:val="sq-AL"/>
        </w:rPr>
        <w:t>niveli komunal</w:t>
      </w:r>
      <w:r w:rsidR="00D41BC7" w:rsidRPr="009E674D">
        <w:rPr>
          <w:lang w:val="sq-AL"/>
        </w:rPr>
        <w:t xml:space="preserve"> në</w:t>
      </w:r>
      <w:r w:rsidR="00575F76" w:rsidRPr="009E674D">
        <w:rPr>
          <w:lang w:val="sq-AL"/>
        </w:rPr>
        <w:t xml:space="preserve"> aspekt të zhvillimit</w:t>
      </w:r>
      <w:r w:rsidR="00D41BC7" w:rsidRPr="009E674D">
        <w:rPr>
          <w:lang w:val="sq-AL"/>
        </w:rPr>
        <w:t xml:space="preserve"> ekonomik </w:t>
      </w:r>
      <w:r w:rsidR="00E74542" w:rsidRPr="009E674D">
        <w:rPr>
          <w:lang w:val="sq-AL"/>
        </w:rPr>
        <w:t xml:space="preserve">janë </w:t>
      </w:r>
      <w:r w:rsidR="00F71EDC" w:rsidRPr="009E674D">
        <w:rPr>
          <w:lang w:val="sq-AL"/>
        </w:rPr>
        <w:t xml:space="preserve">kapacitet e mangëta komunale për </w:t>
      </w:r>
      <w:r w:rsidR="00745B6D" w:rsidRPr="009E674D">
        <w:rPr>
          <w:lang w:val="sq-AL"/>
        </w:rPr>
        <w:t>t</w:t>
      </w:r>
      <w:r w:rsidR="00745B6D">
        <w:rPr>
          <w:lang w:val="sq-AL"/>
        </w:rPr>
        <w:t>a</w:t>
      </w:r>
      <w:r w:rsidR="00745B6D" w:rsidRPr="009E674D">
        <w:rPr>
          <w:lang w:val="sq-AL"/>
        </w:rPr>
        <w:t xml:space="preserve"> </w:t>
      </w:r>
      <w:r w:rsidR="00F71EDC" w:rsidRPr="009E674D">
        <w:rPr>
          <w:lang w:val="sq-AL"/>
        </w:rPr>
        <w:t>ndihmuar zhvillimin ekonomik, mungesa e përkrahjes solide në nxitje të investimeve në sektorët me prior</w:t>
      </w:r>
      <w:r w:rsidR="00E74542" w:rsidRPr="009E674D">
        <w:rPr>
          <w:lang w:val="sq-AL"/>
        </w:rPr>
        <w:t xml:space="preserve">itet, shpërputhja e aftësive </w:t>
      </w:r>
      <w:r w:rsidR="00575F76" w:rsidRPr="009E674D">
        <w:rPr>
          <w:lang w:val="sq-AL"/>
        </w:rPr>
        <w:t>në tregun e punës</w:t>
      </w:r>
      <w:r w:rsidR="00E74542" w:rsidRPr="009E674D">
        <w:rPr>
          <w:lang w:val="sq-AL"/>
        </w:rPr>
        <w:t xml:space="preserve">, mungesa e qëndrueshmërisë financiare me varësi të madhe në </w:t>
      </w:r>
      <w:r w:rsidR="00280B8D" w:rsidRPr="009E674D">
        <w:rPr>
          <w:lang w:val="sq-AL"/>
        </w:rPr>
        <w:t>nivelin qendror</w:t>
      </w:r>
      <w:r w:rsidR="00575F76" w:rsidRPr="009E674D">
        <w:rPr>
          <w:lang w:val="sq-AL"/>
        </w:rPr>
        <w:t xml:space="preserve"> </w:t>
      </w:r>
      <w:r w:rsidR="00F71EDC" w:rsidRPr="009E674D">
        <w:rPr>
          <w:lang w:val="sq-AL"/>
        </w:rPr>
        <w:t>dhe bashkë</w:t>
      </w:r>
      <w:r w:rsidR="00D41BC7" w:rsidRPr="009E674D">
        <w:rPr>
          <w:lang w:val="sq-AL"/>
        </w:rPr>
        <w:t>punimi i kufizuar</w:t>
      </w:r>
      <w:r w:rsidR="00575F76" w:rsidRPr="009E674D">
        <w:rPr>
          <w:lang w:val="sq-AL"/>
        </w:rPr>
        <w:t xml:space="preserve"> </w:t>
      </w:r>
      <w:r w:rsidR="005E0430" w:rsidRPr="009E674D">
        <w:rPr>
          <w:lang w:val="sq-AL"/>
        </w:rPr>
        <w:t xml:space="preserve">institucional. </w:t>
      </w:r>
    </w:p>
    <w:p w14:paraId="41399C93" w14:textId="37C6C36A" w:rsidR="00CB403C" w:rsidRPr="009E674D" w:rsidRDefault="00D41BC7" w:rsidP="00523C70">
      <w:pPr>
        <w:jc w:val="both"/>
        <w:rPr>
          <w:lang w:val="sq-AL"/>
        </w:rPr>
      </w:pPr>
      <w:r w:rsidRPr="009E674D">
        <w:rPr>
          <w:lang w:val="sq-AL"/>
        </w:rPr>
        <w:t xml:space="preserve">Për ta ndihmuar zhvillimin ekonomik lokal, </w:t>
      </w:r>
      <w:r w:rsidR="0025727C" w:rsidRPr="009E674D">
        <w:rPr>
          <w:lang w:val="sq-AL"/>
        </w:rPr>
        <w:t>Qeveria e Kosov</w:t>
      </w:r>
      <w:r w:rsidR="00523C70" w:rsidRPr="009E674D">
        <w:rPr>
          <w:lang w:val="sq-AL"/>
        </w:rPr>
        <w:t>ë</w:t>
      </w:r>
      <w:r w:rsidR="0025727C" w:rsidRPr="009E674D">
        <w:rPr>
          <w:lang w:val="sq-AL"/>
        </w:rPr>
        <w:t>s, n</w:t>
      </w:r>
      <w:r w:rsidR="00523C70" w:rsidRPr="009E674D">
        <w:rPr>
          <w:lang w:val="sq-AL"/>
        </w:rPr>
        <w:t>ë</w:t>
      </w:r>
      <w:r w:rsidR="0025727C" w:rsidRPr="009E674D">
        <w:rPr>
          <w:lang w:val="sq-AL"/>
        </w:rPr>
        <w:t>n udh</w:t>
      </w:r>
      <w:r w:rsidR="00523C70" w:rsidRPr="009E674D">
        <w:rPr>
          <w:lang w:val="sq-AL"/>
        </w:rPr>
        <w:t>ë</w:t>
      </w:r>
      <w:r w:rsidR="0025727C" w:rsidRPr="009E674D">
        <w:rPr>
          <w:lang w:val="sq-AL"/>
        </w:rPr>
        <w:t xml:space="preserve">heqjen e </w:t>
      </w:r>
      <w:r w:rsidR="00E74542" w:rsidRPr="009E674D">
        <w:rPr>
          <w:lang w:val="sq-AL"/>
        </w:rPr>
        <w:t xml:space="preserve">MAPL-së </w:t>
      </w:r>
      <w:r w:rsidR="0025727C" w:rsidRPr="009E674D">
        <w:rPr>
          <w:lang w:val="sq-AL"/>
        </w:rPr>
        <w:t>dhe n</w:t>
      </w:r>
      <w:r w:rsidR="00523C70" w:rsidRPr="009E674D">
        <w:rPr>
          <w:lang w:val="sq-AL"/>
        </w:rPr>
        <w:t>ë</w:t>
      </w:r>
      <w:r w:rsidR="0025727C" w:rsidRPr="009E674D">
        <w:rPr>
          <w:lang w:val="sq-AL"/>
        </w:rPr>
        <w:t xml:space="preserve"> bashk</w:t>
      </w:r>
      <w:r w:rsidR="00523C70" w:rsidRPr="009E674D">
        <w:rPr>
          <w:lang w:val="sq-AL"/>
        </w:rPr>
        <w:t>ë</w:t>
      </w:r>
      <w:r w:rsidR="0025727C" w:rsidRPr="009E674D">
        <w:rPr>
          <w:lang w:val="sq-AL"/>
        </w:rPr>
        <w:t>punim me institucionet tjera t</w:t>
      </w:r>
      <w:r w:rsidR="00523C70" w:rsidRPr="009E674D">
        <w:rPr>
          <w:lang w:val="sq-AL"/>
        </w:rPr>
        <w:t>ë</w:t>
      </w:r>
      <w:r w:rsidR="0025727C" w:rsidRPr="009E674D">
        <w:rPr>
          <w:lang w:val="sq-AL"/>
        </w:rPr>
        <w:t xml:space="preserve"> linjës, komunat dhe akter</w:t>
      </w:r>
      <w:r w:rsidR="00523C70" w:rsidRPr="009E674D">
        <w:rPr>
          <w:lang w:val="sq-AL"/>
        </w:rPr>
        <w:t>ë</w:t>
      </w:r>
      <w:r w:rsidR="009F5696">
        <w:rPr>
          <w:lang w:val="sq-AL"/>
        </w:rPr>
        <w:t>t</w:t>
      </w:r>
      <w:r w:rsidR="0025727C" w:rsidRPr="009E674D">
        <w:rPr>
          <w:lang w:val="sq-AL"/>
        </w:rPr>
        <w:t xml:space="preserve"> tjer</w:t>
      </w:r>
      <w:r w:rsidR="00523C70" w:rsidRPr="009E674D">
        <w:rPr>
          <w:lang w:val="sq-AL"/>
        </w:rPr>
        <w:t>ë</w:t>
      </w:r>
      <w:r w:rsidR="0025727C" w:rsidRPr="009E674D">
        <w:rPr>
          <w:lang w:val="sq-AL"/>
        </w:rPr>
        <w:t xml:space="preserve"> relevant</w:t>
      </w:r>
      <w:r w:rsidR="00523C70" w:rsidRPr="009E674D">
        <w:rPr>
          <w:lang w:val="sq-AL"/>
        </w:rPr>
        <w:t>ë</w:t>
      </w:r>
      <w:r w:rsidR="0025727C" w:rsidRPr="009E674D">
        <w:rPr>
          <w:lang w:val="sq-AL"/>
        </w:rPr>
        <w:t xml:space="preserve"> </w:t>
      </w:r>
      <w:r w:rsidR="005E0430" w:rsidRPr="009E674D">
        <w:rPr>
          <w:lang w:val="sq-AL"/>
        </w:rPr>
        <w:t>ka hartuar</w:t>
      </w:r>
      <w:r w:rsidR="0025727C" w:rsidRPr="009E674D">
        <w:rPr>
          <w:lang w:val="sq-AL"/>
        </w:rPr>
        <w:t xml:space="preserve"> </w:t>
      </w:r>
      <w:r w:rsidR="003D18CF" w:rsidRPr="009E674D">
        <w:rPr>
          <w:lang w:val="sq-AL"/>
        </w:rPr>
        <w:t>PNZHEL</w:t>
      </w:r>
      <w:r w:rsidR="00575F76" w:rsidRPr="009E674D">
        <w:rPr>
          <w:lang w:val="sq-AL"/>
        </w:rPr>
        <w:t xml:space="preserve"> 2030</w:t>
      </w:r>
      <w:r w:rsidR="0025727C" w:rsidRPr="009E674D">
        <w:rPr>
          <w:lang w:val="sq-AL"/>
        </w:rPr>
        <w:t xml:space="preserve">. </w:t>
      </w:r>
      <w:r w:rsidR="00523C70" w:rsidRPr="009E674D">
        <w:rPr>
          <w:lang w:val="sq-AL"/>
        </w:rPr>
        <w:t>Ky dokument ka për qëllim</w:t>
      </w:r>
      <w:r w:rsidR="0025727C" w:rsidRPr="009E674D">
        <w:rPr>
          <w:lang w:val="sq-AL"/>
        </w:rPr>
        <w:t xml:space="preserve"> t</w:t>
      </w:r>
      <w:r w:rsidR="00523C70" w:rsidRPr="009E674D">
        <w:rPr>
          <w:lang w:val="sq-AL"/>
        </w:rPr>
        <w:t>ë</w:t>
      </w:r>
      <w:r w:rsidR="0025727C" w:rsidRPr="009E674D">
        <w:rPr>
          <w:lang w:val="sq-AL"/>
        </w:rPr>
        <w:t xml:space="preserve"> lokalizoj</w:t>
      </w:r>
      <w:r w:rsidR="00523C70" w:rsidRPr="009E674D">
        <w:rPr>
          <w:lang w:val="sq-AL"/>
        </w:rPr>
        <w:t>ë</w:t>
      </w:r>
      <w:r w:rsidR="0025727C" w:rsidRPr="009E674D">
        <w:rPr>
          <w:lang w:val="sq-AL"/>
        </w:rPr>
        <w:t xml:space="preserve"> orientimet strategjike q</w:t>
      </w:r>
      <w:r w:rsidR="00523C70" w:rsidRPr="009E674D">
        <w:rPr>
          <w:lang w:val="sq-AL"/>
        </w:rPr>
        <w:t>ë</w:t>
      </w:r>
      <w:r w:rsidR="003D18CF" w:rsidRPr="009E674D">
        <w:rPr>
          <w:lang w:val="sq-AL"/>
        </w:rPr>
        <w:t xml:space="preserve"> dalin nga </w:t>
      </w:r>
      <w:r w:rsidR="00523C70" w:rsidRPr="009E674D">
        <w:rPr>
          <w:lang w:val="sq-AL"/>
        </w:rPr>
        <w:t>SKZ</w:t>
      </w:r>
      <w:r w:rsidR="00E74542" w:rsidRPr="009E674D">
        <w:rPr>
          <w:lang w:val="sq-AL"/>
        </w:rPr>
        <w:t>H</w:t>
      </w:r>
      <w:r w:rsidR="001B1BA9" w:rsidRPr="009E674D">
        <w:rPr>
          <w:lang w:val="sq-AL"/>
        </w:rPr>
        <w:t xml:space="preserve"> dhe PKZH</w:t>
      </w:r>
      <w:r w:rsidR="003D18CF" w:rsidRPr="009E674D">
        <w:rPr>
          <w:lang w:val="sq-AL"/>
        </w:rPr>
        <w:t xml:space="preserve"> 2030</w:t>
      </w:r>
      <w:r w:rsidR="0025727C" w:rsidRPr="009E674D">
        <w:rPr>
          <w:lang w:val="sq-AL"/>
        </w:rPr>
        <w:t xml:space="preserve"> dhe strategjit</w:t>
      </w:r>
      <w:r w:rsidR="00523C70" w:rsidRPr="009E674D">
        <w:rPr>
          <w:lang w:val="sq-AL"/>
        </w:rPr>
        <w:t>ë</w:t>
      </w:r>
      <w:r w:rsidR="0025727C" w:rsidRPr="009E674D">
        <w:rPr>
          <w:lang w:val="sq-AL"/>
        </w:rPr>
        <w:t xml:space="preserve"> sektorial</w:t>
      </w:r>
      <w:r w:rsidR="00523C70" w:rsidRPr="009E674D">
        <w:rPr>
          <w:lang w:val="sq-AL"/>
        </w:rPr>
        <w:t>e</w:t>
      </w:r>
      <w:r w:rsidR="0025727C" w:rsidRPr="009E674D">
        <w:rPr>
          <w:lang w:val="sq-AL"/>
        </w:rPr>
        <w:t xml:space="preserve"> </w:t>
      </w:r>
      <w:r w:rsidRPr="009E674D">
        <w:rPr>
          <w:lang w:val="sq-AL"/>
        </w:rPr>
        <w:t>që nd</w:t>
      </w:r>
      <w:r w:rsidR="00523C70" w:rsidRPr="009E674D">
        <w:rPr>
          <w:lang w:val="sq-AL"/>
        </w:rPr>
        <w:t xml:space="preserve">ërlidhen me zhvillimin ekonomik. </w:t>
      </w:r>
      <w:r w:rsidRPr="009E674D">
        <w:rPr>
          <w:lang w:val="sq-AL"/>
        </w:rPr>
        <w:t>Fushëveprimi i këtij programi k</w:t>
      </w:r>
      <w:r w:rsidR="00B52DE8" w:rsidRPr="009E674D">
        <w:rPr>
          <w:lang w:val="sq-AL"/>
        </w:rPr>
        <w:t>ornizohet</w:t>
      </w:r>
      <w:r w:rsidRPr="009E674D">
        <w:rPr>
          <w:lang w:val="sq-AL"/>
        </w:rPr>
        <w:t xml:space="preserve"> në adresimin e sfidave të cilat i takojnë nivelit lokal.</w:t>
      </w:r>
      <w:r w:rsidR="00523C70" w:rsidRPr="009E674D">
        <w:rPr>
          <w:lang w:val="sq-AL"/>
        </w:rPr>
        <w:t xml:space="preserve"> </w:t>
      </w:r>
      <w:r w:rsidR="00312D8F" w:rsidRPr="009E674D">
        <w:rPr>
          <w:lang w:val="sq-AL"/>
        </w:rPr>
        <w:t>PNZHEL</w:t>
      </w:r>
      <w:r w:rsidR="00F61FB7" w:rsidRPr="009E674D">
        <w:rPr>
          <w:lang w:val="sq-AL"/>
        </w:rPr>
        <w:t xml:space="preserve"> 2030</w:t>
      </w:r>
      <w:r w:rsidRPr="009E674D">
        <w:rPr>
          <w:lang w:val="sq-AL"/>
        </w:rPr>
        <w:t xml:space="preserve"> do të shërbejë si udhërrëfyes për komunat</w:t>
      </w:r>
      <w:r w:rsidR="00745B6D">
        <w:rPr>
          <w:lang w:val="sq-AL"/>
        </w:rPr>
        <w:t>, ashtu</w:t>
      </w:r>
      <w:r w:rsidRPr="009E674D">
        <w:rPr>
          <w:lang w:val="sq-AL"/>
        </w:rPr>
        <w:t xml:space="preserve"> që këto të fundit t’i përgatisin strategjitë e tyre të zhvillimit ekonomik lokal </w:t>
      </w:r>
      <w:r w:rsidR="00523C70" w:rsidRPr="009E674D">
        <w:rPr>
          <w:lang w:val="sq-AL"/>
        </w:rPr>
        <w:t>në harmoni me përcaktimet</w:t>
      </w:r>
      <w:r w:rsidRPr="009E674D">
        <w:rPr>
          <w:lang w:val="sq-AL"/>
        </w:rPr>
        <w:t xml:space="preserve"> përgjithshme strategjike të SKZH-së</w:t>
      </w:r>
      <w:r w:rsidR="009E674D">
        <w:rPr>
          <w:lang w:val="sq-AL"/>
        </w:rPr>
        <w:t xml:space="preserve"> dhe </w:t>
      </w:r>
      <w:r w:rsidR="001B1BA9" w:rsidRPr="009E674D">
        <w:rPr>
          <w:lang w:val="sq-AL"/>
        </w:rPr>
        <w:t>PKZH-së</w:t>
      </w:r>
      <w:r w:rsidR="009E674D">
        <w:rPr>
          <w:lang w:val="sq-AL"/>
        </w:rPr>
        <w:t>, si</w:t>
      </w:r>
      <w:r w:rsidR="00E13193">
        <w:rPr>
          <w:lang w:val="sq-AL"/>
        </w:rPr>
        <w:t xml:space="preserve"> dhe me dokumentet</w:t>
      </w:r>
      <w:r w:rsidRPr="009E674D">
        <w:rPr>
          <w:lang w:val="sq-AL"/>
        </w:rPr>
        <w:t xml:space="preserve"> tjera sektoriale të nivelit qendror. </w:t>
      </w:r>
      <w:r w:rsidR="00312D8F" w:rsidRPr="009E674D">
        <w:rPr>
          <w:lang w:val="sq-AL"/>
        </w:rPr>
        <w:t>PNZHEL</w:t>
      </w:r>
      <w:r w:rsidRPr="009E674D">
        <w:rPr>
          <w:lang w:val="sq-AL"/>
        </w:rPr>
        <w:t xml:space="preserve"> </w:t>
      </w:r>
      <w:r w:rsidR="00F61FB7" w:rsidRPr="009E674D">
        <w:rPr>
          <w:lang w:val="sq-AL"/>
        </w:rPr>
        <w:t xml:space="preserve">2030 </w:t>
      </w:r>
      <w:r w:rsidRPr="009E674D">
        <w:rPr>
          <w:lang w:val="sq-AL"/>
        </w:rPr>
        <w:t>fok</w:t>
      </w:r>
      <w:r w:rsidR="00575F76" w:rsidRPr="009E674D">
        <w:rPr>
          <w:lang w:val="sq-AL"/>
        </w:rPr>
        <w:t>usin kryesor e ka n</w:t>
      </w:r>
      <w:r w:rsidRPr="009E674D">
        <w:rPr>
          <w:lang w:val="sq-AL"/>
        </w:rPr>
        <w:t xml:space="preserve">ë </w:t>
      </w:r>
      <w:r w:rsidR="00523C70" w:rsidRPr="009E674D">
        <w:rPr>
          <w:lang w:val="sq-AL"/>
        </w:rPr>
        <w:t>çështje</w:t>
      </w:r>
      <w:r w:rsidRPr="009E674D">
        <w:rPr>
          <w:lang w:val="sq-AL"/>
        </w:rPr>
        <w:t xml:space="preserve"> </w:t>
      </w:r>
      <w:r w:rsidR="00523C70" w:rsidRPr="009E674D">
        <w:rPr>
          <w:lang w:val="sq-AL"/>
        </w:rPr>
        <w:t xml:space="preserve">ekonomike </w:t>
      </w:r>
      <w:r w:rsidRPr="009E674D">
        <w:rPr>
          <w:lang w:val="sq-AL"/>
        </w:rPr>
        <w:t>që kan</w:t>
      </w:r>
      <w:r w:rsidR="00C505A1" w:rsidRPr="009E674D">
        <w:rPr>
          <w:lang w:val="sq-AL"/>
        </w:rPr>
        <w:t>ë</w:t>
      </w:r>
      <w:r w:rsidRPr="009E674D">
        <w:rPr>
          <w:lang w:val="sq-AL"/>
        </w:rPr>
        <w:t xml:space="preserve"> shtrirje horizontale tek komunat</w:t>
      </w:r>
      <w:r w:rsidR="00523C70" w:rsidRPr="009E674D">
        <w:rPr>
          <w:lang w:val="sq-AL"/>
        </w:rPr>
        <w:t>, por njëkohësisht edhe</w:t>
      </w:r>
      <w:r w:rsidR="002B0CF6" w:rsidRPr="009E674D">
        <w:rPr>
          <w:lang w:val="sq-AL"/>
        </w:rPr>
        <w:t xml:space="preserve"> në </w:t>
      </w:r>
      <w:r w:rsidRPr="009E674D">
        <w:rPr>
          <w:lang w:val="sq-AL"/>
        </w:rPr>
        <w:t>çështje të nivelit qendror që kanë ndikim të drejtpërdrejt</w:t>
      </w:r>
      <w:r w:rsidR="00C505A1" w:rsidRPr="009E674D">
        <w:rPr>
          <w:lang w:val="sq-AL"/>
        </w:rPr>
        <w:t>ë</w:t>
      </w:r>
      <w:r w:rsidRPr="009E674D">
        <w:rPr>
          <w:lang w:val="sq-AL"/>
        </w:rPr>
        <w:t xml:space="preserve"> në zhvillimin ekonomik lokal.</w:t>
      </w:r>
      <w:r w:rsidR="00575F76" w:rsidRPr="009E674D">
        <w:rPr>
          <w:lang w:val="sq-AL"/>
        </w:rPr>
        <w:t xml:space="preserve"> Ky dokument </w:t>
      </w:r>
      <w:r w:rsidR="0095463F" w:rsidRPr="009E674D">
        <w:rPr>
          <w:lang w:val="sq-AL"/>
        </w:rPr>
        <w:t>përmban</w:t>
      </w:r>
      <w:r w:rsidR="00CB403C" w:rsidRPr="009E674D">
        <w:rPr>
          <w:lang w:val="sq-AL"/>
        </w:rPr>
        <w:t xml:space="preserve"> </w:t>
      </w:r>
      <w:r w:rsidR="00575F76" w:rsidRPr="009E674D">
        <w:rPr>
          <w:lang w:val="sq-AL"/>
        </w:rPr>
        <w:t>objektiva dhe masa të përgjithshme orientues</w:t>
      </w:r>
      <w:r w:rsidR="002B0CF6" w:rsidRPr="009E674D">
        <w:rPr>
          <w:lang w:val="sq-AL"/>
        </w:rPr>
        <w:t>e. Komunat</w:t>
      </w:r>
      <w:r w:rsidR="00575F76" w:rsidRPr="009E674D">
        <w:rPr>
          <w:lang w:val="sq-AL"/>
        </w:rPr>
        <w:t>, në strategjitë e veta për zhvillim ekonomik lokal</w:t>
      </w:r>
      <w:r w:rsidR="002B0CF6" w:rsidRPr="009E674D">
        <w:rPr>
          <w:lang w:val="sq-AL"/>
        </w:rPr>
        <w:t>,</w:t>
      </w:r>
      <w:r w:rsidR="00575F76" w:rsidRPr="009E674D">
        <w:rPr>
          <w:lang w:val="sq-AL"/>
        </w:rPr>
        <w:t xml:space="preserve"> do ta kenë mundësinë që të përfshijnë veprime konkrete dhe të bëjnë ndarje buxhetore karshi planifikimeve të tyre.</w:t>
      </w:r>
      <w:r w:rsidR="00CB403C" w:rsidRPr="009E674D">
        <w:rPr>
          <w:lang w:val="sq-AL"/>
        </w:rPr>
        <w:t xml:space="preserve"> </w:t>
      </w:r>
    </w:p>
    <w:p w14:paraId="5A387F01" w14:textId="77777777" w:rsidR="00CB403C" w:rsidRPr="009E674D" w:rsidRDefault="00CB403C" w:rsidP="00523C70">
      <w:pPr>
        <w:jc w:val="both"/>
        <w:rPr>
          <w:lang w:val="sq-AL"/>
        </w:rPr>
      </w:pPr>
      <w:r w:rsidRPr="009E674D">
        <w:rPr>
          <w:lang w:val="sq-AL"/>
        </w:rPr>
        <w:t>Vlen të theksohet se aktualisht është në fuqi Strategjia për Zhvillim Ekonomik Lokal, e cila pritet të skadojë në 2023-ën. Çështjet relevante nga strategjia aktuale janë bartë tek ky dokument i ri strategjik.</w:t>
      </w:r>
    </w:p>
    <w:p w14:paraId="446D2DC4" w14:textId="07A44B49" w:rsidR="00CB403C" w:rsidRPr="009E674D" w:rsidRDefault="0001223E" w:rsidP="00523C70">
      <w:pPr>
        <w:jc w:val="both"/>
        <w:rPr>
          <w:lang w:val="sq-AL"/>
        </w:rPr>
      </w:pPr>
      <w:r w:rsidRPr="009E674D">
        <w:rPr>
          <w:lang w:val="sq-AL"/>
        </w:rPr>
        <w:t xml:space="preserve">Pjesa tjetër e këtij dokumenti </w:t>
      </w:r>
      <w:r w:rsidR="00DD4E43" w:rsidRPr="009E674D">
        <w:rPr>
          <w:lang w:val="sq-AL"/>
        </w:rPr>
        <w:t>organizohet siç</w:t>
      </w:r>
      <w:r w:rsidR="00CB403C" w:rsidRPr="009E674D">
        <w:rPr>
          <w:lang w:val="sq-AL"/>
        </w:rPr>
        <w:t xml:space="preserve"> vijon. </w:t>
      </w:r>
      <w:r w:rsidRPr="009E674D">
        <w:rPr>
          <w:lang w:val="sq-AL"/>
        </w:rPr>
        <w:t xml:space="preserve">Seksioni II paraqet shpjegimet metodologjike për hartimin e </w:t>
      </w:r>
      <w:r w:rsidR="00312D8F" w:rsidRPr="009E674D">
        <w:rPr>
          <w:lang w:val="sq-AL"/>
        </w:rPr>
        <w:t>PNZHEL</w:t>
      </w:r>
      <w:r w:rsidR="00F61FB7" w:rsidRPr="009E674D">
        <w:rPr>
          <w:lang w:val="sq-AL"/>
        </w:rPr>
        <w:t xml:space="preserve"> 2030</w:t>
      </w:r>
      <w:r w:rsidRPr="009E674D">
        <w:rPr>
          <w:lang w:val="sq-AL"/>
        </w:rPr>
        <w:t xml:space="preserve">. Seksioni III tregon kontekstin e përgjithshëm ekonomik të vendit. Seksioni IV </w:t>
      </w:r>
      <w:r w:rsidRPr="009E674D">
        <w:rPr>
          <w:lang w:val="sq-AL"/>
        </w:rPr>
        <w:lastRenderedPageBreak/>
        <w:t>shfaq analizën S</w:t>
      </w:r>
      <w:r w:rsidR="00E2022F" w:rsidRPr="009E674D">
        <w:rPr>
          <w:lang w:val="sq-AL"/>
        </w:rPr>
        <w:t>W</w:t>
      </w:r>
      <w:r w:rsidRPr="009E674D">
        <w:rPr>
          <w:lang w:val="sq-AL"/>
        </w:rPr>
        <w:t>OT, duke treguar përparësitë, mangësitë</w:t>
      </w:r>
      <w:r w:rsidR="001B1BA9" w:rsidRPr="009E674D">
        <w:rPr>
          <w:lang w:val="sq-AL"/>
        </w:rPr>
        <w:t xml:space="preserve"> në</w:t>
      </w:r>
      <w:r w:rsidR="001B1BA9" w:rsidRPr="009E674D">
        <w:rPr>
          <w:b/>
          <w:lang w:val="sq-AL"/>
        </w:rPr>
        <w:t xml:space="preserve"> </w:t>
      </w:r>
      <w:r w:rsidR="001B1BA9" w:rsidRPr="009E674D">
        <w:rPr>
          <w:lang w:val="sq-AL"/>
        </w:rPr>
        <w:t>njërën anë</w:t>
      </w:r>
      <w:r w:rsidRPr="009E674D">
        <w:rPr>
          <w:lang w:val="sq-AL"/>
        </w:rPr>
        <w:t xml:space="preserve"> dhe në anën tjetër mundësitë dhe rreziqet. Seksioni V bën një përmbledhje të analizës së problemeve. </w:t>
      </w:r>
      <w:r w:rsidR="00631A10">
        <w:rPr>
          <w:lang w:val="sq-AL"/>
        </w:rPr>
        <w:t>Seksioni VI përmbledh</w:t>
      </w:r>
      <w:r w:rsidR="00C639C9" w:rsidRPr="009E674D">
        <w:rPr>
          <w:lang w:val="sq-AL"/>
        </w:rPr>
        <w:t xml:space="preserve"> strategjit</w:t>
      </w:r>
      <w:r w:rsidR="00C639C9" w:rsidRPr="009E674D">
        <w:rPr>
          <w:rFonts w:cstheme="minorHAnsi"/>
          <w:lang w:val="sq-AL"/>
        </w:rPr>
        <w:t>ë kryesore që lidhen me PNZHEL</w:t>
      </w:r>
      <w:r w:rsidR="00F61FB7" w:rsidRPr="009E674D">
        <w:rPr>
          <w:rFonts w:cstheme="minorHAnsi"/>
          <w:lang w:val="sq-AL"/>
        </w:rPr>
        <w:t xml:space="preserve"> 2030</w:t>
      </w:r>
      <w:r w:rsidR="00C639C9" w:rsidRPr="009E674D">
        <w:rPr>
          <w:rFonts w:cstheme="minorHAnsi"/>
          <w:lang w:val="sq-AL"/>
        </w:rPr>
        <w:t>.</w:t>
      </w:r>
      <w:r w:rsidR="00C639C9" w:rsidRPr="009E674D">
        <w:rPr>
          <w:lang w:val="sq-AL"/>
        </w:rPr>
        <w:t xml:space="preserve"> </w:t>
      </w:r>
      <w:r w:rsidRPr="009E674D">
        <w:rPr>
          <w:lang w:val="sq-AL"/>
        </w:rPr>
        <w:t>Seksioni VI</w:t>
      </w:r>
      <w:r w:rsidR="00C639C9" w:rsidRPr="009E674D">
        <w:rPr>
          <w:lang w:val="sq-AL"/>
        </w:rPr>
        <w:t>I</w:t>
      </w:r>
      <w:r w:rsidRPr="009E674D">
        <w:rPr>
          <w:lang w:val="sq-AL"/>
        </w:rPr>
        <w:t xml:space="preserve"> paraqet vizionin së bashku me objektiva</w:t>
      </w:r>
      <w:r w:rsidR="00745B6D">
        <w:rPr>
          <w:lang w:val="sq-AL"/>
        </w:rPr>
        <w:t>t</w:t>
      </w:r>
      <w:r w:rsidRPr="009E674D">
        <w:rPr>
          <w:lang w:val="sq-AL"/>
        </w:rPr>
        <w:t xml:space="preserve"> dhe masa</w:t>
      </w:r>
      <w:r w:rsidR="00745B6D">
        <w:rPr>
          <w:lang w:val="sq-AL"/>
        </w:rPr>
        <w:t>t</w:t>
      </w:r>
      <w:r w:rsidRPr="009E674D">
        <w:rPr>
          <w:lang w:val="sq-AL"/>
        </w:rPr>
        <w:t xml:space="preserve"> orientuese. Seksioni VII</w:t>
      </w:r>
      <w:r w:rsidR="00C639C9" w:rsidRPr="009E674D">
        <w:rPr>
          <w:lang w:val="sq-AL"/>
        </w:rPr>
        <w:t>I</w:t>
      </w:r>
      <w:r w:rsidRPr="009E674D">
        <w:rPr>
          <w:lang w:val="sq-AL"/>
        </w:rPr>
        <w:t xml:space="preserve"> shpjegon kornizën monitorue</w:t>
      </w:r>
      <w:r w:rsidR="00C639C9" w:rsidRPr="009E674D">
        <w:rPr>
          <w:lang w:val="sq-AL"/>
        </w:rPr>
        <w:t>se dhe raportuese. Seksioni IX</w:t>
      </w:r>
      <w:r w:rsidRPr="009E674D">
        <w:rPr>
          <w:lang w:val="sq-AL"/>
        </w:rPr>
        <w:t xml:space="preserve"> paraqet vlerësimin</w:t>
      </w:r>
      <w:r w:rsidR="00E2022F" w:rsidRPr="009E674D">
        <w:rPr>
          <w:lang w:val="sq-AL"/>
        </w:rPr>
        <w:t xml:space="preserve"> e ndikimit</w:t>
      </w:r>
      <w:r w:rsidRPr="009E674D">
        <w:rPr>
          <w:lang w:val="sq-AL"/>
        </w:rPr>
        <w:t xml:space="preserve"> financiar të </w:t>
      </w:r>
      <w:r w:rsidR="00312D8F" w:rsidRPr="009E674D">
        <w:rPr>
          <w:lang w:val="sq-AL"/>
        </w:rPr>
        <w:t>PNZHEL</w:t>
      </w:r>
      <w:r w:rsidR="00F61FB7" w:rsidRPr="009E674D">
        <w:rPr>
          <w:lang w:val="sq-AL"/>
        </w:rPr>
        <w:t xml:space="preserve"> 2030</w:t>
      </w:r>
      <w:r w:rsidRPr="009E674D">
        <w:rPr>
          <w:lang w:val="sq-AL"/>
        </w:rPr>
        <w:t xml:space="preserve">.  </w:t>
      </w:r>
    </w:p>
    <w:p w14:paraId="2B81A154" w14:textId="77777777" w:rsidR="00C505A1" w:rsidRPr="009E674D" w:rsidRDefault="00C505A1" w:rsidP="00523C70">
      <w:pPr>
        <w:jc w:val="both"/>
        <w:rPr>
          <w:lang w:val="sq-AL"/>
        </w:rPr>
      </w:pPr>
    </w:p>
    <w:p w14:paraId="2716E74A" w14:textId="77777777" w:rsidR="00523C70" w:rsidRPr="009E674D" w:rsidRDefault="00523C70" w:rsidP="00523C70">
      <w:pPr>
        <w:shd w:val="clear" w:color="auto" w:fill="FFFFFF"/>
        <w:spacing w:after="0" w:line="240" w:lineRule="auto"/>
        <w:ind w:left="945"/>
        <w:rPr>
          <w:rFonts w:ascii="Arial" w:eastAsia="Times New Roman" w:hAnsi="Arial" w:cs="Arial"/>
          <w:color w:val="222222"/>
          <w:sz w:val="24"/>
          <w:szCs w:val="24"/>
          <w:lang w:val="sq-AL"/>
        </w:rPr>
      </w:pPr>
    </w:p>
    <w:p w14:paraId="34B3B835" w14:textId="77777777" w:rsidR="00CB403C" w:rsidRPr="009E674D" w:rsidRDefault="00CB403C">
      <w:pPr>
        <w:rPr>
          <w:lang w:val="sq-AL"/>
        </w:rPr>
      </w:pPr>
      <w:r w:rsidRPr="009E674D">
        <w:rPr>
          <w:lang w:val="sq-AL"/>
        </w:rPr>
        <w:br w:type="page"/>
      </w:r>
    </w:p>
    <w:p w14:paraId="6DAE972D" w14:textId="77777777" w:rsidR="00D41BC7" w:rsidRPr="009E674D" w:rsidRDefault="00CB403C" w:rsidP="009E674D">
      <w:pPr>
        <w:pStyle w:val="Heading1"/>
        <w:numPr>
          <w:ilvl w:val="0"/>
          <w:numId w:val="12"/>
        </w:numPr>
        <w:spacing w:before="0"/>
        <w:rPr>
          <w:b/>
          <w:lang w:val="sq-AL"/>
        </w:rPr>
      </w:pPr>
      <w:bookmarkStart w:id="4" w:name="_Toc132188425"/>
      <w:r w:rsidRPr="009E674D">
        <w:rPr>
          <w:b/>
          <w:lang w:val="sq-AL"/>
        </w:rPr>
        <w:lastRenderedPageBreak/>
        <w:t>Metodologjia</w:t>
      </w:r>
      <w:bookmarkEnd w:id="4"/>
    </w:p>
    <w:p w14:paraId="5DEA95F4" w14:textId="1213D825" w:rsidR="00163C0B" w:rsidRPr="009E674D" w:rsidRDefault="009E674D" w:rsidP="009E674D">
      <w:pPr>
        <w:spacing w:after="0"/>
        <w:jc w:val="both"/>
        <w:rPr>
          <w:lang w:val="sq-AL"/>
        </w:rPr>
      </w:pPr>
      <w:r>
        <w:rPr>
          <w:lang w:val="sq-AL"/>
        </w:rPr>
        <w:br/>
      </w:r>
      <w:r w:rsidR="00E3537E" w:rsidRPr="009E674D">
        <w:rPr>
          <w:lang w:val="sq-AL"/>
        </w:rPr>
        <w:t xml:space="preserve">Në mënyrë që </w:t>
      </w:r>
      <w:r w:rsidR="00312D8F" w:rsidRPr="009E674D">
        <w:rPr>
          <w:lang w:val="sq-AL"/>
        </w:rPr>
        <w:t>PNZHEL</w:t>
      </w:r>
      <w:r w:rsidR="00E3537E" w:rsidRPr="009E674D">
        <w:rPr>
          <w:lang w:val="sq-AL"/>
        </w:rPr>
        <w:t xml:space="preserve"> të jetë</w:t>
      </w:r>
      <w:r w:rsidR="00B27C93" w:rsidRPr="009E674D">
        <w:rPr>
          <w:lang w:val="sq-AL"/>
        </w:rPr>
        <w:t xml:space="preserve"> sintetizim i</w:t>
      </w:r>
      <w:r w:rsidR="00EE3F80" w:rsidRPr="009E674D">
        <w:rPr>
          <w:lang w:val="sq-AL"/>
        </w:rPr>
        <w:t xml:space="preserve"> </w:t>
      </w:r>
      <w:r w:rsidR="00E3537E" w:rsidRPr="009E674D">
        <w:rPr>
          <w:lang w:val="sq-AL"/>
        </w:rPr>
        <w:t>politikave ekonomike</w:t>
      </w:r>
      <w:r w:rsidR="00EE3F80" w:rsidRPr="009E674D">
        <w:rPr>
          <w:lang w:val="sq-AL"/>
        </w:rPr>
        <w:t xml:space="preserve"> zhvillimore</w:t>
      </w:r>
      <w:r w:rsidR="00E3537E" w:rsidRPr="009E674D">
        <w:rPr>
          <w:lang w:val="sq-AL"/>
        </w:rPr>
        <w:t xml:space="preserve"> të nivelit qendror dhe atij lokal</w:t>
      </w:r>
      <w:r w:rsidR="00EE3F80" w:rsidRPr="009E674D">
        <w:rPr>
          <w:lang w:val="sq-AL"/>
        </w:rPr>
        <w:t xml:space="preserve">, është ndjekur një qasje </w:t>
      </w:r>
      <w:r w:rsidR="00103605" w:rsidRPr="009E674D">
        <w:rPr>
          <w:lang w:val="sq-AL"/>
        </w:rPr>
        <w:t>metodologjike</w:t>
      </w:r>
      <w:r w:rsidR="00B27C93" w:rsidRPr="009E674D">
        <w:rPr>
          <w:lang w:val="sq-AL"/>
        </w:rPr>
        <w:t xml:space="preserve"> që në boshtin e </w:t>
      </w:r>
      <w:r w:rsidR="00BC712A" w:rsidRPr="009E674D">
        <w:rPr>
          <w:lang w:val="sq-AL"/>
        </w:rPr>
        <w:t xml:space="preserve">saj </w:t>
      </w:r>
      <w:r w:rsidR="00B27C93" w:rsidRPr="009E674D">
        <w:rPr>
          <w:lang w:val="sq-AL"/>
        </w:rPr>
        <w:t>ka</w:t>
      </w:r>
      <w:r w:rsidR="00BC712A" w:rsidRPr="009E674D">
        <w:rPr>
          <w:lang w:val="sq-AL"/>
        </w:rPr>
        <w:t xml:space="preserve"> dy </w:t>
      </w:r>
      <w:r w:rsidR="00B27C93" w:rsidRPr="009E674D">
        <w:rPr>
          <w:lang w:val="sq-AL"/>
        </w:rPr>
        <w:t>drejtim</w:t>
      </w:r>
      <w:r w:rsidR="00E3537E" w:rsidRPr="009E674D">
        <w:rPr>
          <w:lang w:val="sq-AL"/>
        </w:rPr>
        <w:t>e. Në njërën anë</w:t>
      </w:r>
      <w:r w:rsidR="00EE3F80" w:rsidRPr="009E674D">
        <w:rPr>
          <w:lang w:val="sq-AL"/>
        </w:rPr>
        <w:t>,</w:t>
      </w:r>
      <w:r w:rsidR="00E3537E" w:rsidRPr="009E674D">
        <w:rPr>
          <w:lang w:val="sq-AL"/>
        </w:rPr>
        <w:t xml:space="preserve"> </w:t>
      </w:r>
      <w:r w:rsidR="00EE3F80" w:rsidRPr="009E674D">
        <w:rPr>
          <w:lang w:val="sq-AL"/>
        </w:rPr>
        <w:t>ësh</w:t>
      </w:r>
      <w:r w:rsidR="009F5696">
        <w:rPr>
          <w:lang w:val="sq-AL"/>
        </w:rPr>
        <w:t xml:space="preserve">të zhvilluar punë në hartëzimin </w:t>
      </w:r>
      <w:r w:rsidR="00745B6D">
        <w:rPr>
          <w:lang w:val="sq-AL"/>
        </w:rPr>
        <w:t xml:space="preserve">e </w:t>
      </w:r>
      <w:r w:rsidR="00EE3F80" w:rsidRPr="009E674D">
        <w:rPr>
          <w:lang w:val="sq-AL"/>
        </w:rPr>
        <w:t xml:space="preserve">sfidave dhe </w:t>
      </w:r>
      <w:r w:rsidR="00E3537E" w:rsidRPr="009E674D">
        <w:rPr>
          <w:lang w:val="sq-AL"/>
        </w:rPr>
        <w:t>pë</w:t>
      </w:r>
      <w:r w:rsidR="00EE3F80" w:rsidRPr="009E674D">
        <w:rPr>
          <w:lang w:val="sq-AL"/>
        </w:rPr>
        <w:t>rcaktimeve orientuese</w:t>
      </w:r>
      <w:r w:rsidR="00010B8B" w:rsidRPr="009E674D">
        <w:rPr>
          <w:lang w:val="sq-AL"/>
        </w:rPr>
        <w:t xml:space="preserve"> nga </w:t>
      </w:r>
      <w:r w:rsidR="00163C0B" w:rsidRPr="009E674D">
        <w:rPr>
          <w:lang w:val="sq-AL"/>
        </w:rPr>
        <w:t>niveli</w:t>
      </w:r>
      <w:r w:rsidR="00EE3F80" w:rsidRPr="009E674D">
        <w:rPr>
          <w:lang w:val="sq-AL"/>
        </w:rPr>
        <w:t xml:space="preserve"> qendror; ndërsa në anën tjetër, përmes instrumenteve të ndryshme për mbledhje të të dhënave, është nxjerrë perspektiva</w:t>
      </w:r>
      <w:r w:rsidR="00B27C93" w:rsidRPr="009E674D">
        <w:rPr>
          <w:lang w:val="sq-AL"/>
        </w:rPr>
        <w:t xml:space="preserve"> e përgjithshme</w:t>
      </w:r>
      <w:r w:rsidR="00EE3F80" w:rsidRPr="009E674D">
        <w:rPr>
          <w:lang w:val="sq-AL"/>
        </w:rPr>
        <w:t xml:space="preserve"> nga niveli lokal. Gjatë përcak</w:t>
      </w:r>
      <w:r w:rsidR="001B1BA9" w:rsidRPr="009E674D">
        <w:rPr>
          <w:lang w:val="sq-AL"/>
        </w:rPr>
        <w:t>timit të kornizës</w:t>
      </w:r>
      <w:r w:rsidR="002B0CF6" w:rsidRPr="009E674D">
        <w:rPr>
          <w:lang w:val="sq-AL"/>
        </w:rPr>
        <w:t xml:space="preserve"> metodologjike</w:t>
      </w:r>
      <w:r w:rsidR="00EE3F80" w:rsidRPr="009E674D">
        <w:rPr>
          <w:lang w:val="sq-AL"/>
        </w:rPr>
        <w:t xml:space="preserve"> për ha</w:t>
      </w:r>
      <w:r w:rsidR="00C505A1" w:rsidRPr="009E674D">
        <w:rPr>
          <w:lang w:val="sq-AL"/>
        </w:rPr>
        <w:t>rtimin e këtij prog</w:t>
      </w:r>
      <w:r w:rsidR="00B27C93" w:rsidRPr="009E674D">
        <w:rPr>
          <w:lang w:val="sq-AL"/>
        </w:rPr>
        <w:t xml:space="preserve">rami janë marrë parasysh: </w:t>
      </w:r>
      <w:r w:rsidR="00E2022F" w:rsidRPr="009E674D">
        <w:rPr>
          <w:lang w:val="sq-AL"/>
        </w:rPr>
        <w:t>“</w:t>
      </w:r>
      <w:r w:rsidR="00B27C93" w:rsidRPr="009E674D">
        <w:rPr>
          <w:lang w:val="sq-AL"/>
        </w:rPr>
        <w:t>Udhëzimi</w:t>
      </w:r>
      <w:r w:rsidR="00EE3F80" w:rsidRPr="009E674D">
        <w:rPr>
          <w:lang w:val="sq-AL"/>
        </w:rPr>
        <w:t xml:space="preserve"> Administrativ </w:t>
      </w:r>
      <w:r w:rsidR="00B27C93" w:rsidRPr="009E674D">
        <w:rPr>
          <w:lang w:val="sq-AL"/>
        </w:rPr>
        <w:t>për</w:t>
      </w:r>
      <w:r w:rsidR="00EE3F80" w:rsidRPr="009E674D">
        <w:rPr>
          <w:lang w:val="sq-AL"/>
        </w:rPr>
        <w:t xml:space="preserve"> Planifikimin dhe hartimin e dokumenteve strateg</w:t>
      </w:r>
      <w:r w:rsidR="00B27C93" w:rsidRPr="009E674D">
        <w:rPr>
          <w:lang w:val="sq-AL"/>
        </w:rPr>
        <w:t>jike dhe planeve të veprimit</w:t>
      </w:r>
      <w:r w:rsidR="001B1BA9" w:rsidRPr="009E674D">
        <w:rPr>
          <w:lang w:val="sq-AL"/>
        </w:rPr>
        <w:t>”</w:t>
      </w:r>
      <w:r w:rsidR="00B27C93" w:rsidRPr="009E674D">
        <w:rPr>
          <w:lang w:val="sq-AL"/>
        </w:rPr>
        <w:t xml:space="preserve"> dhe </w:t>
      </w:r>
      <w:r w:rsidR="00E2022F" w:rsidRPr="009E674D">
        <w:rPr>
          <w:lang w:val="sq-AL"/>
        </w:rPr>
        <w:t>“</w:t>
      </w:r>
      <w:r w:rsidR="00EE3F80" w:rsidRPr="009E674D">
        <w:rPr>
          <w:lang w:val="sq-AL"/>
        </w:rPr>
        <w:t>Manuali për planifikimin, hartimin dhe monitorimin e dokumenteve strategjike dhe p</w:t>
      </w:r>
      <w:r w:rsidR="00B27C93" w:rsidRPr="009E674D">
        <w:rPr>
          <w:lang w:val="sq-AL"/>
        </w:rPr>
        <w:t>laneve të tyre të veprimit</w:t>
      </w:r>
      <w:r w:rsidR="00E2022F" w:rsidRPr="009E674D">
        <w:rPr>
          <w:lang w:val="sq-AL"/>
        </w:rPr>
        <w:t>”</w:t>
      </w:r>
      <w:r w:rsidR="00B27C93" w:rsidRPr="009E674D">
        <w:rPr>
          <w:lang w:val="sq-AL"/>
        </w:rPr>
        <w:t xml:space="preserve">. </w:t>
      </w:r>
    </w:p>
    <w:p w14:paraId="0B878E2E" w14:textId="536F2A1B" w:rsidR="00103605" w:rsidRPr="009E674D" w:rsidRDefault="005E0430" w:rsidP="00EE3F80">
      <w:pPr>
        <w:spacing w:before="120" w:after="0"/>
        <w:jc w:val="both"/>
        <w:rPr>
          <w:lang w:val="sq-AL"/>
        </w:rPr>
      </w:pPr>
      <w:r w:rsidRPr="009E674D">
        <w:rPr>
          <w:lang w:val="sq-AL"/>
        </w:rPr>
        <w:t>MAPL-ja</w:t>
      </w:r>
      <w:r w:rsidR="00B27C93" w:rsidRPr="009E674D">
        <w:rPr>
          <w:lang w:val="sq-AL"/>
        </w:rPr>
        <w:t xml:space="preserve">, si bartëse e këtij procesi, ka mundësuar që procesi i hartimit të </w:t>
      </w:r>
      <w:r w:rsidR="00312D8F" w:rsidRPr="009E674D">
        <w:rPr>
          <w:lang w:val="sq-AL"/>
        </w:rPr>
        <w:t>PNZHEL</w:t>
      </w:r>
      <w:r w:rsidR="00F61FB7" w:rsidRPr="009E674D">
        <w:rPr>
          <w:lang w:val="sq-AL"/>
        </w:rPr>
        <w:t xml:space="preserve"> 2030</w:t>
      </w:r>
      <w:r w:rsidR="00B27C93" w:rsidRPr="009E674D">
        <w:rPr>
          <w:lang w:val="sq-AL"/>
        </w:rPr>
        <w:t xml:space="preserve"> të jetë gjithëpërfshirës dhe shterues në aspekt të</w:t>
      </w:r>
      <w:r w:rsidR="00163C0B" w:rsidRPr="009E674D">
        <w:rPr>
          <w:lang w:val="sq-AL"/>
        </w:rPr>
        <w:t xml:space="preserve"> diskut</w:t>
      </w:r>
      <w:r w:rsidR="00B7322D">
        <w:rPr>
          <w:lang w:val="sq-AL"/>
        </w:rPr>
        <w:t xml:space="preserve">imeve dhe konsultimeve, ku </w:t>
      </w:r>
      <w:r w:rsidR="00163C0B" w:rsidRPr="009E674D">
        <w:rPr>
          <w:lang w:val="sq-AL"/>
        </w:rPr>
        <w:t>përpos pjesëmarrjes së përfaqësuesve nga institucionet e nivelit qendror dhe lokal, janë përfshirë edhe përfaqësue</w:t>
      </w:r>
      <w:r w:rsidRPr="009E674D">
        <w:rPr>
          <w:lang w:val="sq-AL"/>
        </w:rPr>
        <w:t>s nga organizata të ndryshme, shoqata</w:t>
      </w:r>
      <w:r w:rsidR="00163C0B" w:rsidRPr="009E674D">
        <w:rPr>
          <w:lang w:val="sq-AL"/>
        </w:rPr>
        <w:t xml:space="preserve"> të biznesit dhe hisedarë të tjerë. Paralel me synimin që në fund të prodhohet një produkt strategjik cilësor, </w:t>
      </w:r>
      <w:r w:rsidR="009C37D2" w:rsidRPr="009E674D">
        <w:rPr>
          <w:lang w:val="sq-AL"/>
        </w:rPr>
        <w:t>rëndësi e veçantë i është dhënë edhe vet procesit</w:t>
      </w:r>
      <w:r w:rsidR="00B7322D">
        <w:rPr>
          <w:lang w:val="sq-AL"/>
        </w:rPr>
        <w:t>,</w:t>
      </w:r>
      <w:r w:rsidR="009C37D2" w:rsidRPr="009E674D">
        <w:rPr>
          <w:lang w:val="sq-AL"/>
        </w:rPr>
        <w:t xml:space="preserve"> duke e shndërruar</w:t>
      </w:r>
      <w:r w:rsidR="009F5696">
        <w:rPr>
          <w:lang w:val="sq-AL"/>
        </w:rPr>
        <w:t xml:space="preserve"> n</w:t>
      </w:r>
      <w:r w:rsidR="009F5696" w:rsidRPr="009E674D">
        <w:rPr>
          <w:lang w:val="sq-AL"/>
        </w:rPr>
        <w:t>ë</w:t>
      </w:r>
      <w:r w:rsidR="009C37D2" w:rsidRPr="009E674D">
        <w:rPr>
          <w:lang w:val="sq-AL"/>
        </w:rPr>
        <w:t xml:space="preserve"> një platformë ndërveprimi për palët. </w:t>
      </w:r>
    </w:p>
    <w:p w14:paraId="6A663AB3" w14:textId="77777777" w:rsidR="00506AAD" w:rsidRPr="009E674D" w:rsidRDefault="00506AAD" w:rsidP="00506AAD">
      <w:pPr>
        <w:pStyle w:val="Caption"/>
        <w:keepNext/>
        <w:jc w:val="center"/>
        <w:rPr>
          <w:lang w:val="sq-AL"/>
        </w:rPr>
      </w:pPr>
      <w:r w:rsidRPr="009E674D">
        <w:rPr>
          <w:lang w:val="sq-AL"/>
        </w:rPr>
        <w:br/>
        <w:t xml:space="preserve">Tabela </w:t>
      </w:r>
      <w:r w:rsidRPr="009E674D">
        <w:rPr>
          <w:lang w:val="sq-AL"/>
        </w:rPr>
        <w:fldChar w:fldCharType="begin"/>
      </w:r>
      <w:r w:rsidRPr="009E674D">
        <w:rPr>
          <w:lang w:val="sq-AL"/>
        </w:rPr>
        <w:instrText xml:space="preserve"> SEQ Tabela \* ARABIC </w:instrText>
      </w:r>
      <w:r w:rsidRPr="009E674D">
        <w:rPr>
          <w:lang w:val="sq-AL"/>
        </w:rPr>
        <w:fldChar w:fldCharType="separate"/>
      </w:r>
      <w:r w:rsidR="002D7B48" w:rsidRPr="009E674D">
        <w:rPr>
          <w:noProof/>
          <w:lang w:val="sq-AL"/>
        </w:rPr>
        <w:t>1</w:t>
      </w:r>
      <w:r w:rsidRPr="009E674D">
        <w:rPr>
          <w:lang w:val="sq-AL"/>
        </w:rPr>
        <w:fldChar w:fldCharType="end"/>
      </w:r>
      <w:r w:rsidRPr="009E674D">
        <w:rPr>
          <w:lang w:val="sq-AL"/>
        </w:rPr>
        <w:t xml:space="preserve">: Procesi i hartimit të </w:t>
      </w:r>
      <w:r w:rsidR="00312D8F" w:rsidRPr="009E674D">
        <w:rPr>
          <w:lang w:val="sq-AL"/>
        </w:rPr>
        <w:t>PNZHEL</w:t>
      </w:r>
    </w:p>
    <w:tbl>
      <w:tblPr>
        <w:tblStyle w:val="TableGrid"/>
        <w:tblW w:w="0" w:type="auto"/>
        <w:jc w:val="center"/>
        <w:tblLook w:val="04A0" w:firstRow="1" w:lastRow="0" w:firstColumn="1" w:lastColumn="0" w:noHBand="0" w:noVBand="1"/>
      </w:tblPr>
      <w:tblGrid>
        <w:gridCol w:w="1705"/>
        <w:gridCol w:w="7645"/>
      </w:tblGrid>
      <w:tr w:rsidR="00BC712A" w:rsidRPr="009E674D" w14:paraId="3699F467" w14:textId="77777777" w:rsidTr="00506AAD">
        <w:trPr>
          <w:jc w:val="center"/>
        </w:trPr>
        <w:tc>
          <w:tcPr>
            <w:tcW w:w="1705" w:type="dxa"/>
            <w:shd w:val="clear" w:color="auto" w:fill="8EAADB" w:themeFill="accent5" w:themeFillTint="99"/>
            <w:vAlign w:val="center"/>
          </w:tcPr>
          <w:p w14:paraId="6EE6C382" w14:textId="77777777" w:rsidR="00BC712A" w:rsidRPr="009E674D" w:rsidRDefault="00506AAD" w:rsidP="00506AAD">
            <w:pPr>
              <w:spacing w:before="120"/>
              <w:jc w:val="center"/>
              <w:rPr>
                <w:b/>
                <w:lang w:val="sq-AL"/>
              </w:rPr>
            </w:pPr>
            <w:r w:rsidRPr="009E674D">
              <w:rPr>
                <w:b/>
                <w:lang w:val="sq-AL"/>
              </w:rPr>
              <w:t>Puna përgatitore</w:t>
            </w:r>
          </w:p>
        </w:tc>
        <w:tc>
          <w:tcPr>
            <w:tcW w:w="7645" w:type="dxa"/>
          </w:tcPr>
          <w:p w14:paraId="25E7544E" w14:textId="7239F744" w:rsidR="00BC712A" w:rsidRPr="009E674D" w:rsidRDefault="006F5076" w:rsidP="00742868">
            <w:pPr>
              <w:spacing w:before="120"/>
              <w:jc w:val="both"/>
              <w:rPr>
                <w:b/>
                <w:lang w:val="sq-AL"/>
              </w:rPr>
            </w:pPr>
            <w:r w:rsidRPr="009E674D">
              <w:rPr>
                <w:lang w:val="sq-AL"/>
              </w:rPr>
              <w:t xml:space="preserve">Fillimisht, MAPL ka </w:t>
            </w:r>
            <w:r w:rsidR="00506AAD" w:rsidRPr="009E674D">
              <w:rPr>
                <w:lang w:val="sq-AL"/>
              </w:rPr>
              <w:t>themeluar Grupin P</w:t>
            </w:r>
            <w:r w:rsidRPr="009E674D">
              <w:rPr>
                <w:lang w:val="sq-AL"/>
              </w:rPr>
              <w:t>unues, si ekip</w:t>
            </w:r>
            <w:r w:rsidR="00E2022F" w:rsidRPr="009E674D">
              <w:rPr>
                <w:lang w:val="sq-AL"/>
              </w:rPr>
              <w:t>in përgjegjës</w:t>
            </w:r>
            <w:r w:rsidRPr="009E674D">
              <w:rPr>
                <w:lang w:val="sq-AL"/>
              </w:rPr>
              <w:t xml:space="preserve"> për të drejtuar procesin e hartimit </w:t>
            </w:r>
            <w:r w:rsidR="00BC712A" w:rsidRPr="009E674D">
              <w:rPr>
                <w:lang w:val="sq-AL"/>
              </w:rPr>
              <w:t xml:space="preserve">të </w:t>
            </w:r>
            <w:r w:rsidR="00312D8F" w:rsidRPr="009E674D">
              <w:rPr>
                <w:lang w:val="sq-AL"/>
              </w:rPr>
              <w:t>PNZHEL</w:t>
            </w:r>
            <w:r w:rsidR="00F61FB7" w:rsidRPr="009E674D">
              <w:rPr>
                <w:lang w:val="sq-AL"/>
              </w:rPr>
              <w:t xml:space="preserve"> 2030</w:t>
            </w:r>
            <w:r w:rsidR="00BC712A" w:rsidRPr="009E674D">
              <w:rPr>
                <w:lang w:val="sq-AL"/>
              </w:rPr>
              <w:t>.</w:t>
            </w:r>
            <w:r w:rsidR="00CC2745" w:rsidRPr="009E674D">
              <w:rPr>
                <w:rStyle w:val="FootnoteReference"/>
                <w:lang w:val="sq-AL"/>
              </w:rPr>
              <w:footnoteReference w:id="1"/>
            </w:r>
            <w:r w:rsidR="00BC712A" w:rsidRPr="009E674D">
              <w:rPr>
                <w:lang w:val="sq-AL"/>
              </w:rPr>
              <w:t xml:space="preserve"> Në të </w:t>
            </w:r>
            <w:r w:rsidR="00506AAD" w:rsidRPr="009E674D">
              <w:rPr>
                <w:lang w:val="sq-AL"/>
              </w:rPr>
              <w:t>njëjtën</w:t>
            </w:r>
            <w:r w:rsidR="00C505A1" w:rsidRPr="009E674D">
              <w:rPr>
                <w:lang w:val="sq-AL"/>
              </w:rPr>
              <w:t xml:space="preserve"> kohë, MAPL është dakorduar me </w:t>
            </w:r>
            <w:r w:rsidR="00BC712A" w:rsidRPr="009E674D">
              <w:rPr>
                <w:lang w:val="sq-AL"/>
              </w:rPr>
              <w:t>projektin</w:t>
            </w:r>
            <w:r w:rsidR="009F5696">
              <w:rPr>
                <w:lang w:val="sq-AL"/>
              </w:rPr>
              <w:t xml:space="preserve"> </w:t>
            </w:r>
            <w:r w:rsidR="00506AAD" w:rsidRPr="009E674D">
              <w:rPr>
                <w:lang w:val="sq-AL"/>
              </w:rPr>
              <w:t>zviceran</w:t>
            </w:r>
            <w:r w:rsidR="00C505A1" w:rsidRPr="009E674D">
              <w:rPr>
                <w:lang w:val="sq-AL"/>
              </w:rPr>
              <w:t xml:space="preserve"> DEMOS</w:t>
            </w:r>
            <w:r w:rsidR="001B1BA9" w:rsidRPr="009E674D">
              <w:rPr>
                <w:lang w:val="sq-AL"/>
              </w:rPr>
              <w:t xml:space="preserve">,  </w:t>
            </w:r>
            <w:r w:rsidR="00E2022F" w:rsidRPr="009E674D">
              <w:rPr>
                <w:lang w:val="sq-AL"/>
              </w:rPr>
              <w:t xml:space="preserve">për të pranuar mbështetje në </w:t>
            </w:r>
            <w:r w:rsidR="00C505A1" w:rsidRPr="009E674D">
              <w:rPr>
                <w:lang w:val="sq-AL"/>
              </w:rPr>
              <w:t>hartimin</w:t>
            </w:r>
            <w:r w:rsidR="00742868" w:rsidRPr="009E674D">
              <w:rPr>
                <w:lang w:val="sq-AL"/>
              </w:rPr>
              <w:t xml:space="preserve"> e</w:t>
            </w:r>
            <w:r w:rsidR="00506AAD" w:rsidRPr="009E674D">
              <w:rPr>
                <w:lang w:val="sq-AL"/>
              </w:rPr>
              <w:t xml:space="preserve"> këtij dokumenti strategjik</w:t>
            </w:r>
            <w:r w:rsidR="00742868" w:rsidRPr="009E674D">
              <w:rPr>
                <w:lang w:val="sq-AL"/>
              </w:rPr>
              <w:t>.</w:t>
            </w:r>
          </w:p>
        </w:tc>
      </w:tr>
      <w:tr w:rsidR="00BC712A" w:rsidRPr="009E674D" w14:paraId="1ECDE4BB" w14:textId="77777777" w:rsidTr="00506AAD">
        <w:trPr>
          <w:jc w:val="center"/>
        </w:trPr>
        <w:tc>
          <w:tcPr>
            <w:tcW w:w="1705" w:type="dxa"/>
            <w:shd w:val="clear" w:color="auto" w:fill="8EAADB" w:themeFill="accent5" w:themeFillTint="99"/>
            <w:vAlign w:val="center"/>
          </w:tcPr>
          <w:p w14:paraId="4B41D282" w14:textId="77777777" w:rsidR="00BC712A" w:rsidRPr="009E674D" w:rsidRDefault="00506AAD" w:rsidP="00506AAD">
            <w:pPr>
              <w:spacing w:before="120"/>
              <w:jc w:val="center"/>
              <w:rPr>
                <w:b/>
                <w:lang w:val="sq-AL"/>
              </w:rPr>
            </w:pPr>
            <w:r w:rsidRPr="009E674D">
              <w:rPr>
                <w:b/>
                <w:lang w:val="sq-AL"/>
              </w:rPr>
              <w:t>Punëtoria e parë</w:t>
            </w:r>
            <w:r w:rsidR="0023401F" w:rsidRPr="009E674D">
              <w:rPr>
                <w:b/>
                <w:lang w:val="sq-AL"/>
              </w:rPr>
              <w:t xml:space="preserve"> e Grupit Punues</w:t>
            </w:r>
          </w:p>
        </w:tc>
        <w:tc>
          <w:tcPr>
            <w:tcW w:w="7645" w:type="dxa"/>
          </w:tcPr>
          <w:p w14:paraId="37359CD2" w14:textId="77777777" w:rsidR="00BC712A" w:rsidRPr="009E674D" w:rsidRDefault="00506AAD" w:rsidP="003A236F">
            <w:pPr>
              <w:spacing w:before="120"/>
              <w:jc w:val="both"/>
              <w:rPr>
                <w:b/>
                <w:lang w:val="sq-AL"/>
              </w:rPr>
            </w:pPr>
            <w:r w:rsidRPr="009E674D">
              <w:rPr>
                <w:lang w:val="sq-AL"/>
              </w:rPr>
              <w:t xml:space="preserve">Gjatë punëtorisë së parë, </w:t>
            </w:r>
            <w:r w:rsidR="003A236F" w:rsidRPr="009E674D">
              <w:rPr>
                <w:lang w:val="sq-AL"/>
              </w:rPr>
              <w:t>anëtarët e Grupit Punues kanë shfrytëzu</w:t>
            </w:r>
            <w:r w:rsidR="002B0CF6" w:rsidRPr="009E674D">
              <w:rPr>
                <w:lang w:val="sq-AL"/>
              </w:rPr>
              <w:t>ar rastin të njoftohen me njëri-</w:t>
            </w:r>
            <w:r w:rsidR="003A236F" w:rsidRPr="009E674D">
              <w:rPr>
                <w:lang w:val="sq-AL"/>
              </w:rPr>
              <w:t xml:space="preserve">tjetrin, të diskutojnë mbi fushëveprimin e </w:t>
            </w:r>
            <w:r w:rsidR="00312D8F" w:rsidRPr="009E674D">
              <w:rPr>
                <w:lang w:val="sq-AL"/>
              </w:rPr>
              <w:t>PNZHEL</w:t>
            </w:r>
            <w:r w:rsidR="00F61FB7" w:rsidRPr="009E674D">
              <w:rPr>
                <w:lang w:val="sq-AL"/>
              </w:rPr>
              <w:t xml:space="preserve"> 2030</w:t>
            </w:r>
            <w:r w:rsidR="003A236F" w:rsidRPr="009E674D">
              <w:rPr>
                <w:lang w:val="sq-AL"/>
              </w:rPr>
              <w:t xml:space="preserve"> dhe t’i ndajnë pikëpamjet e tyre mbi atë se si ata/ato e shohin zhvillimin ekonomik lokal në të ardhmen. </w:t>
            </w:r>
          </w:p>
        </w:tc>
      </w:tr>
      <w:tr w:rsidR="00506AAD" w:rsidRPr="009E674D" w14:paraId="01E1C583" w14:textId="77777777" w:rsidTr="00506AAD">
        <w:trPr>
          <w:jc w:val="center"/>
        </w:trPr>
        <w:tc>
          <w:tcPr>
            <w:tcW w:w="1705" w:type="dxa"/>
            <w:shd w:val="clear" w:color="auto" w:fill="8EAADB" w:themeFill="accent5" w:themeFillTint="99"/>
            <w:vAlign w:val="center"/>
          </w:tcPr>
          <w:p w14:paraId="5BCC9580" w14:textId="77777777" w:rsidR="00506AAD" w:rsidRPr="009E674D" w:rsidRDefault="003A236F" w:rsidP="003A236F">
            <w:pPr>
              <w:spacing w:before="120"/>
              <w:jc w:val="center"/>
              <w:rPr>
                <w:b/>
                <w:lang w:val="sq-AL"/>
              </w:rPr>
            </w:pPr>
            <w:r w:rsidRPr="009E674D">
              <w:rPr>
                <w:b/>
                <w:lang w:val="sq-AL"/>
              </w:rPr>
              <w:t>Rishikimi i strategjive dhe dokumenteve tjera relevante</w:t>
            </w:r>
          </w:p>
        </w:tc>
        <w:tc>
          <w:tcPr>
            <w:tcW w:w="7645" w:type="dxa"/>
          </w:tcPr>
          <w:p w14:paraId="529038D9" w14:textId="7B0EC2A8" w:rsidR="00506AAD" w:rsidRPr="009E674D" w:rsidRDefault="00541E2E" w:rsidP="00E636D8">
            <w:pPr>
              <w:spacing w:before="120"/>
              <w:jc w:val="both"/>
              <w:rPr>
                <w:lang w:val="sq-AL"/>
              </w:rPr>
            </w:pPr>
            <w:r w:rsidRPr="009E674D">
              <w:rPr>
                <w:lang w:val="sq-AL"/>
              </w:rPr>
              <w:t xml:space="preserve">Në këtë fazë, Grupi Punues ka </w:t>
            </w:r>
            <w:r w:rsidR="00F61FB7" w:rsidRPr="009E674D">
              <w:rPr>
                <w:lang w:val="sq-AL"/>
              </w:rPr>
              <w:t>rishikuar SKZH</w:t>
            </w:r>
            <w:r w:rsidR="0023401F" w:rsidRPr="009E674D">
              <w:rPr>
                <w:lang w:val="sq-AL"/>
              </w:rPr>
              <w:t>-në dhe</w:t>
            </w:r>
            <w:r w:rsidRPr="009E674D">
              <w:rPr>
                <w:lang w:val="sq-AL"/>
              </w:rPr>
              <w:t xml:space="preserve"> dokumentet tjera strategjike sektoriale, të miratuara apo në proces të miratimit. Rishikimi i dokumenteve strategjike të nivelit qendror ka qenë i rëndësishëm për të kuptuar më shumë rreth orientimeve strategjike të nivelit qendror që </w:t>
            </w:r>
            <w:r w:rsidR="0023401F" w:rsidRPr="009E674D">
              <w:rPr>
                <w:lang w:val="sq-AL"/>
              </w:rPr>
              <w:t>lidhen me</w:t>
            </w:r>
            <w:r w:rsidRPr="009E674D">
              <w:rPr>
                <w:lang w:val="sq-AL"/>
              </w:rPr>
              <w:t xml:space="preserve"> zhvillimin ekonomik lokal. Paralel me këtë, është rishikuar korniza përkatëse legjislative dhe institucionale</w:t>
            </w:r>
            <w:r w:rsidR="00A6213D">
              <w:rPr>
                <w:lang w:val="sq-AL"/>
              </w:rPr>
              <w:t>,</w:t>
            </w:r>
            <w:r w:rsidRPr="009E674D">
              <w:rPr>
                <w:lang w:val="sq-AL"/>
              </w:rPr>
              <w:t xml:space="preserve"> në mënyrë që të qartësohet më</w:t>
            </w:r>
            <w:r w:rsidR="0023401F" w:rsidRPr="009E674D">
              <w:rPr>
                <w:lang w:val="sq-AL"/>
              </w:rPr>
              <w:t xml:space="preserve"> tutje</w:t>
            </w:r>
            <w:r w:rsidRPr="009E674D">
              <w:rPr>
                <w:lang w:val="sq-AL"/>
              </w:rPr>
              <w:t xml:space="preserve"> fushëveprimi i këtij dokumenti. </w:t>
            </w:r>
            <w:r w:rsidR="0023401F" w:rsidRPr="009E674D">
              <w:rPr>
                <w:lang w:val="sq-AL"/>
              </w:rPr>
              <w:t xml:space="preserve">Tutje, Grupi Punues ka konsultuar raporte dhe studime të ndryshme vendore dhe ndërkombëtare, kryesisht për t’i identifikuar sfidat kryesore të zhvillimit ekonomik lokal. Gjatë kësaj faze, MAPL ka kontaktuar institucione të ndryshme për të </w:t>
            </w:r>
            <w:r w:rsidR="00A6213D" w:rsidRPr="009E674D">
              <w:rPr>
                <w:lang w:val="sq-AL"/>
              </w:rPr>
              <w:t>mbledh</w:t>
            </w:r>
            <w:r w:rsidR="00A6213D">
              <w:rPr>
                <w:lang w:val="sq-AL"/>
              </w:rPr>
              <w:t>ur</w:t>
            </w:r>
            <w:r w:rsidR="00A6213D" w:rsidRPr="009E674D">
              <w:rPr>
                <w:lang w:val="sq-AL"/>
              </w:rPr>
              <w:t xml:space="preserve"> </w:t>
            </w:r>
            <w:r w:rsidR="0023401F" w:rsidRPr="009E674D">
              <w:rPr>
                <w:lang w:val="sq-AL"/>
              </w:rPr>
              <w:t xml:space="preserve">të dhëna statistikore relevante, </w:t>
            </w:r>
            <w:r w:rsidR="00A6213D">
              <w:rPr>
                <w:lang w:val="sq-AL"/>
              </w:rPr>
              <w:t>të cilat</w:t>
            </w:r>
            <w:r w:rsidR="00A6213D" w:rsidRPr="009E674D">
              <w:rPr>
                <w:lang w:val="sq-AL"/>
              </w:rPr>
              <w:t xml:space="preserve"> </w:t>
            </w:r>
            <w:r w:rsidR="0023401F" w:rsidRPr="009E674D">
              <w:rPr>
                <w:lang w:val="sq-AL"/>
              </w:rPr>
              <w:t>janë shfrytëzuar për të përshkruar kontekstin e përgjithshëm</w:t>
            </w:r>
          </w:p>
        </w:tc>
      </w:tr>
      <w:tr w:rsidR="0023401F" w:rsidRPr="009E674D" w14:paraId="63164C1C" w14:textId="77777777" w:rsidTr="00506AAD">
        <w:trPr>
          <w:jc w:val="center"/>
        </w:trPr>
        <w:tc>
          <w:tcPr>
            <w:tcW w:w="1705" w:type="dxa"/>
            <w:shd w:val="clear" w:color="auto" w:fill="8EAADB" w:themeFill="accent5" w:themeFillTint="99"/>
            <w:vAlign w:val="center"/>
          </w:tcPr>
          <w:p w14:paraId="4D62DC8D" w14:textId="77777777" w:rsidR="0023401F" w:rsidRPr="009E674D" w:rsidRDefault="0023401F" w:rsidP="003A236F">
            <w:pPr>
              <w:spacing w:before="120"/>
              <w:jc w:val="center"/>
              <w:rPr>
                <w:b/>
                <w:lang w:val="sq-AL"/>
              </w:rPr>
            </w:pPr>
            <w:r w:rsidRPr="009E674D">
              <w:rPr>
                <w:b/>
                <w:lang w:val="sq-AL"/>
              </w:rPr>
              <w:t>Punëtoria e dytë e Grupit Punues</w:t>
            </w:r>
          </w:p>
        </w:tc>
        <w:tc>
          <w:tcPr>
            <w:tcW w:w="7645" w:type="dxa"/>
          </w:tcPr>
          <w:p w14:paraId="64B3DC46" w14:textId="77777777" w:rsidR="0023401F" w:rsidRPr="009E674D" w:rsidRDefault="0023401F" w:rsidP="00E2022F">
            <w:pPr>
              <w:spacing w:before="120"/>
              <w:jc w:val="both"/>
              <w:rPr>
                <w:lang w:val="sq-AL"/>
              </w:rPr>
            </w:pPr>
            <w:r w:rsidRPr="009E674D">
              <w:rPr>
                <w:lang w:val="sq-AL"/>
              </w:rPr>
              <w:t>Gjatë punëtorisë</w:t>
            </w:r>
            <w:r w:rsidRPr="009E674D">
              <w:rPr>
                <w:b/>
                <w:lang w:val="sq-AL"/>
              </w:rPr>
              <w:t xml:space="preserve"> </w:t>
            </w:r>
            <w:r w:rsidRPr="009E674D">
              <w:rPr>
                <w:lang w:val="sq-AL"/>
              </w:rPr>
              <w:t xml:space="preserve">së dytë, Grupi Punues </w:t>
            </w:r>
            <w:r w:rsidR="00947665" w:rsidRPr="009E674D">
              <w:rPr>
                <w:lang w:val="sq-AL"/>
              </w:rPr>
              <w:t xml:space="preserve">i </w:t>
            </w:r>
            <w:r w:rsidRPr="009E674D">
              <w:rPr>
                <w:lang w:val="sq-AL"/>
              </w:rPr>
              <w:t xml:space="preserve">ka identifikuar </w:t>
            </w:r>
            <w:r w:rsidR="00947665" w:rsidRPr="009E674D">
              <w:rPr>
                <w:lang w:val="sq-AL"/>
              </w:rPr>
              <w:t xml:space="preserve">sfidat preliminare të zhvillimit ekonomik lokal dhe pastaj i ka sistemuar ato në sfida madhore. Përpos </w:t>
            </w:r>
            <w:r w:rsidR="00947665" w:rsidRPr="009E674D">
              <w:rPr>
                <w:lang w:val="sq-AL"/>
              </w:rPr>
              <w:lastRenderedPageBreak/>
              <w:t>kësaj, është punuar në draftin e parë të S</w:t>
            </w:r>
            <w:r w:rsidR="00E2022F" w:rsidRPr="009E674D">
              <w:rPr>
                <w:lang w:val="sq-AL"/>
              </w:rPr>
              <w:t>W</w:t>
            </w:r>
            <w:r w:rsidR="00947665" w:rsidRPr="009E674D">
              <w:rPr>
                <w:lang w:val="sq-AL"/>
              </w:rPr>
              <w:t>OT analizës dhe janë zhvilluar</w:t>
            </w:r>
            <w:r w:rsidR="00947665" w:rsidRPr="009E674D">
              <w:rPr>
                <w:b/>
                <w:lang w:val="sq-AL"/>
              </w:rPr>
              <w:t xml:space="preserve"> </w:t>
            </w:r>
            <w:r w:rsidR="00947665" w:rsidRPr="009E674D">
              <w:rPr>
                <w:lang w:val="sq-AL"/>
              </w:rPr>
              <w:t xml:space="preserve">diskutime për mjetet për mbledhjen e të dhënave shtesë. </w:t>
            </w:r>
          </w:p>
        </w:tc>
      </w:tr>
      <w:tr w:rsidR="00947665" w:rsidRPr="009E674D" w14:paraId="5D366BDF" w14:textId="77777777" w:rsidTr="00506AAD">
        <w:trPr>
          <w:jc w:val="center"/>
        </w:trPr>
        <w:tc>
          <w:tcPr>
            <w:tcW w:w="1705" w:type="dxa"/>
            <w:shd w:val="clear" w:color="auto" w:fill="8EAADB" w:themeFill="accent5" w:themeFillTint="99"/>
            <w:vAlign w:val="center"/>
          </w:tcPr>
          <w:p w14:paraId="6972B07A" w14:textId="77777777" w:rsidR="00947665" w:rsidRPr="009E674D" w:rsidRDefault="00947665" w:rsidP="003E4404">
            <w:pPr>
              <w:spacing w:before="120"/>
              <w:jc w:val="center"/>
              <w:rPr>
                <w:b/>
                <w:lang w:val="sq-AL"/>
              </w:rPr>
            </w:pPr>
            <w:r w:rsidRPr="009E674D">
              <w:rPr>
                <w:b/>
                <w:lang w:val="sq-AL"/>
              </w:rPr>
              <w:lastRenderedPageBreak/>
              <w:t>Anketa me drejtori të zhvillimit ekonomik dhe biznese</w:t>
            </w:r>
          </w:p>
        </w:tc>
        <w:tc>
          <w:tcPr>
            <w:tcW w:w="7645" w:type="dxa"/>
          </w:tcPr>
          <w:p w14:paraId="6FE91E25" w14:textId="051822D5" w:rsidR="0061398D" w:rsidRPr="009E674D" w:rsidRDefault="00947665" w:rsidP="00E2022F">
            <w:pPr>
              <w:spacing w:before="120"/>
              <w:jc w:val="both"/>
              <w:rPr>
                <w:lang w:val="sq-AL"/>
              </w:rPr>
            </w:pPr>
            <w:r w:rsidRPr="009E674D">
              <w:rPr>
                <w:lang w:val="sq-AL"/>
              </w:rPr>
              <w:t>Për të marrë inpute nga niveli lokal</w:t>
            </w:r>
            <w:r w:rsidR="00A3159B" w:rsidRPr="009E674D">
              <w:rPr>
                <w:lang w:val="sq-AL"/>
              </w:rPr>
              <w:t xml:space="preserve"> rreth sfidave, kapaciteteve dhe mundësive</w:t>
            </w:r>
            <w:r w:rsidRPr="009E674D">
              <w:rPr>
                <w:lang w:val="sq-AL"/>
              </w:rPr>
              <w:t>, janë zhvilluar dy anketa: njëra me drejtori</w:t>
            </w:r>
            <w:r w:rsidR="00E2022F" w:rsidRPr="009E674D">
              <w:rPr>
                <w:lang w:val="sq-AL"/>
              </w:rPr>
              <w:t>të</w:t>
            </w:r>
            <w:r w:rsidRPr="009E674D">
              <w:rPr>
                <w:lang w:val="sq-AL"/>
              </w:rPr>
              <w:t xml:space="preserve"> përkatëse të zhvillimit ekonomik në komunat e Kosovës, ndërsa tjetra me biznese. </w:t>
            </w:r>
            <w:r w:rsidR="00A3159B" w:rsidRPr="009E674D">
              <w:rPr>
                <w:lang w:val="sq-AL"/>
              </w:rPr>
              <w:t xml:space="preserve">Si hap i parë në këtë drejtim ka qenë përgatitja e pyetësorëve për të dyja </w:t>
            </w:r>
            <w:r w:rsidR="00742868" w:rsidRPr="009E674D">
              <w:rPr>
                <w:lang w:val="sq-AL"/>
              </w:rPr>
              <w:t>grupet, të cilët kanë përfshirë</w:t>
            </w:r>
            <w:r w:rsidR="00A3159B" w:rsidRPr="009E674D">
              <w:rPr>
                <w:lang w:val="sq-AL"/>
              </w:rPr>
              <w:t xml:space="preserve"> pyetje kryesisht të natyrës cilësore. Tek bizneset, ka qenë e nevojshme të bëhet edhe një proces i mostrimit</w:t>
            </w:r>
            <w:r w:rsidR="00A6213D">
              <w:rPr>
                <w:lang w:val="sq-AL"/>
              </w:rPr>
              <w:t>,</w:t>
            </w:r>
            <w:r w:rsidR="00A3159B" w:rsidRPr="009E674D">
              <w:rPr>
                <w:lang w:val="sq-AL"/>
              </w:rPr>
              <w:t xml:space="preserve"> në mënyrë që të ketë perspektiva nga lloje të ndryshme të bizneseve. Nga anketa </w:t>
            </w:r>
            <w:r w:rsidR="00E2022F" w:rsidRPr="009E674D">
              <w:rPr>
                <w:lang w:val="sq-AL"/>
              </w:rPr>
              <w:t xml:space="preserve">me </w:t>
            </w:r>
            <w:r w:rsidR="00A3159B" w:rsidRPr="009E674D">
              <w:rPr>
                <w:lang w:val="sq-AL"/>
              </w:rPr>
              <w:t>dr</w:t>
            </w:r>
            <w:r w:rsidR="00742868" w:rsidRPr="009E674D">
              <w:rPr>
                <w:lang w:val="sq-AL"/>
              </w:rPr>
              <w:t>ejtori, janë pranuar gjithsej 31</w:t>
            </w:r>
            <w:r w:rsidR="00A3159B" w:rsidRPr="009E674D">
              <w:rPr>
                <w:lang w:val="sq-AL"/>
              </w:rPr>
              <w:t xml:space="preserve"> pyetësorë të kompletu</w:t>
            </w:r>
            <w:r w:rsidR="00742868" w:rsidRPr="009E674D">
              <w:rPr>
                <w:lang w:val="sq-AL"/>
              </w:rPr>
              <w:t>ar, ndërsa nga ajo me biznese</w:t>
            </w:r>
            <w:r w:rsidR="00E2022F" w:rsidRPr="009E674D">
              <w:rPr>
                <w:lang w:val="sq-AL"/>
              </w:rPr>
              <w:t>,</w:t>
            </w:r>
            <w:r w:rsidR="00742868" w:rsidRPr="009E674D">
              <w:rPr>
                <w:lang w:val="sq-AL"/>
              </w:rPr>
              <w:t xml:space="preserve"> 57</w:t>
            </w:r>
            <w:r w:rsidR="00B7322D">
              <w:rPr>
                <w:lang w:val="sq-AL"/>
              </w:rPr>
              <w:t xml:space="preserve"> </w:t>
            </w:r>
            <w:r w:rsidR="00A6213D">
              <w:rPr>
                <w:lang w:val="sq-AL"/>
              </w:rPr>
              <w:t>të tillë</w:t>
            </w:r>
            <w:r w:rsidR="001B1BA9" w:rsidRPr="009E674D">
              <w:rPr>
                <w:lang w:val="sq-AL"/>
              </w:rPr>
              <w:t>. Të dhënat e pranuara</w:t>
            </w:r>
            <w:r w:rsidR="00A3159B" w:rsidRPr="009E674D">
              <w:rPr>
                <w:lang w:val="sq-AL"/>
              </w:rPr>
              <w:t xml:space="preserve"> janë përpunuar dhe </w:t>
            </w:r>
            <w:r w:rsidR="0061398D" w:rsidRPr="009E674D">
              <w:rPr>
                <w:lang w:val="sq-AL"/>
              </w:rPr>
              <w:t>interpretuar, duke e përshirë s</w:t>
            </w:r>
            <w:r w:rsidR="00E2022F" w:rsidRPr="009E674D">
              <w:rPr>
                <w:lang w:val="sq-AL"/>
              </w:rPr>
              <w:t>ecilën pyetje – shihni Shtojcën</w:t>
            </w:r>
            <w:r w:rsidR="0061398D" w:rsidRPr="009E674D">
              <w:rPr>
                <w:lang w:val="sq-AL"/>
              </w:rPr>
              <w:t xml:space="preserve">. </w:t>
            </w:r>
          </w:p>
        </w:tc>
      </w:tr>
      <w:tr w:rsidR="0061398D" w:rsidRPr="009E674D" w14:paraId="769E0FFD" w14:textId="77777777" w:rsidTr="00506AAD">
        <w:trPr>
          <w:jc w:val="center"/>
        </w:trPr>
        <w:tc>
          <w:tcPr>
            <w:tcW w:w="1705" w:type="dxa"/>
            <w:shd w:val="clear" w:color="auto" w:fill="8EAADB" w:themeFill="accent5" w:themeFillTint="99"/>
            <w:vAlign w:val="center"/>
          </w:tcPr>
          <w:p w14:paraId="0BD542BA" w14:textId="77777777" w:rsidR="0061398D" w:rsidRPr="009E674D" w:rsidRDefault="0061398D" w:rsidP="003A236F">
            <w:pPr>
              <w:spacing w:before="120"/>
              <w:jc w:val="center"/>
              <w:rPr>
                <w:b/>
                <w:lang w:val="sq-AL"/>
              </w:rPr>
            </w:pPr>
            <w:r w:rsidRPr="009E674D">
              <w:rPr>
                <w:b/>
                <w:lang w:val="sq-AL"/>
              </w:rPr>
              <w:t>Takimet me komuna dhe me asociacione të biznesit</w:t>
            </w:r>
          </w:p>
        </w:tc>
        <w:tc>
          <w:tcPr>
            <w:tcW w:w="7645" w:type="dxa"/>
          </w:tcPr>
          <w:p w14:paraId="0F6D7E97" w14:textId="77777777" w:rsidR="0061398D" w:rsidRPr="009E674D" w:rsidRDefault="0061398D" w:rsidP="0061398D">
            <w:pPr>
              <w:spacing w:before="120"/>
              <w:jc w:val="both"/>
              <w:rPr>
                <w:lang w:val="sq-AL"/>
              </w:rPr>
            </w:pPr>
            <w:r w:rsidRPr="009E674D">
              <w:rPr>
                <w:lang w:val="sq-AL"/>
              </w:rPr>
              <w:t>Në këtë punëtori, Grupi Punues ka prezantuar të dhënat e anketës dhe e ka shfrytëzuar mundësinë që përmes diskutimeve me palët e ftuara, t’i verifikojë dhe shtjellojë më tutje ato. Njëkohësisht, është përgatitur një draft më i avancuar i sfidave dhe problemeve kryesore, duke i kombinuar të gjitha burimet e të dhënave. Në fund, pjesëmarrësit janë ftuar që të diskutojnë rreth objektivave preliminare.</w:t>
            </w:r>
          </w:p>
        </w:tc>
      </w:tr>
      <w:tr w:rsidR="0061398D" w:rsidRPr="009E674D" w14:paraId="14C1EB48" w14:textId="77777777" w:rsidTr="00506AAD">
        <w:trPr>
          <w:jc w:val="center"/>
        </w:trPr>
        <w:tc>
          <w:tcPr>
            <w:tcW w:w="1705" w:type="dxa"/>
            <w:shd w:val="clear" w:color="auto" w:fill="8EAADB" w:themeFill="accent5" w:themeFillTint="99"/>
            <w:vAlign w:val="center"/>
          </w:tcPr>
          <w:p w14:paraId="28D85266" w14:textId="77777777" w:rsidR="0061398D" w:rsidRPr="009E674D" w:rsidRDefault="0061398D" w:rsidP="003A236F">
            <w:pPr>
              <w:spacing w:before="120"/>
              <w:jc w:val="center"/>
              <w:rPr>
                <w:b/>
                <w:lang w:val="sq-AL"/>
              </w:rPr>
            </w:pPr>
            <w:r w:rsidRPr="009E674D">
              <w:rPr>
                <w:b/>
                <w:lang w:val="sq-AL"/>
              </w:rPr>
              <w:t>Punëtoria e tretë e Grupit Punues</w:t>
            </w:r>
          </w:p>
        </w:tc>
        <w:tc>
          <w:tcPr>
            <w:tcW w:w="7645" w:type="dxa"/>
          </w:tcPr>
          <w:p w14:paraId="0DDDE5B4" w14:textId="77777777" w:rsidR="0061398D" w:rsidRPr="009E674D" w:rsidRDefault="0061398D" w:rsidP="00E2022F">
            <w:pPr>
              <w:spacing w:before="120"/>
              <w:jc w:val="both"/>
              <w:rPr>
                <w:lang w:val="sq-AL"/>
              </w:rPr>
            </w:pPr>
            <w:r w:rsidRPr="009E674D">
              <w:rPr>
                <w:lang w:val="sq-AL"/>
              </w:rPr>
              <w:t>Në këtë punëtori, Grupi Punues</w:t>
            </w:r>
            <w:r w:rsidR="007B3FF7" w:rsidRPr="009E674D">
              <w:rPr>
                <w:lang w:val="sq-AL"/>
              </w:rPr>
              <w:t xml:space="preserve"> e</w:t>
            </w:r>
            <w:r w:rsidRPr="009E674D">
              <w:rPr>
                <w:lang w:val="sq-AL"/>
              </w:rPr>
              <w:t xml:space="preserve"> ka diskutuar dhe përcaktuar</w:t>
            </w:r>
            <w:r w:rsidR="007B3FF7" w:rsidRPr="009E674D">
              <w:rPr>
                <w:lang w:val="sq-AL"/>
              </w:rPr>
              <w:t xml:space="preserve"> vizionin,</w:t>
            </w:r>
            <w:r w:rsidRPr="009E674D">
              <w:rPr>
                <w:lang w:val="sq-AL"/>
              </w:rPr>
              <w:t xml:space="preserve"> objektivat dhe </w:t>
            </w:r>
            <w:r w:rsidR="007B3FF7" w:rsidRPr="009E674D">
              <w:rPr>
                <w:lang w:val="sq-AL"/>
              </w:rPr>
              <w:t xml:space="preserve">masat e përgjithshme të </w:t>
            </w:r>
            <w:r w:rsidR="00312D8F" w:rsidRPr="009E674D">
              <w:rPr>
                <w:lang w:val="sq-AL"/>
              </w:rPr>
              <w:t>PNZHEL</w:t>
            </w:r>
            <w:r w:rsidR="007B3FF7" w:rsidRPr="009E674D">
              <w:rPr>
                <w:lang w:val="sq-AL"/>
              </w:rPr>
              <w:t xml:space="preserve">-së. Njëkohësisht, është përcaktuar edhe korniza për monitorimin dhe vlerësimin e këtij programi dhe është bërë një </w:t>
            </w:r>
            <w:r w:rsidR="00E2022F" w:rsidRPr="009E674D">
              <w:rPr>
                <w:lang w:val="sq-AL"/>
              </w:rPr>
              <w:t>vlerësim i ndikimit financiar</w:t>
            </w:r>
            <w:r w:rsidR="007B3FF7" w:rsidRPr="009E674D">
              <w:rPr>
                <w:lang w:val="sq-AL"/>
              </w:rPr>
              <w:t xml:space="preserve">. Me përfundimin e kësaj punëtorie, është finalizuar drafti i </w:t>
            </w:r>
            <w:r w:rsidR="00312D8F" w:rsidRPr="009E674D">
              <w:rPr>
                <w:lang w:val="sq-AL"/>
              </w:rPr>
              <w:t>PNZHEL</w:t>
            </w:r>
            <w:r w:rsidR="007B3FF7" w:rsidRPr="009E674D">
              <w:rPr>
                <w:lang w:val="sq-AL"/>
              </w:rPr>
              <w:t xml:space="preserve"> dhe është përgatitur për konsultime publike.  </w:t>
            </w:r>
          </w:p>
        </w:tc>
      </w:tr>
      <w:tr w:rsidR="0061398D" w:rsidRPr="009E674D" w14:paraId="47A2153B" w14:textId="77777777" w:rsidTr="00506AAD">
        <w:trPr>
          <w:jc w:val="center"/>
        </w:trPr>
        <w:tc>
          <w:tcPr>
            <w:tcW w:w="1705" w:type="dxa"/>
            <w:shd w:val="clear" w:color="auto" w:fill="8EAADB" w:themeFill="accent5" w:themeFillTint="99"/>
            <w:vAlign w:val="center"/>
          </w:tcPr>
          <w:p w14:paraId="6E6BE82B" w14:textId="77777777" w:rsidR="0061398D" w:rsidRPr="009E674D" w:rsidRDefault="007B3FF7" w:rsidP="003A236F">
            <w:pPr>
              <w:spacing w:before="120"/>
              <w:jc w:val="center"/>
              <w:rPr>
                <w:b/>
                <w:lang w:val="sq-AL"/>
              </w:rPr>
            </w:pPr>
            <w:r w:rsidRPr="009E674D">
              <w:rPr>
                <w:b/>
                <w:lang w:val="sq-AL"/>
              </w:rPr>
              <w:t>Konsultimet Publike</w:t>
            </w:r>
          </w:p>
        </w:tc>
        <w:tc>
          <w:tcPr>
            <w:tcW w:w="7645" w:type="dxa"/>
          </w:tcPr>
          <w:p w14:paraId="3CB6B09C" w14:textId="4E3C6325" w:rsidR="007B3FF7" w:rsidRPr="009E674D" w:rsidRDefault="007B3FF7" w:rsidP="007B3FF7">
            <w:pPr>
              <w:spacing w:before="120"/>
              <w:jc w:val="both"/>
              <w:rPr>
                <w:lang w:val="sq-AL"/>
              </w:rPr>
            </w:pPr>
            <w:r w:rsidRPr="009E674D">
              <w:rPr>
                <w:lang w:val="sq-AL"/>
              </w:rPr>
              <w:t xml:space="preserve">Në fund të </w:t>
            </w:r>
            <w:r w:rsidR="00A6213D">
              <w:rPr>
                <w:lang w:val="sq-AL"/>
              </w:rPr>
              <w:t xml:space="preserve">të </w:t>
            </w:r>
            <w:r w:rsidRPr="009E674D">
              <w:rPr>
                <w:lang w:val="sq-AL"/>
              </w:rPr>
              <w:t>gjithë procesit, është organizuar diskutimi paraprak dhe publik me qëllim të marrjes së komenteve dhe inputeve nga hisedarët. Pas përfundimit të procesit të konsultimit publik, është punuar në versioni final të dokumenti</w:t>
            </w:r>
            <w:r w:rsidR="00E2022F" w:rsidRPr="009E674D">
              <w:rPr>
                <w:lang w:val="sq-AL"/>
              </w:rPr>
              <w:t>t</w:t>
            </w:r>
            <w:r w:rsidR="00B7322D">
              <w:rPr>
                <w:lang w:val="sq-AL"/>
              </w:rPr>
              <w:t xml:space="preserve">, i cili në fund është </w:t>
            </w:r>
            <w:r w:rsidRPr="009E674D">
              <w:rPr>
                <w:lang w:val="sq-AL"/>
              </w:rPr>
              <w:t xml:space="preserve">proceduar në Qeveri për aprovim. </w:t>
            </w:r>
          </w:p>
        </w:tc>
      </w:tr>
    </w:tbl>
    <w:p w14:paraId="301559FE" w14:textId="77777777" w:rsidR="00163C0B" w:rsidRPr="009E674D" w:rsidRDefault="00163C0B" w:rsidP="00EE3F80">
      <w:pPr>
        <w:spacing w:before="120" w:after="0"/>
        <w:jc w:val="both"/>
        <w:rPr>
          <w:lang w:val="sq-AL"/>
        </w:rPr>
      </w:pPr>
    </w:p>
    <w:p w14:paraId="3E2A2BC8" w14:textId="77777777" w:rsidR="00163C0B" w:rsidRPr="009E674D" w:rsidRDefault="00163C0B" w:rsidP="00EE3F80">
      <w:pPr>
        <w:spacing w:before="120" w:after="0"/>
        <w:jc w:val="both"/>
        <w:rPr>
          <w:lang w:val="sq-AL"/>
        </w:rPr>
      </w:pPr>
    </w:p>
    <w:p w14:paraId="72DE6E92" w14:textId="77777777" w:rsidR="000220F2" w:rsidRPr="009E674D" w:rsidRDefault="000220F2">
      <w:pPr>
        <w:rPr>
          <w:lang w:val="sq-AL"/>
        </w:rPr>
      </w:pPr>
      <w:r w:rsidRPr="009E674D">
        <w:rPr>
          <w:lang w:val="sq-AL"/>
        </w:rPr>
        <w:br w:type="page"/>
      </w:r>
    </w:p>
    <w:p w14:paraId="5A44CBDA" w14:textId="77777777" w:rsidR="000220F2" w:rsidRPr="009E674D" w:rsidRDefault="000220F2" w:rsidP="00E2022F">
      <w:pPr>
        <w:pStyle w:val="Heading1"/>
        <w:numPr>
          <w:ilvl w:val="0"/>
          <w:numId w:val="12"/>
        </w:numPr>
        <w:rPr>
          <w:b/>
          <w:lang w:val="sq-AL"/>
        </w:rPr>
      </w:pPr>
      <w:bookmarkStart w:id="5" w:name="_Toc132188426"/>
      <w:r w:rsidRPr="009E674D">
        <w:rPr>
          <w:b/>
          <w:lang w:val="sq-AL"/>
        </w:rPr>
        <w:lastRenderedPageBreak/>
        <w:t>Konteksti i përgjithshëm</w:t>
      </w:r>
      <w:bookmarkEnd w:id="5"/>
      <w:r w:rsidRPr="009E674D">
        <w:rPr>
          <w:b/>
          <w:lang w:val="sq-AL"/>
        </w:rPr>
        <w:t xml:space="preserve"> </w:t>
      </w:r>
    </w:p>
    <w:p w14:paraId="1C4D4AEE" w14:textId="53210510" w:rsidR="000220F2" w:rsidRPr="009E674D" w:rsidRDefault="000220F2" w:rsidP="00A55102">
      <w:pPr>
        <w:pStyle w:val="NoSpacing"/>
        <w:jc w:val="both"/>
        <w:rPr>
          <w:rFonts w:cstheme="minorHAnsi"/>
          <w:lang w:val="sq-AL"/>
        </w:rPr>
      </w:pPr>
      <w:r w:rsidRPr="009E674D">
        <w:rPr>
          <w:rFonts w:ascii="Book Antiqua" w:hAnsi="Book Antiqua"/>
          <w:lang w:val="sq-AL"/>
        </w:rPr>
        <w:br/>
      </w:r>
      <w:r w:rsidRPr="009E674D">
        <w:rPr>
          <w:rFonts w:cstheme="minorHAnsi"/>
          <w:lang w:val="sq-AL"/>
        </w:rPr>
        <w:t>Që nga shpallja e pavarësisë, Kosova pothuajse e ka dyfishuar ekonominë e saj, ndonëse duhet theksuar se baza n</w:t>
      </w:r>
      <w:r w:rsidR="006F0CA6" w:rsidRPr="009E674D">
        <w:rPr>
          <w:rFonts w:cstheme="minorHAnsi"/>
          <w:lang w:val="sq-AL"/>
        </w:rPr>
        <w:t xml:space="preserve">ga </w:t>
      </w:r>
      <w:r w:rsidR="00A6213D">
        <w:rPr>
          <w:rFonts w:cstheme="minorHAnsi"/>
          <w:lang w:val="sq-AL"/>
        </w:rPr>
        <w:t>kjo</w:t>
      </w:r>
      <w:r w:rsidR="00A6213D" w:rsidRPr="009E674D">
        <w:rPr>
          <w:rFonts w:cstheme="minorHAnsi"/>
          <w:lang w:val="sq-AL"/>
        </w:rPr>
        <w:t xml:space="preserve"> </w:t>
      </w:r>
      <w:r w:rsidR="006F0CA6" w:rsidRPr="009E674D">
        <w:rPr>
          <w:rFonts w:cstheme="minorHAnsi"/>
          <w:lang w:val="sq-AL"/>
        </w:rPr>
        <w:t>periudhë</w:t>
      </w:r>
      <w:r w:rsidRPr="009E674D">
        <w:rPr>
          <w:rFonts w:cstheme="minorHAnsi"/>
          <w:lang w:val="sq-AL"/>
        </w:rPr>
        <w:t xml:space="preserve"> ka qenë relativisht e ulët. Gjatë viteve 2017-2019, Kosova ka tejkaluar vendet homologe të Ballkanit Perëndimor</w:t>
      </w:r>
      <w:r w:rsidR="006F0CA6" w:rsidRPr="009E674D">
        <w:rPr>
          <w:rFonts w:cstheme="minorHAnsi"/>
          <w:lang w:val="sq-AL"/>
        </w:rPr>
        <w:t xml:space="preserve"> në aspekt të </w:t>
      </w:r>
      <w:r w:rsidRPr="009E674D">
        <w:rPr>
          <w:rFonts w:cstheme="minorHAnsi"/>
          <w:lang w:val="sq-AL"/>
        </w:rPr>
        <w:t xml:space="preserve">rritjes së BPV-së reale, </w:t>
      </w:r>
      <w:r w:rsidR="00D25687" w:rsidRPr="009E674D">
        <w:rPr>
          <w:rFonts w:cstheme="minorHAnsi"/>
          <w:lang w:val="sq-AL"/>
        </w:rPr>
        <w:t>me një shkall</w:t>
      </w:r>
      <w:r w:rsidRPr="009E674D">
        <w:rPr>
          <w:rFonts w:cstheme="minorHAnsi"/>
          <w:lang w:val="sq-AL"/>
        </w:rPr>
        <w:t xml:space="preserve">ë mesatare prej 4.3%. </w:t>
      </w:r>
      <w:r w:rsidR="00D25687" w:rsidRPr="009E674D">
        <w:rPr>
          <w:rFonts w:cstheme="minorHAnsi"/>
          <w:lang w:val="sq-AL"/>
        </w:rPr>
        <w:t>Pandemia</w:t>
      </w:r>
      <w:r w:rsidRPr="009E674D">
        <w:rPr>
          <w:rFonts w:cstheme="minorHAnsi"/>
          <w:lang w:val="sq-AL"/>
        </w:rPr>
        <w:t xml:space="preserve"> COVID-19 bëri që hovi</w:t>
      </w:r>
      <w:r w:rsidR="006F0CA6" w:rsidRPr="009E674D">
        <w:rPr>
          <w:rFonts w:cstheme="minorHAnsi"/>
          <w:lang w:val="sq-AL"/>
        </w:rPr>
        <w:t xml:space="preserve"> i vazhdueshëm</w:t>
      </w:r>
      <w:r w:rsidRPr="009E674D">
        <w:rPr>
          <w:rFonts w:cstheme="minorHAnsi"/>
          <w:lang w:val="sq-AL"/>
        </w:rPr>
        <w:t xml:space="preserve"> i rritjes të ndalet. </w:t>
      </w:r>
      <w:r w:rsidR="00D25687" w:rsidRPr="009E674D">
        <w:rPr>
          <w:rFonts w:cstheme="minorHAnsi"/>
          <w:lang w:val="sq-AL"/>
        </w:rPr>
        <w:t>Ngjashëm</w:t>
      </w:r>
      <w:r w:rsidRPr="009E674D">
        <w:rPr>
          <w:rFonts w:cstheme="minorHAnsi"/>
          <w:lang w:val="sq-AL"/>
        </w:rPr>
        <w:t xml:space="preserve"> me vendet tjera, Kosova përjetoi tkurrje të BPV-së reale prej 5.3% në vitin 2020, e cila megjithatë është ri</w:t>
      </w:r>
      <w:r w:rsidR="00D25687" w:rsidRPr="009E674D">
        <w:rPr>
          <w:rFonts w:cstheme="minorHAnsi"/>
          <w:lang w:val="sq-AL"/>
        </w:rPr>
        <w:t>kuperuar</w:t>
      </w:r>
      <w:r w:rsidR="002B0CF6" w:rsidRPr="009E674D">
        <w:rPr>
          <w:rFonts w:cstheme="minorHAnsi"/>
          <w:lang w:val="sq-AL"/>
        </w:rPr>
        <w:t xml:space="preserve"> suksesshëm në vitin </w:t>
      </w:r>
      <w:r w:rsidRPr="009E674D">
        <w:rPr>
          <w:rFonts w:cstheme="minorHAnsi"/>
          <w:lang w:val="sq-AL"/>
        </w:rPr>
        <w:t>2021.</w:t>
      </w:r>
      <w:r w:rsidR="00D25687" w:rsidRPr="009E674D">
        <w:rPr>
          <w:rFonts w:cstheme="minorHAnsi"/>
          <w:lang w:val="sq-AL"/>
        </w:rPr>
        <w:t xml:space="preserve"> </w:t>
      </w:r>
      <w:r w:rsidR="00E027CD" w:rsidRPr="009E674D">
        <w:rPr>
          <w:rFonts w:cstheme="minorHAnsi"/>
          <w:lang w:val="sq-AL"/>
        </w:rPr>
        <w:t xml:space="preserve">Në </w:t>
      </w:r>
      <w:r w:rsidR="00E2022F" w:rsidRPr="009E674D">
        <w:rPr>
          <w:rFonts w:cstheme="minorHAnsi"/>
          <w:lang w:val="sq-AL"/>
        </w:rPr>
        <w:t>2021-</w:t>
      </w:r>
      <w:r w:rsidR="00E2022F" w:rsidRPr="009E674D">
        <w:rPr>
          <w:lang w:val="sq-AL"/>
        </w:rPr>
        <w:t>ën</w:t>
      </w:r>
      <w:r w:rsidR="00E027CD" w:rsidRPr="009E674D">
        <w:rPr>
          <w:rFonts w:cstheme="minorHAnsi"/>
          <w:lang w:val="sq-AL"/>
        </w:rPr>
        <w:t>, në fakt,</w:t>
      </w:r>
      <w:r w:rsidR="00D25687" w:rsidRPr="009E674D">
        <w:rPr>
          <w:rFonts w:cstheme="minorHAnsi"/>
          <w:lang w:val="sq-AL"/>
        </w:rPr>
        <w:t xml:space="preserve"> është shënuar një</w:t>
      </w:r>
      <w:r w:rsidR="009F5273" w:rsidRPr="009E674D">
        <w:rPr>
          <w:rFonts w:cstheme="minorHAnsi"/>
          <w:lang w:val="sq-AL"/>
        </w:rPr>
        <w:t xml:space="preserve"> rritje dyshifrore</w:t>
      </w:r>
      <w:r w:rsidR="005E0430" w:rsidRPr="009E674D">
        <w:rPr>
          <w:rFonts w:cstheme="minorHAnsi"/>
          <w:lang w:val="sq-AL"/>
        </w:rPr>
        <w:t xml:space="preserve"> prej</w:t>
      </w:r>
      <w:r w:rsidR="009F5273" w:rsidRPr="009E674D">
        <w:rPr>
          <w:rFonts w:cstheme="minorHAnsi"/>
          <w:lang w:val="sq-AL"/>
        </w:rPr>
        <w:t xml:space="preserve"> 10.5</w:t>
      </w:r>
      <w:r w:rsidR="00E027CD" w:rsidRPr="009E674D">
        <w:rPr>
          <w:rFonts w:cstheme="minorHAnsi"/>
          <w:lang w:val="sq-AL"/>
        </w:rPr>
        <w:t>%</w:t>
      </w:r>
      <w:r w:rsidR="00D25687" w:rsidRPr="009E674D">
        <w:rPr>
          <w:rFonts w:cstheme="minorHAnsi"/>
          <w:lang w:val="sq-AL"/>
        </w:rPr>
        <w:t>.</w:t>
      </w:r>
      <w:r w:rsidR="00E027CD" w:rsidRPr="009E674D">
        <w:rPr>
          <w:rFonts w:cstheme="minorHAnsi"/>
          <w:lang w:val="sq-AL"/>
        </w:rPr>
        <w:t xml:space="preserve"> Kontribut të ndjeshëm</w:t>
      </w:r>
      <w:r w:rsidRPr="009E674D">
        <w:rPr>
          <w:rFonts w:cstheme="minorHAnsi"/>
          <w:lang w:val="sq-AL"/>
        </w:rPr>
        <w:t xml:space="preserve"> në </w:t>
      </w:r>
      <w:r w:rsidR="00E027CD" w:rsidRPr="009E674D">
        <w:rPr>
          <w:rFonts w:cstheme="minorHAnsi"/>
          <w:lang w:val="sq-AL"/>
        </w:rPr>
        <w:t>trendin pozitiv të rritjes</w:t>
      </w:r>
      <w:r w:rsidRPr="009E674D">
        <w:rPr>
          <w:rFonts w:cstheme="minorHAnsi"/>
          <w:lang w:val="sq-AL"/>
        </w:rPr>
        <w:t xml:space="preserve"> ekonomike të vendit </w:t>
      </w:r>
      <w:r w:rsidR="00E027CD" w:rsidRPr="009E674D">
        <w:rPr>
          <w:rFonts w:cstheme="minorHAnsi"/>
          <w:lang w:val="sq-AL"/>
        </w:rPr>
        <w:t xml:space="preserve">gjatë </w:t>
      </w:r>
      <w:r w:rsidR="00E2022F" w:rsidRPr="009E674D">
        <w:rPr>
          <w:rFonts w:cstheme="minorHAnsi"/>
          <w:lang w:val="sq-AL"/>
        </w:rPr>
        <w:t>viteve</w:t>
      </w:r>
      <w:r w:rsidRPr="009E674D">
        <w:rPr>
          <w:rFonts w:cstheme="minorHAnsi"/>
          <w:lang w:val="sq-AL"/>
        </w:rPr>
        <w:t xml:space="preserve"> kanë dhënë konsumi, </w:t>
      </w:r>
      <w:r w:rsidR="00E027CD" w:rsidRPr="009E674D">
        <w:rPr>
          <w:rFonts w:cstheme="minorHAnsi"/>
          <w:lang w:val="sq-AL"/>
        </w:rPr>
        <w:t xml:space="preserve">i nxitur </w:t>
      </w:r>
      <w:r w:rsidR="006F0CA6" w:rsidRPr="009E674D">
        <w:rPr>
          <w:rFonts w:cstheme="minorHAnsi"/>
          <w:lang w:val="sq-AL"/>
        </w:rPr>
        <w:t>konsiderueshëm</w:t>
      </w:r>
      <w:r w:rsidRPr="009E674D">
        <w:rPr>
          <w:rFonts w:cstheme="minorHAnsi"/>
          <w:lang w:val="sq-AL"/>
        </w:rPr>
        <w:t xml:space="preserve"> nga </w:t>
      </w:r>
      <w:r w:rsidR="00E027CD" w:rsidRPr="009E674D">
        <w:rPr>
          <w:rFonts w:cstheme="minorHAnsi"/>
          <w:lang w:val="sq-AL"/>
        </w:rPr>
        <w:t xml:space="preserve">dërgesat dhe vizitat e </w:t>
      </w:r>
      <w:r w:rsidRPr="009E674D">
        <w:rPr>
          <w:rFonts w:cstheme="minorHAnsi"/>
          <w:lang w:val="sq-AL"/>
        </w:rPr>
        <w:t>diaspor</w:t>
      </w:r>
      <w:r w:rsidR="00E027CD" w:rsidRPr="009E674D">
        <w:rPr>
          <w:rFonts w:cstheme="minorHAnsi"/>
          <w:lang w:val="sq-AL"/>
        </w:rPr>
        <w:t>ës</w:t>
      </w:r>
      <w:r w:rsidR="00A139E7">
        <w:rPr>
          <w:rFonts w:cstheme="minorHAnsi"/>
          <w:lang w:val="sq-AL"/>
        </w:rPr>
        <w:t>, si</w:t>
      </w:r>
      <w:r w:rsidR="00E027CD" w:rsidRPr="009E674D">
        <w:rPr>
          <w:rFonts w:cstheme="minorHAnsi"/>
          <w:lang w:val="sq-AL"/>
        </w:rPr>
        <w:t xml:space="preserve"> dhe </w:t>
      </w:r>
      <w:r w:rsidR="00A139E7">
        <w:rPr>
          <w:rFonts w:cstheme="minorHAnsi"/>
          <w:lang w:val="sq-AL"/>
        </w:rPr>
        <w:t xml:space="preserve">nga </w:t>
      </w:r>
      <w:r w:rsidR="00E027CD" w:rsidRPr="009E674D">
        <w:rPr>
          <w:rFonts w:cstheme="minorHAnsi"/>
          <w:lang w:val="sq-AL"/>
        </w:rPr>
        <w:t>ndihma e huaj</w:t>
      </w:r>
      <w:r w:rsidRPr="009E674D">
        <w:rPr>
          <w:rFonts w:cstheme="minorHAnsi"/>
          <w:lang w:val="sq-AL"/>
        </w:rPr>
        <w:t xml:space="preserve">. </w:t>
      </w:r>
    </w:p>
    <w:p w14:paraId="5C40530B" w14:textId="7C13C9A5" w:rsidR="006F0CA6" w:rsidRPr="009E674D" w:rsidRDefault="006F0CA6" w:rsidP="006F0CA6">
      <w:pPr>
        <w:pStyle w:val="NoSpacing"/>
        <w:spacing w:before="240"/>
        <w:jc w:val="both"/>
        <w:rPr>
          <w:rFonts w:cstheme="minorHAnsi"/>
          <w:lang w:val="sq-AL"/>
        </w:rPr>
      </w:pPr>
      <w:r w:rsidRPr="009E674D">
        <w:rPr>
          <w:rFonts w:cstheme="minorHAnsi"/>
          <w:lang w:val="sq-AL"/>
        </w:rPr>
        <w:t xml:space="preserve">Inflacioni dhe borxhi përgjithshëm kanë qenë nën kontroll përgjatë viteve, duke bërë që të ketë stabilitet makroekonomik në vend. </w:t>
      </w:r>
      <w:r w:rsidR="00A139E7">
        <w:rPr>
          <w:rFonts w:cstheme="minorHAnsi"/>
          <w:lang w:val="sq-AL"/>
        </w:rPr>
        <w:t>Megjithatë, q</w:t>
      </w:r>
      <w:r w:rsidR="00AC767B" w:rsidRPr="009E674D">
        <w:rPr>
          <w:rFonts w:cstheme="minorHAnsi"/>
          <w:lang w:val="sq-AL"/>
        </w:rPr>
        <w:t>ë nga 2021-a,</w:t>
      </w:r>
      <w:r w:rsidRPr="009E674D">
        <w:rPr>
          <w:rFonts w:cstheme="minorHAnsi"/>
          <w:lang w:val="sq-AL"/>
        </w:rPr>
        <w:t xml:space="preserve"> </w:t>
      </w:r>
      <w:r w:rsidR="00AC767B" w:rsidRPr="009E674D">
        <w:rPr>
          <w:rFonts w:cstheme="minorHAnsi"/>
          <w:lang w:val="sq-AL"/>
        </w:rPr>
        <w:t>inflacioni ka filluar të rritet ndjeshëm, fillimisht si rezultat i kërkesës së shtuar nga pakot stimuluese për adresim të pasojave të pandemisë, e së</w:t>
      </w:r>
      <w:r w:rsidR="0087131E" w:rsidRPr="009E674D">
        <w:rPr>
          <w:rFonts w:cstheme="minorHAnsi"/>
          <w:lang w:val="sq-AL"/>
        </w:rPr>
        <w:t xml:space="preserve"> fundmi</w:t>
      </w:r>
      <w:r w:rsidR="00A139E7">
        <w:rPr>
          <w:rFonts w:cstheme="minorHAnsi"/>
          <w:lang w:val="sq-AL"/>
        </w:rPr>
        <w:t>,</w:t>
      </w:r>
      <w:r w:rsidR="0087131E" w:rsidRPr="009E674D">
        <w:rPr>
          <w:rFonts w:cstheme="minorHAnsi"/>
          <w:lang w:val="sq-AL"/>
        </w:rPr>
        <w:t xml:space="preserve"> sidomos </w:t>
      </w:r>
      <w:r w:rsidR="00AC767B" w:rsidRPr="009E674D">
        <w:rPr>
          <w:rFonts w:cstheme="minorHAnsi"/>
          <w:lang w:val="sq-AL"/>
        </w:rPr>
        <w:t>për shkak të luftës në Ukrainë</w:t>
      </w:r>
      <w:r w:rsidR="0087131E" w:rsidRPr="009E674D">
        <w:rPr>
          <w:rFonts w:cstheme="minorHAnsi"/>
          <w:lang w:val="sq-AL"/>
        </w:rPr>
        <w:t xml:space="preserve">, </w:t>
      </w:r>
      <w:r w:rsidR="00B7322D">
        <w:rPr>
          <w:rFonts w:cstheme="minorHAnsi"/>
          <w:lang w:val="sq-AL"/>
        </w:rPr>
        <w:t>ku</w:t>
      </w:r>
      <w:r w:rsidR="00A139E7" w:rsidRPr="009E674D">
        <w:rPr>
          <w:rFonts w:cstheme="minorHAnsi"/>
          <w:lang w:val="sq-AL"/>
        </w:rPr>
        <w:t xml:space="preserve"> </w:t>
      </w:r>
      <w:r w:rsidR="004847AD">
        <w:rPr>
          <w:rFonts w:cstheme="minorHAnsi"/>
          <w:lang w:val="sq-AL"/>
        </w:rPr>
        <w:t>pasojat janë ndjer</w:t>
      </w:r>
      <w:r w:rsidR="004847AD" w:rsidRPr="009E674D">
        <w:rPr>
          <w:rFonts w:cstheme="minorHAnsi"/>
          <w:lang w:val="sq-AL"/>
        </w:rPr>
        <w:t>ë</w:t>
      </w:r>
      <w:r w:rsidR="0087131E" w:rsidRPr="009E674D">
        <w:rPr>
          <w:rFonts w:cstheme="minorHAnsi"/>
          <w:lang w:val="sq-AL"/>
        </w:rPr>
        <w:t xml:space="preserve"> </w:t>
      </w:r>
      <w:r w:rsidR="004847AD">
        <w:rPr>
          <w:rFonts w:cstheme="minorHAnsi"/>
          <w:lang w:val="sq-AL"/>
        </w:rPr>
        <w:t xml:space="preserve">kryesisht </w:t>
      </w:r>
      <w:r w:rsidR="0087131E" w:rsidRPr="009E674D">
        <w:rPr>
          <w:rFonts w:cstheme="minorHAnsi"/>
          <w:lang w:val="sq-AL"/>
        </w:rPr>
        <w:t>në çmime të produkte</w:t>
      </w:r>
      <w:r w:rsidR="00A139E7">
        <w:rPr>
          <w:rFonts w:cstheme="minorHAnsi"/>
          <w:lang w:val="sq-AL"/>
        </w:rPr>
        <w:t>ve</w:t>
      </w:r>
      <w:r w:rsidR="0087131E" w:rsidRPr="009E674D">
        <w:rPr>
          <w:rFonts w:cstheme="minorHAnsi"/>
          <w:lang w:val="sq-AL"/>
        </w:rPr>
        <w:t xml:space="preserve"> bazike</w:t>
      </w:r>
      <w:r w:rsidR="00A139E7">
        <w:rPr>
          <w:rFonts w:cstheme="minorHAnsi"/>
          <w:lang w:val="sq-AL"/>
        </w:rPr>
        <w:t>,</w:t>
      </w:r>
      <w:r w:rsidR="0087131E" w:rsidRPr="009E674D">
        <w:rPr>
          <w:rFonts w:cstheme="minorHAnsi"/>
          <w:lang w:val="sq-AL"/>
        </w:rPr>
        <w:t xml:space="preserve"> si energjia dhe ushqimi. Në korrik të 2022-ës, ngjashëm me shumicën vendeve të Evropës, </w:t>
      </w:r>
      <w:r w:rsidR="00E2022F" w:rsidRPr="009E674D">
        <w:rPr>
          <w:rFonts w:cstheme="minorHAnsi"/>
          <w:lang w:val="sq-AL"/>
        </w:rPr>
        <w:t xml:space="preserve">Kosova </w:t>
      </w:r>
      <w:r w:rsidR="0087131E" w:rsidRPr="009E674D">
        <w:rPr>
          <w:rFonts w:cstheme="minorHAnsi"/>
          <w:lang w:val="sq-AL"/>
        </w:rPr>
        <w:t xml:space="preserve">ka shënuar normë të paprecedent të inflacionit me 14.2%. Trend në rritje është vërejtur edhe tek borxhi i përgjithshëm, ndonëse larg përmasave që shihen te rasti i inflacionit.  </w:t>
      </w:r>
    </w:p>
    <w:p w14:paraId="2ABEAAE2" w14:textId="77777777" w:rsidR="006F0CA6" w:rsidRPr="009E674D" w:rsidRDefault="006F0CA6" w:rsidP="00A55102">
      <w:pPr>
        <w:pStyle w:val="NoSpacing"/>
        <w:jc w:val="both"/>
        <w:rPr>
          <w:rFonts w:ascii="Book Antiqua" w:hAnsi="Book Antiqua"/>
          <w:lang w:val="sq-AL"/>
        </w:rPr>
      </w:pPr>
    </w:p>
    <w:p w14:paraId="6FAE6A6E" w14:textId="77777777" w:rsidR="00A55102" w:rsidRPr="009E674D" w:rsidRDefault="00A55102" w:rsidP="00A55102">
      <w:pPr>
        <w:pStyle w:val="Caption"/>
        <w:keepNext/>
        <w:jc w:val="center"/>
        <w:rPr>
          <w:lang w:val="sq-AL"/>
        </w:rPr>
      </w:pPr>
      <w:r w:rsidRPr="009E674D">
        <w:rPr>
          <w:lang w:val="sq-AL"/>
        </w:rPr>
        <w:t xml:space="preserve">Tabela </w:t>
      </w:r>
      <w:r w:rsidRPr="009E674D">
        <w:rPr>
          <w:lang w:val="sq-AL"/>
        </w:rPr>
        <w:fldChar w:fldCharType="begin"/>
      </w:r>
      <w:r w:rsidRPr="009E674D">
        <w:rPr>
          <w:lang w:val="sq-AL"/>
        </w:rPr>
        <w:instrText xml:space="preserve"> SEQ Tabela \* ARABIC </w:instrText>
      </w:r>
      <w:r w:rsidRPr="009E674D">
        <w:rPr>
          <w:lang w:val="sq-AL"/>
        </w:rPr>
        <w:fldChar w:fldCharType="separate"/>
      </w:r>
      <w:r w:rsidR="002D7B48" w:rsidRPr="009E674D">
        <w:rPr>
          <w:noProof/>
          <w:lang w:val="sq-AL"/>
        </w:rPr>
        <w:t>2</w:t>
      </w:r>
      <w:r w:rsidRPr="009E674D">
        <w:rPr>
          <w:lang w:val="sq-AL"/>
        </w:rPr>
        <w:fldChar w:fldCharType="end"/>
      </w:r>
      <w:r w:rsidRPr="009E674D">
        <w:rPr>
          <w:lang w:val="sq-AL"/>
        </w:rPr>
        <w:t>: Treguesit kryesorë ekonomik</w:t>
      </w:r>
    </w:p>
    <w:tbl>
      <w:tblPr>
        <w:tblW w:w="5000" w:type="pct"/>
        <w:tblLook w:val="04A0" w:firstRow="1" w:lastRow="0" w:firstColumn="1" w:lastColumn="0" w:noHBand="0" w:noVBand="1"/>
      </w:tblPr>
      <w:tblGrid>
        <w:gridCol w:w="514"/>
        <w:gridCol w:w="4179"/>
        <w:gridCol w:w="971"/>
        <w:gridCol w:w="920"/>
        <w:gridCol w:w="928"/>
        <w:gridCol w:w="920"/>
        <w:gridCol w:w="918"/>
      </w:tblGrid>
      <w:tr w:rsidR="000220F2" w:rsidRPr="009E674D" w14:paraId="716166E3" w14:textId="77777777" w:rsidTr="00A55102">
        <w:trPr>
          <w:trHeight w:val="332"/>
        </w:trPr>
        <w:tc>
          <w:tcPr>
            <w:tcW w:w="2510" w:type="pct"/>
            <w:gridSpan w:val="2"/>
            <w:tcBorders>
              <w:top w:val="single" w:sz="4" w:space="0" w:color="auto"/>
              <w:left w:val="single" w:sz="4" w:space="0" w:color="auto"/>
              <w:bottom w:val="single" w:sz="4" w:space="0" w:color="auto"/>
              <w:right w:val="single" w:sz="4" w:space="0" w:color="auto"/>
            </w:tcBorders>
            <w:shd w:val="clear" w:color="000000" w:fill="9DC3E6"/>
            <w:vAlign w:val="center"/>
            <w:hideMark/>
          </w:tcPr>
          <w:p w14:paraId="1135DEFF" w14:textId="77777777" w:rsidR="000220F2" w:rsidRPr="009E674D" w:rsidRDefault="000220F2" w:rsidP="009F5273">
            <w:pPr>
              <w:pStyle w:val="NoSpacing"/>
              <w:jc w:val="both"/>
              <w:rPr>
                <w:rFonts w:ascii="Book Antiqua" w:eastAsia="Times New Roman" w:hAnsi="Book Antiqua" w:cs="Calibri"/>
                <w:bCs/>
                <w:lang w:val="sq-AL"/>
              </w:rPr>
            </w:pPr>
            <w:r w:rsidRPr="009E674D">
              <w:rPr>
                <w:rFonts w:ascii="Book Antiqua" w:eastAsia="Times New Roman" w:hAnsi="Book Antiqua" w:cs="Calibri"/>
                <w:bCs/>
                <w:lang w:val="sq-AL"/>
              </w:rPr>
              <w:t>Treguesi</w:t>
            </w:r>
          </w:p>
        </w:tc>
        <w:tc>
          <w:tcPr>
            <w:tcW w:w="519" w:type="pct"/>
            <w:tcBorders>
              <w:top w:val="single" w:sz="4" w:space="0" w:color="auto"/>
              <w:left w:val="nil"/>
              <w:bottom w:val="single" w:sz="4" w:space="0" w:color="auto"/>
              <w:right w:val="single" w:sz="4" w:space="0" w:color="auto"/>
            </w:tcBorders>
            <w:shd w:val="clear" w:color="000000" w:fill="9DC3E6"/>
            <w:vAlign w:val="center"/>
            <w:hideMark/>
          </w:tcPr>
          <w:p w14:paraId="5AB898CE" w14:textId="77777777" w:rsidR="000220F2" w:rsidRPr="009E674D" w:rsidRDefault="000220F2" w:rsidP="00992DF8">
            <w:pPr>
              <w:pStyle w:val="NoSpacing"/>
              <w:jc w:val="right"/>
              <w:rPr>
                <w:rFonts w:ascii="Book Antiqua" w:eastAsia="Times New Roman" w:hAnsi="Book Antiqua" w:cs="Calibri"/>
                <w:bCs/>
                <w:lang w:val="sq-AL"/>
              </w:rPr>
            </w:pPr>
            <w:r w:rsidRPr="009E674D">
              <w:rPr>
                <w:rFonts w:ascii="Book Antiqua" w:eastAsia="Times New Roman" w:hAnsi="Book Antiqua" w:cs="Calibri"/>
                <w:bCs/>
                <w:lang w:val="sq-AL"/>
              </w:rPr>
              <w:t>2017</w:t>
            </w:r>
          </w:p>
        </w:tc>
        <w:tc>
          <w:tcPr>
            <w:tcW w:w="492" w:type="pct"/>
            <w:tcBorders>
              <w:top w:val="single" w:sz="4" w:space="0" w:color="auto"/>
              <w:left w:val="nil"/>
              <w:bottom w:val="single" w:sz="4" w:space="0" w:color="auto"/>
              <w:right w:val="single" w:sz="4" w:space="0" w:color="auto"/>
            </w:tcBorders>
            <w:shd w:val="clear" w:color="000000" w:fill="9DC3E6"/>
            <w:vAlign w:val="center"/>
            <w:hideMark/>
          </w:tcPr>
          <w:p w14:paraId="76CAEB34" w14:textId="77777777" w:rsidR="000220F2" w:rsidRPr="009E674D" w:rsidRDefault="000220F2" w:rsidP="00992DF8">
            <w:pPr>
              <w:pStyle w:val="NoSpacing"/>
              <w:jc w:val="right"/>
              <w:rPr>
                <w:rFonts w:ascii="Book Antiqua" w:eastAsia="Times New Roman" w:hAnsi="Book Antiqua" w:cs="Calibri"/>
                <w:bCs/>
                <w:lang w:val="sq-AL"/>
              </w:rPr>
            </w:pPr>
            <w:r w:rsidRPr="009E674D">
              <w:rPr>
                <w:rFonts w:ascii="Book Antiqua" w:eastAsia="Times New Roman" w:hAnsi="Book Antiqua" w:cs="Calibri"/>
                <w:bCs/>
                <w:lang w:val="sq-AL"/>
              </w:rPr>
              <w:t>2018</w:t>
            </w:r>
          </w:p>
        </w:tc>
        <w:tc>
          <w:tcPr>
            <w:tcW w:w="496" w:type="pct"/>
            <w:tcBorders>
              <w:top w:val="single" w:sz="4" w:space="0" w:color="auto"/>
              <w:left w:val="nil"/>
              <w:bottom w:val="single" w:sz="4" w:space="0" w:color="auto"/>
              <w:right w:val="single" w:sz="4" w:space="0" w:color="auto"/>
            </w:tcBorders>
            <w:shd w:val="clear" w:color="000000" w:fill="9DC3E6"/>
            <w:vAlign w:val="center"/>
            <w:hideMark/>
          </w:tcPr>
          <w:p w14:paraId="61AE17F5" w14:textId="77777777" w:rsidR="000220F2" w:rsidRPr="009E674D" w:rsidRDefault="000220F2" w:rsidP="00992DF8">
            <w:pPr>
              <w:pStyle w:val="NoSpacing"/>
              <w:jc w:val="right"/>
              <w:rPr>
                <w:rFonts w:ascii="Book Antiqua" w:eastAsia="Times New Roman" w:hAnsi="Book Antiqua" w:cs="Calibri"/>
                <w:bCs/>
                <w:lang w:val="sq-AL"/>
              </w:rPr>
            </w:pPr>
            <w:r w:rsidRPr="009E674D">
              <w:rPr>
                <w:rFonts w:ascii="Book Antiqua" w:eastAsia="Times New Roman" w:hAnsi="Book Antiqua" w:cs="Calibri"/>
                <w:bCs/>
                <w:lang w:val="sq-AL"/>
              </w:rPr>
              <w:t>2019</w:t>
            </w:r>
          </w:p>
        </w:tc>
        <w:tc>
          <w:tcPr>
            <w:tcW w:w="492" w:type="pct"/>
            <w:tcBorders>
              <w:top w:val="single" w:sz="4" w:space="0" w:color="auto"/>
              <w:left w:val="nil"/>
              <w:bottom w:val="single" w:sz="4" w:space="0" w:color="auto"/>
              <w:right w:val="single" w:sz="4" w:space="0" w:color="auto"/>
            </w:tcBorders>
            <w:shd w:val="clear" w:color="000000" w:fill="9DC3E6"/>
            <w:vAlign w:val="center"/>
            <w:hideMark/>
          </w:tcPr>
          <w:p w14:paraId="6EDA0BC3" w14:textId="77777777" w:rsidR="000220F2" w:rsidRPr="009E674D" w:rsidRDefault="000220F2" w:rsidP="00992DF8">
            <w:pPr>
              <w:pStyle w:val="NoSpacing"/>
              <w:jc w:val="right"/>
              <w:rPr>
                <w:rFonts w:ascii="Book Antiqua" w:eastAsia="Times New Roman" w:hAnsi="Book Antiqua" w:cs="Calibri"/>
                <w:bCs/>
                <w:lang w:val="sq-AL"/>
              </w:rPr>
            </w:pPr>
            <w:r w:rsidRPr="009E674D">
              <w:rPr>
                <w:rFonts w:ascii="Book Antiqua" w:eastAsia="Times New Roman" w:hAnsi="Book Antiqua" w:cs="Calibri"/>
                <w:bCs/>
                <w:lang w:val="sq-AL"/>
              </w:rPr>
              <w:t>2020</w:t>
            </w:r>
          </w:p>
        </w:tc>
        <w:tc>
          <w:tcPr>
            <w:tcW w:w="491" w:type="pct"/>
            <w:tcBorders>
              <w:top w:val="single" w:sz="4" w:space="0" w:color="auto"/>
              <w:left w:val="nil"/>
              <w:bottom w:val="single" w:sz="4" w:space="0" w:color="auto"/>
              <w:right w:val="single" w:sz="4" w:space="0" w:color="auto"/>
            </w:tcBorders>
            <w:shd w:val="clear" w:color="000000" w:fill="9DC3E6"/>
            <w:vAlign w:val="center"/>
            <w:hideMark/>
          </w:tcPr>
          <w:p w14:paraId="3E02180C" w14:textId="77777777" w:rsidR="000220F2" w:rsidRPr="009E674D" w:rsidRDefault="000220F2" w:rsidP="00992DF8">
            <w:pPr>
              <w:pStyle w:val="NoSpacing"/>
              <w:jc w:val="right"/>
              <w:rPr>
                <w:rFonts w:ascii="Book Antiqua" w:eastAsia="Times New Roman" w:hAnsi="Book Antiqua" w:cs="Calibri"/>
                <w:bCs/>
                <w:lang w:val="sq-AL"/>
              </w:rPr>
            </w:pPr>
            <w:r w:rsidRPr="009E674D">
              <w:rPr>
                <w:rFonts w:ascii="Book Antiqua" w:eastAsia="Times New Roman" w:hAnsi="Book Antiqua" w:cs="Calibri"/>
                <w:bCs/>
                <w:lang w:val="sq-AL"/>
              </w:rPr>
              <w:t>2021</w:t>
            </w:r>
          </w:p>
        </w:tc>
      </w:tr>
      <w:tr w:rsidR="000220F2" w:rsidRPr="009E674D" w14:paraId="11FE25E4" w14:textId="77777777" w:rsidTr="00A55102">
        <w:trPr>
          <w:trHeight w:val="323"/>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40B50D33" w14:textId="77777777" w:rsidR="000220F2" w:rsidRPr="009E674D" w:rsidRDefault="000220F2" w:rsidP="009F5273">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Norma e rritjes së BPV-së reale (%)</w:t>
            </w:r>
          </w:p>
        </w:tc>
        <w:tc>
          <w:tcPr>
            <w:tcW w:w="519" w:type="pct"/>
            <w:tcBorders>
              <w:top w:val="nil"/>
              <w:left w:val="nil"/>
              <w:bottom w:val="single" w:sz="4" w:space="0" w:color="auto"/>
              <w:right w:val="single" w:sz="4" w:space="0" w:color="auto"/>
            </w:tcBorders>
            <w:shd w:val="clear" w:color="auto" w:fill="auto"/>
            <w:vAlign w:val="center"/>
            <w:hideMark/>
          </w:tcPr>
          <w:p w14:paraId="7CC82561"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4.2</w:t>
            </w:r>
          </w:p>
        </w:tc>
        <w:tc>
          <w:tcPr>
            <w:tcW w:w="492" w:type="pct"/>
            <w:tcBorders>
              <w:top w:val="nil"/>
              <w:left w:val="nil"/>
              <w:bottom w:val="single" w:sz="4" w:space="0" w:color="auto"/>
              <w:right w:val="single" w:sz="4" w:space="0" w:color="auto"/>
            </w:tcBorders>
            <w:shd w:val="clear" w:color="auto" w:fill="auto"/>
            <w:vAlign w:val="center"/>
            <w:hideMark/>
          </w:tcPr>
          <w:p w14:paraId="254F01DC"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3.4</w:t>
            </w:r>
          </w:p>
        </w:tc>
        <w:tc>
          <w:tcPr>
            <w:tcW w:w="496" w:type="pct"/>
            <w:tcBorders>
              <w:top w:val="nil"/>
              <w:left w:val="nil"/>
              <w:bottom w:val="single" w:sz="4" w:space="0" w:color="auto"/>
              <w:right w:val="single" w:sz="4" w:space="0" w:color="auto"/>
            </w:tcBorders>
            <w:shd w:val="clear" w:color="auto" w:fill="auto"/>
            <w:vAlign w:val="center"/>
            <w:hideMark/>
          </w:tcPr>
          <w:p w14:paraId="63072611"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4.8</w:t>
            </w:r>
          </w:p>
        </w:tc>
        <w:tc>
          <w:tcPr>
            <w:tcW w:w="492" w:type="pct"/>
            <w:tcBorders>
              <w:top w:val="nil"/>
              <w:left w:val="nil"/>
              <w:bottom w:val="single" w:sz="4" w:space="0" w:color="auto"/>
              <w:right w:val="single" w:sz="4" w:space="0" w:color="auto"/>
            </w:tcBorders>
            <w:shd w:val="clear" w:color="auto" w:fill="auto"/>
            <w:vAlign w:val="center"/>
            <w:hideMark/>
          </w:tcPr>
          <w:p w14:paraId="244C4F84"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-5.3</w:t>
            </w:r>
          </w:p>
        </w:tc>
        <w:tc>
          <w:tcPr>
            <w:tcW w:w="491" w:type="pct"/>
            <w:tcBorders>
              <w:top w:val="nil"/>
              <w:left w:val="nil"/>
              <w:bottom w:val="single" w:sz="4" w:space="0" w:color="auto"/>
              <w:right w:val="single" w:sz="4" w:space="0" w:color="auto"/>
            </w:tcBorders>
            <w:shd w:val="clear" w:color="auto" w:fill="auto"/>
            <w:vAlign w:val="center"/>
            <w:hideMark/>
          </w:tcPr>
          <w:p w14:paraId="1E933FAA" w14:textId="77777777" w:rsidR="000220F2" w:rsidRPr="009E674D" w:rsidRDefault="009F5273"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10.5</w:t>
            </w:r>
          </w:p>
        </w:tc>
      </w:tr>
      <w:tr w:rsidR="000220F2" w:rsidRPr="009E674D" w14:paraId="317C3D1B" w14:textId="77777777" w:rsidTr="00A55102">
        <w:trPr>
          <w:trHeight w:val="296"/>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5E005A18" w14:textId="77777777" w:rsidR="000220F2" w:rsidRPr="009E674D" w:rsidRDefault="000220F2" w:rsidP="009F5273">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BPV (mil. EUR)</w:t>
            </w:r>
          </w:p>
        </w:tc>
        <w:tc>
          <w:tcPr>
            <w:tcW w:w="519" w:type="pct"/>
            <w:tcBorders>
              <w:top w:val="nil"/>
              <w:left w:val="nil"/>
              <w:bottom w:val="single" w:sz="4" w:space="0" w:color="auto"/>
              <w:right w:val="single" w:sz="4" w:space="0" w:color="auto"/>
            </w:tcBorders>
            <w:shd w:val="clear" w:color="auto" w:fill="auto"/>
            <w:vAlign w:val="center"/>
            <w:hideMark/>
          </w:tcPr>
          <w:p w14:paraId="4E8D2262"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6,356.4</w:t>
            </w:r>
          </w:p>
        </w:tc>
        <w:tc>
          <w:tcPr>
            <w:tcW w:w="492" w:type="pct"/>
            <w:tcBorders>
              <w:top w:val="nil"/>
              <w:left w:val="nil"/>
              <w:bottom w:val="single" w:sz="4" w:space="0" w:color="auto"/>
              <w:right w:val="single" w:sz="4" w:space="0" w:color="auto"/>
            </w:tcBorders>
            <w:shd w:val="clear" w:color="auto" w:fill="auto"/>
            <w:vAlign w:val="center"/>
            <w:hideMark/>
          </w:tcPr>
          <w:p w14:paraId="176CF760"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6,671.5</w:t>
            </w:r>
          </w:p>
        </w:tc>
        <w:tc>
          <w:tcPr>
            <w:tcW w:w="496" w:type="pct"/>
            <w:tcBorders>
              <w:top w:val="nil"/>
              <w:left w:val="nil"/>
              <w:bottom w:val="single" w:sz="4" w:space="0" w:color="auto"/>
              <w:right w:val="single" w:sz="4" w:space="0" w:color="auto"/>
            </w:tcBorders>
            <w:shd w:val="clear" w:color="auto" w:fill="auto"/>
            <w:vAlign w:val="center"/>
            <w:hideMark/>
          </w:tcPr>
          <w:p w14:paraId="4A5AD552"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7,056.1</w:t>
            </w:r>
          </w:p>
        </w:tc>
        <w:tc>
          <w:tcPr>
            <w:tcW w:w="492" w:type="pct"/>
            <w:tcBorders>
              <w:top w:val="nil"/>
              <w:left w:val="nil"/>
              <w:bottom w:val="single" w:sz="4" w:space="0" w:color="auto"/>
              <w:right w:val="single" w:sz="4" w:space="0" w:color="auto"/>
            </w:tcBorders>
            <w:shd w:val="clear" w:color="auto" w:fill="auto"/>
            <w:vAlign w:val="center"/>
            <w:hideMark/>
          </w:tcPr>
          <w:p w14:paraId="19B69484"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6,771.6</w:t>
            </w:r>
          </w:p>
        </w:tc>
        <w:tc>
          <w:tcPr>
            <w:tcW w:w="491" w:type="pct"/>
            <w:tcBorders>
              <w:top w:val="nil"/>
              <w:left w:val="nil"/>
              <w:bottom w:val="single" w:sz="4" w:space="0" w:color="auto"/>
              <w:right w:val="single" w:sz="4" w:space="0" w:color="auto"/>
            </w:tcBorders>
            <w:shd w:val="clear" w:color="auto" w:fill="auto"/>
            <w:vAlign w:val="center"/>
            <w:hideMark/>
          </w:tcPr>
          <w:p w14:paraId="0C6C4ABF" w14:textId="77777777" w:rsidR="000220F2" w:rsidRPr="009E674D" w:rsidRDefault="00834A23"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7,816.6</w:t>
            </w:r>
          </w:p>
        </w:tc>
      </w:tr>
      <w:tr w:rsidR="000220F2" w:rsidRPr="009E674D" w14:paraId="51AD0413" w14:textId="77777777" w:rsidTr="006B5484">
        <w:trPr>
          <w:trHeight w:val="260"/>
        </w:trPr>
        <w:tc>
          <w:tcPr>
            <w:tcW w:w="2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4105BC" w14:textId="77777777" w:rsidR="000220F2" w:rsidRPr="009E674D" w:rsidRDefault="000220F2" w:rsidP="009F5273">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Norma e inflacionit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0785B75F"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1.5</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2FD86239"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1.1</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1B3CECB7"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2.7</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0B51F150"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0.2</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61A352D1" w14:textId="77777777" w:rsidR="000220F2" w:rsidRPr="009E674D" w:rsidRDefault="00AC767B"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3.4</w:t>
            </w:r>
          </w:p>
        </w:tc>
      </w:tr>
      <w:tr w:rsidR="000220F2" w:rsidRPr="009E674D" w14:paraId="33A9D6CC" w14:textId="77777777" w:rsidTr="004B0905">
        <w:trPr>
          <w:trHeight w:val="350"/>
        </w:trPr>
        <w:tc>
          <w:tcPr>
            <w:tcW w:w="2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2392C" w14:textId="77777777" w:rsidR="000220F2" w:rsidRPr="009E674D" w:rsidRDefault="000220F2" w:rsidP="009F5273">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Borxhi publik (% e BPV-së)</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1FD838E2"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16.4</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450AFF28"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17.0</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51EB7F31"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17.6</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527B5696"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22.4</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60B5A5E3" w14:textId="77777777" w:rsidR="000220F2" w:rsidRPr="009E674D" w:rsidRDefault="000220F2" w:rsidP="009F5273">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21.9</w:t>
            </w:r>
          </w:p>
        </w:tc>
      </w:tr>
      <w:tr w:rsidR="003113A4" w:rsidRPr="009E674D" w14:paraId="74F6CD1D" w14:textId="77777777" w:rsidTr="004B0905">
        <w:trPr>
          <w:trHeight w:val="350"/>
        </w:trPr>
        <w:tc>
          <w:tcPr>
            <w:tcW w:w="2510" w:type="pct"/>
            <w:gridSpan w:val="2"/>
            <w:tcBorders>
              <w:top w:val="nil"/>
              <w:left w:val="single" w:sz="4" w:space="0" w:color="auto"/>
              <w:bottom w:val="single" w:sz="4" w:space="0" w:color="auto"/>
              <w:right w:val="single" w:sz="4" w:space="0" w:color="auto"/>
            </w:tcBorders>
            <w:shd w:val="clear" w:color="auto" w:fill="auto"/>
            <w:vAlign w:val="center"/>
          </w:tcPr>
          <w:p w14:paraId="15A22814" w14:textId="77777777" w:rsidR="003113A4" w:rsidRPr="009E674D" w:rsidRDefault="003113A4" w:rsidP="003113A4">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Deficiti tregtar (% e BPV-së)</w:t>
            </w:r>
          </w:p>
        </w:tc>
        <w:tc>
          <w:tcPr>
            <w:tcW w:w="519" w:type="pct"/>
            <w:tcBorders>
              <w:top w:val="single" w:sz="4" w:space="0" w:color="auto"/>
              <w:left w:val="nil"/>
              <w:bottom w:val="single" w:sz="4" w:space="0" w:color="auto"/>
              <w:right w:val="single" w:sz="4" w:space="0" w:color="auto"/>
            </w:tcBorders>
            <w:shd w:val="clear" w:color="auto" w:fill="auto"/>
            <w:vAlign w:val="bottom"/>
          </w:tcPr>
          <w:p w14:paraId="08E84430" w14:textId="77777777" w:rsidR="003113A4" w:rsidRPr="009E674D" w:rsidRDefault="003113A4" w:rsidP="004B0905">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29.0%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14:paraId="518C8C66" w14:textId="77777777" w:rsidR="003113A4" w:rsidRPr="009E674D" w:rsidRDefault="003113A4" w:rsidP="004B0905">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31.8%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bottom"/>
          </w:tcPr>
          <w:p w14:paraId="17F31048" w14:textId="77777777" w:rsidR="003113A4" w:rsidRPr="009E674D" w:rsidRDefault="003113A4" w:rsidP="004B0905">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31.0%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bottom"/>
          </w:tcPr>
          <w:p w14:paraId="62C44ADC" w14:textId="77777777" w:rsidR="003113A4" w:rsidRPr="009E674D" w:rsidRDefault="003113A4" w:rsidP="004B0905">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14:paraId="1F78B650" w14:textId="77777777" w:rsidR="003113A4" w:rsidRPr="009E674D" w:rsidRDefault="003113A4" w:rsidP="004B0905">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36.1%</w:t>
            </w:r>
          </w:p>
        </w:tc>
      </w:tr>
      <w:tr w:rsidR="003113A4" w:rsidRPr="009E674D" w14:paraId="37C0C293" w14:textId="77777777" w:rsidTr="004B0905">
        <w:trPr>
          <w:trHeight w:val="350"/>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3B27B843" w14:textId="77777777" w:rsidR="003113A4" w:rsidRPr="009E674D" w:rsidRDefault="003113A4" w:rsidP="003113A4">
            <w:pPr>
              <w:pStyle w:val="NoSpacing"/>
              <w:jc w:val="right"/>
              <w:rPr>
                <w:rFonts w:ascii="Book Antiqua" w:eastAsia="Times New Roman" w:hAnsi="Book Antiqua" w:cs="Calibri"/>
                <w:i/>
                <w:sz w:val="20"/>
                <w:lang w:val="sq-AL"/>
              </w:rPr>
            </w:pPr>
            <w:r w:rsidRPr="009E674D">
              <w:rPr>
                <w:rFonts w:ascii="Book Antiqua" w:eastAsia="Times New Roman" w:hAnsi="Book Antiqua" w:cs="Calibri"/>
                <w:i/>
                <w:sz w:val="20"/>
                <w:lang w:val="sq-AL"/>
              </w:rPr>
              <w:t>Eksportet – mallrat (mil. EUR)</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DD4BD60"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378</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65720050"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367.5</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6182E164"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383.5</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750D9B7B"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474.9</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2612BBF1"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749.7</w:t>
            </w:r>
          </w:p>
        </w:tc>
      </w:tr>
      <w:tr w:rsidR="003113A4" w:rsidRPr="009E674D" w14:paraId="0C8435F1" w14:textId="77777777" w:rsidTr="00A55102">
        <w:trPr>
          <w:trHeight w:val="260"/>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78F559D1" w14:textId="77777777" w:rsidR="003113A4" w:rsidRPr="009E674D" w:rsidRDefault="003113A4" w:rsidP="003113A4">
            <w:pPr>
              <w:pStyle w:val="NoSpacing"/>
              <w:jc w:val="right"/>
              <w:rPr>
                <w:rFonts w:ascii="Book Antiqua" w:eastAsia="Times New Roman" w:hAnsi="Book Antiqua" w:cs="Calibri"/>
                <w:i/>
                <w:sz w:val="20"/>
                <w:lang w:val="sq-AL"/>
              </w:rPr>
            </w:pPr>
            <w:r w:rsidRPr="009E674D">
              <w:rPr>
                <w:rFonts w:ascii="Book Antiqua" w:eastAsia="Times New Roman" w:hAnsi="Book Antiqua" w:cs="Calibri"/>
                <w:i/>
                <w:sz w:val="20"/>
                <w:lang w:val="sq-AL"/>
              </w:rPr>
              <w:t>Importet – mallrat (mil. EUR)</w:t>
            </w:r>
          </w:p>
        </w:tc>
        <w:tc>
          <w:tcPr>
            <w:tcW w:w="519" w:type="pct"/>
            <w:tcBorders>
              <w:top w:val="nil"/>
              <w:left w:val="nil"/>
              <w:bottom w:val="single" w:sz="4" w:space="0" w:color="auto"/>
              <w:right w:val="single" w:sz="4" w:space="0" w:color="auto"/>
            </w:tcBorders>
            <w:shd w:val="clear" w:color="auto" w:fill="auto"/>
            <w:vAlign w:val="center"/>
            <w:hideMark/>
          </w:tcPr>
          <w:p w14:paraId="77838DA6"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3,047.0</w:t>
            </w:r>
          </w:p>
        </w:tc>
        <w:tc>
          <w:tcPr>
            <w:tcW w:w="492" w:type="pct"/>
            <w:tcBorders>
              <w:top w:val="nil"/>
              <w:left w:val="nil"/>
              <w:bottom w:val="single" w:sz="4" w:space="0" w:color="auto"/>
              <w:right w:val="single" w:sz="4" w:space="0" w:color="auto"/>
            </w:tcBorders>
            <w:shd w:val="clear" w:color="auto" w:fill="auto"/>
            <w:vAlign w:val="center"/>
            <w:hideMark/>
          </w:tcPr>
          <w:p w14:paraId="0CDE1AB6"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3,347.0</w:t>
            </w:r>
          </w:p>
        </w:tc>
        <w:tc>
          <w:tcPr>
            <w:tcW w:w="496" w:type="pct"/>
            <w:tcBorders>
              <w:top w:val="nil"/>
              <w:left w:val="nil"/>
              <w:bottom w:val="single" w:sz="4" w:space="0" w:color="auto"/>
              <w:right w:val="single" w:sz="4" w:space="0" w:color="auto"/>
            </w:tcBorders>
            <w:shd w:val="clear" w:color="auto" w:fill="auto"/>
            <w:vAlign w:val="center"/>
            <w:hideMark/>
          </w:tcPr>
          <w:p w14:paraId="3FB35FE8"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3,496.9</w:t>
            </w:r>
          </w:p>
        </w:tc>
        <w:tc>
          <w:tcPr>
            <w:tcW w:w="492" w:type="pct"/>
            <w:tcBorders>
              <w:top w:val="nil"/>
              <w:left w:val="nil"/>
              <w:bottom w:val="single" w:sz="4" w:space="0" w:color="auto"/>
              <w:right w:val="single" w:sz="4" w:space="0" w:color="auto"/>
            </w:tcBorders>
            <w:shd w:val="clear" w:color="auto" w:fill="auto"/>
            <w:vAlign w:val="center"/>
            <w:hideMark/>
          </w:tcPr>
          <w:p w14:paraId="5F730C10"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3,296.0</w:t>
            </w:r>
          </w:p>
        </w:tc>
        <w:tc>
          <w:tcPr>
            <w:tcW w:w="491" w:type="pct"/>
            <w:tcBorders>
              <w:top w:val="nil"/>
              <w:left w:val="nil"/>
              <w:bottom w:val="single" w:sz="4" w:space="0" w:color="auto"/>
              <w:right w:val="single" w:sz="4" w:space="0" w:color="auto"/>
            </w:tcBorders>
            <w:shd w:val="clear" w:color="auto" w:fill="auto"/>
            <w:vAlign w:val="center"/>
            <w:hideMark/>
          </w:tcPr>
          <w:p w14:paraId="5BA2B846"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4,652.7</w:t>
            </w:r>
          </w:p>
        </w:tc>
      </w:tr>
      <w:tr w:rsidR="003113A4" w:rsidRPr="009E674D" w14:paraId="73517738" w14:textId="77777777" w:rsidTr="00A55102">
        <w:trPr>
          <w:trHeight w:val="350"/>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4716103A" w14:textId="77777777" w:rsidR="003113A4" w:rsidRPr="009E674D" w:rsidRDefault="003113A4" w:rsidP="003113A4">
            <w:pPr>
              <w:pStyle w:val="NoSpacing"/>
              <w:jc w:val="right"/>
              <w:rPr>
                <w:rFonts w:ascii="Book Antiqua" w:eastAsia="Times New Roman" w:hAnsi="Book Antiqua" w:cs="Calibri"/>
                <w:i/>
                <w:sz w:val="20"/>
                <w:lang w:val="sq-AL"/>
              </w:rPr>
            </w:pPr>
            <w:r w:rsidRPr="009E674D">
              <w:rPr>
                <w:rFonts w:ascii="Book Antiqua" w:eastAsia="Times New Roman" w:hAnsi="Book Antiqua" w:cs="Calibri"/>
                <w:i/>
                <w:sz w:val="20"/>
                <w:lang w:val="sq-AL"/>
              </w:rPr>
              <w:t>Eksportet – shërbimet (mil. EUR)</w:t>
            </w:r>
          </w:p>
        </w:tc>
        <w:tc>
          <w:tcPr>
            <w:tcW w:w="519" w:type="pct"/>
            <w:tcBorders>
              <w:top w:val="nil"/>
              <w:left w:val="nil"/>
              <w:bottom w:val="single" w:sz="4" w:space="0" w:color="auto"/>
              <w:right w:val="single" w:sz="4" w:space="0" w:color="auto"/>
            </w:tcBorders>
            <w:shd w:val="clear" w:color="auto" w:fill="auto"/>
            <w:vAlign w:val="center"/>
            <w:hideMark/>
          </w:tcPr>
          <w:p w14:paraId="34796B52"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1,358.8</w:t>
            </w:r>
          </w:p>
        </w:tc>
        <w:tc>
          <w:tcPr>
            <w:tcW w:w="492" w:type="pct"/>
            <w:tcBorders>
              <w:top w:val="nil"/>
              <w:left w:val="nil"/>
              <w:bottom w:val="single" w:sz="4" w:space="0" w:color="auto"/>
              <w:right w:val="single" w:sz="4" w:space="0" w:color="auto"/>
            </w:tcBorders>
            <w:shd w:val="clear" w:color="auto" w:fill="auto"/>
            <w:vAlign w:val="center"/>
            <w:hideMark/>
          </w:tcPr>
          <w:p w14:paraId="3116F1FF"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1,561.6</w:t>
            </w:r>
          </w:p>
        </w:tc>
        <w:tc>
          <w:tcPr>
            <w:tcW w:w="496" w:type="pct"/>
            <w:tcBorders>
              <w:top w:val="nil"/>
              <w:left w:val="nil"/>
              <w:bottom w:val="single" w:sz="4" w:space="0" w:color="auto"/>
              <w:right w:val="single" w:sz="4" w:space="0" w:color="auto"/>
            </w:tcBorders>
            <w:shd w:val="clear" w:color="auto" w:fill="auto"/>
            <w:vAlign w:val="center"/>
            <w:hideMark/>
          </w:tcPr>
          <w:p w14:paraId="584E88DF"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1,675.1</w:t>
            </w:r>
          </w:p>
        </w:tc>
        <w:tc>
          <w:tcPr>
            <w:tcW w:w="492" w:type="pct"/>
            <w:tcBorders>
              <w:top w:val="nil"/>
              <w:left w:val="nil"/>
              <w:bottom w:val="single" w:sz="4" w:space="0" w:color="auto"/>
              <w:right w:val="single" w:sz="4" w:space="0" w:color="auto"/>
            </w:tcBorders>
            <w:shd w:val="clear" w:color="auto" w:fill="auto"/>
            <w:vAlign w:val="center"/>
            <w:hideMark/>
          </w:tcPr>
          <w:p w14:paraId="57E5A68E"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994.9</w:t>
            </w:r>
          </w:p>
        </w:tc>
        <w:tc>
          <w:tcPr>
            <w:tcW w:w="491" w:type="pct"/>
            <w:tcBorders>
              <w:top w:val="nil"/>
              <w:left w:val="nil"/>
              <w:bottom w:val="single" w:sz="4" w:space="0" w:color="auto"/>
              <w:right w:val="single" w:sz="4" w:space="0" w:color="auto"/>
            </w:tcBorders>
            <w:shd w:val="clear" w:color="auto" w:fill="auto"/>
            <w:vAlign w:val="center"/>
            <w:hideMark/>
          </w:tcPr>
          <w:p w14:paraId="203383BC"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1,954.4</w:t>
            </w:r>
          </w:p>
        </w:tc>
      </w:tr>
      <w:tr w:rsidR="003113A4" w:rsidRPr="009E674D" w14:paraId="3CEA8B77" w14:textId="77777777" w:rsidTr="00A55102">
        <w:trPr>
          <w:trHeight w:val="260"/>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17579AD4" w14:textId="77777777" w:rsidR="003113A4" w:rsidRPr="009E674D" w:rsidRDefault="003113A4" w:rsidP="003113A4">
            <w:pPr>
              <w:pStyle w:val="NoSpacing"/>
              <w:jc w:val="right"/>
              <w:rPr>
                <w:rFonts w:ascii="Book Antiqua" w:eastAsia="Times New Roman" w:hAnsi="Book Antiqua" w:cs="Calibri"/>
                <w:i/>
                <w:sz w:val="20"/>
                <w:lang w:val="sq-AL"/>
              </w:rPr>
            </w:pPr>
            <w:r w:rsidRPr="009E674D">
              <w:rPr>
                <w:rFonts w:ascii="Book Antiqua" w:eastAsia="Times New Roman" w:hAnsi="Book Antiqua" w:cs="Calibri"/>
                <w:i/>
                <w:sz w:val="20"/>
                <w:lang w:val="sq-AL"/>
              </w:rPr>
              <w:t>Importet – shërbimet (mil. EUR)</w:t>
            </w:r>
          </w:p>
        </w:tc>
        <w:tc>
          <w:tcPr>
            <w:tcW w:w="519" w:type="pct"/>
            <w:tcBorders>
              <w:top w:val="nil"/>
              <w:left w:val="nil"/>
              <w:bottom w:val="single" w:sz="4" w:space="0" w:color="auto"/>
              <w:right w:val="single" w:sz="4" w:space="0" w:color="auto"/>
            </w:tcBorders>
            <w:shd w:val="clear" w:color="auto" w:fill="auto"/>
            <w:vAlign w:val="center"/>
            <w:hideMark/>
          </w:tcPr>
          <w:p w14:paraId="16DB77AE"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531.5</w:t>
            </w:r>
          </w:p>
        </w:tc>
        <w:tc>
          <w:tcPr>
            <w:tcW w:w="492" w:type="pct"/>
            <w:tcBorders>
              <w:top w:val="nil"/>
              <w:left w:val="nil"/>
              <w:bottom w:val="single" w:sz="4" w:space="0" w:color="auto"/>
              <w:right w:val="single" w:sz="4" w:space="0" w:color="auto"/>
            </w:tcBorders>
            <w:shd w:val="clear" w:color="auto" w:fill="auto"/>
            <w:vAlign w:val="center"/>
            <w:hideMark/>
          </w:tcPr>
          <w:p w14:paraId="7C8B1EAE"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705.8</w:t>
            </w:r>
          </w:p>
        </w:tc>
        <w:tc>
          <w:tcPr>
            <w:tcW w:w="496" w:type="pct"/>
            <w:tcBorders>
              <w:top w:val="nil"/>
              <w:left w:val="nil"/>
              <w:bottom w:val="single" w:sz="4" w:space="0" w:color="auto"/>
              <w:right w:val="single" w:sz="4" w:space="0" w:color="auto"/>
            </w:tcBorders>
            <w:shd w:val="clear" w:color="auto" w:fill="auto"/>
            <w:vAlign w:val="center"/>
            <w:hideMark/>
          </w:tcPr>
          <w:p w14:paraId="0024FC91"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749.1</w:t>
            </w:r>
          </w:p>
        </w:tc>
        <w:tc>
          <w:tcPr>
            <w:tcW w:w="492" w:type="pct"/>
            <w:tcBorders>
              <w:top w:val="nil"/>
              <w:left w:val="nil"/>
              <w:bottom w:val="single" w:sz="4" w:space="0" w:color="auto"/>
              <w:right w:val="single" w:sz="4" w:space="0" w:color="auto"/>
            </w:tcBorders>
            <w:shd w:val="clear" w:color="auto" w:fill="auto"/>
            <w:vAlign w:val="center"/>
            <w:hideMark/>
          </w:tcPr>
          <w:p w14:paraId="25F9E3D3"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603.3</w:t>
            </w:r>
          </w:p>
        </w:tc>
        <w:tc>
          <w:tcPr>
            <w:tcW w:w="491" w:type="pct"/>
            <w:tcBorders>
              <w:top w:val="nil"/>
              <w:left w:val="nil"/>
              <w:bottom w:val="single" w:sz="4" w:space="0" w:color="auto"/>
              <w:right w:val="single" w:sz="4" w:space="0" w:color="auto"/>
            </w:tcBorders>
            <w:shd w:val="clear" w:color="auto" w:fill="auto"/>
            <w:vAlign w:val="center"/>
            <w:hideMark/>
          </w:tcPr>
          <w:p w14:paraId="7EA5E260"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870.7</w:t>
            </w:r>
          </w:p>
        </w:tc>
      </w:tr>
      <w:tr w:rsidR="003113A4" w:rsidRPr="009E674D" w14:paraId="3A9C0D70" w14:textId="77777777" w:rsidTr="00A55102">
        <w:trPr>
          <w:trHeight w:val="350"/>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0CF5212F" w14:textId="77777777" w:rsidR="003113A4" w:rsidRPr="009E674D" w:rsidRDefault="003113A4" w:rsidP="003113A4">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Investimet e Huaja Direkte (mil. EUR)</w:t>
            </w:r>
          </w:p>
        </w:tc>
        <w:tc>
          <w:tcPr>
            <w:tcW w:w="519" w:type="pct"/>
            <w:tcBorders>
              <w:top w:val="nil"/>
              <w:left w:val="nil"/>
              <w:bottom w:val="single" w:sz="4" w:space="0" w:color="auto"/>
              <w:right w:val="single" w:sz="4" w:space="0" w:color="auto"/>
            </w:tcBorders>
            <w:shd w:val="clear" w:color="auto" w:fill="auto"/>
            <w:vAlign w:val="center"/>
            <w:hideMark/>
          </w:tcPr>
          <w:p w14:paraId="3306D075"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255.4</w:t>
            </w:r>
          </w:p>
        </w:tc>
        <w:tc>
          <w:tcPr>
            <w:tcW w:w="492" w:type="pct"/>
            <w:tcBorders>
              <w:top w:val="nil"/>
              <w:left w:val="nil"/>
              <w:bottom w:val="single" w:sz="4" w:space="0" w:color="auto"/>
              <w:right w:val="single" w:sz="4" w:space="0" w:color="auto"/>
            </w:tcBorders>
            <w:shd w:val="clear" w:color="auto" w:fill="auto"/>
            <w:vAlign w:val="center"/>
            <w:hideMark/>
          </w:tcPr>
          <w:p w14:paraId="2777DDD0"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272.1</w:t>
            </w:r>
          </w:p>
        </w:tc>
        <w:tc>
          <w:tcPr>
            <w:tcW w:w="496" w:type="pct"/>
            <w:tcBorders>
              <w:top w:val="nil"/>
              <w:left w:val="nil"/>
              <w:bottom w:val="single" w:sz="4" w:space="0" w:color="auto"/>
              <w:right w:val="single" w:sz="4" w:space="0" w:color="auto"/>
            </w:tcBorders>
            <w:shd w:val="clear" w:color="auto" w:fill="auto"/>
            <w:vAlign w:val="center"/>
            <w:hideMark/>
          </w:tcPr>
          <w:p w14:paraId="3C854F14"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254.6</w:t>
            </w:r>
          </w:p>
        </w:tc>
        <w:tc>
          <w:tcPr>
            <w:tcW w:w="492" w:type="pct"/>
            <w:tcBorders>
              <w:top w:val="nil"/>
              <w:left w:val="nil"/>
              <w:bottom w:val="single" w:sz="4" w:space="0" w:color="auto"/>
              <w:right w:val="single" w:sz="4" w:space="0" w:color="auto"/>
            </w:tcBorders>
            <w:shd w:val="clear" w:color="auto" w:fill="auto"/>
            <w:vAlign w:val="center"/>
            <w:hideMark/>
          </w:tcPr>
          <w:p w14:paraId="613775ED"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345.7</w:t>
            </w:r>
          </w:p>
        </w:tc>
        <w:tc>
          <w:tcPr>
            <w:tcW w:w="491" w:type="pct"/>
            <w:tcBorders>
              <w:top w:val="nil"/>
              <w:left w:val="nil"/>
              <w:bottom w:val="single" w:sz="4" w:space="0" w:color="auto"/>
              <w:right w:val="single" w:sz="4" w:space="0" w:color="auto"/>
            </w:tcBorders>
            <w:shd w:val="clear" w:color="auto" w:fill="auto"/>
            <w:vAlign w:val="center"/>
            <w:hideMark/>
          </w:tcPr>
          <w:p w14:paraId="27B3DFC3"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415.3</w:t>
            </w:r>
          </w:p>
        </w:tc>
      </w:tr>
      <w:tr w:rsidR="003113A4" w:rsidRPr="009E674D" w14:paraId="47B25923" w14:textId="77777777" w:rsidTr="00A55102">
        <w:trPr>
          <w:trHeight w:val="350"/>
        </w:trPr>
        <w:tc>
          <w:tcPr>
            <w:tcW w:w="2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C541D" w14:textId="77777777" w:rsidR="003113A4" w:rsidRPr="009E674D" w:rsidRDefault="003113A4" w:rsidP="003113A4">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Investimet e Huaja Direkte (% e BPV-së)</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46F38885"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4.0</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07C921B3"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4.1</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4A1E792A"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3.6</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0E1B0F63"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5.1</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3F29F53F"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5.3</w:t>
            </w:r>
          </w:p>
        </w:tc>
      </w:tr>
      <w:tr w:rsidR="003113A4" w:rsidRPr="009E674D" w14:paraId="55776D24" w14:textId="77777777" w:rsidTr="00467AC9">
        <w:trPr>
          <w:trHeight w:val="341"/>
        </w:trPr>
        <w:tc>
          <w:tcPr>
            <w:tcW w:w="2510" w:type="pct"/>
            <w:gridSpan w:val="2"/>
            <w:tcBorders>
              <w:top w:val="nil"/>
              <w:left w:val="single" w:sz="4" w:space="0" w:color="auto"/>
              <w:bottom w:val="single" w:sz="4" w:space="0" w:color="auto"/>
              <w:right w:val="single" w:sz="4" w:space="0" w:color="auto"/>
            </w:tcBorders>
            <w:shd w:val="clear" w:color="auto" w:fill="auto"/>
            <w:vAlign w:val="center"/>
            <w:hideMark/>
          </w:tcPr>
          <w:p w14:paraId="20127918" w14:textId="77777777" w:rsidR="003113A4" w:rsidRPr="009E674D" w:rsidRDefault="003113A4" w:rsidP="003113A4">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Norma e papunësisë (%)</w:t>
            </w:r>
          </w:p>
        </w:tc>
        <w:tc>
          <w:tcPr>
            <w:tcW w:w="519" w:type="pct"/>
            <w:tcBorders>
              <w:top w:val="nil"/>
              <w:left w:val="nil"/>
              <w:bottom w:val="single" w:sz="4" w:space="0" w:color="auto"/>
              <w:right w:val="single" w:sz="4" w:space="0" w:color="auto"/>
            </w:tcBorders>
            <w:shd w:val="clear" w:color="auto" w:fill="auto"/>
            <w:vAlign w:val="center"/>
            <w:hideMark/>
          </w:tcPr>
          <w:p w14:paraId="7FBC5E57"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30.5 </w:t>
            </w:r>
          </w:p>
        </w:tc>
        <w:tc>
          <w:tcPr>
            <w:tcW w:w="492" w:type="pct"/>
            <w:tcBorders>
              <w:top w:val="nil"/>
              <w:left w:val="nil"/>
              <w:bottom w:val="single" w:sz="4" w:space="0" w:color="auto"/>
              <w:right w:val="single" w:sz="4" w:space="0" w:color="auto"/>
            </w:tcBorders>
            <w:shd w:val="clear" w:color="auto" w:fill="auto"/>
            <w:vAlign w:val="center"/>
            <w:hideMark/>
          </w:tcPr>
          <w:p w14:paraId="787C1A86"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29.6 </w:t>
            </w:r>
          </w:p>
        </w:tc>
        <w:tc>
          <w:tcPr>
            <w:tcW w:w="496" w:type="pct"/>
            <w:tcBorders>
              <w:top w:val="nil"/>
              <w:left w:val="nil"/>
              <w:bottom w:val="single" w:sz="4" w:space="0" w:color="auto"/>
              <w:right w:val="single" w:sz="4" w:space="0" w:color="auto"/>
            </w:tcBorders>
            <w:shd w:val="clear" w:color="auto" w:fill="auto"/>
            <w:vAlign w:val="center"/>
            <w:hideMark/>
          </w:tcPr>
          <w:p w14:paraId="4C128EAD"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25.7 </w:t>
            </w:r>
          </w:p>
        </w:tc>
        <w:tc>
          <w:tcPr>
            <w:tcW w:w="492" w:type="pct"/>
            <w:tcBorders>
              <w:top w:val="nil"/>
              <w:left w:val="nil"/>
              <w:bottom w:val="single" w:sz="4" w:space="0" w:color="auto"/>
              <w:right w:val="single" w:sz="4" w:space="0" w:color="auto"/>
            </w:tcBorders>
            <w:shd w:val="clear" w:color="auto" w:fill="auto"/>
            <w:vAlign w:val="center"/>
            <w:hideMark/>
          </w:tcPr>
          <w:p w14:paraId="7EF85065"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25.9 </w:t>
            </w:r>
          </w:p>
        </w:tc>
        <w:tc>
          <w:tcPr>
            <w:tcW w:w="491" w:type="pct"/>
            <w:tcBorders>
              <w:top w:val="nil"/>
              <w:left w:val="nil"/>
              <w:bottom w:val="single" w:sz="4" w:space="0" w:color="auto"/>
              <w:right w:val="single" w:sz="4" w:space="0" w:color="auto"/>
            </w:tcBorders>
            <w:shd w:val="clear" w:color="auto" w:fill="auto"/>
            <w:vAlign w:val="center"/>
            <w:hideMark/>
          </w:tcPr>
          <w:p w14:paraId="173132D2"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20.5</w:t>
            </w:r>
          </w:p>
        </w:tc>
      </w:tr>
      <w:tr w:rsidR="003113A4" w:rsidRPr="009E674D" w14:paraId="7960D943" w14:textId="77777777" w:rsidTr="00467AC9">
        <w:trPr>
          <w:trHeight w:val="341"/>
        </w:trPr>
        <w:tc>
          <w:tcPr>
            <w:tcW w:w="275" w:type="pct"/>
            <w:tcBorders>
              <w:top w:val="single" w:sz="4" w:space="0" w:color="auto"/>
              <w:left w:val="single" w:sz="4" w:space="0" w:color="auto"/>
              <w:bottom w:val="single" w:sz="4" w:space="0" w:color="auto"/>
            </w:tcBorders>
            <w:shd w:val="clear" w:color="auto" w:fill="auto"/>
            <w:vAlign w:val="center"/>
          </w:tcPr>
          <w:p w14:paraId="61A2E986" w14:textId="77777777" w:rsidR="003113A4" w:rsidRPr="009E674D" w:rsidRDefault="003113A4" w:rsidP="003113A4">
            <w:pPr>
              <w:pStyle w:val="NoSpacing"/>
              <w:jc w:val="both"/>
              <w:rPr>
                <w:rFonts w:ascii="Book Antiqua" w:eastAsia="Times New Roman" w:hAnsi="Book Antiqua" w:cs="Calibri"/>
                <w:lang w:val="sq-AL"/>
              </w:rPr>
            </w:pPr>
          </w:p>
        </w:tc>
        <w:tc>
          <w:tcPr>
            <w:tcW w:w="2235" w:type="pct"/>
            <w:tcBorders>
              <w:top w:val="single" w:sz="4" w:space="0" w:color="auto"/>
              <w:bottom w:val="single" w:sz="4" w:space="0" w:color="auto"/>
              <w:right w:val="single" w:sz="4" w:space="0" w:color="auto"/>
            </w:tcBorders>
            <w:shd w:val="clear" w:color="auto" w:fill="auto"/>
            <w:vAlign w:val="center"/>
          </w:tcPr>
          <w:p w14:paraId="41E5A5A7" w14:textId="77777777" w:rsidR="003113A4" w:rsidRPr="009E674D" w:rsidRDefault="003113A4" w:rsidP="003113A4">
            <w:pPr>
              <w:pStyle w:val="NoSpacing"/>
              <w:jc w:val="right"/>
              <w:rPr>
                <w:rFonts w:ascii="Book Antiqua" w:eastAsia="Times New Roman" w:hAnsi="Book Antiqua" w:cs="Calibri"/>
                <w:i/>
                <w:sz w:val="20"/>
                <w:lang w:val="sq-AL"/>
              </w:rPr>
            </w:pPr>
            <w:r w:rsidRPr="009E674D">
              <w:rPr>
                <w:rFonts w:ascii="Book Antiqua" w:eastAsia="Times New Roman" w:hAnsi="Book Antiqua" w:cs="Calibri"/>
                <w:i/>
                <w:sz w:val="20"/>
                <w:lang w:val="sq-AL"/>
              </w:rPr>
              <w:t>Papunësia e grave (%)</w:t>
            </w:r>
          </w:p>
        </w:tc>
        <w:tc>
          <w:tcPr>
            <w:tcW w:w="519" w:type="pct"/>
            <w:tcBorders>
              <w:top w:val="nil"/>
              <w:left w:val="nil"/>
              <w:bottom w:val="single" w:sz="4" w:space="0" w:color="auto"/>
              <w:right w:val="single" w:sz="4" w:space="0" w:color="auto"/>
            </w:tcBorders>
            <w:shd w:val="clear" w:color="auto" w:fill="auto"/>
            <w:vAlign w:val="center"/>
          </w:tcPr>
          <w:p w14:paraId="2210C7B2"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36.6</w:t>
            </w:r>
          </w:p>
        </w:tc>
        <w:tc>
          <w:tcPr>
            <w:tcW w:w="492" w:type="pct"/>
            <w:tcBorders>
              <w:top w:val="nil"/>
              <w:left w:val="nil"/>
              <w:bottom w:val="single" w:sz="4" w:space="0" w:color="auto"/>
              <w:right w:val="single" w:sz="4" w:space="0" w:color="auto"/>
            </w:tcBorders>
            <w:shd w:val="clear" w:color="auto" w:fill="auto"/>
            <w:vAlign w:val="center"/>
          </w:tcPr>
          <w:p w14:paraId="78C9AAD6"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38</w:t>
            </w:r>
          </w:p>
        </w:tc>
        <w:tc>
          <w:tcPr>
            <w:tcW w:w="496" w:type="pct"/>
            <w:tcBorders>
              <w:top w:val="nil"/>
              <w:left w:val="nil"/>
              <w:bottom w:val="single" w:sz="4" w:space="0" w:color="auto"/>
              <w:right w:val="single" w:sz="4" w:space="0" w:color="auto"/>
            </w:tcBorders>
            <w:shd w:val="clear" w:color="auto" w:fill="auto"/>
            <w:vAlign w:val="center"/>
          </w:tcPr>
          <w:p w14:paraId="6BABD644"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34.4</w:t>
            </w:r>
          </w:p>
        </w:tc>
        <w:tc>
          <w:tcPr>
            <w:tcW w:w="492" w:type="pct"/>
            <w:tcBorders>
              <w:top w:val="nil"/>
              <w:left w:val="nil"/>
              <w:bottom w:val="single" w:sz="4" w:space="0" w:color="auto"/>
              <w:right w:val="single" w:sz="4" w:space="0" w:color="auto"/>
            </w:tcBorders>
            <w:shd w:val="clear" w:color="auto" w:fill="auto"/>
            <w:vAlign w:val="center"/>
          </w:tcPr>
          <w:p w14:paraId="3A47D8BA"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32.3</w:t>
            </w:r>
          </w:p>
        </w:tc>
        <w:tc>
          <w:tcPr>
            <w:tcW w:w="491" w:type="pct"/>
            <w:tcBorders>
              <w:top w:val="nil"/>
              <w:left w:val="nil"/>
              <w:bottom w:val="single" w:sz="4" w:space="0" w:color="auto"/>
              <w:right w:val="single" w:sz="4" w:space="0" w:color="auto"/>
            </w:tcBorders>
            <w:shd w:val="clear" w:color="auto" w:fill="auto"/>
            <w:vAlign w:val="center"/>
          </w:tcPr>
          <w:p w14:paraId="7152324E"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22.1</w:t>
            </w:r>
          </w:p>
        </w:tc>
      </w:tr>
      <w:tr w:rsidR="003113A4" w:rsidRPr="009E674D" w14:paraId="53D7F83F" w14:textId="77777777" w:rsidTr="00467AC9">
        <w:trPr>
          <w:trHeight w:val="386"/>
        </w:trPr>
        <w:tc>
          <w:tcPr>
            <w:tcW w:w="2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BD428" w14:textId="77777777" w:rsidR="003113A4" w:rsidRPr="009E674D" w:rsidRDefault="003113A4" w:rsidP="003113A4">
            <w:pPr>
              <w:pStyle w:val="NoSpacing"/>
              <w:jc w:val="right"/>
              <w:rPr>
                <w:rFonts w:ascii="Book Antiqua" w:eastAsia="Times New Roman" w:hAnsi="Book Antiqua" w:cs="Calibri"/>
                <w:i/>
                <w:sz w:val="20"/>
                <w:lang w:val="sq-AL"/>
              </w:rPr>
            </w:pPr>
            <w:r w:rsidRPr="009E674D">
              <w:rPr>
                <w:rFonts w:ascii="Book Antiqua" w:eastAsia="Times New Roman" w:hAnsi="Book Antiqua" w:cs="Calibri"/>
                <w:i/>
                <w:sz w:val="20"/>
                <w:lang w:val="sq-AL"/>
              </w:rPr>
              <w:t xml:space="preserve">          Pjesëmarrja në fuqinë punëtore (%)</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086BCE7"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43</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1C09B081"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42</w:t>
            </w:r>
          </w:p>
        </w:tc>
        <w:tc>
          <w:tcPr>
            <w:tcW w:w="496" w:type="pct"/>
            <w:tcBorders>
              <w:top w:val="single" w:sz="4" w:space="0" w:color="auto"/>
              <w:left w:val="single" w:sz="4" w:space="0" w:color="auto"/>
              <w:bottom w:val="single" w:sz="4" w:space="0" w:color="auto"/>
              <w:right w:val="single" w:sz="4" w:space="0" w:color="auto"/>
            </w:tcBorders>
            <w:shd w:val="clear" w:color="auto" w:fill="auto"/>
          </w:tcPr>
          <w:p w14:paraId="3AC4FC63"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40.5</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2132C4B"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38.3</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24971A48" w14:textId="77777777" w:rsidR="003113A4" w:rsidRPr="009E674D" w:rsidRDefault="003113A4" w:rsidP="003113A4">
            <w:pPr>
              <w:pStyle w:val="NoSpacing"/>
              <w:jc w:val="right"/>
              <w:rPr>
                <w:rFonts w:ascii="Book Antiqua" w:eastAsia="Times New Roman" w:hAnsi="Book Antiqua" w:cs="Calibri"/>
                <w:sz w:val="20"/>
                <w:lang w:val="sq-AL"/>
              </w:rPr>
            </w:pPr>
            <w:r w:rsidRPr="009E674D">
              <w:rPr>
                <w:rFonts w:ascii="Book Antiqua" w:eastAsia="Times New Roman" w:hAnsi="Book Antiqua" w:cs="Calibri"/>
                <w:sz w:val="20"/>
                <w:lang w:val="sq-AL"/>
              </w:rPr>
              <w:t>37.7</w:t>
            </w:r>
          </w:p>
        </w:tc>
      </w:tr>
      <w:tr w:rsidR="003113A4" w:rsidRPr="009E674D" w14:paraId="58A481DA" w14:textId="77777777" w:rsidTr="006B5484">
        <w:trPr>
          <w:trHeight w:val="350"/>
        </w:trPr>
        <w:tc>
          <w:tcPr>
            <w:tcW w:w="2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B7CA7" w14:textId="77777777" w:rsidR="003113A4" w:rsidRPr="009E674D" w:rsidRDefault="003113A4" w:rsidP="003113A4">
            <w:pPr>
              <w:pStyle w:val="NoSpacing"/>
              <w:jc w:val="both"/>
              <w:rPr>
                <w:rFonts w:ascii="Book Antiqua" w:eastAsia="Times New Roman" w:hAnsi="Book Antiqua" w:cs="Calibri"/>
                <w:lang w:val="sq-AL"/>
              </w:rPr>
            </w:pPr>
            <w:r w:rsidRPr="009E674D">
              <w:rPr>
                <w:rFonts w:ascii="Book Antiqua" w:eastAsia="Times New Roman" w:hAnsi="Book Antiqua" w:cs="Calibri"/>
                <w:lang w:val="sq-AL"/>
              </w:rPr>
              <w:t>Shkalla e varfërisë (% e popullsisë)</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13C9DE80"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18</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42698115"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6489DF63"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21.1</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184BD43A"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23.2</w:t>
            </w:r>
          </w:p>
        </w:tc>
        <w:tc>
          <w:tcPr>
            <w:tcW w:w="491" w:type="pct"/>
            <w:tcBorders>
              <w:top w:val="single" w:sz="4" w:space="0" w:color="auto"/>
              <w:left w:val="nil"/>
              <w:bottom w:val="single" w:sz="4" w:space="0" w:color="auto"/>
              <w:right w:val="single" w:sz="4" w:space="0" w:color="auto"/>
            </w:tcBorders>
            <w:shd w:val="clear" w:color="auto" w:fill="auto"/>
            <w:vAlign w:val="center"/>
            <w:hideMark/>
          </w:tcPr>
          <w:p w14:paraId="301960D4" w14:textId="77777777" w:rsidR="003113A4" w:rsidRPr="009E674D" w:rsidRDefault="003113A4" w:rsidP="003113A4">
            <w:pPr>
              <w:pStyle w:val="NoSpacing"/>
              <w:jc w:val="right"/>
              <w:rPr>
                <w:rFonts w:ascii="Book Antiqua" w:eastAsia="Times New Roman" w:hAnsi="Book Antiqua" w:cs="Calibri"/>
                <w:lang w:val="sq-AL"/>
              </w:rPr>
            </w:pPr>
            <w:r w:rsidRPr="009E674D">
              <w:rPr>
                <w:rFonts w:ascii="Book Antiqua" w:eastAsia="Times New Roman" w:hAnsi="Book Antiqua" w:cs="Calibri"/>
                <w:lang w:val="sq-AL"/>
              </w:rPr>
              <w:t>19.4</w:t>
            </w:r>
          </w:p>
        </w:tc>
      </w:tr>
    </w:tbl>
    <w:p w14:paraId="3A16640F" w14:textId="781350DC" w:rsidR="002D6291" w:rsidRPr="009E674D" w:rsidRDefault="0087131E" w:rsidP="002D6291">
      <w:pPr>
        <w:pStyle w:val="NoSpacing"/>
        <w:spacing w:before="240"/>
        <w:jc w:val="both"/>
        <w:rPr>
          <w:rFonts w:cstheme="minorHAnsi"/>
          <w:lang w:val="sq-AL"/>
        </w:rPr>
      </w:pPr>
      <w:r w:rsidRPr="009E674D">
        <w:rPr>
          <w:rFonts w:cstheme="minorHAnsi"/>
          <w:lang w:val="sq-AL"/>
        </w:rPr>
        <w:t>Struktura</w:t>
      </w:r>
      <w:r w:rsidR="0002327F" w:rsidRPr="009E674D">
        <w:rPr>
          <w:rFonts w:cstheme="minorHAnsi"/>
          <w:lang w:val="sq-AL"/>
        </w:rPr>
        <w:t xml:space="preserve"> e gjithmbarshme</w:t>
      </w:r>
      <w:r w:rsidRPr="009E674D">
        <w:rPr>
          <w:rFonts w:cstheme="minorHAnsi"/>
          <w:lang w:val="sq-AL"/>
        </w:rPr>
        <w:t xml:space="preserve"> ekonomike në Kosovë është kryesisht e përqendruar në </w:t>
      </w:r>
      <w:r w:rsidR="00E4499E" w:rsidRPr="009E674D">
        <w:rPr>
          <w:rFonts w:cstheme="minorHAnsi"/>
          <w:lang w:val="sq-AL"/>
        </w:rPr>
        <w:t>industri dhe shërbime</w:t>
      </w:r>
      <w:r w:rsidR="00A139E7">
        <w:rPr>
          <w:rFonts w:cstheme="minorHAnsi"/>
          <w:lang w:val="sq-AL"/>
        </w:rPr>
        <w:t>,</w:t>
      </w:r>
      <w:r w:rsidRPr="009E674D">
        <w:rPr>
          <w:rFonts w:cstheme="minorHAnsi"/>
          <w:lang w:val="sq-AL"/>
        </w:rPr>
        <w:t xml:space="preserve"> të</w:t>
      </w:r>
      <w:r w:rsidR="0002327F" w:rsidRPr="009E674D">
        <w:rPr>
          <w:rFonts w:cstheme="minorHAnsi"/>
          <w:lang w:val="sq-AL"/>
        </w:rPr>
        <w:t xml:space="preserve"> cil</w:t>
      </w:r>
      <w:r w:rsidR="00E4499E" w:rsidRPr="009E674D">
        <w:rPr>
          <w:rFonts w:cstheme="minorHAnsi"/>
          <w:lang w:val="sq-AL"/>
        </w:rPr>
        <w:t>a</w:t>
      </w:r>
      <w:r w:rsidR="0002327F" w:rsidRPr="009E674D">
        <w:rPr>
          <w:rFonts w:cstheme="minorHAnsi"/>
          <w:lang w:val="sq-AL"/>
        </w:rPr>
        <w:t>t për nga natyra krijojnë pak vlerë të shtuar në ekonomi</w:t>
      </w:r>
      <w:r w:rsidRPr="009E674D">
        <w:rPr>
          <w:rFonts w:cstheme="minorHAnsi"/>
          <w:lang w:val="sq-AL"/>
        </w:rPr>
        <w:t>.</w:t>
      </w:r>
      <w:r w:rsidR="0002327F" w:rsidRPr="009E674D">
        <w:rPr>
          <w:rFonts w:cstheme="minorHAnsi"/>
          <w:lang w:val="sq-AL"/>
        </w:rPr>
        <w:t xml:space="preserve"> Të dhënat tregojnë se ind</w:t>
      </w:r>
      <w:r w:rsidR="00C573B1">
        <w:rPr>
          <w:rFonts w:cstheme="minorHAnsi"/>
          <w:lang w:val="sq-AL"/>
        </w:rPr>
        <w:t>ustritë me</w:t>
      </w:r>
      <w:r w:rsidR="0002327F" w:rsidRPr="009E674D">
        <w:rPr>
          <w:rFonts w:cstheme="minorHAnsi"/>
          <w:lang w:val="sq-AL"/>
        </w:rPr>
        <w:t xml:space="preserve"> bazë mesatare ose të lartë të teknologjisë, </w:t>
      </w:r>
      <w:r w:rsidR="00A139E7">
        <w:rPr>
          <w:rFonts w:cstheme="minorHAnsi"/>
          <w:lang w:val="sq-AL"/>
        </w:rPr>
        <w:t>të ci</w:t>
      </w:r>
      <w:r w:rsidR="003A0787">
        <w:rPr>
          <w:rFonts w:cstheme="minorHAnsi"/>
          <w:lang w:val="sq-AL"/>
        </w:rPr>
        <w:t>l</w:t>
      </w:r>
      <w:r w:rsidR="00A139E7">
        <w:rPr>
          <w:rFonts w:cstheme="minorHAnsi"/>
          <w:lang w:val="sq-AL"/>
        </w:rPr>
        <w:t>at</w:t>
      </w:r>
      <w:r w:rsidR="00A139E7" w:rsidRPr="009E674D">
        <w:rPr>
          <w:rFonts w:cstheme="minorHAnsi"/>
          <w:lang w:val="sq-AL"/>
        </w:rPr>
        <w:t xml:space="preserve"> </w:t>
      </w:r>
      <w:r w:rsidR="0002327F" w:rsidRPr="009E674D">
        <w:rPr>
          <w:rFonts w:cstheme="minorHAnsi"/>
          <w:lang w:val="sq-AL"/>
        </w:rPr>
        <w:t>parimisht konsiderohen industri të avancuara, përbëjnë vetëm 1% të vlerës së shtuar në vend.</w:t>
      </w:r>
      <w:r w:rsidR="00E4499E" w:rsidRPr="009E674D">
        <w:rPr>
          <w:rFonts w:cstheme="minorHAnsi"/>
          <w:lang w:val="sq-AL"/>
        </w:rPr>
        <w:t xml:space="preserve"> Aktivitet</w:t>
      </w:r>
      <w:r w:rsidR="00A139E7">
        <w:rPr>
          <w:rFonts w:cstheme="minorHAnsi"/>
          <w:lang w:val="sq-AL"/>
        </w:rPr>
        <w:t>et</w:t>
      </w:r>
      <w:r w:rsidR="00E4499E" w:rsidRPr="009E674D">
        <w:rPr>
          <w:rFonts w:cstheme="minorHAnsi"/>
          <w:lang w:val="sq-AL"/>
        </w:rPr>
        <w:t xml:space="preserve"> kryesore në industri janë prodhimi</w:t>
      </w:r>
      <w:r w:rsidR="009F5273" w:rsidRPr="009E674D">
        <w:rPr>
          <w:rFonts w:cstheme="minorHAnsi"/>
          <w:lang w:val="sq-AL"/>
        </w:rPr>
        <w:t xml:space="preserve"> (përpunimi)</w:t>
      </w:r>
      <w:r w:rsidR="00E4499E" w:rsidRPr="009E674D">
        <w:rPr>
          <w:rFonts w:cstheme="minorHAnsi"/>
          <w:lang w:val="sq-AL"/>
        </w:rPr>
        <w:t xml:space="preserve"> dhe ndë</w:t>
      </w:r>
      <w:r w:rsidR="009F5273" w:rsidRPr="009E674D">
        <w:rPr>
          <w:rFonts w:cstheme="minorHAnsi"/>
          <w:lang w:val="sq-AL"/>
        </w:rPr>
        <w:t>rtimi, me kontribut</w:t>
      </w:r>
      <w:r w:rsidR="00E4499E" w:rsidRPr="009E674D">
        <w:rPr>
          <w:rFonts w:cstheme="minorHAnsi"/>
          <w:lang w:val="sq-AL"/>
        </w:rPr>
        <w:t xml:space="preserve"> në PBV me 11.7%</w:t>
      </w:r>
      <w:r w:rsidR="002B0CF6" w:rsidRPr="009E674D">
        <w:rPr>
          <w:rFonts w:cstheme="minorHAnsi"/>
          <w:lang w:val="sq-AL"/>
        </w:rPr>
        <w:t>,</w:t>
      </w:r>
      <w:r w:rsidR="003D18CF" w:rsidRPr="009E674D">
        <w:rPr>
          <w:rFonts w:cstheme="minorHAnsi"/>
          <w:lang w:val="sq-AL"/>
        </w:rPr>
        <w:t xml:space="preserve"> respektivisht 8.5%. </w:t>
      </w:r>
      <w:r w:rsidR="00E4499E" w:rsidRPr="009E674D">
        <w:rPr>
          <w:rFonts w:cstheme="minorHAnsi"/>
          <w:lang w:val="sq-AL"/>
        </w:rPr>
        <w:t>Ngjashëm edhe tek shërbimet</w:t>
      </w:r>
      <w:r w:rsidR="0002327F" w:rsidRPr="009E674D">
        <w:rPr>
          <w:rFonts w:cstheme="minorHAnsi"/>
          <w:lang w:val="sq-AL"/>
        </w:rPr>
        <w:t>, përkundër që</w:t>
      </w:r>
      <w:r w:rsidR="00E4499E" w:rsidRPr="009E674D">
        <w:rPr>
          <w:rFonts w:cstheme="minorHAnsi"/>
          <w:lang w:val="sq-AL"/>
        </w:rPr>
        <w:t xml:space="preserve"> ato</w:t>
      </w:r>
      <w:r w:rsidR="0002327F" w:rsidRPr="009E674D">
        <w:rPr>
          <w:rFonts w:cstheme="minorHAnsi"/>
          <w:lang w:val="sq-AL"/>
        </w:rPr>
        <w:t xml:space="preserve"> kontribuojnë me pjesën më të madhe në ekonominë e Kosovës (47.5%), </w:t>
      </w:r>
      <w:r w:rsidR="009F5273" w:rsidRPr="009E674D">
        <w:rPr>
          <w:rFonts w:cstheme="minorHAnsi"/>
          <w:lang w:val="sq-AL"/>
        </w:rPr>
        <w:t xml:space="preserve">vetëm </w:t>
      </w:r>
      <w:r w:rsidR="00E4499E" w:rsidRPr="009E674D">
        <w:rPr>
          <w:rFonts w:cstheme="minorHAnsi"/>
          <w:lang w:val="sq-AL"/>
        </w:rPr>
        <w:t xml:space="preserve">rreth 1/6 e tyre </w:t>
      </w:r>
      <w:r w:rsidR="00E4499E" w:rsidRPr="009E674D">
        <w:rPr>
          <w:rFonts w:cstheme="minorHAnsi"/>
          <w:lang w:val="sq-AL"/>
        </w:rPr>
        <w:lastRenderedPageBreak/>
        <w:t xml:space="preserve">janë shërbime të bazuara në intensitet të lartë të dijes. </w:t>
      </w:r>
      <w:r w:rsidR="009F5273" w:rsidRPr="009E674D">
        <w:rPr>
          <w:rFonts w:cstheme="minorHAnsi"/>
          <w:lang w:val="sq-AL"/>
        </w:rPr>
        <w:t>Strukturën e shërbimeve e dominon tregtia me shumicë dhe pakicë, patundshmëria, transporti dhe shërbimet financiare. Në anën tjetër, k</w:t>
      </w:r>
      <w:r w:rsidRPr="009E674D">
        <w:rPr>
          <w:rFonts w:cstheme="minorHAnsi"/>
          <w:lang w:val="sq-AL"/>
        </w:rPr>
        <w:t xml:space="preserve">ontributi i bujqësisë në </w:t>
      </w:r>
      <w:r w:rsidR="009F5273" w:rsidRPr="009E674D">
        <w:rPr>
          <w:rFonts w:cstheme="minorHAnsi"/>
          <w:lang w:val="sq-AL"/>
        </w:rPr>
        <w:t>ekonominë</w:t>
      </w:r>
      <w:r w:rsidRPr="009E674D">
        <w:rPr>
          <w:rFonts w:cstheme="minorHAnsi"/>
          <w:lang w:val="sq-AL"/>
        </w:rPr>
        <w:t xml:space="preserve"> e Kosovës,</w:t>
      </w:r>
      <w:r w:rsidR="009F5273" w:rsidRPr="009E674D">
        <w:rPr>
          <w:rFonts w:cstheme="minorHAnsi"/>
          <w:lang w:val="sq-AL"/>
        </w:rPr>
        <w:t xml:space="preserve"> ka rënë dukshëm </w:t>
      </w:r>
      <w:r w:rsidRPr="009E674D">
        <w:rPr>
          <w:rFonts w:cstheme="minorHAnsi"/>
          <w:lang w:val="sq-AL"/>
        </w:rPr>
        <w:t xml:space="preserve">gjatë dekadës së fundit, nga 15% në vitin 2008 në </w:t>
      </w:r>
      <w:r w:rsidR="009F5273" w:rsidRPr="009E674D">
        <w:rPr>
          <w:rFonts w:cstheme="minorHAnsi"/>
          <w:lang w:val="sq-AL"/>
        </w:rPr>
        <w:t>7% në vitin 2021.</w:t>
      </w:r>
      <w:r w:rsidR="002D6291" w:rsidRPr="009E674D">
        <w:rPr>
          <w:rFonts w:cstheme="minorHAnsi"/>
          <w:lang w:val="sq-AL"/>
        </w:rPr>
        <w:t xml:space="preserve"> Ndonëse sektori privat mban primatin në ekonominë e Kosovës, ende është i brishtë dhe i dominuar nga </w:t>
      </w:r>
      <w:r w:rsidR="00834A23" w:rsidRPr="009E674D">
        <w:rPr>
          <w:rFonts w:cstheme="minorHAnsi"/>
          <w:lang w:val="sq-AL"/>
        </w:rPr>
        <w:t>mikro-</w:t>
      </w:r>
      <w:r w:rsidR="002D6291" w:rsidRPr="009E674D">
        <w:rPr>
          <w:rFonts w:cstheme="minorHAnsi"/>
          <w:lang w:val="sq-AL"/>
        </w:rPr>
        <w:t xml:space="preserve">ndërmarrjet me kapital të kufizuar.  </w:t>
      </w:r>
    </w:p>
    <w:p w14:paraId="08096174" w14:textId="4EDD28DA" w:rsidR="002D6291" w:rsidRPr="009E674D" w:rsidRDefault="002D6291" w:rsidP="002D6291">
      <w:pPr>
        <w:pStyle w:val="NoSpacing"/>
        <w:spacing w:before="240"/>
        <w:jc w:val="both"/>
        <w:rPr>
          <w:rFonts w:cstheme="minorHAnsi"/>
          <w:lang w:val="sq-AL"/>
        </w:rPr>
      </w:pPr>
      <w:r w:rsidRPr="009E674D">
        <w:rPr>
          <w:rFonts w:cstheme="minorHAnsi"/>
          <w:lang w:val="sq-AL"/>
        </w:rPr>
        <w:t xml:space="preserve">Kosova konsiderohet vend relativisht i hapur; tregtia (eksportet dhe importet së bashku) përbëjnë </w:t>
      </w:r>
      <w:r w:rsidR="00A139E7">
        <w:rPr>
          <w:rFonts w:cstheme="minorHAnsi"/>
          <w:lang w:val="sq-AL"/>
        </w:rPr>
        <w:t>një</w:t>
      </w:r>
      <w:r w:rsidR="00A139E7" w:rsidRPr="009E674D">
        <w:rPr>
          <w:rFonts w:cstheme="minorHAnsi"/>
          <w:lang w:val="sq-AL"/>
        </w:rPr>
        <w:t xml:space="preserve"> </w:t>
      </w:r>
      <w:r w:rsidR="00AB3E9A" w:rsidRPr="009E674D">
        <w:rPr>
          <w:rFonts w:cstheme="minorHAnsi"/>
          <w:lang w:val="sq-AL"/>
        </w:rPr>
        <w:t xml:space="preserve">mesatare </w:t>
      </w:r>
      <w:r w:rsidR="00A139E7">
        <w:rPr>
          <w:rFonts w:cstheme="minorHAnsi"/>
          <w:lang w:val="sq-AL"/>
        </w:rPr>
        <w:t xml:space="preserve">prej </w:t>
      </w:r>
      <w:r w:rsidR="00AB3E9A" w:rsidRPr="009E674D">
        <w:rPr>
          <w:rFonts w:cstheme="minorHAnsi"/>
          <w:lang w:val="sq-AL"/>
        </w:rPr>
        <w:t xml:space="preserve">rreth </w:t>
      </w:r>
      <w:r w:rsidR="00834A23" w:rsidRPr="009E674D">
        <w:rPr>
          <w:rFonts w:cstheme="minorHAnsi"/>
          <w:lang w:val="sq-AL"/>
        </w:rPr>
        <w:t>90</w:t>
      </w:r>
      <w:r w:rsidRPr="009E674D">
        <w:rPr>
          <w:rFonts w:cstheme="minorHAnsi"/>
          <w:lang w:val="sq-AL"/>
        </w:rPr>
        <w:t>% të BPV-së</w:t>
      </w:r>
      <w:r w:rsidR="00AB3E9A" w:rsidRPr="009E674D">
        <w:rPr>
          <w:rFonts w:cstheme="minorHAnsi"/>
          <w:lang w:val="sq-AL"/>
        </w:rPr>
        <w:t xml:space="preserve"> në periudhën 2017-2022</w:t>
      </w:r>
      <w:r w:rsidRPr="009E674D">
        <w:rPr>
          <w:rFonts w:cstheme="minorHAnsi"/>
          <w:lang w:val="sq-AL"/>
        </w:rPr>
        <w:t>. Liberalizimi i tregtisë ndër vite nuk ka prodhuar përmirë</w:t>
      </w:r>
      <w:r w:rsidR="00834A23" w:rsidRPr="009E674D">
        <w:rPr>
          <w:rFonts w:cstheme="minorHAnsi"/>
          <w:lang w:val="sq-AL"/>
        </w:rPr>
        <w:t>sim n</w:t>
      </w:r>
      <w:r w:rsidRPr="009E674D">
        <w:rPr>
          <w:rFonts w:cstheme="minorHAnsi"/>
          <w:lang w:val="sq-AL"/>
        </w:rPr>
        <w:t xml:space="preserve">ë bilancin tregtar </w:t>
      </w:r>
      <w:r w:rsidR="00B7322D">
        <w:rPr>
          <w:rFonts w:cstheme="minorHAnsi"/>
          <w:lang w:val="sq-AL"/>
        </w:rPr>
        <w:t xml:space="preserve">të vendit, </w:t>
      </w:r>
      <w:r w:rsidR="00A139E7">
        <w:rPr>
          <w:rFonts w:cstheme="minorHAnsi"/>
          <w:lang w:val="sq-AL"/>
        </w:rPr>
        <w:t>me ç’rast</w:t>
      </w:r>
      <w:r w:rsidR="00A139E7" w:rsidRPr="009E674D">
        <w:rPr>
          <w:rFonts w:cstheme="minorHAnsi"/>
          <w:lang w:val="sq-AL"/>
        </w:rPr>
        <w:t xml:space="preserve"> </w:t>
      </w:r>
      <w:r w:rsidR="00834A23" w:rsidRPr="009E674D">
        <w:rPr>
          <w:rFonts w:cstheme="minorHAnsi"/>
          <w:lang w:val="sq-AL"/>
        </w:rPr>
        <w:t>deficiti vazhdon të jetë mjaft i lartë</w:t>
      </w:r>
      <w:r w:rsidR="00AB3E9A" w:rsidRPr="009E674D">
        <w:rPr>
          <w:rFonts w:cstheme="minorHAnsi"/>
          <w:lang w:val="sq-AL"/>
        </w:rPr>
        <w:t>, rreth 33</w:t>
      </w:r>
      <w:r w:rsidR="00834A23" w:rsidRPr="009E674D">
        <w:rPr>
          <w:rFonts w:cstheme="minorHAnsi"/>
          <w:lang w:val="sq-AL"/>
        </w:rPr>
        <w:t>% e PBV-së</w:t>
      </w:r>
      <w:r w:rsidR="00AB3E9A" w:rsidRPr="009E674D">
        <w:rPr>
          <w:rFonts w:cstheme="minorHAnsi"/>
          <w:lang w:val="sq-AL"/>
        </w:rPr>
        <w:t xml:space="preserve"> </w:t>
      </w:r>
      <w:r w:rsidR="003A0787">
        <w:rPr>
          <w:rFonts w:cstheme="minorHAnsi"/>
          <w:lang w:val="sq-AL"/>
        </w:rPr>
        <w:t>n</w:t>
      </w:r>
      <w:r w:rsidR="00A139E7">
        <w:rPr>
          <w:rFonts w:cstheme="minorHAnsi"/>
          <w:lang w:val="sq-AL"/>
        </w:rPr>
        <w:t xml:space="preserve">ë </w:t>
      </w:r>
      <w:r w:rsidR="00953CFF">
        <w:rPr>
          <w:rFonts w:cstheme="minorHAnsi"/>
          <w:lang w:val="sq-AL"/>
        </w:rPr>
        <w:t>t</w:t>
      </w:r>
      <w:r w:rsidR="00A139E7">
        <w:rPr>
          <w:rFonts w:cstheme="minorHAnsi"/>
          <w:lang w:val="sq-AL"/>
        </w:rPr>
        <w:t>ë</w:t>
      </w:r>
      <w:r w:rsidR="00A139E7" w:rsidRPr="009E674D">
        <w:rPr>
          <w:rFonts w:cstheme="minorHAnsi"/>
          <w:lang w:val="sq-AL"/>
        </w:rPr>
        <w:t xml:space="preserve"> njëjtë</w:t>
      </w:r>
      <w:r w:rsidR="003A0787">
        <w:rPr>
          <w:rFonts w:cstheme="minorHAnsi"/>
          <w:lang w:val="sq-AL"/>
        </w:rPr>
        <w:t>n</w:t>
      </w:r>
      <w:r w:rsidR="00A139E7" w:rsidRPr="009E674D">
        <w:rPr>
          <w:rFonts w:cstheme="minorHAnsi"/>
          <w:lang w:val="sq-AL"/>
        </w:rPr>
        <w:t xml:space="preserve"> </w:t>
      </w:r>
      <w:r w:rsidR="00AB3E9A" w:rsidRPr="009E674D">
        <w:rPr>
          <w:rFonts w:cstheme="minorHAnsi"/>
          <w:lang w:val="sq-AL"/>
        </w:rPr>
        <w:t>periudhë</w:t>
      </w:r>
      <w:r w:rsidR="00834A23" w:rsidRPr="009E674D">
        <w:rPr>
          <w:rFonts w:cstheme="minorHAnsi"/>
          <w:lang w:val="sq-AL"/>
        </w:rPr>
        <w:t xml:space="preserve">. </w:t>
      </w:r>
      <w:r w:rsidRPr="009E674D">
        <w:rPr>
          <w:rFonts w:cstheme="minorHAnsi"/>
          <w:lang w:val="sq-AL"/>
        </w:rPr>
        <w:t xml:space="preserve">Importi tejet i lartë i mallrave kontribuon </w:t>
      </w:r>
      <w:r w:rsidR="00AB3E9A" w:rsidRPr="009E674D">
        <w:rPr>
          <w:rFonts w:cstheme="minorHAnsi"/>
          <w:lang w:val="sq-AL"/>
        </w:rPr>
        <w:t>më së shumti në këtë deficit, p</w:t>
      </w:r>
      <w:r w:rsidRPr="009E674D">
        <w:rPr>
          <w:rFonts w:cstheme="minorHAnsi"/>
          <w:lang w:val="sq-AL"/>
        </w:rPr>
        <w:t>ër</w:t>
      </w:r>
      <w:r w:rsidR="00AB3E9A" w:rsidRPr="009E674D">
        <w:rPr>
          <w:rFonts w:cstheme="minorHAnsi"/>
          <w:lang w:val="sq-AL"/>
        </w:rPr>
        <w:t>deri</w:t>
      </w:r>
      <w:r w:rsidRPr="009E674D">
        <w:rPr>
          <w:rFonts w:cstheme="minorHAnsi"/>
          <w:lang w:val="sq-AL"/>
        </w:rPr>
        <w:t xml:space="preserve">sa suficiti në tregtinë e shërbimeve arrin ta </w:t>
      </w:r>
      <w:r w:rsidR="00AB3E9A" w:rsidRPr="009E674D">
        <w:rPr>
          <w:rFonts w:cstheme="minorHAnsi"/>
          <w:lang w:val="sq-AL"/>
        </w:rPr>
        <w:t>zbus</w:t>
      </w:r>
      <w:r w:rsidRPr="009E674D">
        <w:rPr>
          <w:rFonts w:cstheme="minorHAnsi"/>
          <w:lang w:val="sq-AL"/>
        </w:rPr>
        <w:t>ë atë deri në</w:t>
      </w:r>
      <w:r w:rsidR="00AB3E9A" w:rsidRPr="009E674D">
        <w:rPr>
          <w:rFonts w:cstheme="minorHAnsi"/>
          <w:lang w:val="sq-AL"/>
        </w:rPr>
        <w:t xml:space="preserve"> një</w:t>
      </w:r>
      <w:r w:rsidRPr="009E674D">
        <w:rPr>
          <w:rFonts w:cstheme="minorHAnsi"/>
          <w:lang w:val="sq-AL"/>
        </w:rPr>
        <w:t xml:space="preserve"> masë. </w:t>
      </w:r>
      <w:r w:rsidR="00AB3E9A" w:rsidRPr="009E674D">
        <w:rPr>
          <w:rFonts w:cstheme="minorHAnsi"/>
          <w:lang w:val="sq-AL"/>
        </w:rPr>
        <w:t>Shkëmbimin më të madh tregtar</w:t>
      </w:r>
      <w:r w:rsidRPr="009E674D">
        <w:rPr>
          <w:rFonts w:cstheme="minorHAnsi"/>
          <w:lang w:val="sq-AL"/>
        </w:rPr>
        <w:t xml:space="preserve"> Ko</w:t>
      </w:r>
      <w:r w:rsidR="00AB3E9A" w:rsidRPr="009E674D">
        <w:rPr>
          <w:rFonts w:cstheme="minorHAnsi"/>
          <w:lang w:val="sq-AL"/>
        </w:rPr>
        <w:t>sova e realizon me vendet me të cilat kufizohet</w:t>
      </w:r>
      <w:r w:rsidRPr="009E674D">
        <w:rPr>
          <w:rFonts w:cstheme="minorHAnsi"/>
          <w:lang w:val="sq-AL"/>
        </w:rPr>
        <w:t xml:space="preserve"> dhe shtetet e BE-së, në kuadër të</w:t>
      </w:r>
      <w:r w:rsidR="00AB3E9A" w:rsidRPr="009E674D">
        <w:rPr>
          <w:rFonts w:cstheme="minorHAnsi"/>
          <w:lang w:val="sq-AL"/>
        </w:rPr>
        <w:t xml:space="preserve"> marrëveshjeve për tregti të lire</w:t>
      </w:r>
      <w:r w:rsidRPr="009E674D">
        <w:rPr>
          <w:rFonts w:cstheme="minorHAnsi"/>
          <w:lang w:val="sq-AL"/>
        </w:rPr>
        <w:t xml:space="preserve"> CEFTA-s</w:t>
      </w:r>
      <w:r w:rsidR="00953CFF">
        <w:rPr>
          <w:rFonts w:cstheme="minorHAnsi"/>
          <w:lang w:val="sq-AL"/>
        </w:rPr>
        <w:t>,</w:t>
      </w:r>
      <w:r w:rsidR="00AB3E9A" w:rsidRPr="009E674D">
        <w:rPr>
          <w:rFonts w:cstheme="minorHAnsi"/>
          <w:lang w:val="sq-AL"/>
        </w:rPr>
        <w:t xml:space="preserve"> përkatësisht</w:t>
      </w:r>
      <w:r w:rsidR="00C573B1">
        <w:rPr>
          <w:rFonts w:cstheme="minorHAnsi"/>
          <w:lang w:val="sq-AL"/>
        </w:rPr>
        <w:t xml:space="preserve"> MSA-së. </w:t>
      </w:r>
      <w:r w:rsidRPr="009E674D">
        <w:rPr>
          <w:rFonts w:cstheme="minorHAnsi"/>
          <w:lang w:val="sq-AL"/>
        </w:rPr>
        <w:t xml:space="preserve">Eksportet e Kosovës, </w:t>
      </w:r>
      <w:r w:rsidR="00AB3E9A" w:rsidRPr="009E674D">
        <w:rPr>
          <w:rFonts w:cstheme="minorHAnsi"/>
          <w:lang w:val="sq-AL"/>
        </w:rPr>
        <w:t>si refleksion i strukturës së</w:t>
      </w:r>
      <w:r w:rsidRPr="009E674D">
        <w:rPr>
          <w:rFonts w:cstheme="minorHAnsi"/>
          <w:lang w:val="sq-AL"/>
        </w:rPr>
        <w:t xml:space="preserve"> ekonomisë, nuk </w:t>
      </w:r>
      <w:r w:rsidR="00AB3E9A" w:rsidRPr="009E674D">
        <w:rPr>
          <w:rFonts w:cstheme="minorHAnsi"/>
          <w:lang w:val="sq-AL"/>
        </w:rPr>
        <w:t>përmbajnë produkte dhe shërbime të sofistikuara</w:t>
      </w:r>
      <w:r w:rsidRPr="009E674D">
        <w:rPr>
          <w:rFonts w:cstheme="minorHAnsi"/>
          <w:lang w:val="sq-AL"/>
        </w:rPr>
        <w:t xml:space="preserve"> dhe karakterizohen me shkallë të ulët të mbijetesës në tregjet e huaja. </w:t>
      </w:r>
      <w:r w:rsidR="00AB3E9A" w:rsidRPr="009E674D">
        <w:rPr>
          <w:rFonts w:cstheme="minorHAnsi"/>
          <w:lang w:val="sq-AL"/>
        </w:rPr>
        <w:t>Përkundër trendit dekurajues të eksporteve</w:t>
      </w:r>
      <w:r w:rsidRPr="009E674D">
        <w:rPr>
          <w:rFonts w:cstheme="minorHAnsi"/>
          <w:lang w:val="sq-AL"/>
        </w:rPr>
        <w:t xml:space="preserve">, </w:t>
      </w:r>
      <w:r w:rsidR="00AB3E9A" w:rsidRPr="009E674D">
        <w:rPr>
          <w:rFonts w:cstheme="minorHAnsi"/>
          <w:lang w:val="sq-AL"/>
        </w:rPr>
        <w:t>rritja e theksuar</w:t>
      </w:r>
      <w:r w:rsidRPr="009E674D">
        <w:rPr>
          <w:rFonts w:cstheme="minorHAnsi"/>
          <w:lang w:val="sq-AL"/>
        </w:rPr>
        <w:t xml:space="preserve"> </w:t>
      </w:r>
      <w:r w:rsidR="00AB3E9A" w:rsidRPr="009E674D">
        <w:rPr>
          <w:rFonts w:cstheme="minorHAnsi"/>
          <w:lang w:val="sq-AL"/>
        </w:rPr>
        <w:t xml:space="preserve">e tyre në </w:t>
      </w:r>
      <w:r w:rsidRPr="009E674D">
        <w:rPr>
          <w:rFonts w:cstheme="minorHAnsi"/>
          <w:lang w:val="sq-AL"/>
        </w:rPr>
        <w:t>vitin 2021</w:t>
      </w:r>
      <w:r w:rsidR="00AB3E9A" w:rsidRPr="009E674D">
        <w:rPr>
          <w:rFonts w:cstheme="minorHAnsi"/>
          <w:lang w:val="sq-AL"/>
        </w:rPr>
        <w:t xml:space="preserve"> dhe në gjysmën e parë të 2022, është shpresëdhënëse </w:t>
      </w:r>
      <w:r w:rsidRPr="009E674D">
        <w:rPr>
          <w:rFonts w:cstheme="minorHAnsi"/>
          <w:lang w:val="sq-AL"/>
        </w:rPr>
        <w:t xml:space="preserve">për potencialin </w:t>
      </w:r>
      <w:r w:rsidR="00AB3E9A" w:rsidRPr="009E674D">
        <w:rPr>
          <w:rFonts w:cstheme="minorHAnsi"/>
          <w:lang w:val="sq-AL"/>
        </w:rPr>
        <w:t>në këtë drejtim</w:t>
      </w:r>
      <w:r w:rsidRPr="009E674D">
        <w:rPr>
          <w:rFonts w:cstheme="minorHAnsi"/>
          <w:lang w:val="sq-AL"/>
        </w:rPr>
        <w:t>.</w:t>
      </w:r>
    </w:p>
    <w:p w14:paraId="6AEC55FC" w14:textId="5AD22F32" w:rsidR="002D6291" w:rsidRPr="009E674D" w:rsidRDefault="002D6291" w:rsidP="002D6291">
      <w:pPr>
        <w:pStyle w:val="NoSpacing"/>
        <w:spacing w:before="240"/>
        <w:jc w:val="both"/>
        <w:rPr>
          <w:rFonts w:eastAsia="Calibri" w:cstheme="minorHAnsi"/>
          <w:lang w:val="sq-AL"/>
        </w:rPr>
      </w:pPr>
      <w:r w:rsidRPr="009E674D">
        <w:rPr>
          <w:rFonts w:eastAsia="Calibri" w:cstheme="minorHAnsi"/>
          <w:lang w:val="sq-AL"/>
        </w:rPr>
        <w:t>Investimet e Huaja</w:t>
      </w:r>
      <w:r w:rsidR="00413C2D" w:rsidRPr="009E674D">
        <w:rPr>
          <w:rFonts w:eastAsia="Calibri" w:cstheme="minorHAnsi"/>
          <w:lang w:val="sq-AL"/>
        </w:rPr>
        <w:t xml:space="preserve"> Direkte (IHD), që rëndom prodhojnë</w:t>
      </w:r>
      <w:r w:rsidRPr="009E674D">
        <w:rPr>
          <w:rFonts w:eastAsia="Calibri" w:cstheme="minorHAnsi"/>
          <w:lang w:val="sq-AL"/>
        </w:rPr>
        <w:t xml:space="preserve"> një</w:t>
      </w:r>
      <w:r w:rsidR="00413C2D" w:rsidRPr="009E674D">
        <w:rPr>
          <w:rFonts w:eastAsia="Calibri" w:cstheme="minorHAnsi"/>
          <w:lang w:val="sq-AL"/>
        </w:rPr>
        <w:t xml:space="preserve"> ndikim</w:t>
      </w:r>
      <w:r w:rsidR="00A660DF" w:rsidRPr="009E674D">
        <w:rPr>
          <w:rFonts w:eastAsia="Calibri" w:cstheme="minorHAnsi"/>
          <w:lang w:val="sq-AL"/>
        </w:rPr>
        <w:t xml:space="preserve"> të gjerë në ekonomi</w:t>
      </w:r>
      <w:r w:rsidRPr="009E674D">
        <w:rPr>
          <w:rFonts w:eastAsia="Calibri" w:cstheme="minorHAnsi"/>
          <w:lang w:val="sq-AL"/>
        </w:rPr>
        <w:t xml:space="preserve">, </w:t>
      </w:r>
      <w:r w:rsidR="00413C2D" w:rsidRPr="009E674D">
        <w:rPr>
          <w:rFonts w:eastAsia="Calibri" w:cstheme="minorHAnsi"/>
          <w:lang w:val="sq-AL"/>
        </w:rPr>
        <w:t>në relacion</w:t>
      </w:r>
      <w:r w:rsidRPr="009E674D">
        <w:rPr>
          <w:rFonts w:eastAsia="Calibri" w:cstheme="minorHAnsi"/>
          <w:lang w:val="sq-AL"/>
        </w:rPr>
        <w:t xml:space="preserve"> me BPV</w:t>
      </w:r>
      <w:r w:rsidR="00A660DF" w:rsidRPr="009E674D">
        <w:rPr>
          <w:rFonts w:eastAsia="Calibri" w:cstheme="minorHAnsi"/>
          <w:lang w:val="sq-AL"/>
        </w:rPr>
        <w:t>-në</w:t>
      </w:r>
      <w:r w:rsidRPr="009E674D">
        <w:rPr>
          <w:rFonts w:eastAsia="Calibri" w:cstheme="minorHAnsi"/>
          <w:lang w:val="sq-AL"/>
        </w:rPr>
        <w:t xml:space="preserve"> mbeten nën mesataren</w:t>
      </w:r>
      <w:r w:rsidR="00A660DF" w:rsidRPr="009E674D">
        <w:rPr>
          <w:rFonts w:eastAsia="Calibri" w:cstheme="minorHAnsi"/>
          <w:lang w:val="sq-AL"/>
        </w:rPr>
        <w:t xml:space="preserve"> e</w:t>
      </w:r>
      <w:r w:rsidRPr="009E674D">
        <w:rPr>
          <w:rFonts w:eastAsia="Calibri" w:cstheme="minorHAnsi"/>
          <w:lang w:val="sq-AL"/>
        </w:rPr>
        <w:t xml:space="preserve"> vendeve fqinje, </w:t>
      </w:r>
      <w:r w:rsidR="00A660DF" w:rsidRPr="009E674D">
        <w:rPr>
          <w:rFonts w:eastAsia="Calibri" w:cstheme="minorHAnsi"/>
          <w:lang w:val="sq-AL"/>
        </w:rPr>
        <w:t>ndonëse</w:t>
      </w:r>
      <w:r w:rsidRPr="009E674D">
        <w:rPr>
          <w:rFonts w:eastAsia="Calibri" w:cstheme="minorHAnsi"/>
          <w:lang w:val="sq-AL"/>
        </w:rPr>
        <w:t xml:space="preserve"> kanë shënuar një trend pozitiv</w:t>
      </w:r>
      <w:r w:rsidR="00A660DF" w:rsidRPr="009E674D">
        <w:rPr>
          <w:rFonts w:eastAsia="Calibri" w:cstheme="minorHAnsi"/>
          <w:lang w:val="sq-AL"/>
        </w:rPr>
        <w:t xml:space="preserve"> në fitet e fundit,</w:t>
      </w:r>
      <w:r w:rsidRPr="009E674D">
        <w:rPr>
          <w:rFonts w:eastAsia="Calibri" w:cstheme="minorHAnsi"/>
          <w:lang w:val="sq-AL"/>
        </w:rPr>
        <w:t xml:space="preserve"> duke e arritur vlerën më t</w:t>
      </w:r>
      <w:r w:rsidR="00A660DF" w:rsidRPr="009E674D">
        <w:rPr>
          <w:rFonts w:eastAsia="Calibri" w:cstheme="minorHAnsi"/>
          <w:lang w:val="sq-AL"/>
        </w:rPr>
        <w:t xml:space="preserve">ë lartë në 2021-ën, </w:t>
      </w:r>
      <w:r w:rsidR="00953CFF">
        <w:rPr>
          <w:rFonts w:eastAsia="Calibri" w:cstheme="minorHAnsi"/>
          <w:lang w:val="sq-AL"/>
        </w:rPr>
        <w:t xml:space="preserve">më </w:t>
      </w:r>
      <w:r w:rsidR="00A660DF" w:rsidRPr="009E674D">
        <w:rPr>
          <w:rFonts w:eastAsia="Calibri" w:cstheme="minorHAnsi"/>
          <w:lang w:val="sq-AL"/>
        </w:rPr>
        <w:t xml:space="preserve">saktësisht </w:t>
      </w:r>
      <w:r w:rsidRPr="009E674D">
        <w:rPr>
          <w:rFonts w:eastAsia="Calibri" w:cstheme="minorHAnsi"/>
          <w:lang w:val="sq-AL"/>
        </w:rPr>
        <w:t>4</w:t>
      </w:r>
      <w:r w:rsidR="00A660DF" w:rsidRPr="009E674D">
        <w:rPr>
          <w:rFonts w:eastAsia="Calibri" w:cstheme="minorHAnsi"/>
          <w:lang w:val="sq-AL"/>
        </w:rPr>
        <w:t>15.3 milionë Euro</w:t>
      </w:r>
      <w:r w:rsidRPr="009E674D">
        <w:rPr>
          <w:rFonts w:eastAsia="Calibri" w:cstheme="minorHAnsi"/>
          <w:lang w:val="sq-AL"/>
        </w:rPr>
        <w:t xml:space="preserve">. </w:t>
      </w:r>
      <w:r w:rsidR="00A660DF" w:rsidRPr="009E674D">
        <w:rPr>
          <w:rFonts w:eastAsia="Calibri" w:cstheme="minorHAnsi"/>
          <w:lang w:val="sq-AL"/>
        </w:rPr>
        <w:t>Fluksi më i madh e këtyre investimeve vjen nga</w:t>
      </w:r>
      <w:r w:rsidRPr="009E674D">
        <w:rPr>
          <w:rFonts w:eastAsia="Calibri" w:cstheme="minorHAnsi"/>
          <w:lang w:val="sq-AL"/>
        </w:rPr>
        <w:t xml:space="preserve"> </w:t>
      </w:r>
      <w:r w:rsidR="00A660DF" w:rsidRPr="009E674D">
        <w:rPr>
          <w:rFonts w:eastAsia="Calibri" w:cstheme="minorHAnsi"/>
          <w:lang w:val="sq-AL"/>
        </w:rPr>
        <w:t>diaspora kosovare, kryesisht e koncentruar në Gjermani dhe Zvicër. Sektori</w:t>
      </w:r>
      <w:r w:rsidR="00992DF8" w:rsidRPr="009E674D">
        <w:rPr>
          <w:rFonts w:eastAsia="Calibri" w:cstheme="minorHAnsi"/>
          <w:lang w:val="sq-AL"/>
        </w:rPr>
        <w:t xml:space="preserve"> që më së shumti thith investime të huaja direkte është patundshmëria. Ky sektor, për nga natyra, prodhon shumë pak  </w:t>
      </w:r>
      <w:r w:rsidRPr="009E674D">
        <w:rPr>
          <w:rFonts w:eastAsia="Calibri" w:cstheme="minorHAnsi"/>
          <w:lang w:val="sq-AL"/>
        </w:rPr>
        <w:t>efekte përhapëse</w:t>
      </w:r>
      <w:r w:rsidR="00992DF8" w:rsidRPr="009E674D">
        <w:rPr>
          <w:rFonts w:eastAsia="Calibri" w:cstheme="minorHAnsi"/>
          <w:lang w:val="sq-AL"/>
        </w:rPr>
        <w:t xml:space="preserve"> </w:t>
      </w:r>
      <w:r w:rsidRPr="009E674D">
        <w:rPr>
          <w:rFonts w:eastAsia="Calibri" w:cstheme="minorHAnsi"/>
          <w:lang w:val="sq-AL"/>
        </w:rPr>
        <w:t xml:space="preserve">në ekonomi. </w:t>
      </w:r>
      <w:r w:rsidR="00992DF8" w:rsidRPr="009E674D">
        <w:rPr>
          <w:rFonts w:eastAsia="Calibri" w:cstheme="minorHAnsi"/>
          <w:lang w:val="sq-AL"/>
        </w:rPr>
        <w:t xml:space="preserve">Në anën tjetër, </w:t>
      </w:r>
      <w:r w:rsidRPr="009E674D">
        <w:rPr>
          <w:rFonts w:eastAsia="Calibri" w:cstheme="minorHAnsi"/>
          <w:lang w:val="sq-AL"/>
        </w:rPr>
        <w:t>dy sektorë</w:t>
      </w:r>
      <w:r w:rsidR="00992DF8" w:rsidRPr="009E674D">
        <w:rPr>
          <w:rFonts w:eastAsia="Calibri" w:cstheme="minorHAnsi"/>
          <w:lang w:val="sq-AL"/>
        </w:rPr>
        <w:t xml:space="preserve"> shumë të rëndësishëm dhe me potencial për zhvillim ekonomik,</w:t>
      </w:r>
      <w:r w:rsidRPr="009E674D">
        <w:rPr>
          <w:rFonts w:eastAsia="Calibri" w:cstheme="minorHAnsi"/>
          <w:lang w:val="sq-AL"/>
        </w:rPr>
        <w:t xml:space="preserve"> prodhimi</w:t>
      </w:r>
      <w:r w:rsidR="00992DF8" w:rsidRPr="009E674D">
        <w:rPr>
          <w:rFonts w:eastAsia="Calibri" w:cstheme="minorHAnsi"/>
          <w:lang w:val="sq-AL"/>
        </w:rPr>
        <w:t xml:space="preserve"> (përpunimi)</w:t>
      </w:r>
      <w:r w:rsidRPr="009E674D">
        <w:rPr>
          <w:rFonts w:eastAsia="Calibri" w:cstheme="minorHAnsi"/>
          <w:lang w:val="sq-AL"/>
        </w:rPr>
        <w:t xml:space="preserve"> dhe teknologjia e informimit dhe komunikimit (TIK), </w:t>
      </w:r>
      <w:r w:rsidR="00992DF8" w:rsidRPr="009E674D">
        <w:rPr>
          <w:rFonts w:eastAsia="Calibri" w:cstheme="minorHAnsi"/>
          <w:lang w:val="sq-AL"/>
        </w:rPr>
        <w:t>nuk kanë arritur të thithin më shumë se</w:t>
      </w:r>
      <w:r w:rsidRPr="009E674D">
        <w:rPr>
          <w:rFonts w:eastAsia="Calibri" w:cstheme="minorHAnsi"/>
          <w:lang w:val="sq-AL"/>
        </w:rPr>
        <w:t xml:space="preserve"> 3.3% të totalit të IHD-ve në vitin 2021.</w:t>
      </w:r>
      <w:r w:rsidRPr="009E674D">
        <w:rPr>
          <w:rStyle w:val="FootnoteReference"/>
          <w:rFonts w:eastAsia="Calibri" w:cstheme="minorHAnsi"/>
          <w:lang w:val="sq-AL"/>
        </w:rPr>
        <w:footnoteReference w:id="2"/>
      </w:r>
    </w:p>
    <w:p w14:paraId="07ABA341" w14:textId="08BDF593" w:rsidR="00C6560E" w:rsidRPr="009E674D" w:rsidRDefault="00992DF8" w:rsidP="006B5484">
      <w:pPr>
        <w:pStyle w:val="NoSpacing"/>
        <w:spacing w:before="240"/>
        <w:jc w:val="both"/>
        <w:rPr>
          <w:rFonts w:cstheme="minorHAnsi"/>
          <w:lang w:val="sq-AL"/>
        </w:rPr>
      </w:pPr>
      <w:r w:rsidRPr="009E674D">
        <w:rPr>
          <w:rFonts w:cstheme="minorHAnsi"/>
          <w:lang w:val="sq-AL"/>
        </w:rPr>
        <w:t>Rritja ekonomike e p</w:t>
      </w:r>
      <w:r w:rsidRPr="009E674D">
        <w:rPr>
          <w:rFonts w:eastAsia="Calibri" w:cstheme="minorHAnsi"/>
          <w:lang w:val="sq-AL"/>
        </w:rPr>
        <w:t xml:space="preserve">ërshkruar </w:t>
      </w:r>
      <w:r w:rsidR="00953CFF">
        <w:rPr>
          <w:rFonts w:eastAsia="Calibri" w:cstheme="minorHAnsi"/>
          <w:lang w:val="sq-AL"/>
        </w:rPr>
        <w:t xml:space="preserve">më </w:t>
      </w:r>
      <w:r w:rsidRPr="009E674D">
        <w:rPr>
          <w:rFonts w:eastAsia="Calibri" w:cstheme="minorHAnsi"/>
          <w:lang w:val="sq-AL"/>
        </w:rPr>
        <w:t>sipër</w:t>
      </w:r>
      <w:r w:rsidR="00953CFF">
        <w:rPr>
          <w:rFonts w:eastAsia="Calibri" w:cstheme="minorHAnsi"/>
          <w:lang w:val="sq-AL"/>
        </w:rPr>
        <w:t>,</w:t>
      </w:r>
      <w:r w:rsidR="00C6560E" w:rsidRPr="009E674D">
        <w:rPr>
          <w:rFonts w:cstheme="minorHAnsi"/>
          <w:lang w:val="sq-AL"/>
        </w:rPr>
        <w:t xml:space="preserve"> nuk është përkthyer në përmirësim të ndjeshëm të parametrave zhvillimorë. </w:t>
      </w:r>
      <w:r w:rsidR="006960A6" w:rsidRPr="009E674D">
        <w:rPr>
          <w:rFonts w:cstheme="minorHAnsi"/>
          <w:lang w:val="sq-AL"/>
        </w:rPr>
        <w:t>Pavar</w:t>
      </w:r>
      <w:r w:rsidR="006960A6" w:rsidRPr="009E674D">
        <w:rPr>
          <w:rFonts w:eastAsia="Calibri" w:cstheme="minorHAnsi"/>
          <w:lang w:val="sq-AL"/>
        </w:rPr>
        <w:t xml:space="preserve">ësisht përqindjes së lartë </w:t>
      </w:r>
      <w:r w:rsidR="00C6560E" w:rsidRPr="009E674D">
        <w:rPr>
          <w:rFonts w:cstheme="minorHAnsi"/>
          <w:lang w:val="sq-AL"/>
        </w:rPr>
        <w:t>të popullsisë në moshë pune (rreth 65%), Kosova vazhdon të ketë papunësinë më të lartë</w:t>
      </w:r>
      <w:r w:rsidR="006960A6" w:rsidRPr="009E674D">
        <w:rPr>
          <w:rFonts w:cstheme="minorHAnsi"/>
          <w:lang w:val="sq-AL"/>
        </w:rPr>
        <w:t xml:space="preserve"> në Evropë, me një normë mesatare prej 26.4% në pes</w:t>
      </w:r>
      <w:r w:rsidR="006960A6" w:rsidRPr="009E674D">
        <w:rPr>
          <w:rFonts w:eastAsia="Calibri" w:cstheme="minorHAnsi"/>
          <w:lang w:val="sq-AL"/>
        </w:rPr>
        <w:t>ë vitet e fundit</w:t>
      </w:r>
      <w:r w:rsidR="00C6560E" w:rsidRPr="009E674D">
        <w:rPr>
          <w:rFonts w:cstheme="minorHAnsi"/>
          <w:lang w:val="sq-AL"/>
        </w:rPr>
        <w:t>.</w:t>
      </w:r>
      <w:r w:rsidR="006960A6" w:rsidRPr="009E674D">
        <w:rPr>
          <w:rFonts w:cstheme="minorHAnsi"/>
          <w:lang w:val="sq-AL"/>
        </w:rPr>
        <w:t xml:space="preserve"> Duhet theksuar se n</w:t>
      </w:r>
      <w:r w:rsidR="006960A6" w:rsidRPr="009E674D">
        <w:rPr>
          <w:rFonts w:eastAsia="Calibri" w:cstheme="minorHAnsi"/>
          <w:lang w:val="sq-AL"/>
        </w:rPr>
        <w:t xml:space="preserve">ë vitin e fundit, si rezultat i </w:t>
      </w:r>
      <w:r w:rsidR="00953CFF">
        <w:rPr>
          <w:rFonts w:eastAsia="Calibri" w:cstheme="minorHAnsi"/>
          <w:lang w:val="sq-AL"/>
        </w:rPr>
        <w:t>“</w:t>
      </w:r>
      <w:r w:rsidR="006960A6" w:rsidRPr="009E674D">
        <w:rPr>
          <w:rFonts w:eastAsia="Calibri" w:cstheme="minorHAnsi"/>
          <w:lang w:val="sq-AL"/>
        </w:rPr>
        <w:t>bumit post-pandemik</w:t>
      </w:r>
      <w:r w:rsidR="00953CFF">
        <w:rPr>
          <w:rFonts w:eastAsia="Calibri" w:cstheme="minorHAnsi"/>
          <w:lang w:val="sq-AL"/>
        </w:rPr>
        <w:t>”</w:t>
      </w:r>
      <w:r w:rsidR="006960A6" w:rsidRPr="009E674D">
        <w:rPr>
          <w:rFonts w:eastAsia="Calibri" w:cstheme="minorHAnsi"/>
          <w:lang w:val="sq-AL"/>
        </w:rPr>
        <w:t xml:space="preserve">, është </w:t>
      </w:r>
      <w:r w:rsidR="006B5484" w:rsidRPr="009E674D">
        <w:rPr>
          <w:rFonts w:eastAsia="Calibri" w:cstheme="minorHAnsi"/>
          <w:lang w:val="sq-AL"/>
        </w:rPr>
        <w:t xml:space="preserve">shënuar një </w:t>
      </w:r>
      <w:r w:rsidR="006960A6" w:rsidRPr="009E674D">
        <w:rPr>
          <w:rFonts w:eastAsia="Calibri" w:cstheme="minorHAnsi"/>
          <w:lang w:val="sq-AL"/>
        </w:rPr>
        <w:t>rënie relativisht e kënaqshme</w:t>
      </w:r>
      <w:r w:rsidR="006B5484" w:rsidRPr="009E674D">
        <w:rPr>
          <w:rFonts w:eastAsia="Calibri" w:cstheme="minorHAnsi"/>
          <w:lang w:val="sq-AL"/>
        </w:rPr>
        <w:t>.</w:t>
      </w:r>
      <w:r w:rsidR="00C6560E" w:rsidRPr="009E674D">
        <w:rPr>
          <w:rFonts w:cstheme="minorHAnsi"/>
          <w:lang w:val="sq-AL"/>
        </w:rPr>
        <w:t xml:space="preserve"> </w:t>
      </w:r>
      <w:r w:rsidR="006960A6" w:rsidRPr="009E674D">
        <w:rPr>
          <w:rFonts w:cstheme="minorHAnsi"/>
          <w:lang w:val="sq-AL"/>
        </w:rPr>
        <w:t>Papun</w:t>
      </w:r>
      <w:r w:rsidR="006960A6" w:rsidRPr="009E674D">
        <w:rPr>
          <w:rFonts w:eastAsia="Calibri" w:cstheme="minorHAnsi"/>
          <w:lang w:val="sq-AL"/>
        </w:rPr>
        <w:t xml:space="preserve">ësia </w:t>
      </w:r>
      <w:r w:rsidR="00C6560E" w:rsidRPr="009E674D">
        <w:rPr>
          <w:rFonts w:cstheme="minorHAnsi"/>
          <w:lang w:val="sq-AL"/>
        </w:rPr>
        <w:t>është posaçërisht e</w:t>
      </w:r>
      <w:r w:rsidR="006960A6" w:rsidRPr="009E674D">
        <w:rPr>
          <w:rFonts w:cstheme="minorHAnsi"/>
          <w:lang w:val="sq-AL"/>
        </w:rPr>
        <w:t xml:space="preserve"> theksuar tek të rinjtë dhe gratë, </w:t>
      </w:r>
      <w:r w:rsidR="00B7322D">
        <w:rPr>
          <w:rFonts w:cstheme="minorHAnsi"/>
          <w:lang w:val="sq-AL"/>
        </w:rPr>
        <w:t xml:space="preserve">ku </w:t>
      </w:r>
      <w:r w:rsidR="006960A6" w:rsidRPr="009E674D">
        <w:rPr>
          <w:rFonts w:cstheme="minorHAnsi"/>
          <w:lang w:val="sq-AL"/>
        </w:rPr>
        <w:t>mesatarja e pes</w:t>
      </w:r>
      <w:r w:rsidR="006960A6" w:rsidRPr="009E674D">
        <w:rPr>
          <w:rFonts w:eastAsia="Calibri" w:cstheme="minorHAnsi"/>
          <w:lang w:val="sq-AL"/>
        </w:rPr>
        <w:t>ë vjetëve të fundit është</w:t>
      </w:r>
      <w:r w:rsidR="006B5484" w:rsidRPr="009E674D">
        <w:rPr>
          <w:rFonts w:eastAsia="Calibri" w:cstheme="minorHAnsi"/>
          <w:lang w:val="sq-AL"/>
        </w:rPr>
        <w:t xml:space="preserve"> 48.7%, respektivisht</w:t>
      </w:r>
      <w:r w:rsidR="006960A6" w:rsidRPr="009E674D">
        <w:rPr>
          <w:rFonts w:eastAsia="Calibri" w:cstheme="minorHAnsi"/>
          <w:lang w:val="sq-AL"/>
        </w:rPr>
        <w:t xml:space="preserve"> 32.7%</w:t>
      </w:r>
      <w:r w:rsidR="00C6560E" w:rsidRPr="009E674D">
        <w:rPr>
          <w:rFonts w:cstheme="minorHAnsi"/>
          <w:lang w:val="sq-AL"/>
        </w:rPr>
        <w:t xml:space="preserve">. </w:t>
      </w:r>
      <w:r w:rsidR="006B5484" w:rsidRPr="009E674D">
        <w:rPr>
          <w:rFonts w:cstheme="minorHAnsi"/>
          <w:lang w:val="sq-AL"/>
        </w:rPr>
        <w:t>Krahas papun</w:t>
      </w:r>
      <w:r w:rsidR="006B5484" w:rsidRPr="009E674D">
        <w:rPr>
          <w:rFonts w:eastAsia="Calibri" w:cstheme="minorHAnsi"/>
          <w:lang w:val="sq-AL"/>
        </w:rPr>
        <w:t>ësisë së lartë</w:t>
      </w:r>
      <w:r w:rsidR="00C6560E" w:rsidRPr="009E674D">
        <w:rPr>
          <w:rFonts w:cstheme="minorHAnsi"/>
          <w:lang w:val="sq-AL"/>
        </w:rPr>
        <w:t>, Kosova ka nivel të lartë të pasiviteti</w:t>
      </w:r>
      <w:r w:rsidR="006B5484" w:rsidRPr="009E674D">
        <w:rPr>
          <w:rFonts w:cstheme="minorHAnsi"/>
          <w:lang w:val="sq-AL"/>
        </w:rPr>
        <w:t xml:space="preserve">t në tregun e punës, </w:t>
      </w:r>
      <w:r w:rsidR="00B7322D">
        <w:rPr>
          <w:rFonts w:cstheme="minorHAnsi"/>
          <w:lang w:val="sq-AL"/>
        </w:rPr>
        <w:t xml:space="preserve">ku </w:t>
      </w:r>
      <w:r w:rsidR="006B5484" w:rsidRPr="009E674D">
        <w:rPr>
          <w:rFonts w:cstheme="minorHAnsi"/>
          <w:lang w:val="sq-AL"/>
        </w:rPr>
        <w:t>vetëm 40.3</w:t>
      </w:r>
      <w:r w:rsidR="00C6560E" w:rsidRPr="009E674D">
        <w:rPr>
          <w:rFonts w:cstheme="minorHAnsi"/>
          <w:lang w:val="sq-AL"/>
        </w:rPr>
        <w:t>% e popull</w:t>
      </w:r>
      <w:r w:rsidR="006B5484" w:rsidRPr="009E674D">
        <w:rPr>
          <w:rFonts w:cstheme="minorHAnsi"/>
          <w:lang w:val="sq-AL"/>
        </w:rPr>
        <w:t>sisë në moshë pune ishin</w:t>
      </w:r>
      <w:r w:rsidR="00C6560E" w:rsidRPr="009E674D">
        <w:rPr>
          <w:rFonts w:cstheme="minorHAnsi"/>
          <w:lang w:val="sq-AL"/>
        </w:rPr>
        <w:t xml:space="preserve"> aktiv</w:t>
      </w:r>
      <w:r w:rsidR="006B5484" w:rsidRPr="009E674D">
        <w:rPr>
          <w:rFonts w:cstheme="minorHAnsi"/>
          <w:lang w:val="sq-AL"/>
        </w:rPr>
        <w:t xml:space="preserve"> n</w:t>
      </w:r>
      <w:r w:rsidR="006B5484" w:rsidRPr="009E674D">
        <w:rPr>
          <w:rFonts w:eastAsia="Calibri" w:cstheme="minorHAnsi"/>
          <w:lang w:val="sq-AL"/>
        </w:rPr>
        <w:t>ë periudhën 2017-2021</w:t>
      </w:r>
      <w:r w:rsidR="006B5484" w:rsidRPr="009E674D">
        <w:rPr>
          <w:rFonts w:cstheme="minorHAnsi"/>
          <w:lang w:val="sq-AL"/>
        </w:rPr>
        <w:t>. Gjithashtu, Kosova vlerësohet të jetë shteti më i varfër në Evropë</w:t>
      </w:r>
      <w:r w:rsidR="003113A4" w:rsidRPr="009E674D">
        <w:rPr>
          <w:rFonts w:cstheme="minorHAnsi"/>
          <w:lang w:val="sq-AL"/>
        </w:rPr>
        <w:t>.</w:t>
      </w:r>
    </w:p>
    <w:p w14:paraId="5EA2AE15" w14:textId="77777777" w:rsidR="00C6560E" w:rsidRPr="009E674D" w:rsidRDefault="00C6560E" w:rsidP="002D6291">
      <w:pPr>
        <w:pStyle w:val="NoSpacing"/>
        <w:spacing w:before="240"/>
        <w:jc w:val="both"/>
        <w:rPr>
          <w:rFonts w:ascii="Book Antiqua" w:hAnsi="Book Antiqua"/>
          <w:lang w:val="sq-AL"/>
        </w:rPr>
      </w:pPr>
    </w:p>
    <w:p w14:paraId="21FD41AF" w14:textId="77777777" w:rsidR="002D6291" w:rsidRPr="009E674D" w:rsidRDefault="002D6291" w:rsidP="002D6291">
      <w:pPr>
        <w:pStyle w:val="NoSpacing"/>
        <w:spacing w:before="240"/>
        <w:jc w:val="both"/>
        <w:rPr>
          <w:rFonts w:ascii="Book Antiqua" w:hAnsi="Book Antiqua"/>
          <w:lang w:val="sq-AL"/>
        </w:rPr>
      </w:pPr>
    </w:p>
    <w:p w14:paraId="0BCD9930" w14:textId="77777777" w:rsidR="002D6291" w:rsidRPr="009E674D" w:rsidRDefault="002D6291" w:rsidP="002D6291">
      <w:pPr>
        <w:pStyle w:val="NoSpacing"/>
        <w:spacing w:before="240"/>
        <w:jc w:val="both"/>
        <w:rPr>
          <w:rFonts w:ascii="Book Antiqua" w:hAnsi="Book Antiqua"/>
          <w:lang w:val="sq-AL"/>
        </w:rPr>
      </w:pPr>
    </w:p>
    <w:p w14:paraId="697A8C45" w14:textId="77777777" w:rsidR="0087131E" w:rsidRPr="009E674D" w:rsidRDefault="0087131E" w:rsidP="0087131E">
      <w:pPr>
        <w:pStyle w:val="NoSpacing"/>
        <w:spacing w:before="240"/>
        <w:jc w:val="both"/>
        <w:rPr>
          <w:rFonts w:ascii="Book Antiqua" w:hAnsi="Book Antiqua"/>
          <w:lang w:val="sq-AL"/>
        </w:rPr>
      </w:pPr>
    </w:p>
    <w:p w14:paraId="1D6417FF" w14:textId="77777777" w:rsidR="009F5273" w:rsidRPr="009E674D" w:rsidRDefault="009F5273" w:rsidP="0087131E">
      <w:pPr>
        <w:pStyle w:val="NoSpacing"/>
        <w:spacing w:before="240"/>
        <w:jc w:val="both"/>
        <w:rPr>
          <w:rFonts w:ascii="Book Antiqua" w:hAnsi="Book Antiqua"/>
          <w:lang w:val="sq-AL"/>
        </w:rPr>
      </w:pPr>
    </w:p>
    <w:p w14:paraId="23F95ED1" w14:textId="77777777" w:rsidR="0087131E" w:rsidRPr="009E674D" w:rsidRDefault="0087131E" w:rsidP="00A55102">
      <w:pPr>
        <w:pStyle w:val="NoSpacing"/>
        <w:spacing w:before="240"/>
        <w:jc w:val="both"/>
        <w:rPr>
          <w:rFonts w:ascii="Book Antiqua" w:hAnsi="Book Antiqua"/>
          <w:lang w:val="sq-AL"/>
        </w:rPr>
      </w:pPr>
    </w:p>
    <w:p w14:paraId="30B72ED9" w14:textId="77777777" w:rsidR="00875E6C" w:rsidRPr="009E674D" w:rsidRDefault="00875E6C" w:rsidP="00875E6C">
      <w:pPr>
        <w:pStyle w:val="Heading1"/>
        <w:numPr>
          <w:ilvl w:val="0"/>
          <w:numId w:val="12"/>
        </w:numPr>
        <w:rPr>
          <w:b/>
          <w:lang w:val="sq-AL"/>
        </w:rPr>
      </w:pPr>
      <w:bookmarkStart w:id="6" w:name="_Toc132188427"/>
      <w:r w:rsidRPr="009E674D">
        <w:rPr>
          <w:b/>
          <w:lang w:val="sq-AL"/>
        </w:rPr>
        <w:lastRenderedPageBreak/>
        <w:t>Analiza SWOT</w:t>
      </w:r>
      <w:bookmarkEnd w:id="6"/>
    </w:p>
    <w:p w14:paraId="7E8D1A23" w14:textId="77777777" w:rsidR="00875E6C" w:rsidRPr="009E674D" w:rsidRDefault="00875E6C" w:rsidP="00875E6C">
      <w:pPr>
        <w:rPr>
          <w:lang w:val="sq-AL"/>
        </w:rPr>
      </w:pPr>
    </w:p>
    <w:tbl>
      <w:tblPr>
        <w:tblStyle w:val="TableGrid"/>
        <w:tblW w:w="0" w:type="auto"/>
        <w:jc w:val="center"/>
        <w:tblLook w:val="04A0" w:firstRow="1" w:lastRow="0" w:firstColumn="1" w:lastColumn="0" w:noHBand="0" w:noVBand="1"/>
      </w:tblPr>
      <w:tblGrid>
        <w:gridCol w:w="4675"/>
        <w:gridCol w:w="4675"/>
      </w:tblGrid>
      <w:tr w:rsidR="00875E6C" w:rsidRPr="009E674D" w14:paraId="119EC1A3" w14:textId="77777777" w:rsidTr="008852AE">
        <w:trPr>
          <w:trHeight w:val="215"/>
          <w:jc w:val="center"/>
        </w:trPr>
        <w:tc>
          <w:tcPr>
            <w:tcW w:w="4675" w:type="dxa"/>
            <w:shd w:val="clear" w:color="auto" w:fill="BDD6EE" w:themeFill="accent1" w:themeFillTint="66"/>
          </w:tcPr>
          <w:p w14:paraId="0630B2B8" w14:textId="77777777" w:rsidR="00875E6C" w:rsidRPr="009E674D" w:rsidRDefault="00875E6C" w:rsidP="008852AE">
            <w:pPr>
              <w:jc w:val="center"/>
              <w:rPr>
                <w:rFonts w:ascii="Book Antiqua" w:hAnsi="Book Antiqua" w:cs="Arial"/>
                <w:b/>
                <w:color w:val="000000" w:themeColor="text1"/>
                <w:sz w:val="24"/>
                <w:szCs w:val="24"/>
                <w:lang w:val="sq-AL"/>
              </w:rPr>
            </w:pPr>
            <w:r w:rsidRPr="009E674D">
              <w:rPr>
                <w:rFonts w:ascii="Book Antiqua" w:hAnsi="Book Antiqua" w:cs="Arial"/>
                <w:b/>
                <w:color w:val="000000" w:themeColor="text1"/>
                <w:sz w:val="24"/>
                <w:szCs w:val="24"/>
                <w:lang w:val="sq-AL"/>
              </w:rPr>
              <w:t>Përparësitë</w:t>
            </w:r>
          </w:p>
        </w:tc>
        <w:tc>
          <w:tcPr>
            <w:tcW w:w="4675" w:type="dxa"/>
            <w:shd w:val="clear" w:color="auto" w:fill="BDD6EE" w:themeFill="accent1" w:themeFillTint="66"/>
          </w:tcPr>
          <w:p w14:paraId="1544F604" w14:textId="77777777" w:rsidR="00875E6C" w:rsidRPr="009E674D" w:rsidRDefault="00875E6C" w:rsidP="008852AE">
            <w:pPr>
              <w:jc w:val="center"/>
              <w:rPr>
                <w:rFonts w:ascii="Book Antiqua" w:hAnsi="Book Antiqua" w:cs="Arial"/>
                <w:b/>
                <w:color w:val="000000" w:themeColor="text1"/>
                <w:sz w:val="24"/>
                <w:szCs w:val="24"/>
                <w:lang w:val="sq-AL"/>
              </w:rPr>
            </w:pPr>
            <w:r w:rsidRPr="009E674D">
              <w:rPr>
                <w:rFonts w:ascii="Book Antiqua" w:hAnsi="Book Antiqua" w:cs="Arial"/>
                <w:b/>
                <w:color w:val="000000" w:themeColor="text1"/>
                <w:sz w:val="24"/>
                <w:szCs w:val="24"/>
                <w:lang w:val="sq-AL"/>
              </w:rPr>
              <w:t xml:space="preserve"> Dobësitë</w:t>
            </w:r>
          </w:p>
        </w:tc>
      </w:tr>
      <w:tr w:rsidR="00875E6C" w:rsidRPr="009E674D" w14:paraId="7A449471" w14:textId="77777777" w:rsidTr="008852AE">
        <w:trPr>
          <w:trHeight w:val="2420"/>
          <w:jc w:val="center"/>
        </w:trPr>
        <w:tc>
          <w:tcPr>
            <w:tcW w:w="4675" w:type="dxa"/>
          </w:tcPr>
          <w:p w14:paraId="127736F3" w14:textId="5BC7282A"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 xml:space="preserve">Infrastruktura ligjore </w:t>
            </w:r>
          </w:p>
          <w:p w14:paraId="0283CC9E" w14:textId="3532BECF"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Burimet e informacionit për potencialet ekonomike</w:t>
            </w:r>
          </w:p>
          <w:p w14:paraId="154D6FB1" w14:textId="2D93809B"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 xml:space="preserve">Infrastruktura rrugore e zhvilluar në komunat më të mëdha </w:t>
            </w:r>
          </w:p>
          <w:p w14:paraId="56C285CF" w14:textId="3757BB56"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Fuqia e re punëtore me potencial për punë</w:t>
            </w:r>
          </w:p>
          <w:p w14:paraId="7F9442FE" w14:textId="0698E412"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Prezenca e qendrave për aftësim profesional</w:t>
            </w:r>
          </w:p>
          <w:p w14:paraId="75DB0095" w14:textId="607642D2"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Potencialet natyrore për zhvillim të turizmit</w:t>
            </w:r>
          </w:p>
          <w:p w14:paraId="6DB24D23" w14:textId="36D6D896"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Siguria financiare për funksionim bazë të komunës</w:t>
            </w:r>
          </w:p>
          <w:p w14:paraId="6C461F0A" w14:textId="5A0E21B1"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Lehtësirat ligjore për shfrytëzim të pronës komunale nga investitorët</w:t>
            </w:r>
          </w:p>
          <w:p w14:paraId="5921AF0E" w14:textId="327EB2A8"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Zyrat komunale për ofrim të asistencës për çështje bujqësore</w:t>
            </w:r>
          </w:p>
          <w:p w14:paraId="7C457FA1" w14:textId="7283D7D6"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 xml:space="preserve">Projektet aktuale për bashkëpunim ndërkufitar, sidomos në fushën e turizmit </w:t>
            </w:r>
          </w:p>
          <w:p w14:paraId="113E31A3" w14:textId="77777777" w:rsidR="00875E6C" w:rsidRPr="009E674D" w:rsidRDefault="00875E6C" w:rsidP="008852AE">
            <w:pPr>
              <w:pStyle w:val="ListParagraph"/>
              <w:spacing w:line="240" w:lineRule="auto"/>
              <w:rPr>
                <w:rFonts w:cstheme="minorHAnsi"/>
                <w:color w:val="000000" w:themeColor="text1"/>
                <w:sz w:val="22"/>
                <w:szCs w:val="24"/>
                <w:lang w:val="sq-AL"/>
              </w:rPr>
            </w:pPr>
          </w:p>
          <w:p w14:paraId="1A02EE4B" w14:textId="77777777" w:rsidR="00875E6C" w:rsidRPr="009E674D" w:rsidRDefault="00875E6C" w:rsidP="008852AE">
            <w:pPr>
              <w:ind w:left="360"/>
              <w:jc w:val="both"/>
              <w:rPr>
                <w:rFonts w:cstheme="minorHAnsi"/>
                <w:color w:val="000000" w:themeColor="text1"/>
                <w:szCs w:val="24"/>
                <w:lang w:val="sq-AL"/>
              </w:rPr>
            </w:pPr>
          </w:p>
        </w:tc>
        <w:tc>
          <w:tcPr>
            <w:tcW w:w="4675" w:type="dxa"/>
          </w:tcPr>
          <w:p w14:paraId="7D7C6FEF" w14:textId="16C27D2C"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 xml:space="preserve">Mungesa kapaciteteve profesionale për hartim të politikave të zhvillimit ekonomik lokal </w:t>
            </w:r>
          </w:p>
          <w:p w14:paraId="29DF28F9" w14:textId="19317ADC"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Inkasimi i të hyrave vetanake vjetore nën nivelin e planifikuar</w:t>
            </w:r>
          </w:p>
          <w:p w14:paraId="7133A9C0" w14:textId="2A54B46C"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Varësia e madhe buxhetore në grantet qeveritare</w:t>
            </w:r>
          </w:p>
          <w:p w14:paraId="66042E06" w14:textId="3C8968AB"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Lëvizjet demografike që reflektohen në ndarje buxhetore</w:t>
            </w:r>
          </w:p>
          <w:p w14:paraId="49667F03" w14:textId="007B41F5"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Mosfunksionalizimi i zonave ekonomike</w:t>
            </w:r>
          </w:p>
          <w:p w14:paraId="7C235FF7" w14:textId="64A09900"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 xml:space="preserve">Përkrahja e kufizuar e turizmit dhe bujqësië </w:t>
            </w:r>
          </w:p>
          <w:p w14:paraId="74258AAD" w14:textId="78032086"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Përgatitja jo e duhur e fuqisë punëtore për t’i përmbushur nevojat e tregut</w:t>
            </w:r>
          </w:p>
          <w:p w14:paraId="5F460A1A" w14:textId="6553371D"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Pengesat që ndërlidhen me definimin e titujve pronësor</w:t>
            </w:r>
            <w:r w:rsidR="00776E09">
              <w:rPr>
                <w:rFonts w:cstheme="minorHAnsi"/>
                <w:color w:val="000000" w:themeColor="text1"/>
                <w:sz w:val="22"/>
                <w:szCs w:val="24"/>
                <w:lang w:val="sq-AL"/>
              </w:rPr>
              <w:t>ë</w:t>
            </w:r>
            <w:r w:rsidRPr="009E674D">
              <w:rPr>
                <w:rFonts w:cstheme="minorHAnsi"/>
                <w:color w:val="000000" w:themeColor="text1"/>
                <w:sz w:val="22"/>
                <w:szCs w:val="24"/>
                <w:lang w:val="sq-AL"/>
              </w:rPr>
              <w:t xml:space="preserve"> </w:t>
            </w:r>
          </w:p>
          <w:p w14:paraId="1CFE8002" w14:textId="7C86A1D1"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Menaxhimi jo i duhur i pronës komunale</w:t>
            </w:r>
          </w:p>
          <w:p w14:paraId="6A818A2A" w14:textId="0F3157C8"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Mungesa e pronës komunale për ta shfrytëzuar për qëllime investuese</w:t>
            </w:r>
          </w:p>
          <w:p w14:paraId="069E6B5E" w14:textId="1A4B0327"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Definimi jo i qartë i kompetencave në mes të nivelit lokal dhe qendror</w:t>
            </w:r>
          </w:p>
          <w:p w14:paraId="06899D2A" w14:textId="5D93F19A"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Mungesa e bashkëpunimit dhe koordinimit në mes komunave dhe me nivelin qendror</w:t>
            </w:r>
          </w:p>
          <w:p w14:paraId="685F0795" w14:textId="0B116C4B" w:rsidR="00875E6C" w:rsidRPr="009E674D" w:rsidRDefault="00875E6C" w:rsidP="008852AE">
            <w:pPr>
              <w:pStyle w:val="ListParagraph"/>
              <w:numPr>
                <w:ilvl w:val="0"/>
                <w:numId w:val="4"/>
              </w:numPr>
              <w:spacing w:line="240" w:lineRule="auto"/>
              <w:rPr>
                <w:rFonts w:cstheme="minorHAnsi"/>
                <w:color w:val="000000" w:themeColor="text1"/>
                <w:sz w:val="22"/>
                <w:szCs w:val="24"/>
                <w:lang w:val="sq-AL"/>
              </w:rPr>
            </w:pPr>
            <w:r w:rsidRPr="009E674D">
              <w:rPr>
                <w:rFonts w:cstheme="minorHAnsi"/>
                <w:color w:val="000000" w:themeColor="text1"/>
                <w:sz w:val="22"/>
                <w:szCs w:val="24"/>
                <w:lang w:val="sq-AL"/>
              </w:rPr>
              <w:t>Mungesa e shkathtësive në tregun e punës për përmbushje të nevojave të sektorit privat</w:t>
            </w:r>
          </w:p>
          <w:p w14:paraId="20B2C93B" w14:textId="20DB44B9"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Fragmentarizmi i parcelave bujqësore</w:t>
            </w:r>
          </w:p>
          <w:p w14:paraId="05DE97B5" w14:textId="576CC598"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ascii="Calibri" w:hAnsi="Calibri" w:cs="Calibri"/>
                <w:color w:val="000000"/>
                <w:sz w:val="22"/>
                <w:szCs w:val="22"/>
                <w:lang w:val="sq-AL"/>
              </w:rPr>
              <w:t>Mungesa e infrastrukturës dhe vetëdijesimit për riciklimin dhe ripërdorimin e mbeturinave</w:t>
            </w:r>
          </w:p>
          <w:p w14:paraId="476EA1DE" w14:textId="7CC86FF2" w:rsidR="00875E6C" w:rsidRPr="009E674D" w:rsidRDefault="00875E6C" w:rsidP="008852AE">
            <w:pPr>
              <w:pStyle w:val="ListParagraph"/>
              <w:numPr>
                <w:ilvl w:val="0"/>
                <w:numId w:val="4"/>
              </w:numPr>
              <w:spacing w:line="240" w:lineRule="auto"/>
              <w:jc w:val="both"/>
              <w:rPr>
                <w:rFonts w:cstheme="minorHAnsi"/>
                <w:color w:val="000000" w:themeColor="text1"/>
                <w:sz w:val="22"/>
                <w:szCs w:val="24"/>
                <w:lang w:val="sq-AL"/>
              </w:rPr>
            </w:pPr>
            <w:r w:rsidRPr="009E674D">
              <w:rPr>
                <w:rFonts w:cstheme="minorHAnsi"/>
                <w:color w:val="000000" w:themeColor="text1"/>
                <w:sz w:val="22"/>
                <w:szCs w:val="24"/>
                <w:lang w:val="sq-AL"/>
              </w:rPr>
              <w:t>Mungesa e planifikimi të përgjegjshëm urban</w:t>
            </w:r>
          </w:p>
        </w:tc>
      </w:tr>
      <w:tr w:rsidR="00875E6C" w:rsidRPr="009E674D" w14:paraId="20FF79FC" w14:textId="77777777" w:rsidTr="008852AE">
        <w:trPr>
          <w:trHeight w:val="269"/>
          <w:jc w:val="center"/>
        </w:trPr>
        <w:tc>
          <w:tcPr>
            <w:tcW w:w="4675" w:type="dxa"/>
            <w:shd w:val="clear" w:color="auto" w:fill="BDD6EE" w:themeFill="accent1" w:themeFillTint="66"/>
          </w:tcPr>
          <w:p w14:paraId="33FFA83D" w14:textId="77777777" w:rsidR="00875E6C" w:rsidRPr="009E674D" w:rsidRDefault="00875E6C" w:rsidP="008852AE">
            <w:pPr>
              <w:jc w:val="center"/>
              <w:rPr>
                <w:rFonts w:ascii="Book Antiqua" w:hAnsi="Book Antiqua" w:cs="Arial"/>
                <w:b/>
                <w:color w:val="000000" w:themeColor="text1"/>
                <w:sz w:val="24"/>
                <w:szCs w:val="24"/>
                <w:lang w:val="sq-AL"/>
              </w:rPr>
            </w:pPr>
            <w:r w:rsidRPr="009E674D">
              <w:rPr>
                <w:rFonts w:ascii="Book Antiqua" w:hAnsi="Book Antiqua" w:cs="Arial"/>
                <w:b/>
                <w:color w:val="000000" w:themeColor="text1"/>
                <w:sz w:val="24"/>
                <w:szCs w:val="24"/>
                <w:lang w:val="sq-AL"/>
              </w:rPr>
              <w:t>Rreziqet</w:t>
            </w:r>
          </w:p>
        </w:tc>
        <w:tc>
          <w:tcPr>
            <w:tcW w:w="4675" w:type="dxa"/>
            <w:shd w:val="clear" w:color="auto" w:fill="BDD6EE" w:themeFill="accent1" w:themeFillTint="66"/>
          </w:tcPr>
          <w:p w14:paraId="71E6094B" w14:textId="77777777" w:rsidR="00875E6C" w:rsidRPr="009E674D" w:rsidRDefault="00875E6C" w:rsidP="008852AE">
            <w:pPr>
              <w:jc w:val="center"/>
              <w:rPr>
                <w:rFonts w:ascii="Book Antiqua" w:hAnsi="Book Antiqua" w:cs="Arial"/>
                <w:b/>
                <w:color w:val="000000" w:themeColor="text1"/>
                <w:sz w:val="24"/>
                <w:szCs w:val="24"/>
                <w:lang w:val="sq-AL"/>
              </w:rPr>
            </w:pPr>
            <w:r w:rsidRPr="009E674D">
              <w:rPr>
                <w:rFonts w:ascii="Book Antiqua" w:hAnsi="Book Antiqua" w:cs="Arial"/>
                <w:b/>
                <w:color w:val="000000" w:themeColor="text1"/>
                <w:sz w:val="24"/>
                <w:szCs w:val="24"/>
                <w:lang w:val="sq-AL"/>
              </w:rPr>
              <w:t>Mundësitë</w:t>
            </w:r>
          </w:p>
        </w:tc>
      </w:tr>
      <w:tr w:rsidR="00875E6C" w:rsidRPr="009E674D" w14:paraId="4147DB85" w14:textId="77777777" w:rsidTr="008852AE">
        <w:trPr>
          <w:trHeight w:val="1704"/>
          <w:jc w:val="center"/>
        </w:trPr>
        <w:tc>
          <w:tcPr>
            <w:tcW w:w="4675" w:type="dxa"/>
          </w:tcPr>
          <w:p w14:paraId="03F77638" w14:textId="42DAD1E2"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Inflacioni i importuar nga vendet e huaja</w:t>
            </w:r>
          </w:p>
          <w:p w14:paraId="477EE243" w14:textId="0B13DEFE"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Situatat e jasht</w:t>
            </w:r>
            <w:r w:rsidRPr="009E674D">
              <w:rPr>
                <w:rFonts w:cstheme="minorHAnsi"/>
                <w:color w:val="000000" w:themeColor="text1"/>
                <w:sz w:val="22"/>
                <w:szCs w:val="24"/>
                <w:lang w:val="sq-AL"/>
              </w:rPr>
              <w:t>ëzakonshme (pandemitë, fatkeqësitë natyrore, etj.)</w:t>
            </w:r>
          </w:p>
          <w:p w14:paraId="69BB0CB6" w14:textId="39D24E63"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 xml:space="preserve">Largimi i kuadrit profesional </w:t>
            </w:r>
          </w:p>
          <w:p w14:paraId="47E3A34B" w14:textId="11721E04"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Vendimet e pakoordinuara nga niveli qendror me efekt negativ financiar n</w:t>
            </w:r>
            <w:r w:rsidRPr="009E674D">
              <w:rPr>
                <w:rFonts w:cstheme="minorHAnsi"/>
                <w:color w:val="000000" w:themeColor="text1"/>
                <w:sz w:val="22"/>
                <w:szCs w:val="24"/>
                <w:lang w:val="sq-AL"/>
              </w:rPr>
              <w:t>ë komuna</w:t>
            </w:r>
          </w:p>
          <w:p w14:paraId="02FC53C9" w14:textId="77777777" w:rsidR="00875E6C" w:rsidRPr="009E674D" w:rsidRDefault="00875E6C" w:rsidP="008852AE">
            <w:pPr>
              <w:pStyle w:val="ListParagraph"/>
              <w:spacing w:line="240" w:lineRule="auto"/>
              <w:jc w:val="both"/>
              <w:rPr>
                <w:rFonts w:cstheme="minorHAnsi"/>
                <w:sz w:val="22"/>
                <w:szCs w:val="24"/>
                <w:lang w:val="sq-AL"/>
              </w:rPr>
            </w:pPr>
          </w:p>
        </w:tc>
        <w:tc>
          <w:tcPr>
            <w:tcW w:w="4675" w:type="dxa"/>
          </w:tcPr>
          <w:p w14:paraId="2526E9D6" w14:textId="207E23A1"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Gatishm</w:t>
            </w:r>
            <w:r w:rsidRPr="009E674D">
              <w:rPr>
                <w:rFonts w:cstheme="minorHAnsi"/>
                <w:color w:val="000000" w:themeColor="text1"/>
                <w:sz w:val="22"/>
                <w:szCs w:val="24"/>
                <w:lang w:val="sq-AL"/>
              </w:rPr>
              <w:t>ëria e investitorëve për të investuar n</w:t>
            </w:r>
            <w:bookmarkStart w:id="7" w:name="OLE_LINK1"/>
            <w:r w:rsidRPr="009E674D">
              <w:rPr>
                <w:rFonts w:cstheme="minorHAnsi"/>
                <w:color w:val="000000" w:themeColor="text1"/>
                <w:sz w:val="22"/>
                <w:szCs w:val="24"/>
                <w:lang w:val="sq-AL"/>
              </w:rPr>
              <w:t>ë</w:t>
            </w:r>
            <w:bookmarkEnd w:id="7"/>
            <w:r w:rsidRPr="009E674D">
              <w:rPr>
                <w:rFonts w:cstheme="minorHAnsi"/>
                <w:color w:val="000000" w:themeColor="text1"/>
                <w:sz w:val="22"/>
                <w:szCs w:val="24"/>
                <w:lang w:val="sq-AL"/>
              </w:rPr>
              <w:t xml:space="preserve"> Ballkanin Perëndimor</w:t>
            </w:r>
          </w:p>
          <w:p w14:paraId="60E589D7" w14:textId="76AEE647"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Disponueshm</w:t>
            </w:r>
            <w:r w:rsidRPr="009E674D">
              <w:rPr>
                <w:rFonts w:cstheme="minorHAnsi"/>
                <w:color w:val="000000" w:themeColor="text1"/>
                <w:sz w:val="22"/>
                <w:szCs w:val="24"/>
                <w:lang w:val="sq-AL"/>
              </w:rPr>
              <w:t xml:space="preserve">ëria e fondeve të donatorëve </w:t>
            </w:r>
          </w:p>
          <w:p w14:paraId="60E5D871" w14:textId="0404E106"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Grante specifike nga niveli qendror p</w:t>
            </w:r>
            <w:r w:rsidRPr="009E674D">
              <w:rPr>
                <w:rFonts w:cstheme="minorHAnsi"/>
                <w:color w:val="000000" w:themeColor="text1"/>
                <w:sz w:val="22"/>
                <w:szCs w:val="24"/>
                <w:lang w:val="sq-AL"/>
              </w:rPr>
              <w:t xml:space="preserve">ër nivelin komunal </w:t>
            </w:r>
          </w:p>
          <w:p w14:paraId="6CAD50FF" w14:textId="3C41B5D0"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P</w:t>
            </w:r>
            <w:r w:rsidRPr="009E674D">
              <w:rPr>
                <w:rFonts w:cstheme="minorHAnsi"/>
                <w:color w:val="000000" w:themeColor="text1"/>
                <w:sz w:val="22"/>
                <w:szCs w:val="24"/>
                <w:lang w:val="sq-AL"/>
              </w:rPr>
              <w:t>ërdorimi i teknologjisë digjitale moderne</w:t>
            </w:r>
          </w:p>
          <w:p w14:paraId="500940B2" w14:textId="04D12D99" w:rsidR="00875E6C" w:rsidRPr="009E674D" w:rsidRDefault="00875E6C" w:rsidP="008852AE">
            <w:pPr>
              <w:pStyle w:val="ListParagraph"/>
              <w:numPr>
                <w:ilvl w:val="0"/>
                <w:numId w:val="4"/>
              </w:numPr>
              <w:spacing w:line="240" w:lineRule="auto"/>
              <w:jc w:val="both"/>
              <w:rPr>
                <w:rFonts w:cstheme="minorHAnsi"/>
                <w:sz w:val="22"/>
                <w:szCs w:val="24"/>
                <w:lang w:val="sq-AL"/>
              </w:rPr>
            </w:pPr>
            <w:r w:rsidRPr="009E674D">
              <w:rPr>
                <w:rFonts w:cstheme="minorHAnsi"/>
                <w:sz w:val="22"/>
                <w:szCs w:val="24"/>
                <w:lang w:val="sq-AL"/>
              </w:rPr>
              <w:t>Bashk</w:t>
            </w:r>
            <w:r w:rsidRPr="009E674D">
              <w:rPr>
                <w:rFonts w:cstheme="minorHAnsi"/>
                <w:color w:val="000000" w:themeColor="text1"/>
                <w:sz w:val="22"/>
                <w:szCs w:val="24"/>
                <w:lang w:val="sq-AL"/>
              </w:rPr>
              <w:t>ëpunimi me d</w:t>
            </w:r>
            <w:r w:rsidRPr="009E674D">
              <w:rPr>
                <w:rFonts w:cstheme="minorHAnsi"/>
                <w:sz w:val="22"/>
                <w:szCs w:val="24"/>
                <w:lang w:val="sq-AL"/>
              </w:rPr>
              <w:t>iaspor</w:t>
            </w:r>
            <w:r w:rsidRPr="009E674D">
              <w:rPr>
                <w:rFonts w:cstheme="minorHAnsi"/>
                <w:color w:val="000000" w:themeColor="text1"/>
                <w:sz w:val="22"/>
                <w:szCs w:val="24"/>
                <w:lang w:val="sq-AL"/>
              </w:rPr>
              <w:t>ën për investime të përbashkëta dhe transfer</w:t>
            </w:r>
            <w:r w:rsidR="00CA25DC" w:rsidRPr="009E674D">
              <w:rPr>
                <w:rFonts w:cstheme="minorHAnsi"/>
                <w:color w:val="000000" w:themeColor="text1"/>
                <w:sz w:val="22"/>
                <w:szCs w:val="24"/>
                <w:lang w:val="sq-AL"/>
              </w:rPr>
              <w:t>im</w:t>
            </w:r>
            <w:r w:rsidRPr="009E674D">
              <w:rPr>
                <w:rFonts w:cstheme="minorHAnsi"/>
                <w:color w:val="000000" w:themeColor="text1"/>
                <w:sz w:val="22"/>
                <w:szCs w:val="24"/>
                <w:lang w:val="sq-AL"/>
              </w:rPr>
              <w:t xml:space="preserve"> të dijes</w:t>
            </w:r>
          </w:p>
          <w:p w14:paraId="0E03C276" w14:textId="0E8A7214" w:rsidR="00875E6C" w:rsidRPr="009E674D" w:rsidRDefault="00875E6C" w:rsidP="008852AE">
            <w:pPr>
              <w:pStyle w:val="ListParagraph"/>
              <w:numPr>
                <w:ilvl w:val="0"/>
                <w:numId w:val="4"/>
              </w:numPr>
              <w:spacing w:line="240" w:lineRule="auto"/>
              <w:rPr>
                <w:rFonts w:cstheme="minorHAnsi"/>
                <w:sz w:val="22"/>
                <w:szCs w:val="24"/>
                <w:lang w:val="sq-AL"/>
              </w:rPr>
            </w:pPr>
            <w:r w:rsidRPr="009E674D">
              <w:rPr>
                <w:rFonts w:cstheme="minorHAnsi"/>
                <w:sz w:val="22"/>
                <w:szCs w:val="24"/>
                <w:lang w:val="sq-AL"/>
              </w:rPr>
              <w:t>Tregjet e p</w:t>
            </w:r>
            <w:r w:rsidRPr="009E674D">
              <w:rPr>
                <w:rFonts w:cstheme="minorHAnsi"/>
                <w:color w:val="000000" w:themeColor="text1"/>
                <w:sz w:val="22"/>
                <w:szCs w:val="24"/>
                <w:lang w:val="sq-AL"/>
              </w:rPr>
              <w:t>ërbashkëta ndër</w:t>
            </w:r>
            <w:r w:rsidR="00CA25DC" w:rsidRPr="009E674D">
              <w:rPr>
                <w:rFonts w:cstheme="minorHAnsi"/>
                <w:color w:val="000000" w:themeColor="text1"/>
                <w:sz w:val="22"/>
                <w:szCs w:val="24"/>
                <w:lang w:val="sq-AL"/>
              </w:rPr>
              <w:t>-</w:t>
            </w:r>
            <w:r w:rsidRPr="009E674D">
              <w:rPr>
                <w:rFonts w:cstheme="minorHAnsi"/>
                <w:color w:val="000000" w:themeColor="text1"/>
                <w:sz w:val="22"/>
                <w:szCs w:val="24"/>
                <w:lang w:val="sq-AL"/>
              </w:rPr>
              <w:t>komunale</w:t>
            </w:r>
            <w:r w:rsidRPr="009E674D">
              <w:rPr>
                <w:rFonts w:cstheme="minorHAnsi"/>
                <w:sz w:val="22"/>
                <w:szCs w:val="24"/>
                <w:lang w:val="sq-AL"/>
              </w:rPr>
              <w:t xml:space="preserve"> </w:t>
            </w:r>
          </w:p>
        </w:tc>
      </w:tr>
    </w:tbl>
    <w:p w14:paraId="7CBD4F0F" w14:textId="77777777" w:rsidR="00875E6C" w:rsidRPr="009E674D" w:rsidRDefault="00875E6C">
      <w:pPr>
        <w:rPr>
          <w:rFonts w:asciiTheme="majorHAnsi" w:eastAsiaTheme="majorEastAsia" w:hAnsiTheme="majorHAnsi" w:cstheme="majorBidi"/>
          <w:b/>
          <w:color w:val="2E74B5" w:themeColor="accent1" w:themeShade="BF"/>
          <w:sz w:val="32"/>
          <w:szCs w:val="32"/>
          <w:lang w:val="sq-AL"/>
        </w:rPr>
      </w:pPr>
      <w:r w:rsidRPr="009E674D">
        <w:rPr>
          <w:b/>
          <w:lang w:val="sq-AL"/>
        </w:rPr>
        <w:br w:type="page"/>
      </w:r>
    </w:p>
    <w:p w14:paraId="058EF92D" w14:textId="77777777" w:rsidR="00F51C48" w:rsidRPr="009E674D" w:rsidRDefault="006448E7" w:rsidP="00875E6C">
      <w:pPr>
        <w:pStyle w:val="Heading1"/>
        <w:numPr>
          <w:ilvl w:val="0"/>
          <w:numId w:val="12"/>
        </w:numPr>
        <w:rPr>
          <w:b/>
          <w:lang w:val="sq-AL"/>
        </w:rPr>
      </w:pPr>
      <w:bookmarkStart w:id="8" w:name="_Toc132188428"/>
      <w:r w:rsidRPr="009E674D">
        <w:rPr>
          <w:b/>
          <w:lang w:val="sq-AL"/>
        </w:rPr>
        <w:lastRenderedPageBreak/>
        <w:t>Përmbledhja e analizës së p</w:t>
      </w:r>
      <w:r w:rsidR="00190BA7" w:rsidRPr="009E674D">
        <w:rPr>
          <w:b/>
          <w:lang w:val="sq-AL"/>
        </w:rPr>
        <w:t>roblemeve</w:t>
      </w:r>
      <w:bookmarkEnd w:id="8"/>
      <w:r w:rsidR="00190BA7" w:rsidRPr="009E674D">
        <w:rPr>
          <w:b/>
          <w:lang w:val="sq-AL"/>
        </w:rPr>
        <w:t xml:space="preserve"> </w:t>
      </w:r>
    </w:p>
    <w:p w14:paraId="58F9D73D" w14:textId="21620E44" w:rsidR="006448E7" w:rsidRPr="009E674D" w:rsidRDefault="006448E7" w:rsidP="006448E7">
      <w:pPr>
        <w:spacing w:before="240"/>
        <w:jc w:val="both"/>
        <w:rPr>
          <w:rFonts w:eastAsiaTheme="minorEastAsia" w:cstheme="minorHAnsi"/>
          <w:color w:val="000000" w:themeColor="text1"/>
          <w:lang w:val="sq-AL"/>
        </w:rPr>
      </w:pPr>
      <w:r w:rsidRPr="009E674D">
        <w:rPr>
          <w:rFonts w:eastAsiaTheme="minorEastAsia" w:cstheme="minorHAnsi"/>
          <w:color w:val="000000" w:themeColor="text1"/>
          <w:lang w:val="sq-AL"/>
        </w:rPr>
        <w:t xml:space="preserve">Komunat kanë zvogëluar ndjeshëm ngarkesat administrative që ndërlidhen me themelimin dhe funksionimin e ndërmarrjeve, duke kontribuar kështu në përmirësimin e gjithmbarshëm të klimës së të bërit biznes. Përkundër këtij progresi, ndërmarrjet ende ballafaqohen me sfida të shumta që ua pamundësojnë </w:t>
      </w:r>
      <w:r w:rsidR="00776E09">
        <w:rPr>
          <w:rFonts w:eastAsiaTheme="minorEastAsia" w:cstheme="minorHAnsi"/>
          <w:color w:val="000000" w:themeColor="text1"/>
          <w:lang w:val="sq-AL"/>
        </w:rPr>
        <w:t>realizimin e</w:t>
      </w:r>
      <w:r w:rsidRPr="009E674D">
        <w:rPr>
          <w:rFonts w:eastAsiaTheme="minorEastAsia" w:cstheme="minorHAnsi"/>
          <w:color w:val="000000" w:themeColor="text1"/>
          <w:lang w:val="sq-AL"/>
        </w:rPr>
        <w:t xml:space="preserve"> </w:t>
      </w:r>
      <w:r w:rsidR="00776E09" w:rsidRPr="009E674D">
        <w:rPr>
          <w:rFonts w:eastAsiaTheme="minorEastAsia" w:cstheme="minorHAnsi"/>
          <w:color w:val="000000" w:themeColor="text1"/>
          <w:lang w:val="sq-AL"/>
        </w:rPr>
        <w:t>potenciali</w:t>
      </w:r>
      <w:r w:rsidR="00776E09">
        <w:rPr>
          <w:rFonts w:eastAsiaTheme="minorEastAsia" w:cstheme="minorHAnsi"/>
          <w:color w:val="000000" w:themeColor="text1"/>
          <w:lang w:val="sq-AL"/>
        </w:rPr>
        <w:t>t</w:t>
      </w:r>
      <w:r w:rsidR="00776E09" w:rsidRPr="009E674D">
        <w:rPr>
          <w:rFonts w:eastAsiaTheme="minorEastAsia" w:cstheme="minorHAnsi"/>
          <w:color w:val="000000" w:themeColor="text1"/>
          <w:lang w:val="sq-AL"/>
        </w:rPr>
        <w:t xml:space="preserve"> </w:t>
      </w:r>
      <w:r w:rsidR="00776E09">
        <w:rPr>
          <w:rFonts w:eastAsiaTheme="minorEastAsia" w:cstheme="minorHAnsi"/>
          <w:color w:val="000000" w:themeColor="text1"/>
          <w:lang w:val="sq-AL"/>
        </w:rPr>
        <w:t>të</w:t>
      </w:r>
      <w:r w:rsidR="00776E09" w:rsidRPr="009E674D">
        <w:rPr>
          <w:rFonts w:eastAsiaTheme="minorEastAsia" w:cstheme="minorHAnsi"/>
          <w:color w:val="000000" w:themeColor="text1"/>
          <w:lang w:val="sq-AL"/>
        </w:rPr>
        <w:t xml:space="preserve"> </w:t>
      </w:r>
      <w:r w:rsidRPr="009E674D">
        <w:rPr>
          <w:rFonts w:eastAsiaTheme="minorEastAsia" w:cstheme="minorHAnsi"/>
          <w:color w:val="000000" w:themeColor="text1"/>
          <w:lang w:val="sq-AL"/>
        </w:rPr>
        <w:t>tyre konkurrues. Në anketën e zhvilluar me biznese p</w:t>
      </w:r>
      <w:r w:rsidR="00D91DB5" w:rsidRPr="009E674D">
        <w:rPr>
          <w:rFonts w:eastAsiaTheme="minorEastAsia" w:cstheme="minorHAnsi"/>
          <w:color w:val="000000" w:themeColor="text1"/>
          <w:lang w:val="sq-AL"/>
        </w:rPr>
        <w:t>ër nevojat e këtij programi</w:t>
      </w:r>
      <w:r w:rsidRPr="009E674D">
        <w:rPr>
          <w:rFonts w:eastAsiaTheme="minorEastAsia" w:cstheme="minorHAnsi"/>
          <w:color w:val="000000" w:themeColor="text1"/>
          <w:lang w:val="sq-AL"/>
        </w:rPr>
        <w:t>, konkurrenca e pandershme, qasja e kufizuar në financa dhe praktikat korruptive, renditen në mesin e barrierave kryesore që pengojnë zhvillimin ekonomik lokal. Dy të parat figurojnë në mesin e pesë barrierave kryesore edhe në një anketë të zhvilluar</w:t>
      </w:r>
      <w:r w:rsidR="007E2DB2" w:rsidRPr="009E674D">
        <w:rPr>
          <w:rFonts w:eastAsiaTheme="minorEastAsia" w:cstheme="minorHAnsi"/>
          <w:color w:val="000000" w:themeColor="text1"/>
          <w:lang w:val="sq-AL"/>
        </w:rPr>
        <w:t xml:space="preserve"> rishtazi</w:t>
      </w:r>
      <w:r w:rsidRPr="009E674D">
        <w:rPr>
          <w:rFonts w:eastAsiaTheme="minorEastAsia" w:cstheme="minorHAnsi"/>
          <w:color w:val="000000" w:themeColor="text1"/>
          <w:lang w:val="sq-AL"/>
        </w:rPr>
        <w:t xml:space="preserve"> nga Oda Eko</w:t>
      </w:r>
      <w:r w:rsidR="00D91DB5" w:rsidRPr="009E674D">
        <w:rPr>
          <w:rFonts w:eastAsiaTheme="minorEastAsia" w:cstheme="minorHAnsi"/>
          <w:color w:val="000000" w:themeColor="text1"/>
          <w:lang w:val="sq-AL"/>
        </w:rPr>
        <w:t>nomike e Kosovës (OEK)</w:t>
      </w:r>
      <w:r w:rsidRPr="009E674D">
        <w:rPr>
          <w:rFonts w:eastAsiaTheme="minorEastAsia" w:cstheme="minorHAnsi"/>
          <w:color w:val="000000" w:themeColor="text1"/>
          <w:lang w:val="sq-AL"/>
        </w:rPr>
        <w:t>, krahas atyre që kanë të bëjnë me koston</w:t>
      </w:r>
      <w:r w:rsidR="007E2DB2" w:rsidRPr="009E674D">
        <w:rPr>
          <w:rFonts w:eastAsiaTheme="minorEastAsia" w:cstheme="minorHAnsi"/>
          <w:color w:val="000000" w:themeColor="text1"/>
          <w:lang w:val="sq-AL"/>
        </w:rPr>
        <w:t xml:space="preserve"> e energjisë elektrike</w:t>
      </w:r>
      <w:r w:rsidRPr="009E674D">
        <w:rPr>
          <w:rFonts w:eastAsiaTheme="minorEastAsia" w:cstheme="minorHAnsi"/>
          <w:color w:val="000000" w:themeColor="text1"/>
          <w:lang w:val="sq-AL"/>
        </w:rPr>
        <w:t xml:space="preserve"> dhe qasjen në</w:t>
      </w:r>
      <w:r w:rsidR="007E2DB2" w:rsidRPr="009E674D">
        <w:rPr>
          <w:rFonts w:eastAsiaTheme="minorEastAsia" w:cstheme="minorHAnsi"/>
          <w:color w:val="000000" w:themeColor="text1"/>
          <w:lang w:val="sq-AL"/>
        </w:rPr>
        <w:t xml:space="preserve"> të</w:t>
      </w:r>
      <w:r w:rsidRPr="009E674D">
        <w:rPr>
          <w:rFonts w:eastAsiaTheme="minorEastAsia" w:cstheme="minorHAnsi"/>
          <w:color w:val="000000" w:themeColor="text1"/>
          <w:lang w:val="sq-AL"/>
        </w:rPr>
        <w:t>.</w:t>
      </w:r>
      <w:r w:rsidRPr="009E674D">
        <w:rPr>
          <w:rFonts w:eastAsiaTheme="minorEastAsia" w:cstheme="minorHAnsi"/>
          <w:color w:val="000000" w:themeColor="text1"/>
          <w:vertAlign w:val="superscript"/>
          <w:lang w:val="sq-AL"/>
        </w:rPr>
        <w:footnoteReference w:id="3"/>
      </w:r>
      <w:r w:rsidRPr="009E674D">
        <w:rPr>
          <w:rFonts w:eastAsiaTheme="minorEastAsia" w:cstheme="minorHAnsi"/>
          <w:color w:val="000000" w:themeColor="text1"/>
          <w:lang w:val="sq-AL"/>
        </w:rPr>
        <w:t xml:space="preserve"> </w:t>
      </w:r>
    </w:p>
    <w:p w14:paraId="03C3193A" w14:textId="29030EE0" w:rsidR="0037494A" w:rsidRPr="009E674D" w:rsidRDefault="006448E7" w:rsidP="006448E7">
      <w:pPr>
        <w:spacing w:before="240"/>
        <w:jc w:val="both"/>
        <w:rPr>
          <w:rFonts w:eastAsiaTheme="minorEastAsia" w:cstheme="minorHAnsi"/>
          <w:color w:val="000000" w:themeColor="text1"/>
          <w:lang w:val="sq-AL"/>
        </w:rPr>
      </w:pPr>
      <w:r w:rsidRPr="009E674D">
        <w:rPr>
          <w:rFonts w:eastAsiaTheme="minorEastAsia" w:cstheme="minorHAnsi"/>
          <w:color w:val="000000" w:themeColor="text1"/>
          <w:lang w:val="sq-AL"/>
        </w:rPr>
        <w:t>Investimet në niveli komunal janë të kanalizuara kryesisht në projekte të natyrës infrastrukture, sidomos në rrugë. Prona komunale dhe mundësia që ajo të ofrohet për shfrytëzim përbën një mjet të rëndësishëm për komunën për t’i stimuluar investimet. Aktualisht mbi 90% e komunave janë deklaruar ta kenë bërë inventarizimin e pronave të tyre. Pjesa me e madhe</w:t>
      </w:r>
      <w:r w:rsidR="00776E09">
        <w:rPr>
          <w:rFonts w:eastAsiaTheme="minorEastAsia" w:cstheme="minorHAnsi"/>
          <w:color w:val="000000" w:themeColor="text1"/>
          <w:lang w:val="sq-AL"/>
        </w:rPr>
        <w:t>,</w:t>
      </w:r>
      <w:r w:rsidRPr="009E674D">
        <w:rPr>
          <w:rFonts w:eastAsiaTheme="minorEastAsia" w:cstheme="minorHAnsi"/>
          <w:color w:val="000000" w:themeColor="text1"/>
          <w:lang w:val="sq-AL"/>
        </w:rPr>
        <w:t xml:space="preserve"> madje</w:t>
      </w:r>
      <w:r w:rsidR="00F84DDB">
        <w:rPr>
          <w:rFonts w:eastAsiaTheme="minorEastAsia" w:cstheme="minorHAnsi"/>
          <w:color w:val="000000" w:themeColor="text1"/>
          <w:lang w:val="sq-AL"/>
        </w:rPr>
        <w:t>,</w:t>
      </w:r>
      <w:r w:rsidRPr="009E674D">
        <w:rPr>
          <w:rFonts w:eastAsiaTheme="minorEastAsia" w:cstheme="minorHAnsi"/>
          <w:color w:val="000000" w:themeColor="text1"/>
          <w:lang w:val="sq-AL"/>
        </w:rPr>
        <w:t xml:space="preserve"> janë të qasshme për publikun. Përkundër inventarizimit të kryer, në shumë raste nuk është bërë klasifikimi për ta qartësuar se cilat prona janë të lira dhe të gatshme për shfrytëzim. Disa prej komunave nuk kanë fare në dispozicion prona që mund të jepen</w:t>
      </w:r>
      <w:r w:rsidR="00776E09">
        <w:rPr>
          <w:rFonts w:eastAsiaTheme="minorEastAsia" w:cstheme="minorHAnsi"/>
          <w:color w:val="000000" w:themeColor="text1"/>
          <w:lang w:val="sq-AL"/>
        </w:rPr>
        <w:t>,</w:t>
      </w:r>
      <w:r w:rsidRPr="009E674D">
        <w:rPr>
          <w:rFonts w:eastAsiaTheme="minorEastAsia" w:cstheme="minorHAnsi"/>
          <w:color w:val="000000" w:themeColor="text1"/>
          <w:lang w:val="sq-AL"/>
        </w:rPr>
        <w:t xml:space="preserve"> për t’u shfrytëzuar për qëllime investuese. Deri tash, sipas </w:t>
      </w:r>
      <w:r w:rsidRPr="009E674D">
        <w:rPr>
          <w:rFonts w:eastAsiaTheme="minorEastAsia"/>
          <w:color w:val="000000" w:themeColor="text1"/>
          <w:lang w:val="sq-AL"/>
        </w:rPr>
        <w:t>Zyrës Kombëtare të Auditimit (ZKA), përvojat sa i përket dhënies së pronave në shfrytëzim nuk kanë qenë shumë të mira.</w:t>
      </w:r>
      <w:r w:rsidRPr="009E674D">
        <w:rPr>
          <w:rFonts w:eastAsiaTheme="minorEastAsia"/>
          <w:color w:val="000000" w:themeColor="text1"/>
          <w:vertAlign w:val="superscript"/>
          <w:lang w:val="sq-AL"/>
        </w:rPr>
        <w:footnoteReference w:id="4"/>
      </w:r>
      <w:r w:rsidRPr="009E674D">
        <w:rPr>
          <w:rFonts w:eastAsiaTheme="minorEastAsia"/>
          <w:color w:val="000000" w:themeColor="text1"/>
          <w:lang w:val="sq-AL"/>
        </w:rPr>
        <w:t xml:space="preserve"> Janë dokumentuar vështirësi në mbledhjen e qirave, konteste gjyqësore dhe kontrata të dëmshme. </w:t>
      </w:r>
    </w:p>
    <w:p w14:paraId="6EAB8648" w14:textId="7888807F" w:rsidR="006448E7" w:rsidRPr="009E674D" w:rsidRDefault="003A0787" w:rsidP="006448E7">
      <w:pPr>
        <w:spacing w:before="240"/>
        <w:jc w:val="both"/>
        <w:rPr>
          <w:rFonts w:eastAsiaTheme="minorEastAsia" w:cstheme="minorHAnsi"/>
          <w:color w:val="000000" w:themeColor="text1"/>
          <w:lang w:val="sq-AL"/>
        </w:rPr>
      </w:pPr>
      <w:r>
        <w:rPr>
          <w:rFonts w:eastAsiaTheme="minorEastAsia" w:cstheme="minorHAnsi"/>
          <w:color w:val="000000" w:themeColor="text1"/>
          <w:lang w:val="sq-AL"/>
        </w:rPr>
        <w:t>Sektori privat, duke qen</w:t>
      </w:r>
      <w:r w:rsidRPr="009E674D">
        <w:rPr>
          <w:rFonts w:eastAsiaTheme="minorEastAsia" w:cstheme="minorHAnsi"/>
          <w:color w:val="000000" w:themeColor="text1"/>
          <w:lang w:val="sq-AL"/>
        </w:rPr>
        <w:t>ë</w:t>
      </w:r>
      <w:r w:rsidR="006448E7" w:rsidRPr="009E674D">
        <w:rPr>
          <w:rFonts w:eastAsiaTheme="minorEastAsia" w:cstheme="minorHAnsi"/>
          <w:color w:val="000000" w:themeColor="text1"/>
          <w:lang w:val="sq-AL"/>
        </w:rPr>
        <w:t xml:space="preserve"> i dominuar nga mikro-ndërmarrjet në pronësi familjare, ka qenë pak i gatshëm të realizojë investime me efekte të konsiderueshme për zhvillimin ekonomik lokal. Ngjashëm, investimet e huaja në aktivitete ekonomike më vlerë të shtuar dhe me potencial punësimi kanë qenë në nivel jo të kënaqshëm. Zonat ekonomike apo parqet industriale, ndonëse të krijuara në disa komuna kryesore për të thithur investime, deri tash shumë pak kanë arritur t’i shërbejnë këtij qëllimi. Shumica e tyre kanë mbetur me infrastrukturë të papërfunduar dhe për pasojë të nën-populluara. Asnjë nga zonat aktuale, as ato që janë më funksionale, nuk kanë njësi brenda tyre që merret me menaxhimin dhe administrimin e tyre. Në disa raste ka edhe përzierje të kompetencave sa i takon pronësisë së tyre. </w:t>
      </w:r>
    </w:p>
    <w:p w14:paraId="454B6B8C" w14:textId="77777777" w:rsidR="006448E7" w:rsidRPr="009E674D" w:rsidRDefault="006448E7" w:rsidP="006448E7">
      <w:pPr>
        <w:jc w:val="both"/>
        <w:rPr>
          <w:lang w:val="sq-AL"/>
        </w:rPr>
      </w:pPr>
      <w:r w:rsidRPr="009E674D">
        <w:rPr>
          <w:rFonts w:cstheme="minorHAnsi"/>
          <w:color w:val="000000" w:themeColor="text1"/>
          <w:lang w:val="sq-AL"/>
        </w:rPr>
        <w:t xml:space="preserve">Shumica dërrmuese e komunave nuk posedojnë materiale promovuese që ofrojnë informata mbi potencialet dhe mundësitë për të investuar. Për më shumë, </w:t>
      </w:r>
      <w:r w:rsidRPr="009E674D">
        <w:rPr>
          <w:lang w:val="sq-AL"/>
        </w:rPr>
        <w:t xml:space="preserve">vetëm 23% </w:t>
      </w:r>
      <w:r w:rsidRPr="009E674D">
        <w:rPr>
          <w:rFonts w:cstheme="minorHAnsi"/>
          <w:color w:val="000000" w:themeColor="text1"/>
          <w:lang w:val="sq-AL"/>
        </w:rPr>
        <w:t>e komunave kanë zyra apo njësi që merren ekskluzivisht me promovim të mundësive p</w:t>
      </w:r>
      <w:r w:rsidRPr="009E674D">
        <w:rPr>
          <w:lang w:val="sq-AL"/>
        </w:rPr>
        <w:t>ë</w:t>
      </w:r>
      <w:r w:rsidRPr="009E674D">
        <w:rPr>
          <w:rFonts w:cstheme="minorHAnsi"/>
          <w:color w:val="000000" w:themeColor="text1"/>
          <w:lang w:val="sq-AL"/>
        </w:rPr>
        <w:t>r investimeve.</w:t>
      </w:r>
      <w:r w:rsidRPr="009E674D">
        <w:rPr>
          <w:rFonts w:cstheme="minorHAnsi"/>
          <w:color w:val="000000" w:themeColor="text1"/>
          <w:vertAlign w:val="superscript"/>
          <w:lang w:val="sq-AL"/>
        </w:rPr>
        <w:footnoteReference w:id="5"/>
      </w:r>
      <w:r w:rsidRPr="009E674D">
        <w:rPr>
          <w:rFonts w:cstheme="minorHAnsi"/>
          <w:color w:val="000000" w:themeColor="text1"/>
          <w:lang w:val="sq-AL"/>
        </w:rPr>
        <w:t xml:space="preserve"> Kësisoj</w:t>
      </w:r>
      <w:r w:rsidR="00D91DB5" w:rsidRPr="009E674D">
        <w:rPr>
          <w:rFonts w:cstheme="minorHAnsi"/>
          <w:color w:val="000000" w:themeColor="text1"/>
          <w:lang w:val="sq-AL"/>
        </w:rPr>
        <w:t>, investitorët potencial shpesh</w:t>
      </w:r>
      <w:r w:rsidRPr="009E674D">
        <w:rPr>
          <w:rFonts w:cstheme="minorHAnsi"/>
          <w:color w:val="000000" w:themeColor="text1"/>
          <w:lang w:val="sq-AL"/>
        </w:rPr>
        <w:t xml:space="preserve">herë nuk kanë qasje në informatat e nevojshme për të ndërmarrë hapa drejt investimit. </w:t>
      </w:r>
    </w:p>
    <w:p w14:paraId="7969A935" w14:textId="5E531DE7" w:rsidR="006448E7" w:rsidRPr="009E674D" w:rsidRDefault="006448E7" w:rsidP="006448E7">
      <w:pPr>
        <w:spacing w:before="240"/>
        <w:jc w:val="both"/>
        <w:rPr>
          <w:rFonts w:eastAsiaTheme="minorEastAsia" w:cstheme="minorHAnsi"/>
          <w:color w:val="000000" w:themeColor="text1"/>
          <w:lang w:val="sq-AL"/>
        </w:rPr>
      </w:pPr>
      <w:r w:rsidRPr="009E674D">
        <w:rPr>
          <w:rFonts w:eastAsiaTheme="minorEastAsia" w:cstheme="minorHAnsi"/>
          <w:color w:val="000000" w:themeColor="text1"/>
          <w:lang w:val="sq-AL"/>
        </w:rPr>
        <w:t>Bujqësia është qenësore për zhvillim rural dhe luan një rol mjaft të rëndësishëm në ekonominë lokale. Ndonëse komunat ofrojnë mbështetje për zhvillim të bujqësisë, kjo mbështetje mbetet e pamjaftueshme për t’i adresuar disa nga problemet parësore të këtij sektori</w:t>
      </w:r>
      <w:r w:rsidR="003A0787">
        <w:rPr>
          <w:rFonts w:eastAsiaTheme="minorEastAsia" w:cstheme="minorHAnsi"/>
          <w:color w:val="000000" w:themeColor="text1"/>
          <w:lang w:val="sq-AL"/>
        </w:rPr>
        <w:t>,</w:t>
      </w:r>
      <w:r w:rsidRPr="009E674D">
        <w:rPr>
          <w:rFonts w:eastAsiaTheme="minorEastAsia" w:cstheme="minorHAnsi"/>
          <w:color w:val="000000" w:themeColor="text1"/>
          <w:lang w:val="sq-AL"/>
        </w:rPr>
        <w:t xml:space="preserve"> </w:t>
      </w:r>
      <w:r w:rsidR="00C22B77">
        <w:rPr>
          <w:rFonts w:eastAsiaTheme="minorEastAsia" w:cstheme="minorHAnsi"/>
          <w:color w:val="000000" w:themeColor="text1"/>
          <w:lang w:val="sq-AL"/>
        </w:rPr>
        <w:t>siç</w:t>
      </w:r>
      <w:r w:rsidR="00C22B77" w:rsidRPr="009E674D">
        <w:rPr>
          <w:rFonts w:eastAsiaTheme="minorEastAsia" w:cstheme="minorHAnsi"/>
          <w:color w:val="000000" w:themeColor="text1"/>
          <w:lang w:val="sq-AL"/>
        </w:rPr>
        <w:t xml:space="preserve"> </w:t>
      </w:r>
      <w:r w:rsidRPr="009E674D">
        <w:rPr>
          <w:rFonts w:eastAsiaTheme="minorEastAsia" w:cstheme="minorHAnsi"/>
          <w:color w:val="000000" w:themeColor="text1"/>
          <w:lang w:val="sq-AL"/>
        </w:rPr>
        <w:t>janë: fermat e vogla, teknologjia dhe mjetet e vjetruara të punës, kostot e larta të inputeve bujqësore</w:t>
      </w:r>
      <w:r w:rsidR="00C22B77">
        <w:rPr>
          <w:rFonts w:eastAsiaTheme="minorEastAsia" w:cstheme="minorHAnsi"/>
          <w:color w:val="000000" w:themeColor="text1"/>
          <w:lang w:val="sq-AL"/>
        </w:rPr>
        <w:t>, si</w:t>
      </w:r>
      <w:r w:rsidRPr="009E674D">
        <w:rPr>
          <w:rFonts w:eastAsiaTheme="minorEastAsia" w:cstheme="minorHAnsi"/>
          <w:color w:val="000000" w:themeColor="text1"/>
          <w:lang w:val="sq-AL"/>
        </w:rPr>
        <w:t xml:space="preserve"> dhe integrimi i kufizuar në industri të </w:t>
      </w:r>
      <w:r w:rsidRPr="009E674D">
        <w:rPr>
          <w:rFonts w:eastAsiaTheme="minorEastAsia" w:cstheme="minorHAnsi"/>
          <w:color w:val="000000" w:themeColor="text1"/>
          <w:lang w:val="sq-AL"/>
        </w:rPr>
        <w:lastRenderedPageBreak/>
        <w:t xml:space="preserve">ushqimit. Turizmi, si sektor tjetër me rëndësi, veçanërisht turizmi rural apo agroturizmi, përkundër potencialit që ka, nuk </w:t>
      </w:r>
      <w:r w:rsidRPr="009E674D">
        <w:rPr>
          <w:rFonts w:eastAsiaTheme="minorEastAsia"/>
          <w:color w:val="000000" w:themeColor="text1"/>
          <w:lang w:val="sq-AL"/>
        </w:rPr>
        <w:t xml:space="preserve">është </w:t>
      </w:r>
      <w:r w:rsidRPr="009E674D">
        <w:rPr>
          <w:rFonts w:eastAsiaTheme="minorEastAsia" w:cstheme="minorHAnsi"/>
          <w:color w:val="000000" w:themeColor="text1"/>
          <w:lang w:val="sq-AL"/>
        </w:rPr>
        <w:t>zhvilluar sa duhet. Atraksionet turistike, p</w:t>
      </w:r>
      <w:r w:rsidRPr="009E674D">
        <w:rPr>
          <w:rFonts w:eastAsiaTheme="minorEastAsia"/>
          <w:color w:val="000000" w:themeColor="text1"/>
          <w:lang w:val="sq-AL"/>
        </w:rPr>
        <w:t xml:space="preserve">ërkatësisht </w:t>
      </w:r>
      <w:r w:rsidRPr="009E674D">
        <w:rPr>
          <w:rFonts w:eastAsiaTheme="minorEastAsia" w:cstheme="minorHAnsi"/>
          <w:color w:val="000000" w:themeColor="text1"/>
          <w:lang w:val="sq-AL"/>
        </w:rPr>
        <w:t xml:space="preserve">monumentet e trashëgimisë kulturore, </w:t>
      </w:r>
      <w:r w:rsidR="007E2DB2" w:rsidRPr="009E674D">
        <w:rPr>
          <w:rFonts w:eastAsiaTheme="minorEastAsia" w:cstheme="minorHAnsi"/>
          <w:color w:val="000000" w:themeColor="text1"/>
          <w:lang w:val="sq-AL"/>
        </w:rPr>
        <w:t>pak vihen</w:t>
      </w:r>
      <w:r w:rsidRPr="009E674D">
        <w:rPr>
          <w:rFonts w:eastAsiaTheme="minorEastAsia" w:cstheme="minorHAnsi"/>
          <w:color w:val="000000" w:themeColor="text1"/>
          <w:lang w:val="sq-AL"/>
        </w:rPr>
        <w:t xml:space="preserve"> në funksion të promovimit të ekonomisë kreative. Zejtarët lokalë</w:t>
      </w:r>
      <w:r w:rsidR="00C22B77">
        <w:rPr>
          <w:rFonts w:eastAsiaTheme="minorEastAsia" w:cstheme="minorHAnsi"/>
          <w:color w:val="000000" w:themeColor="text1"/>
          <w:lang w:val="sq-AL"/>
        </w:rPr>
        <w:t>,</w:t>
      </w:r>
      <w:r w:rsidRPr="009E674D">
        <w:rPr>
          <w:rFonts w:eastAsiaTheme="minorEastAsia" w:cstheme="minorHAnsi"/>
          <w:color w:val="000000" w:themeColor="text1"/>
          <w:lang w:val="sq-AL"/>
        </w:rPr>
        <w:t xml:space="preserve"> si akter</w:t>
      </w:r>
      <w:r w:rsidRPr="009E674D">
        <w:rPr>
          <w:rFonts w:eastAsiaTheme="minorEastAsia"/>
          <w:color w:val="000000" w:themeColor="text1"/>
          <w:lang w:val="sq-AL"/>
        </w:rPr>
        <w:t>ë t</w:t>
      </w:r>
      <w:r w:rsidRPr="009E674D">
        <w:rPr>
          <w:rFonts w:eastAsiaTheme="minorEastAsia" w:cstheme="minorHAnsi"/>
          <w:color w:val="000000" w:themeColor="text1"/>
          <w:lang w:val="sq-AL"/>
        </w:rPr>
        <w:t>ë rëndësishëm identitar të komunave</w:t>
      </w:r>
      <w:r w:rsidR="00F84DDB">
        <w:rPr>
          <w:rFonts w:eastAsiaTheme="minorEastAsia" w:cstheme="minorHAnsi"/>
          <w:color w:val="000000" w:themeColor="text1"/>
          <w:lang w:val="sq-AL"/>
        </w:rPr>
        <w:t>,</w:t>
      </w:r>
      <w:r w:rsidRPr="009E674D">
        <w:rPr>
          <w:rFonts w:eastAsiaTheme="minorEastAsia" w:cstheme="minorHAnsi"/>
          <w:color w:val="000000" w:themeColor="text1"/>
          <w:lang w:val="sq-AL"/>
        </w:rPr>
        <w:t xml:space="preserve"> po ballafaqohen me vështirësi të theksuara në aspekt të qëndrueshmërisë financiare. </w:t>
      </w:r>
    </w:p>
    <w:p w14:paraId="658D3DCE" w14:textId="0910CA00" w:rsidR="006448E7" w:rsidRPr="009E674D" w:rsidRDefault="006448E7" w:rsidP="006448E7">
      <w:pPr>
        <w:spacing w:before="240"/>
        <w:jc w:val="both"/>
        <w:rPr>
          <w:rFonts w:eastAsiaTheme="minorEastAsia" w:cstheme="minorHAnsi"/>
          <w:color w:val="000000" w:themeColor="text1"/>
          <w:lang w:val="sq-AL"/>
        </w:rPr>
      </w:pPr>
      <w:r w:rsidRPr="009E674D">
        <w:rPr>
          <w:rFonts w:eastAsiaTheme="minorEastAsia" w:cstheme="minorHAnsi"/>
          <w:color w:val="000000" w:themeColor="text1"/>
          <w:lang w:val="sq-AL"/>
        </w:rPr>
        <w:t>Ndërmarrjet e vogla dhe të mesme (NVM)</w:t>
      </w:r>
      <w:r w:rsidR="00C22B77">
        <w:rPr>
          <w:rFonts w:eastAsiaTheme="minorEastAsia" w:cstheme="minorHAnsi"/>
          <w:color w:val="000000" w:themeColor="text1"/>
          <w:lang w:val="sq-AL"/>
        </w:rPr>
        <w:t>,</w:t>
      </w:r>
      <w:r w:rsidRPr="009E674D">
        <w:rPr>
          <w:rFonts w:eastAsiaTheme="minorEastAsia" w:cstheme="minorHAnsi"/>
          <w:color w:val="000000" w:themeColor="text1"/>
          <w:lang w:val="sq-AL"/>
        </w:rPr>
        <w:t xml:space="preserve"> në përgjithësi</w:t>
      </w:r>
      <w:r w:rsidR="00C032A9">
        <w:rPr>
          <w:rFonts w:eastAsiaTheme="minorEastAsia" w:cstheme="minorHAnsi"/>
          <w:color w:val="000000" w:themeColor="text1"/>
          <w:lang w:val="sq-AL"/>
        </w:rPr>
        <w:t>,</w:t>
      </w:r>
      <w:r w:rsidRPr="009E674D">
        <w:rPr>
          <w:rFonts w:eastAsiaTheme="minorEastAsia" w:cstheme="minorHAnsi"/>
          <w:color w:val="000000" w:themeColor="text1"/>
          <w:lang w:val="sq-AL"/>
        </w:rPr>
        <w:t xml:space="preserve"> kanë nevojë për përkrahje për të ndjekur trendin e vendeve tjera. Ato kanë ngecur sidomos në aspekt të digjitalizimit dhe inovacionit, si në nivel të produkteve ashtu edhe të proceseve. Të dhënat e fundit nga ndërmarrjet prodhuese, për shembull, tregojnë se niveli i digjitalizimit</w:t>
      </w:r>
      <w:r w:rsidR="00186658" w:rsidRPr="009E674D">
        <w:rPr>
          <w:rFonts w:eastAsiaTheme="minorEastAsia" w:cstheme="minorHAnsi"/>
          <w:color w:val="000000" w:themeColor="text1"/>
          <w:lang w:val="sq-AL"/>
        </w:rPr>
        <w:t xml:space="preserve"> </w:t>
      </w:r>
      <w:r w:rsidRPr="009E674D">
        <w:rPr>
          <w:rFonts w:eastAsiaTheme="minorEastAsia" w:cstheme="minorHAnsi"/>
          <w:color w:val="000000" w:themeColor="text1"/>
          <w:lang w:val="sq-AL"/>
        </w:rPr>
        <w:t xml:space="preserve"> është sa gjysma e nivelit tek ndërmarrjet homologe në Bashkimin Evropian (BE).</w:t>
      </w:r>
      <w:r w:rsidRPr="009E674D">
        <w:rPr>
          <w:rFonts w:eastAsiaTheme="minorEastAsia" w:cstheme="minorHAnsi"/>
          <w:color w:val="000000" w:themeColor="text1"/>
          <w:vertAlign w:val="superscript"/>
          <w:lang w:val="sq-AL"/>
        </w:rPr>
        <w:footnoteReference w:id="6"/>
      </w:r>
      <w:r w:rsidRPr="009E674D">
        <w:rPr>
          <w:rFonts w:eastAsiaTheme="minorEastAsia" w:cstheme="minorHAnsi"/>
          <w:color w:val="000000" w:themeColor="text1"/>
          <w:lang w:val="sq-AL"/>
        </w:rPr>
        <w:t xml:space="preserve"> </w:t>
      </w:r>
      <w:r w:rsidR="00C22B77">
        <w:rPr>
          <w:rFonts w:eastAsiaTheme="minorEastAsia" w:cstheme="minorHAnsi"/>
          <w:color w:val="000000" w:themeColor="text1"/>
          <w:lang w:val="sq-AL"/>
        </w:rPr>
        <w:t>Situatë e ngjashme</w:t>
      </w:r>
      <w:r w:rsidRPr="009E674D">
        <w:rPr>
          <w:rFonts w:eastAsiaTheme="minorEastAsia" w:cstheme="minorHAnsi"/>
          <w:color w:val="000000" w:themeColor="text1"/>
          <w:lang w:val="sq-AL"/>
        </w:rPr>
        <w:t xml:space="preserve"> është edhe te inovacioni. Vetëm 36.6% e ndërmarrjeve prodhuese deklarojnë se kanë prezantuar një produkt/shërbim të ri ose një risi në procese.</w:t>
      </w:r>
      <w:r w:rsidRPr="009E674D">
        <w:rPr>
          <w:rFonts w:eastAsiaTheme="minorEastAsia" w:cstheme="minorHAnsi"/>
          <w:color w:val="000000" w:themeColor="text1"/>
          <w:vertAlign w:val="superscript"/>
          <w:lang w:val="sq-AL"/>
        </w:rPr>
        <w:footnoteReference w:id="7"/>
      </w:r>
      <w:r w:rsidRPr="009E674D">
        <w:rPr>
          <w:rFonts w:eastAsiaTheme="minorEastAsia" w:cstheme="minorHAnsi"/>
          <w:color w:val="000000" w:themeColor="text1"/>
          <w:lang w:val="sq-AL"/>
        </w:rPr>
        <w:t xml:space="preserve"> Kjo përqindje është afërsisht sa gjysma e mesatares në Ballkanin Perëndimor (PB). Në kryeqytet dhe në disa komuna tjera janë hapur qendra të inovacion</w:t>
      </w:r>
      <w:r w:rsidR="00723D5C" w:rsidRPr="009E674D">
        <w:rPr>
          <w:rFonts w:eastAsiaTheme="minorEastAsia" w:cstheme="minorHAnsi"/>
          <w:color w:val="000000" w:themeColor="text1"/>
          <w:lang w:val="sq-AL"/>
        </w:rPr>
        <w:t>it (apo “hubs”) për t’u shërbyer</w:t>
      </w:r>
      <w:r w:rsidRPr="009E674D">
        <w:rPr>
          <w:rFonts w:eastAsiaTheme="minorEastAsia" w:cstheme="minorHAnsi"/>
          <w:color w:val="000000" w:themeColor="text1"/>
          <w:lang w:val="sq-AL"/>
        </w:rPr>
        <w:t xml:space="preserve"> ndërmarrjeve, sidomos atyre të reja, në jetësimin e ideve inovative</w:t>
      </w:r>
      <w:r w:rsidR="007E2DB2" w:rsidRPr="009E674D">
        <w:rPr>
          <w:rFonts w:eastAsiaTheme="minorEastAsia" w:cstheme="minorHAnsi"/>
          <w:color w:val="000000" w:themeColor="text1"/>
          <w:lang w:val="sq-AL"/>
        </w:rPr>
        <w:t>. Duke përjashtuar kryeqytetin</w:t>
      </w:r>
      <w:r w:rsidRPr="009E674D">
        <w:rPr>
          <w:rFonts w:eastAsiaTheme="minorEastAsia" w:cstheme="minorHAnsi"/>
          <w:color w:val="000000" w:themeColor="text1"/>
          <w:lang w:val="sq-AL"/>
        </w:rPr>
        <w:t>, ato që op</w:t>
      </w:r>
      <w:r w:rsidR="007E2DB2" w:rsidRPr="009E674D">
        <w:rPr>
          <w:rFonts w:eastAsiaTheme="minorEastAsia" w:cstheme="minorHAnsi"/>
          <w:color w:val="000000" w:themeColor="text1"/>
          <w:lang w:val="sq-AL"/>
        </w:rPr>
        <w:t>erojnë në komunat tjera nuk shquhen për</w:t>
      </w:r>
      <w:r w:rsidRPr="009E674D">
        <w:rPr>
          <w:rFonts w:eastAsiaTheme="minorEastAsia" w:cstheme="minorHAnsi"/>
          <w:color w:val="000000" w:themeColor="text1"/>
          <w:lang w:val="sq-AL"/>
        </w:rPr>
        <w:t xml:space="preserve"> model</w:t>
      </w:r>
      <w:r w:rsidR="007E2DB2" w:rsidRPr="009E674D">
        <w:rPr>
          <w:rFonts w:eastAsiaTheme="minorEastAsia" w:cstheme="minorHAnsi"/>
          <w:color w:val="000000" w:themeColor="text1"/>
          <w:lang w:val="sq-AL"/>
        </w:rPr>
        <w:t>e</w:t>
      </w:r>
      <w:r w:rsidRPr="009E674D">
        <w:rPr>
          <w:rFonts w:eastAsiaTheme="minorEastAsia" w:cstheme="minorHAnsi"/>
          <w:color w:val="000000" w:themeColor="text1"/>
          <w:lang w:val="sq-AL"/>
        </w:rPr>
        <w:t xml:space="preserve"> të qëndrueshme të financimit dhe kanë vështirësi të shërbejnë si inkubatorë tipik të inovacionit. </w:t>
      </w:r>
    </w:p>
    <w:p w14:paraId="7688E2DF" w14:textId="6904F6FE" w:rsidR="006448E7" w:rsidRPr="009E674D" w:rsidRDefault="006448E7" w:rsidP="006448E7">
      <w:pPr>
        <w:spacing w:before="240"/>
        <w:jc w:val="both"/>
        <w:rPr>
          <w:rFonts w:eastAsiaTheme="minorEastAsia" w:cstheme="minorHAnsi"/>
          <w:color w:val="000000" w:themeColor="text1"/>
          <w:lang w:val="sq-AL"/>
        </w:rPr>
      </w:pPr>
      <w:r w:rsidRPr="009E674D">
        <w:rPr>
          <w:rFonts w:eastAsiaTheme="minorEastAsia" w:cstheme="minorHAnsi"/>
          <w:color w:val="000000" w:themeColor="text1"/>
          <w:lang w:val="sq-AL"/>
        </w:rPr>
        <w:t>Tek sektori privat dhe palët që merren me zhvillim ekonomik lokal ekziston një nivel i ulët i vetëdijes mbi ekonominë qarkore dhe përparësitë që sjellë kjo qasje në aspekt ekonomik dhe në kontekst të ruajtjes së burimeve natyrore dhe përgjithësisht mjedisit. Kur mungojnë informacionet, situata në terren nuk mund të jetë më e mirë. Ndonëse riciklimi konsiderohet element integral i ekonomisë qarkore, në komuna nuk ka infrastrukturë të etabluar mirë për riciklim. Ndarja e mbeturinave</w:t>
      </w:r>
      <w:r w:rsidR="00C22B77">
        <w:rPr>
          <w:rFonts w:eastAsiaTheme="minorEastAsia" w:cstheme="minorHAnsi"/>
          <w:color w:val="000000" w:themeColor="text1"/>
          <w:lang w:val="sq-AL"/>
        </w:rPr>
        <w:t>,</w:t>
      </w:r>
      <w:r w:rsidRPr="009E674D">
        <w:rPr>
          <w:rFonts w:eastAsiaTheme="minorEastAsia" w:cstheme="minorHAnsi"/>
          <w:color w:val="000000" w:themeColor="text1"/>
          <w:lang w:val="sq-AL"/>
        </w:rPr>
        <w:t xml:space="preserve"> në masë të madhe</w:t>
      </w:r>
      <w:r w:rsidR="00C032A9">
        <w:rPr>
          <w:rFonts w:eastAsiaTheme="minorEastAsia" w:cstheme="minorHAnsi"/>
          <w:color w:val="000000" w:themeColor="text1"/>
          <w:lang w:val="sq-AL"/>
        </w:rPr>
        <w:t>,</w:t>
      </w:r>
      <w:r w:rsidRPr="009E674D">
        <w:rPr>
          <w:rFonts w:eastAsiaTheme="minorEastAsia" w:cstheme="minorHAnsi"/>
          <w:color w:val="000000" w:themeColor="text1"/>
          <w:lang w:val="sq-AL"/>
        </w:rPr>
        <w:t xml:space="preserve"> bëhet në mënyrë jo formale dhe materiali riciklues kryesisht eksportohet pa u përpunuar. Vlerësohet se një përqindje e vogël ndërmarrjeve shfrytëzojnë material të riciklueshëm. Aspektet e ekonomisë qarkore si ripërdorimi i materialit, mundësitë për riparim dhe përgjithësisht funksionimi në lak të mbyllur </w:t>
      </w:r>
      <w:r w:rsidR="00C22B77" w:rsidRPr="009E674D">
        <w:rPr>
          <w:rFonts w:eastAsiaTheme="minorEastAsia" w:cstheme="minorHAnsi"/>
          <w:color w:val="000000" w:themeColor="text1"/>
          <w:lang w:val="sq-AL"/>
        </w:rPr>
        <w:t xml:space="preserve">kanë zënë </w:t>
      </w:r>
      <w:r w:rsidRPr="009E674D">
        <w:rPr>
          <w:rFonts w:eastAsiaTheme="minorEastAsia" w:cstheme="minorHAnsi"/>
          <w:color w:val="000000" w:themeColor="text1"/>
          <w:lang w:val="sq-AL"/>
        </w:rPr>
        <w:t xml:space="preserve">shumë pak vend në praktikat biznesore. </w:t>
      </w:r>
    </w:p>
    <w:p w14:paraId="7C747972" w14:textId="75EDE9E2" w:rsidR="006448E7" w:rsidRPr="009E674D" w:rsidRDefault="006448E7" w:rsidP="006448E7">
      <w:pPr>
        <w:jc w:val="both"/>
        <w:rPr>
          <w:rFonts w:ascii="Calibri" w:eastAsia="Times New Roman" w:hAnsi="Calibri" w:cs="Times New Roman"/>
          <w:color w:val="000000" w:themeColor="text1"/>
          <w:lang w:val="sq-AL"/>
        </w:rPr>
      </w:pPr>
      <w:r w:rsidRPr="009E674D">
        <w:rPr>
          <w:color w:val="000000" w:themeColor="text1"/>
          <w:lang w:val="sq-AL"/>
        </w:rPr>
        <w:t>N</w:t>
      </w:r>
      <w:r w:rsidRPr="009E674D">
        <w:rPr>
          <w:rFonts w:ascii="Calibri" w:eastAsia="Times New Roman" w:hAnsi="Calibri" w:cs="Times New Roman"/>
          <w:color w:val="000000" w:themeColor="text1"/>
          <w:lang w:val="sq-AL"/>
        </w:rPr>
        <w:t>ë tregun</w:t>
      </w:r>
      <w:r w:rsidR="007E2DB2" w:rsidRPr="009E674D">
        <w:rPr>
          <w:rFonts w:ascii="Calibri" w:eastAsia="Times New Roman" w:hAnsi="Calibri" w:cs="Times New Roman"/>
          <w:color w:val="000000" w:themeColor="text1"/>
          <w:lang w:val="sq-AL"/>
        </w:rPr>
        <w:t xml:space="preserve"> e</w:t>
      </w:r>
      <w:r w:rsidRPr="009E674D">
        <w:rPr>
          <w:rFonts w:ascii="Calibri" w:eastAsia="Times New Roman" w:hAnsi="Calibri" w:cs="Times New Roman"/>
          <w:color w:val="000000" w:themeColor="text1"/>
          <w:lang w:val="sq-AL"/>
        </w:rPr>
        <w:t xml:space="preserve"> punës ekziston një mungesë e theksuar e shkathtësive për </w:t>
      </w:r>
      <w:r w:rsidR="00C22B77" w:rsidRPr="009E674D">
        <w:rPr>
          <w:rFonts w:ascii="Calibri" w:eastAsia="Times New Roman" w:hAnsi="Calibri" w:cs="Times New Roman"/>
          <w:color w:val="000000" w:themeColor="text1"/>
          <w:lang w:val="sq-AL"/>
        </w:rPr>
        <w:t>t</w:t>
      </w:r>
      <w:r w:rsidR="00C22B77">
        <w:rPr>
          <w:rFonts w:ascii="Calibri" w:eastAsia="Times New Roman" w:hAnsi="Calibri" w:cs="Times New Roman"/>
          <w:color w:val="000000" w:themeColor="text1"/>
          <w:lang w:val="sq-AL"/>
        </w:rPr>
        <w:t>’i</w:t>
      </w:r>
      <w:r w:rsidR="00C22B77" w:rsidRPr="009E674D">
        <w:rPr>
          <w:rFonts w:ascii="Calibri" w:eastAsia="Times New Roman" w:hAnsi="Calibri" w:cs="Times New Roman"/>
          <w:color w:val="000000" w:themeColor="text1"/>
          <w:lang w:val="sq-AL"/>
        </w:rPr>
        <w:t xml:space="preserve"> </w:t>
      </w:r>
      <w:r w:rsidRPr="009E674D">
        <w:rPr>
          <w:rFonts w:ascii="Calibri" w:eastAsia="Times New Roman" w:hAnsi="Calibri" w:cs="Times New Roman"/>
          <w:color w:val="000000" w:themeColor="text1"/>
          <w:lang w:val="sq-AL"/>
        </w:rPr>
        <w:t>përmbushur nevojat e sektorit privat. Përderisa në të kaluarën</w:t>
      </w:r>
      <w:r w:rsidR="00C22B77">
        <w:rPr>
          <w:rFonts w:ascii="Calibri" w:eastAsia="Times New Roman" w:hAnsi="Calibri" w:cs="Times New Roman"/>
          <w:color w:val="000000" w:themeColor="text1"/>
          <w:lang w:val="sq-AL"/>
        </w:rPr>
        <w:t>,</w:t>
      </w:r>
      <w:r w:rsidRPr="009E674D">
        <w:rPr>
          <w:rFonts w:ascii="Calibri" w:eastAsia="Times New Roman" w:hAnsi="Calibri" w:cs="Times New Roman"/>
          <w:color w:val="000000" w:themeColor="text1"/>
          <w:lang w:val="sq-AL"/>
        </w:rPr>
        <w:t xml:space="preserve"> ndër sfidat kryesore të bizneseve ka qenë gjetja e fuqisë punëtore të kualifikuar, në vitet e fundit, veç kësaj, bizneset po hasin gjithnjë e më shumë vështirësi në gjetjen e profileve me shkathtësi të ulëta. Shkak kryesor për këtë janë tendencat migruese të kësaj kategorie, qoftë jashtë Kosovës apo nga komunat e vogla drejt komunave të mëdha, kryesisht drejt kryeqytetit. Në hulumtimin e zhvilluar me drejtorë (ose përfaqësues tjerë) të zhvillimit ekonomik në nivel komunal dhe në atë me biznese</w:t>
      </w:r>
      <w:r w:rsidR="00C22B77">
        <w:rPr>
          <w:rFonts w:ascii="Calibri" w:eastAsia="Times New Roman" w:hAnsi="Calibri" w:cs="Times New Roman"/>
          <w:color w:val="000000" w:themeColor="text1"/>
          <w:lang w:val="sq-AL"/>
        </w:rPr>
        <w:t>,</w:t>
      </w:r>
      <w:r w:rsidRPr="009E674D">
        <w:rPr>
          <w:rFonts w:ascii="Calibri" w:eastAsia="Times New Roman" w:hAnsi="Calibri" w:cs="Times New Roman"/>
          <w:color w:val="000000" w:themeColor="text1"/>
          <w:lang w:val="sq-AL"/>
        </w:rPr>
        <w:t xml:space="preserve"> kategoria “</w:t>
      </w:r>
      <w:r w:rsidRPr="009E674D">
        <w:rPr>
          <w:rFonts w:ascii="Calibri" w:eastAsia="Times New Roman" w:hAnsi="Calibri" w:cs="Times New Roman"/>
          <w:i/>
          <w:color w:val="000000" w:themeColor="text1"/>
          <w:lang w:val="sq-AL"/>
        </w:rPr>
        <w:t>vështirësitë në gjetjen e punëtorëve”</w:t>
      </w:r>
      <w:r w:rsidRPr="009E674D">
        <w:rPr>
          <w:rFonts w:ascii="Calibri" w:eastAsia="Times New Roman" w:hAnsi="Calibri" w:cs="Times New Roman"/>
          <w:color w:val="000000" w:themeColor="text1"/>
          <w:lang w:val="sq-AL"/>
        </w:rPr>
        <w:t>, është renditur si pengesa e parë, respektivisht e dyta më seriozja për zhvillimin ekonomik lokal. Gjithashtu, mbi 85% e t</w:t>
      </w:r>
      <w:r w:rsidRPr="009E674D">
        <w:rPr>
          <w:rFonts w:cstheme="minorHAnsi"/>
          <w:color w:val="000000" w:themeColor="text1"/>
          <w:lang w:val="sq-AL"/>
        </w:rPr>
        <w:t xml:space="preserve">ë njëjtëve </w:t>
      </w:r>
      <w:r w:rsidRPr="009E674D">
        <w:rPr>
          <w:rFonts w:ascii="Calibri" w:eastAsia="Times New Roman" w:hAnsi="Calibri" w:cs="Times New Roman"/>
          <w:color w:val="000000" w:themeColor="text1"/>
          <w:lang w:val="sq-AL"/>
        </w:rPr>
        <w:t>vlerësojnë së migrimi është problem i madh ose shumë i madh për komunat e tyre. Në komuna më të vogla, kjo përqindje është edhe më e lartë. Problemet me tregun e pun</w:t>
      </w:r>
      <w:r w:rsidRPr="009E674D">
        <w:rPr>
          <w:rFonts w:cstheme="minorHAnsi"/>
          <w:color w:val="000000" w:themeColor="text1"/>
          <w:lang w:val="sq-AL"/>
        </w:rPr>
        <w:t>ës</w:t>
      </w:r>
      <w:r w:rsidR="007E2DB2" w:rsidRPr="009E674D">
        <w:rPr>
          <w:rFonts w:ascii="Calibri" w:eastAsia="Times New Roman" w:hAnsi="Calibri" w:cs="Times New Roman"/>
          <w:color w:val="000000" w:themeColor="text1"/>
          <w:lang w:val="sq-AL"/>
        </w:rPr>
        <w:t xml:space="preserve"> konfirmohen edhe n</w:t>
      </w:r>
      <w:r w:rsidR="007E2DB2" w:rsidRPr="009E674D">
        <w:rPr>
          <w:rFonts w:eastAsiaTheme="minorEastAsia" w:cstheme="minorHAnsi"/>
          <w:color w:val="000000" w:themeColor="text1"/>
          <w:lang w:val="sq-AL"/>
        </w:rPr>
        <w:t>ë</w:t>
      </w:r>
      <w:r w:rsidRPr="009E674D">
        <w:rPr>
          <w:rFonts w:ascii="Calibri" w:eastAsia="Times New Roman" w:hAnsi="Calibri" w:cs="Times New Roman"/>
          <w:color w:val="000000" w:themeColor="text1"/>
          <w:lang w:val="sq-AL"/>
        </w:rPr>
        <w:t xml:space="preserve"> </w:t>
      </w:r>
      <w:r w:rsidRPr="009E674D">
        <w:rPr>
          <w:rFonts w:cstheme="minorHAnsi"/>
          <w:color w:val="000000" w:themeColor="text1"/>
          <w:lang w:val="sq-AL"/>
        </w:rPr>
        <w:t>burime tjera</w:t>
      </w:r>
      <w:r w:rsidR="007E2DB2" w:rsidRPr="009E674D">
        <w:rPr>
          <w:rFonts w:cstheme="minorHAnsi"/>
          <w:color w:val="000000" w:themeColor="text1"/>
          <w:lang w:val="sq-AL"/>
        </w:rPr>
        <w:t xml:space="preserve"> </w:t>
      </w:r>
      <w:r w:rsidR="007E2DB2" w:rsidRPr="009E674D">
        <w:rPr>
          <w:rFonts w:cstheme="minorHAnsi"/>
          <w:color w:val="000000" w:themeColor="text1"/>
          <w:lang w:val="sq-AL"/>
        </w:rPr>
        <w:lastRenderedPageBreak/>
        <w:t>hulumtuese</w:t>
      </w:r>
      <w:r w:rsidRPr="009E674D">
        <w:rPr>
          <w:rFonts w:cstheme="minorHAnsi"/>
          <w:color w:val="000000" w:themeColor="text1"/>
          <w:lang w:val="sq-AL"/>
        </w:rPr>
        <w:t>.</w:t>
      </w:r>
      <w:r w:rsidRPr="009E674D">
        <w:rPr>
          <w:rFonts w:ascii="Calibri" w:eastAsia="Times New Roman" w:hAnsi="Calibri" w:cs="Times New Roman"/>
          <w:color w:val="000000" w:themeColor="text1"/>
          <w:lang w:val="sq-AL"/>
        </w:rPr>
        <w:t xml:space="preserve"> Nj</w:t>
      </w:r>
      <w:r w:rsidRPr="009E674D">
        <w:rPr>
          <w:rFonts w:cstheme="minorHAnsi"/>
          <w:color w:val="000000" w:themeColor="text1"/>
          <w:lang w:val="sq-AL"/>
        </w:rPr>
        <w:t xml:space="preserve">ë hulumtim i </w:t>
      </w:r>
      <w:r w:rsidRPr="009E674D">
        <w:rPr>
          <w:rFonts w:ascii="Calibri" w:eastAsia="Times New Roman" w:hAnsi="Calibri" w:cs="Times New Roman"/>
          <w:color w:val="000000" w:themeColor="text1"/>
          <w:lang w:val="sq-AL"/>
        </w:rPr>
        <w:t>OEK, p</w:t>
      </w:r>
      <w:r w:rsidR="007E2DB2" w:rsidRPr="009E674D">
        <w:rPr>
          <w:rFonts w:cstheme="minorHAnsi"/>
          <w:color w:val="000000" w:themeColor="text1"/>
          <w:lang w:val="sq-AL"/>
        </w:rPr>
        <w:t>ër shembull,</w:t>
      </w:r>
      <w:r w:rsidRPr="009E674D">
        <w:rPr>
          <w:rFonts w:ascii="Calibri" w:eastAsia="Times New Roman" w:hAnsi="Calibri" w:cs="Times New Roman"/>
          <w:color w:val="000000" w:themeColor="text1"/>
          <w:lang w:val="sq-AL"/>
        </w:rPr>
        <w:t xml:space="preserve"> tregon se </w:t>
      </w:r>
      <w:r w:rsidRPr="009E674D">
        <w:rPr>
          <w:lang w:val="sq-AL"/>
        </w:rPr>
        <w:t>82.4% e ndërmarrjeve në Kosovë e kanë të vështirë të gjejnë punëtorë të kualifikuar.</w:t>
      </w:r>
      <w:r w:rsidRPr="009E674D">
        <w:rPr>
          <w:vertAlign w:val="superscript"/>
          <w:lang w:val="sq-AL"/>
        </w:rPr>
        <w:footnoteReference w:id="8"/>
      </w:r>
      <w:r w:rsidRPr="009E674D">
        <w:rPr>
          <w:lang w:val="sq-AL"/>
        </w:rPr>
        <w:t xml:space="preserve"> </w:t>
      </w:r>
    </w:p>
    <w:p w14:paraId="1B64151C" w14:textId="1486755C" w:rsidR="006448E7" w:rsidRPr="009E674D" w:rsidRDefault="006448E7" w:rsidP="006448E7">
      <w:pPr>
        <w:jc w:val="both"/>
        <w:rPr>
          <w:rFonts w:ascii="Calibri" w:eastAsia="Times New Roman" w:hAnsi="Calibri" w:cs="Times New Roman"/>
          <w:color w:val="000000" w:themeColor="text1"/>
          <w:lang w:val="sq-AL"/>
        </w:rPr>
      </w:pPr>
      <w:r w:rsidRPr="009E674D">
        <w:rPr>
          <w:rFonts w:ascii="Calibri" w:eastAsia="Times New Roman" w:hAnsi="Calibri" w:cs="Times New Roman"/>
          <w:color w:val="000000" w:themeColor="text1"/>
          <w:lang w:val="sq-AL"/>
        </w:rPr>
        <w:t>Komunat nuk mbledhin të dhëna sistematike për t’i identifikuar profilet që nevojiten në tregun e tyre. Sipas anketës me biznese, disa nga profilet të cilat mungojnë më së shumti janë salduesit, inxhinierët softuerik me përvojë, operatorët e pajisjeve dhe axhustatorët. Bashkëpunimi në mes të sektorit privat dhe shkollave profesionale apo qendrave të akredituara të trajnimit është në nivel të kufizuar. Mungojnë mekanizmat funksional</w:t>
      </w:r>
      <w:r w:rsidR="007E2DB2" w:rsidRPr="009E674D">
        <w:rPr>
          <w:rFonts w:ascii="Calibri" w:eastAsia="Times New Roman" w:hAnsi="Calibri" w:cs="Times New Roman"/>
          <w:color w:val="000000" w:themeColor="text1"/>
          <w:lang w:val="sq-AL"/>
        </w:rPr>
        <w:t>ë</w:t>
      </w:r>
      <w:r w:rsidRPr="009E674D">
        <w:rPr>
          <w:rFonts w:ascii="Calibri" w:eastAsia="Times New Roman" w:hAnsi="Calibri" w:cs="Times New Roman"/>
          <w:color w:val="000000" w:themeColor="text1"/>
          <w:lang w:val="sq-AL"/>
        </w:rPr>
        <w:t xml:space="preserve"> që u krijojnë mundësi bizneseve të ofrojnë ndihmën e tyre në hartimin e standardeve të profesionit për shkollim/aftësim profesional. Në anën tjetër, bizneset shumë pak shfaqin interesim për të ofruar mundësi për përvojë praktike në vend të punës. </w:t>
      </w:r>
      <w:r w:rsidRPr="009E674D">
        <w:rPr>
          <w:lang w:val="sq-AL"/>
        </w:rPr>
        <w:t>OEK nxjerr në pah se 61.6% e ndërmarrjeve nuk bashkëpunojnë fare me fakultete, shkolla profesionale, qendra trajnuese apo qendra të punësimit.</w:t>
      </w:r>
      <w:r w:rsidRPr="009E674D">
        <w:rPr>
          <w:vertAlign w:val="superscript"/>
          <w:lang w:val="sq-AL"/>
        </w:rPr>
        <w:footnoteReference w:id="9"/>
      </w:r>
      <w:r w:rsidRPr="009E674D">
        <w:rPr>
          <w:rFonts w:ascii="Calibri" w:eastAsia="Times New Roman" w:hAnsi="Calibri" w:cs="Times New Roman"/>
          <w:color w:val="000000" w:themeColor="text1"/>
          <w:lang w:val="sq-AL"/>
        </w:rPr>
        <w:t xml:space="preserve"> Për më shumë, firmat rrallë ofrojnë trajnime për punëtorët e tyre. Në sektorin e prodhimit, sipas Bankës Botërore (BB), vetëm 26% të punëtorëve u ofrohet trajnim – pra</w:t>
      </w:r>
      <w:r w:rsidR="005D37D6">
        <w:rPr>
          <w:rFonts w:ascii="Calibri" w:eastAsia="Times New Roman" w:hAnsi="Calibri" w:cs="Times New Roman"/>
          <w:color w:val="000000" w:themeColor="text1"/>
          <w:lang w:val="sq-AL"/>
        </w:rPr>
        <w:t>,</w:t>
      </w:r>
      <w:r w:rsidRPr="009E674D">
        <w:rPr>
          <w:rFonts w:ascii="Calibri" w:eastAsia="Times New Roman" w:hAnsi="Calibri" w:cs="Times New Roman"/>
          <w:color w:val="000000" w:themeColor="text1"/>
          <w:lang w:val="sq-AL"/>
        </w:rPr>
        <w:t xml:space="preserve"> trajnimi në punë mungon në shumicën e rasteve.</w:t>
      </w:r>
      <w:r w:rsidRPr="009E674D">
        <w:rPr>
          <w:rFonts w:ascii="Calibri" w:eastAsia="Times New Roman" w:hAnsi="Calibri" w:cs="Times New Roman"/>
          <w:color w:val="000000" w:themeColor="text1"/>
          <w:vertAlign w:val="superscript"/>
          <w:lang w:val="sq-AL"/>
        </w:rPr>
        <w:footnoteReference w:id="10"/>
      </w:r>
      <w:r w:rsidRPr="009E674D">
        <w:rPr>
          <w:rFonts w:ascii="Calibri" w:eastAsia="Times New Roman" w:hAnsi="Calibri" w:cs="Times New Roman"/>
          <w:color w:val="000000" w:themeColor="text1"/>
          <w:lang w:val="sq-AL"/>
        </w:rPr>
        <w:t xml:space="preserve"> Një problem tjetër është se tek moshat më të vjetra ekziston hendek i theksuar në shkathtësi digjitale. Këto shkathtësi po bëhen të nevojshme çdo here e më shumë. </w:t>
      </w:r>
    </w:p>
    <w:p w14:paraId="698A8F0A" w14:textId="0805F2D8" w:rsidR="006448E7" w:rsidRPr="009E674D" w:rsidRDefault="006448E7" w:rsidP="006448E7">
      <w:pPr>
        <w:jc w:val="both"/>
        <w:rPr>
          <w:rFonts w:ascii="Calibri" w:eastAsia="Times New Roman" w:hAnsi="Calibri" w:cs="Times New Roman"/>
          <w:color w:val="000000" w:themeColor="text1"/>
          <w:lang w:val="sq-AL"/>
        </w:rPr>
      </w:pPr>
      <w:r w:rsidRPr="009E674D">
        <w:rPr>
          <w:rFonts w:ascii="Calibri" w:eastAsia="Times New Roman" w:hAnsi="Calibri" w:cs="Times New Roman"/>
          <w:color w:val="000000" w:themeColor="text1"/>
          <w:lang w:val="sq-AL"/>
        </w:rPr>
        <w:t>Në sektorët që janë më të cenueshëm ndaj aksidenteve në punë nuk ofrohet siguri e mjaftueshme. Sipas të dhënave të Inspektoratit të Punës, janë evidentuar 188 aksidente në vend të punës – 9 prej tyre kanë përfunduar me fatalitet.</w:t>
      </w:r>
      <w:r w:rsidRPr="009E674D">
        <w:rPr>
          <w:rFonts w:ascii="Calibri" w:eastAsia="Times New Roman" w:hAnsi="Calibri" w:cs="Times New Roman"/>
          <w:color w:val="000000" w:themeColor="text1"/>
          <w:vertAlign w:val="superscript"/>
          <w:lang w:val="sq-AL"/>
        </w:rPr>
        <w:footnoteReference w:id="11"/>
      </w:r>
      <w:r w:rsidRPr="009E674D">
        <w:rPr>
          <w:rFonts w:ascii="Calibri" w:eastAsia="Times New Roman" w:hAnsi="Calibri" w:cs="Times New Roman"/>
          <w:color w:val="000000" w:themeColor="text1"/>
          <w:lang w:val="sq-AL"/>
        </w:rPr>
        <w:t xml:space="preserve"> </w:t>
      </w:r>
      <w:r w:rsidR="005D37D6" w:rsidRPr="009E674D">
        <w:rPr>
          <w:rFonts w:ascii="Calibri" w:eastAsia="Times New Roman" w:hAnsi="Calibri" w:cs="Times New Roman"/>
          <w:color w:val="000000" w:themeColor="text1"/>
          <w:lang w:val="sq-AL"/>
        </w:rPr>
        <w:t>Ndërtimtar</w:t>
      </w:r>
      <w:r w:rsidR="005D37D6">
        <w:rPr>
          <w:rFonts w:ascii="Calibri" w:eastAsia="Times New Roman" w:hAnsi="Calibri" w:cs="Times New Roman"/>
          <w:color w:val="000000" w:themeColor="text1"/>
          <w:lang w:val="sq-AL"/>
        </w:rPr>
        <w:t>i</w:t>
      </w:r>
      <w:r w:rsidR="005D37D6" w:rsidRPr="009E674D">
        <w:rPr>
          <w:rFonts w:ascii="Calibri" w:eastAsia="Times New Roman" w:hAnsi="Calibri" w:cs="Times New Roman"/>
          <w:color w:val="000000" w:themeColor="text1"/>
          <w:lang w:val="sq-AL"/>
        </w:rPr>
        <w:t xml:space="preserve">a </w:t>
      </w:r>
      <w:r w:rsidRPr="009E674D">
        <w:rPr>
          <w:rFonts w:ascii="Calibri" w:eastAsia="Times New Roman" w:hAnsi="Calibri" w:cs="Times New Roman"/>
          <w:color w:val="000000" w:themeColor="text1"/>
          <w:lang w:val="sq-AL"/>
        </w:rPr>
        <w:t>mbetet sektori më i rrezikuar në këtë drejtim. Informaliteti në treg të punës mbetet mjaft i lartë. Sipas vlerësimeve të fundit të ASK-së, punësimi jo</w:t>
      </w:r>
      <w:r w:rsidR="007E2DB2" w:rsidRPr="009E674D">
        <w:rPr>
          <w:rFonts w:ascii="Calibri" w:eastAsia="Times New Roman" w:hAnsi="Calibri" w:cs="Times New Roman"/>
          <w:color w:val="000000" w:themeColor="text1"/>
          <w:lang w:val="sq-AL"/>
        </w:rPr>
        <w:t>formal është rreth 35%.</w:t>
      </w:r>
      <w:r w:rsidRPr="009E674D">
        <w:rPr>
          <w:rFonts w:ascii="Calibri" w:eastAsia="Times New Roman" w:hAnsi="Calibri" w:cs="Times New Roman"/>
          <w:color w:val="000000" w:themeColor="text1"/>
          <w:vertAlign w:val="superscript"/>
          <w:lang w:val="sq-AL"/>
        </w:rPr>
        <w:footnoteReference w:id="12"/>
      </w:r>
      <w:r w:rsidR="007E2DB2" w:rsidRPr="009E674D">
        <w:rPr>
          <w:rFonts w:ascii="Calibri" w:eastAsia="Times New Roman" w:hAnsi="Calibri" w:cs="Times New Roman"/>
          <w:color w:val="000000" w:themeColor="text1"/>
          <w:lang w:val="sq-AL"/>
        </w:rPr>
        <w:t xml:space="preserve"> </w:t>
      </w:r>
      <w:r w:rsidRPr="009E674D">
        <w:rPr>
          <w:rFonts w:ascii="Calibri" w:eastAsia="Times New Roman" w:hAnsi="Calibri" w:cs="Times New Roman"/>
          <w:color w:val="000000" w:themeColor="text1"/>
          <w:lang w:val="sq-AL"/>
        </w:rPr>
        <w:t>Një problem tjetër shqet</w:t>
      </w:r>
      <w:r w:rsidRPr="009E674D">
        <w:rPr>
          <w:lang w:val="sq-AL"/>
        </w:rPr>
        <w:t>ësues</w:t>
      </w:r>
      <w:r w:rsidRPr="009E674D">
        <w:rPr>
          <w:rFonts w:ascii="Calibri" w:eastAsia="Times New Roman" w:hAnsi="Calibri" w:cs="Times New Roman"/>
          <w:color w:val="000000" w:themeColor="text1"/>
          <w:lang w:val="sq-AL"/>
        </w:rPr>
        <w:t xml:space="preserve"> është se ekziston një ni</w:t>
      </w:r>
      <w:r w:rsidR="00186658" w:rsidRPr="009E674D">
        <w:rPr>
          <w:rFonts w:ascii="Calibri" w:eastAsia="Times New Roman" w:hAnsi="Calibri" w:cs="Times New Roman"/>
          <w:color w:val="000000" w:themeColor="text1"/>
          <w:lang w:val="sq-AL"/>
        </w:rPr>
        <w:t>vel i ulët i integrimit të grave</w:t>
      </w:r>
      <w:r w:rsidRPr="009E674D">
        <w:rPr>
          <w:rFonts w:ascii="Calibri" w:eastAsia="Times New Roman" w:hAnsi="Calibri" w:cs="Times New Roman"/>
          <w:color w:val="000000" w:themeColor="text1"/>
          <w:lang w:val="sq-AL"/>
        </w:rPr>
        <w:t xml:space="preserve"> në tregun</w:t>
      </w:r>
      <w:r w:rsidR="007E2DB2" w:rsidRPr="009E674D">
        <w:rPr>
          <w:rFonts w:ascii="Calibri" w:eastAsia="Times New Roman" w:hAnsi="Calibri" w:cs="Times New Roman"/>
          <w:color w:val="000000" w:themeColor="text1"/>
          <w:lang w:val="sq-AL"/>
        </w:rPr>
        <w:t xml:space="preserve"> e</w:t>
      </w:r>
      <w:r w:rsidRPr="009E674D">
        <w:rPr>
          <w:rFonts w:ascii="Calibri" w:eastAsia="Times New Roman" w:hAnsi="Calibri" w:cs="Times New Roman"/>
          <w:color w:val="000000" w:themeColor="text1"/>
          <w:lang w:val="sq-AL"/>
        </w:rPr>
        <w:t xml:space="preserve"> punës. Konkretisht, vetëm 20% e tyre marrin pjesë në tregu të punës.</w:t>
      </w:r>
      <w:r w:rsidR="007E2DB2" w:rsidRPr="009E674D">
        <w:rPr>
          <w:rFonts w:ascii="Calibri" w:eastAsia="Times New Roman" w:hAnsi="Calibri" w:cs="Times New Roman"/>
          <w:color w:val="000000" w:themeColor="text1"/>
          <w:vertAlign w:val="superscript"/>
          <w:lang w:val="sq-AL"/>
        </w:rPr>
        <w:t xml:space="preserve"> </w:t>
      </w:r>
      <w:r w:rsidR="007E2DB2" w:rsidRPr="009E674D">
        <w:rPr>
          <w:rFonts w:ascii="Calibri" w:eastAsia="Times New Roman" w:hAnsi="Calibri" w:cs="Times New Roman"/>
          <w:color w:val="000000" w:themeColor="text1"/>
          <w:vertAlign w:val="superscript"/>
          <w:lang w:val="sq-AL"/>
        </w:rPr>
        <w:footnoteReference w:id="13"/>
      </w:r>
      <w:r w:rsidRPr="009E674D">
        <w:rPr>
          <w:rFonts w:ascii="Calibri" w:eastAsia="Times New Roman" w:hAnsi="Calibri" w:cs="Times New Roman"/>
          <w:color w:val="000000" w:themeColor="text1"/>
          <w:lang w:val="sq-AL"/>
        </w:rPr>
        <w:t xml:space="preserve"> Ky fenomen është ende më i theksuar në profesione të cilat tradicionalisht u kanë takuar burrave.</w:t>
      </w:r>
    </w:p>
    <w:p w14:paraId="039E517F" w14:textId="420F0083" w:rsidR="005E0430" w:rsidRPr="009E674D" w:rsidRDefault="005D5E21" w:rsidP="006448E7">
      <w:pPr>
        <w:jc w:val="both"/>
        <w:rPr>
          <w:rFonts w:ascii="Calibri" w:eastAsia="Times New Roman" w:hAnsi="Calibri" w:cs="Times New Roman"/>
          <w:color w:val="000000" w:themeColor="text1"/>
          <w:lang w:val="sq-AL"/>
        </w:rPr>
      </w:pPr>
      <w:r w:rsidRPr="009E674D">
        <w:rPr>
          <w:rFonts w:ascii="Calibri" w:eastAsia="Times New Roman" w:hAnsi="Calibri" w:cs="Times New Roman"/>
          <w:color w:val="000000" w:themeColor="text1"/>
          <w:lang w:val="sq-AL"/>
        </w:rPr>
        <w:t>Ndonëse një pjese e madhe e buxhetit të komunave investohet në infrastrukturë, sidomos në  infrastrukturë rrugore (rreth 27%), nuk duket që të ketë krijuar ndikim të mjaftueshëm. Sipas një ankete të realizuar me qytetarë</w:t>
      </w:r>
      <w:r w:rsidR="00F84DDB">
        <w:rPr>
          <w:rFonts w:ascii="Calibri" w:eastAsia="Times New Roman" w:hAnsi="Calibri" w:cs="Times New Roman"/>
          <w:color w:val="000000" w:themeColor="text1"/>
          <w:lang w:val="sq-AL"/>
        </w:rPr>
        <w:t>,</w:t>
      </w:r>
      <w:r w:rsidRPr="009E674D">
        <w:rPr>
          <w:rFonts w:ascii="Calibri" w:eastAsia="Times New Roman" w:hAnsi="Calibri" w:cs="Times New Roman"/>
          <w:color w:val="000000" w:themeColor="text1"/>
          <w:lang w:val="sq-AL"/>
        </w:rPr>
        <w:t xml:space="preserve"> për nevoja të “Studimit gjithëpërfshirës së sistemit të </w:t>
      </w:r>
      <w:r w:rsidR="00373316" w:rsidRPr="009E674D">
        <w:rPr>
          <w:rFonts w:ascii="Calibri" w:eastAsia="Times New Roman" w:hAnsi="Calibri" w:cs="Times New Roman"/>
          <w:color w:val="000000" w:themeColor="text1"/>
          <w:lang w:val="sq-AL"/>
        </w:rPr>
        <w:t>vetëqeverisjes</w:t>
      </w:r>
      <w:r w:rsidRPr="009E674D">
        <w:rPr>
          <w:rFonts w:ascii="Calibri" w:eastAsia="Times New Roman" w:hAnsi="Calibri" w:cs="Times New Roman"/>
          <w:color w:val="000000" w:themeColor="text1"/>
          <w:lang w:val="sq-AL"/>
        </w:rPr>
        <w:t xml:space="preserve"> lokale në Kosovë”</w:t>
      </w:r>
      <w:r w:rsidR="005D37D6">
        <w:rPr>
          <w:rFonts w:ascii="Calibri" w:eastAsia="Times New Roman" w:hAnsi="Calibri" w:cs="Times New Roman"/>
          <w:color w:val="000000" w:themeColor="text1"/>
          <w:lang w:val="sq-AL"/>
        </w:rPr>
        <w:t>,</w:t>
      </w:r>
      <w:r w:rsidR="00182098" w:rsidRPr="009E674D">
        <w:rPr>
          <w:rFonts w:ascii="Calibri" w:eastAsia="Times New Roman" w:hAnsi="Calibri" w:cs="Times New Roman"/>
          <w:color w:val="000000" w:themeColor="text1"/>
          <w:lang w:val="sq-AL"/>
        </w:rPr>
        <w:t xml:space="preserve"> </w:t>
      </w:r>
      <w:r w:rsidR="0065267B" w:rsidRPr="009E674D">
        <w:rPr>
          <w:rFonts w:ascii="Calibri" w:eastAsia="Times New Roman" w:hAnsi="Calibri" w:cs="Times New Roman"/>
          <w:color w:val="000000" w:themeColor="text1"/>
          <w:lang w:val="sq-AL"/>
        </w:rPr>
        <w:t>përgjithësisht ekzisto</w:t>
      </w:r>
      <w:r w:rsidR="005D37D6">
        <w:rPr>
          <w:rFonts w:ascii="Calibri" w:eastAsia="Times New Roman" w:hAnsi="Calibri" w:cs="Times New Roman"/>
          <w:color w:val="000000" w:themeColor="text1"/>
          <w:lang w:val="sq-AL"/>
        </w:rPr>
        <w:t>j</w:t>
      </w:r>
      <w:r w:rsidR="0065267B" w:rsidRPr="009E674D">
        <w:rPr>
          <w:rFonts w:ascii="Calibri" w:eastAsia="Times New Roman" w:hAnsi="Calibri" w:cs="Times New Roman"/>
          <w:color w:val="000000" w:themeColor="text1"/>
          <w:lang w:val="sq-AL"/>
        </w:rPr>
        <w:t>n</w:t>
      </w:r>
      <w:r w:rsidR="005D37D6">
        <w:rPr>
          <w:rFonts w:ascii="Calibri" w:eastAsia="Times New Roman" w:hAnsi="Calibri" w:cs="Times New Roman"/>
          <w:color w:val="000000" w:themeColor="text1"/>
          <w:lang w:val="sq-AL"/>
        </w:rPr>
        <w:t>ë</w:t>
      </w:r>
      <w:r w:rsidR="0065267B" w:rsidRPr="009E674D">
        <w:rPr>
          <w:rFonts w:ascii="Calibri" w:eastAsia="Times New Roman" w:hAnsi="Calibri" w:cs="Times New Roman"/>
          <w:color w:val="000000" w:themeColor="text1"/>
          <w:lang w:val="sq-AL"/>
        </w:rPr>
        <w:t xml:space="preserve"> pakënaqësi në lidhje me</w:t>
      </w:r>
      <w:r w:rsidR="00182098" w:rsidRPr="009E674D">
        <w:rPr>
          <w:rFonts w:ascii="Calibri" w:eastAsia="Times New Roman" w:hAnsi="Calibri" w:cs="Times New Roman"/>
          <w:color w:val="000000" w:themeColor="text1"/>
          <w:lang w:val="sq-AL"/>
        </w:rPr>
        <w:t xml:space="preserve"> furnizimi</w:t>
      </w:r>
      <w:r w:rsidR="0065267B" w:rsidRPr="009E674D">
        <w:rPr>
          <w:rFonts w:ascii="Calibri" w:eastAsia="Times New Roman" w:hAnsi="Calibri" w:cs="Times New Roman"/>
          <w:color w:val="000000" w:themeColor="text1"/>
          <w:lang w:val="sq-AL"/>
        </w:rPr>
        <w:t>n</w:t>
      </w:r>
      <w:r w:rsidR="00182098" w:rsidRPr="009E674D">
        <w:rPr>
          <w:rFonts w:ascii="Calibri" w:eastAsia="Times New Roman" w:hAnsi="Calibri" w:cs="Times New Roman"/>
          <w:color w:val="000000" w:themeColor="text1"/>
          <w:lang w:val="sq-AL"/>
        </w:rPr>
        <w:t xml:space="preserve"> me ujin e p</w:t>
      </w:r>
      <w:r w:rsidR="0065267B" w:rsidRPr="009E674D">
        <w:rPr>
          <w:rFonts w:ascii="Calibri" w:eastAsia="Times New Roman" w:hAnsi="Calibri" w:cs="Times New Roman"/>
          <w:color w:val="000000" w:themeColor="text1"/>
          <w:lang w:val="sq-AL"/>
        </w:rPr>
        <w:t>ijshëm, menaxhimin e mbeturinave,</w:t>
      </w:r>
      <w:r w:rsidR="00182098" w:rsidRPr="009E674D">
        <w:rPr>
          <w:rFonts w:ascii="Calibri" w:eastAsia="Times New Roman" w:hAnsi="Calibri" w:cs="Times New Roman"/>
          <w:color w:val="000000" w:themeColor="text1"/>
          <w:lang w:val="sq-AL"/>
        </w:rPr>
        <w:t xml:space="preserve"> transporti</w:t>
      </w:r>
      <w:r w:rsidR="0065267B" w:rsidRPr="009E674D">
        <w:rPr>
          <w:rFonts w:ascii="Calibri" w:eastAsia="Times New Roman" w:hAnsi="Calibri" w:cs="Times New Roman"/>
          <w:color w:val="000000" w:themeColor="text1"/>
          <w:lang w:val="sq-AL"/>
        </w:rPr>
        <w:t>n</w:t>
      </w:r>
      <w:r w:rsidR="00182098" w:rsidRPr="009E674D">
        <w:rPr>
          <w:rFonts w:ascii="Calibri" w:eastAsia="Times New Roman" w:hAnsi="Calibri" w:cs="Times New Roman"/>
          <w:color w:val="000000" w:themeColor="text1"/>
          <w:lang w:val="sq-AL"/>
        </w:rPr>
        <w:t xml:space="preserve"> lokal, inf</w:t>
      </w:r>
      <w:r w:rsidR="0065267B" w:rsidRPr="009E674D">
        <w:rPr>
          <w:rFonts w:ascii="Calibri" w:eastAsia="Times New Roman" w:hAnsi="Calibri" w:cs="Times New Roman"/>
          <w:color w:val="000000" w:themeColor="text1"/>
          <w:lang w:val="sq-AL"/>
        </w:rPr>
        <w:t>rastrukturën</w:t>
      </w:r>
      <w:r w:rsidR="00182098" w:rsidRPr="009E674D">
        <w:rPr>
          <w:rFonts w:ascii="Calibri" w:eastAsia="Times New Roman" w:hAnsi="Calibri" w:cs="Times New Roman"/>
          <w:color w:val="000000" w:themeColor="text1"/>
          <w:lang w:val="sq-AL"/>
        </w:rPr>
        <w:t xml:space="preserve"> rrugore, kanalizimi</w:t>
      </w:r>
      <w:r w:rsidR="0065267B" w:rsidRPr="009E674D">
        <w:rPr>
          <w:rFonts w:ascii="Calibri" w:eastAsia="Times New Roman" w:hAnsi="Calibri" w:cs="Times New Roman"/>
          <w:color w:val="000000" w:themeColor="text1"/>
          <w:lang w:val="sq-AL"/>
        </w:rPr>
        <w:t>n dhe trajtimin e</w:t>
      </w:r>
      <w:r w:rsidR="00182098" w:rsidRPr="009E674D">
        <w:rPr>
          <w:rFonts w:ascii="Calibri" w:eastAsia="Times New Roman" w:hAnsi="Calibri" w:cs="Times New Roman"/>
          <w:color w:val="000000" w:themeColor="text1"/>
          <w:lang w:val="sq-AL"/>
        </w:rPr>
        <w:t xml:space="preserve"> ujërave të zeza</w:t>
      </w:r>
      <w:r w:rsidRPr="009E674D">
        <w:rPr>
          <w:rFonts w:ascii="Calibri" w:eastAsia="Times New Roman" w:hAnsi="Calibri" w:cs="Times New Roman"/>
          <w:color w:val="000000" w:themeColor="text1"/>
          <w:lang w:val="sq-AL"/>
        </w:rPr>
        <w:t>.</w:t>
      </w:r>
      <w:r w:rsidR="0063250B" w:rsidRPr="009E674D">
        <w:rPr>
          <w:rStyle w:val="FootnoteReference"/>
          <w:rFonts w:ascii="Calibri" w:eastAsia="Times New Roman" w:hAnsi="Calibri" w:cs="Times New Roman"/>
          <w:color w:val="000000" w:themeColor="text1"/>
          <w:lang w:val="sq-AL"/>
        </w:rPr>
        <w:footnoteReference w:id="14"/>
      </w:r>
    </w:p>
    <w:p w14:paraId="6BA926F6" w14:textId="346D6434" w:rsidR="006448E7" w:rsidRPr="009E674D" w:rsidRDefault="006448E7" w:rsidP="00052486">
      <w:pPr>
        <w:spacing w:before="240"/>
        <w:jc w:val="both"/>
        <w:rPr>
          <w:color w:val="000000" w:themeColor="text1"/>
          <w:lang w:val="sq-AL"/>
        </w:rPr>
      </w:pPr>
      <w:r w:rsidRPr="009E674D">
        <w:rPr>
          <w:color w:val="000000" w:themeColor="text1"/>
          <w:lang w:val="sq-AL"/>
        </w:rPr>
        <w:t xml:space="preserve">Kur vjen puna te financat lokale, komunat i mbulojnë shpenzimet e tyre nga grantet qeveritare dhe të hyrat vetanake. Sasia e mjeteve që alokohet tek komunat nga niveli qendror përmes grantit të përgjithshëm dhe granteve tjera përcjellëse, në raport me të hyrat që ka vendi, konsiderohet relativisht e kënaqshme. Megjithatë, mënyra e shpërndarjes përmes granteve, duke e anashkaluar ndërlidhjen e </w:t>
      </w:r>
      <w:r w:rsidRPr="009E674D">
        <w:rPr>
          <w:color w:val="000000" w:themeColor="text1"/>
          <w:lang w:val="sq-AL"/>
        </w:rPr>
        <w:lastRenderedPageBreak/>
        <w:t>drejtpërdrejtë me të hyrat nga disa lloje të tatimeve</w:t>
      </w:r>
      <w:r w:rsidR="00052486" w:rsidRPr="009E674D">
        <w:rPr>
          <w:color w:val="000000" w:themeColor="text1"/>
          <w:lang w:val="sq-AL"/>
        </w:rPr>
        <w:t xml:space="preserve"> (psh. tatimi në të ardhura</w:t>
      </w:r>
      <w:r w:rsidR="005138BF" w:rsidRPr="009E674D">
        <w:rPr>
          <w:color w:val="000000" w:themeColor="text1"/>
          <w:lang w:val="sq-AL"/>
        </w:rPr>
        <w:t xml:space="preserve"> personale</w:t>
      </w:r>
      <w:r w:rsidR="00052486" w:rsidRPr="009E674D">
        <w:rPr>
          <w:color w:val="000000" w:themeColor="text1"/>
          <w:lang w:val="sq-AL"/>
        </w:rPr>
        <w:t>)</w:t>
      </w:r>
      <w:r w:rsidRPr="009E674D">
        <w:rPr>
          <w:color w:val="000000" w:themeColor="text1"/>
          <w:lang w:val="sq-AL"/>
        </w:rPr>
        <w:t xml:space="preserve">, nuk vlerësohet mënyra më e përshtatshme dhe dallon nga praktikat në vendet e ngjashme në rajon dhe më tej. </w:t>
      </w:r>
      <w:r w:rsidR="007E2DB2" w:rsidRPr="009E674D">
        <w:rPr>
          <w:color w:val="000000" w:themeColor="text1"/>
          <w:lang w:val="sq-AL"/>
        </w:rPr>
        <w:t xml:space="preserve">Për më </w:t>
      </w:r>
      <w:r w:rsidR="00986AA3">
        <w:rPr>
          <w:color w:val="000000" w:themeColor="text1"/>
          <w:lang w:val="sq-AL"/>
        </w:rPr>
        <w:t>tepër</w:t>
      </w:r>
      <w:r w:rsidR="007E2DB2" w:rsidRPr="009E674D">
        <w:rPr>
          <w:color w:val="000000" w:themeColor="text1"/>
          <w:lang w:val="sq-AL"/>
        </w:rPr>
        <w:t>, n</w:t>
      </w:r>
      <w:r w:rsidRPr="009E674D">
        <w:rPr>
          <w:color w:val="000000" w:themeColor="text1"/>
          <w:lang w:val="sq-AL"/>
        </w:rPr>
        <w:t xml:space="preserve">darja e granteve qeveritare në formë lineare ka bërë që komunat të mos jenë shumë aktive në realizimin e të hyrave vetanake dhe të </w:t>
      </w:r>
      <w:r w:rsidR="00052486" w:rsidRPr="009E674D">
        <w:rPr>
          <w:color w:val="000000" w:themeColor="text1"/>
          <w:lang w:val="sq-AL"/>
        </w:rPr>
        <w:t xml:space="preserve">mos </w:t>
      </w:r>
      <w:r w:rsidRPr="009E674D">
        <w:rPr>
          <w:color w:val="000000" w:themeColor="text1"/>
          <w:lang w:val="sq-AL"/>
        </w:rPr>
        <w:t>zhvillojnë një lloj konkurrence ndërmjet veti në këtë drejtim.</w:t>
      </w:r>
    </w:p>
    <w:p w14:paraId="5348A38D" w14:textId="14423BE9" w:rsidR="006448E7" w:rsidRPr="009E674D" w:rsidRDefault="006448E7" w:rsidP="006448E7">
      <w:pPr>
        <w:jc w:val="both"/>
        <w:rPr>
          <w:color w:val="000000" w:themeColor="text1"/>
          <w:lang w:val="sq-AL"/>
        </w:rPr>
      </w:pPr>
      <w:r w:rsidRPr="009E674D">
        <w:rPr>
          <w:color w:val="000000" w:themeColor="text1"/>
          <w:lang w:val="sq-AL"/>
        </w:rPr>
        <w:t>Në anën tjetër, kompetencat që u janë lënë komunave për të krijuar të hyra n</w:t>
      </w:r>
      <w:r w:rsidR="005138BF" w:rsidRPr="009E674D">
        <w:rPr>
          <w:color w:val="000000" w:themeColor="text1"/>
          <w:lang w:val="sq-AL"/>
        </w:rPr>
        <w:t xml:space="preserve">ga burimet vetanake </w:t>
      </w:r>
      <w:r w:rsidR="0063250B" w:rsidRPr="009E674D">
        <w:rPr>
          <w:color w:val="000000" w:themeColor="text1"/>
          <w:lang w:val="sq-AL"/>
        </w:rPr>
        <w:t>(tatimi në pronë, taksat, tarif</w:t>
      </w:r>
      <w:r w:rsidR="005138BF" w:rsidRPr="009E674D">
        <w:rPr>
          <w:color w:val="000000" w:themeColor="text1"/>
          <w:lang w:val="sq-AL"/>
        </w:rPr>
        <w:t>at dhe ngarkesat tjera komunale</w:t>
      </w:r>
      <w:r w:rsidRPr="009E674D">
        <w:rPr>
          <w:color w:val="000000" w:themeColor="text1"/>
          <w:lang w:val="sq-AL"/>
        </w:rPr>
        <w:t>) janë të pamjaftueshme për t’i bërë ato të vet</w:t>
      </w:r>
      <w:r w:rsidR="00723D5C" w:rsidRPr="009E674D">
        <w:rPr>
          <w:rFonts w:eastAsiaTheme="minorEastAsia" w:cstheme="minorHAnsi"/>
          <w:color w:val="000000" w:themeColor="text1"/>
          <w:lang w:val="sq-AL"/>
        </w:rPr>
        <w:t>ë</w:t>
      </w:r>
      <w:r w:rsidRPr="009E674D">
        <w:rPr>
          <w:color w:val="000000" w:themeColor="text1"/>
          <w:lang w:val="sq-AL"/>
        </w:rPr>
        <w:t>qëndrueshme financiarisht. Pjesa më e madhe e komunave nuk arrijnë t’i mbulojnë më shumë se 15</w:t>
      </w:r>
      <w:r w:rsidR="00052486" w:rsidRPr="009E674D">
        <w:rPr>
          <w:color w:val="000000" w:themeColor="text1"/>
          <w:lang w:val="sq-AL"/>
        </w:rPr>
        <w:t>%</w:t>
      </w:r>
      <w:r w:rsidRPr="009E674D">
        <w:rPr>
          <w:color w:val="000000" w:themeColor="text1"/>
          <w:lang w:val="sq-AL"/>
        </w:rPr>
        <w:t xml:space="preserve"> apo 20% të shpenzimeve nga të hyrat që i </w:t>
      </w:r>
      <w:r w:rsidR="00986AA3" w:rsidRPr="009E674D">
        <w:rPr>
          <w:color w:val="000000" w:themeColor="text1"/>
          <w:lang w:val="sq-AL"/>
        </w:rPr>
        <w:t>ar</w:t>
      </w:r>
      <w:r w:rsidR="00986AA3">
        <w:rPr>
          <w:color w:val="000000" w:themeColor="text1"/>
          <w:lang w:val="sq-AL"/>
        </w:rPr>
        <w:t>k</w:t>
      </w:r>
      <w:r w:rsidR="00986AA3" w:rsidRPr="009E674D">
        <w:rPr>
          <w:color w:val="000000" w:themeColor="text1"/>
          <w:lang w:val="sq-AL"/>
        </w:rPr>
        <w:t xml:space="preserve">ëtojnë </w:t>
      </w:r>
      <w:r w:rsidRPr="009E674D">
        <w:rPr>
          <w:color w:val="000000" w:themeColor="text1"/>
          <w:lang w:val="sq-AL"/>
        </w:rPr>
        <w:t>nga burimet vetanake.</w:t>
      </w:r>
      <w:r w:rsidRPr="009E674D">
        <w:rPr>
          <w:color w:val="000000" w:themeColor="text1"/>
          <w:vertAlign w:val="superscript"/>
          <w:lang w:val="sq-AL"/>
        </w:rPr>
        <w:footnoteReference w:id="15"/>
      </w:r>
      <w:r w:rsidRPr="009E674D">
        <w:rPr>
          <w:color w:val="000000" w:themeColor="text1"/>
          <w:lang w:val="sq-AL"/>
        </w:rPr>
        <w:t xml:space="preserve"> Vlen të theksohet se veçanërisht komunat e vogla grumbullojnë pak të hyra vetanake dhe në masë të madhe varen nga grantet e nivelit qendror. Si rezultat, këto komuna nuk kanë mjete të mjaftueshme për investime në projekte dhe ushtrim të mirëfilltë të kompetencave vetanake. Në përgjithësi, varësia në masë të madhe nga niveli qendror, përkatësisht mungesa e qëndrueshmërisë financiare, nënvizohet si një prej problemeve të mëdha të komunave p</w:t>
      </w:r>
      <w:r w:rsidRPr="009E674D">
        <w:rPr>
          <w:rFonts w:ascii="Calibri" w:eastAsia="Times New Roman" w:hAnsi="Calibri" w:cs="Times New Roman"/>
          <w:color w:val="000000" w:themeColor="text1"/>
          <w:lang w:val="sq-AL"/>
        </w:rPr>
        <w:t xml:space="preserve">ër </w:t>
      </w:r>
      <w:r w:rsidRPr="009E674D">
        <w:rPr>
          <w:color w:val="000000" w:themeColor="text1"/>
          <w:lang w:val="sq-AL"/>
        </w:rPr>
        <w:t>zhvillim ekonomik lokal.</w:t>
      </w:r>
    </w:p>
    <w:p w14:paraId="24B73F8D" w14:textId="52AF1147" w:rsidR="006448E7" w:rsidRPr="009E674D" w:rsidRDefault="006448E7" w:rsidP="006448E7">
      <w:pPr>
        <w:jc w:val="both"/>
        <w:rPr>
          <w:color w:val="000000" w:themeColor="text1"/>
          <w:lang w:val="sq-AL"/>
        </w:rPr>
      </w:pPr>
      <w:r w:rsidRPr="009E674D">
        <w:rPr>
          <w:color w:val="000000" w:themeColor="text1"/>
          <w:lang w:val="sq-AL"/>
        </w:rPr>
        <w:t>Një sfidë tjetër e financave lokale janë borxhet apo të arkëtueshmet. Përderisa tek rasti i tarifave qytetarët obligohen të paguajnë në momentin kur e pranojnë shërbimin nga komuna, e njëjta gjë nuk është edhe tek tatimet. Për këtë arsye, vështirësitë më të mëdha janë te mbledhja e tatimit në pronë. Shumë prej borxheve ndaj komunave janë vjetërsuar. Këto borxhe, nuk mund të mblidhen, mirëpo as nuk mund të falen apo shlyhen</w:t>
      </w:r>
      <w:r w:rsidR="00986AA3">
        <w:rPr>
          <w:color w:val="000000" w:themeColor="text1"/>
          <w:lang w:val="sq-AL"/>
        </w:rPr>
        <w:t>,</w:t>
      </w:r>
      <w:r w:rsidRPr="009E674D">
        <w:rPr>
          <w:color w:val="000000" w:themeColor="text1"/>
          <w:lang w:val="sq-AL"/>
        </w:rPr>
        <w:t xml:space="preserve"> meqë komuna nuk e ka atë kompetencë.</w:t>
      </w:r>
    </w:p>
    <w:p w14:paraId="250DCA35" w14:textId="0F989C95" w:rsidR="006448E7" w:rsidRPr="009E674D" w:rsidRDefault="006448E7" w:rsidP="006448E7">
      <w:pPr>
        <w:jc w:val="both"/>
        <w:rPr>
          <w:color w:val="000000" w:themeColor="text1"/>
          <w:lang w:val="sq-AL"/>
        </w:rPr>
      </w:pPr>
      <w:r w:rsidRPr="009E674D">
        <w:rPr>
          <w:color w:val="000000" w:themeColor="text1"/>
          <w:lang w:val="sq-AL"/>
        </w:rPr>
        <w:t>Në bazë të ligjit për financat e pushtetit lokal, lartësia e tarifave komunale duhet të jetë në proporcion me shpenzimet e komunës</w:t>
      </w:r>
      <w:r w:rsidR="00986AA3">
        <w:rPr>
          <w:color w:val="000000" w:themeColor="text1"/>
          <w:lang w:val="sq-AL"/>
        </w:rPr>
        <w:t>,</w:t>
      </w:r>
      <w:r w:rsidRPr="009E674D">
        <w:rPr>
          <w:color w:val="000000" w:themeColor="text1"/>
          <w:lang w:val="sq-AL"/>
        </w:rPr>
        <w:t xml:space="preserve"> për ofrim të një shërbimi të caktuar. Komunat nuk zhvillojnë ndonjë analizë</w:t>
      </w:r>
      <w:r w:rsidR="00986AA3">
        <w:rPr>
          <w:color w:val="000000" w:themeColor="text1"/>
          <w:lang w:val="sq-AL"/>
        </w:rPr>
        <w:t>,</w:t>
      </w:r>
      <w:r w:rsidR="008C20AD">
        <w:rPr>
          <w:color w:val="000000" w:themeColor="text1"/>
          <w:lang w:val="sq-AL"/>
        </w:rPr>
        <w:t xml:space="preserve"> përmes të cilës</w:t>
      </w:r>
      <w:r w:rsidRPr="009E674D">
        <w:rPr>
          <w:color w:val="000000" w:themeColor="text1"/>
          <w:lang w:val="sq-AL"/>
        </w:rPr>
        <w:t xml:space="preserve"> </w:t>
      </w:r>
      <w:r w:rsidR="008C20AD">
        <w:rPr>
          <w:color w:val="000000" w:themeColor="text1"/>
          <w:lang w:val="sq-AL"/>
        </w:rPr>
        <w:t>matin</w:t>
      </w:r>
      <w:r w:rsidR="00986AA3" w:rsidRPr="009E674D">
        <w:rPr>
          <w:color w:val="000000" w:themeColor="text1"/>
          <w:lang w:val="sq-AL"/>
        </w:rPr>
        <w:t xml:space="preserve"> </w:t>
      </w:r>
      <w:r w:rsidRPr="009E674D">
        <w:rPr>
          <w:color w:val="000000" w:themeColor="text1"/>
          <w:lang w:val="sq-AL"/>
        </w:rPr>
        <w:t>kostot e shërbimeve të tyre. Në mungesë të një procesi të kostimit, komunat i vendosin</w:t>
      </w:r>
      <w:r w:rsidR="00935829" w:rsidRPr="009E674D">
        <w:rPr>
          <w:color w:val="000000" w:themeColor="text1"/>
          <w:lang w:val="sq-AL"/>
        </w:rPr>
        <w:t xml:space="preserve"> në mënyrë arbitrare tarifat në</w:t>
      </w:r>
      <w:r w:rsidRPr="009E674D">
        <w:rPr>
          <w:color w:val="000000" w:themeColor="text1"/>
          <w:lang w:val="sq-AL"/>
        </w:rPr>
        <w:t xml:space="preserve"> shërbimet që </w:t>
      </w:r>
      <w:r w:rsidR="00935829" w:rsidRPr="009E674D">
        <w:rPr>
          <w:color w:val="000000" w:themeColor="text1"/>
          <w:lang w:val="sq-AL"/>
        </w:rPr>
        <w:t xml:space="preserve">i </w:t>
      </w:r>
      <w:r w:rsidRPr="009E674D">
        <w:rPr>
          <w:color w:val="000000" w:themeColor="text1"/>
          <w:lang w:val="sq-AL"/>
        </w:rPr>
        <w:t>ofrojnë. Si rezultat, ekzistojnë dallime të mëdha në mes të komunave</w:t>
      </w:r>
      <w:r w:rsidR="008C20AD">
        <w:rPr>
          <w:color w:val="000000" w:themeColor="text1"/>
          <w:lang w:val="sq-AL"/>
        </w:rPr>
        <w:t xml:space="preserve"> </w:t>
      </w:r>
      <w:r w:rsidRPr="009E674D">
        <w:rPr>
          <w:color w:val="000000" w:themeColor="text1"/>
          <w:lang w:val="sq-AL"/>
        </w:rPr>
        <w:t xml:space="preserve">sa i takon nivelit të tarifave. </w:t>
      </w:r>
    </w:p>
    <w:p w14:paraId="1D131FC2" w14:textId="723E5602" w:rsidR="00935829" w:rsidRPr="009E674D" w:rsidRDefault="006448E7" w:rsidP="006448E7">
      <w:pPr>
        <w:jc w:val="both"/>
        <w:rPr>
          <w:color w:val="000000" w:themeColor="text1"/>
          <w:lang w:val="sq-AL"/>
        </w:rPr>
      </w:pPr>
      <w:r w:rsidRPr="009E674D">
        <w:rPr>
          <w:color w:val="000000" w:themeColor="text1"/>
          <w:lang w:val="sq-AL"/>
        </w:rPr>
        <w:t>Caktimi i kufijve për kategoritë e shpenzimeve nga niveli qendror, përkatësisht Ministria e Financave</w:t>
      </w:r>
      <w:r w:rsidR="0063250B" w:rsidRPr="009E674D">
        <w:rPr>
          <w:color w:val="000000" w:themeColor="text1"/>
          <w:lang w:val="sq-AL"/>
        </w:rPr>
        <w:t>, Punësimit dhe Transfereve (MFPT)</w:t>
      </w:r>
      <w:r w:rsidRPr="009E674D">
        <w:rPr>
          <w:color w:val="000000" w:themeColor="text1"/>
          <w:lang w:val="sq-AL"/>
        </w:rPr>
        <w:t xml:space="preserve">, kufizon aftësinë e komunave për </w:t>
      </w:r>
      <w:r w:rsidR="00986AA3" w:rsidRPr="009E674D">
        <w:rPr>
          <w:color w:val="000000" w:themeColor="text1"/>
          <w:lang w:val="sq-AL"/>
        </w:rPr>
        <w:t>t</w:t>
      </w:r>
      <w:r w:rsidR="00986AA3">
        <w:rPr>
          <w:color w:val="000000" w:themeColor="text1"/>
          <w:lang w:val="sq-AL"/>
        </w:rPr>
        <w:t>a</w:t>
      </w:r>
      <w:r w:rsidR="00986AA3" w:rsidRPr="009E674D">
        <w:rPr>
          <w:color w:val="000000" w:themeColor="text1"/>
          <w:lang w:val="sq-AL"/>
        </w:rPr>
        <w:t xml:space="preserve"> </w:t>
      </w:r>
      <w:r w:rsidRPr="009E674D">
        <w:rPr>
          <w:color w:val="000000" w:themeColor="text1"/>
          <w:lang w:val="sq-AL"/>
        </w:rPr>
        <w:t>përdorur buxhetin e tyre në mënyrë të lirë. Bazuar në të dhënat nga komunat, ankesat kryesore vijnë sidomos</w:t>
      </w:r>
      <w:r w:rsidR="008C20AD">
        <w:rPr>
          <w:color w:val="000000" w:themeColor="text1"/>
          <w:lang w:val="sq-AL"/>
        </w:rPr>
        <w:t xml:space="preserve"> për kufizimet në kategoritë</w:t>
      </w:r>
      <w:r w:rsidRPr="009E674D">
        <w:rPr>
          <w:color w:val="000000" w:themeColor="text1"/>
          <w:lang w:val="sq-AL"/>
        </w:rPr>
        <w:t xml:space="preserve"> </w:t>
      </w:r>
      <w:r w:rsidR="008C20AD">
        <w:rPr>
          <w:color w:val="000000" w:themeColor="text1"/>
          <w:lang w:val="sq-AL"/>
        </w:rPr>
        <w:t xml:space="preserve">e </w:t>
      </w:r>
      <w:r w:rsidRPr="009E674D">
        <w:rPr>
          <w:color w:val="000000" w:themeColor="text1"/>
          <w:lang w:val="sq-AL"/>
        </w:rPr>
        <w:t>mallra</w:t>
      </w:r>
      <w:r w:rsidR="008C20AD">
        <w:rPr>
          <w:color w:val="000000" w:themeColor="text1"/>
          <w:lang w:val="sq-AL"/>
        </w:rPr>
        <w:t>ve</w:t>
      </w:r>
      <w:r w:rsidRPr="009E674D">
        <w:rPr>
          <w:color w:val="000000" w:themeColor="text1"/>
          <w:lang w:val="sq-AL"/>
        </w:rPr>
        <w:t xml:space="preserve"> dhe shërbime</w:t>
      </w:r>
      <w:r w:rsidR="008C20AD">
        <w:rPr>
          <w:color w:val="000000" w:themeColor="text1"/>
          <w:lang w:val="sq-AL"/>
        </w:rPr>
        <w:t>ve, si</w:t>
      </w:r>
      <w:r w:rsidRPr="009E674D">
        <w:rPr>
          <w:color w:val="000000" w:themeColor="text1"/>
          <w:lang w:val="sq-AL"/>
        </w:rPr>
        <w:t xml:space="preserve"> dhe subvencioneve. </w:t>
      </w:r>
    </w:p>
    <w:p w14:paraId="01B61A6A" w14:textId="1F50DF9F" w:rsidR="006448E7" w:rsidRPr="009E674D" w:rsidRDefault="006448E7" w:rsidP="006448E7">
      <w:pPr>
        <w:jc w:val="both"/>
        <w:rPr>
          <w:lang w:val="sq-AL"/>
        </w:rPr>
      </w:pPr>
      <w:r w:rsidRPr="009E674D">
        <w:rPr>
          <w:color w:val="000000" w:themeColor="text1"/>
          <w:lang w:val="sq-AL"/>
        </w:rPr>
        <w:t>Në shpenzim të buxhetit</w:t>
      </w:r>
      <w:r w:rsidR="00935829" w:rsidRPr="009E674D">
        <w:rPr>
          <w:color w:val="000000" w:themeColor="text1"/>
          <w:lang w:val="sq-AL"/>
        </w:rPr>
        <w:t>,</w:t>
      </w:r>
      <w:r w:rsidRPr="009E674D">
        <w:rPr>
          <w:color w:val="000000" w:themeColor="text1"/>
          <w:lang w:val="sq-AL"/>
        </w:rPr>
        <w:t xml:space="preserve"> mangësi konsiderohet mbikëqyrja e punëve që realizohen nga kontraktorët. Për shembull, kontraktohet kryerja e punëve për ndërtimin e një rruge të caktuar, mirëpo në shumë raste</w:t>
      </w:r>
      <w:r w:rsidR="0037218F">
        <w:rPr>
          <w:color w:val="000000" w:themeColor="text1"/>
          <w:lang w:val="sq-AL"/>
        </w:rPr>
        <w:t>,</w:t>
      </w:r>
      <w:r w:rsidRPr="009E674D">
        <w:rPr>
          <w:color w:val="000000" w:themeColor="text1"/>
          <w:lang w:val="sq-AL"/>
        </w:rPr>
        <w:t xml:space="preserve"> mungon mbikëqyrja nga komuna gjatë kryerjes së punëve nga kontraktori. Kjo rezulton në cilësi të dobët të punëve të kryera. Tjetër sfidë me mjaft prezencë është numri i madh i kontratave në raport me numrin e vogël të zyrtarëve të prokurimit. </w:t>
      </w:r>
    </w:p>
    <w:p w14:paraId="42200C2E" w14:textId="0F4D59B1" w:rsidR="006448E7" w:rsidRPr="009E674D" w:rsidRDefault="006448E7" w:rsidP="006448E7">
      <w:pPr>
        <w:jc w:val="both"/>
        <w:rPr>
          <w:color w:val="000000" w:themeColor="text1"/>
          <w:lang w:val="sq-AL"/>
        </w:rPr>
      </w:pPr>
      <w:r w:rsidRPr="009E674D">
        <w:rPr>
          <w:color w:val="000000" w:themeColor="text1"/>
          <w:lang w:val="sq-AL"/>
        </w:rPr>
        <w:t>Në përgjithësi, vlerësohet se zhvillimi ekonomik lokal nuk ka qenë ndër prioritet kryesore të komunave. Më pak se gjysma e komunave kanë strategji për zhvillimin ekonomik lokal. Shumica dërrmuese</w:t>
      </w:r>
      <w:r w:rsidR="00222FAF" w:rsidRPr="009E674D">
        <w:rPr>
          <w:color w:val="000000" w:themeColor="text1"/>
          <w:lang w:val="sq-AL"/>
        </w:rPr>
        <w:t xml:space="preserve"> e atyre që kanë strategji</w:t>
      </w:r>
      <w:r w:rsidRPr="009E674D">
        <w:rPr>
          <w:color w:val="000000" w:themeColor="text1"/>
          <w:lang w:val="sq-AL"/>
        </w:rPr>
        <w:t xml:space="preserve"> (86.7%)</w:t>
      </w:r>
      <w:r w:rsidR="0037218F">
        <w:rPr>
          <w:color w:val="000000" w:themeColor="text1"/>
          <w:lang w:val="sq-AL"/>
        </w:rPr>
        <w:t>,</w:t>
      </w:r>
      <w:r w:rsidRPr="009E674D">
        <w:rPr>
          <w:color w:val="000000" w:themeColor="text1"/>
          <w:lang w:val="sq-AL"/>
        </w:rPr>
        <w:t xml:space="preserve"> raportojnë se e bëjnë monitorimin e strategjive në baza të rregullta. Nga takimi me komuna është kuptuar </w:t>
      </w:r>
      <w:r w:rsidR="0037218F">
        <w:rPr>
          <w:color w:val="000000" w:themeColor="text1"/>
          <w:lang w:val="sq-AL"/>
        </w:rPr>
        <w:t>se,</w:t>
      </w:r>
      <w:r w:rsidR="0037218F" w:rsidRPr="009E674D">
        <w:rPr>
          <w:color w:val="000000" w:themeColor="text1"/>
          <w:lang w:val="sq-AL"/>
        </w:rPr>
        <w:t xml:space="preserve"> </w:t>
      </w:r>
      <w:r w:rsidRPr="009E674D">
        <w:rPr>
          <w:color w:val="000000" w:themeColor="text1"/>
          <w:lang w:val="sq-AL"/>
        </w:rPr>
        <w:t>megjithatë</w:t>
      </w:r>
      <w:r w:rsidR="0037218F">
        <w:rPr>
          <w:color w:val="000000" w:themeColor="text1"/>
          <w:lang w:val="sq-AL"/>
        </w:rPr>
        <w:t>,</w:t>
      </w:r>
      <w:r w:rsidRPr="009E674D">
        <w:rPr>
          <w:color w:val="000000" w:themeColor="text1"/>
          <w:lang w:val="sq-AL"/>
        </w:rPr>
        <w:t xml:space="preserve"> nuk ekziston një kornizë e monitoruese uniforme që e mat realizimin e aktiviteteve dhe ndikimin në objektiva.</w:t>
      </w:r>
    </w:p>
    <w:p w14:paraId="628018FA" w14:textId="31E8D13C" w:rsidR="006448E7" w:rsidRPr="009E674D" w:rsidRDefault="006448E7" w:rsidP="006448E7">
      <w:pPr>
        <w:jc w:val="both"/>
        <w:rPr>
          <w:rFonts w:ascii="Calibri" w:eastAsia="Times New Roman" w:hAnsi="Calibri" w:cs="Times New Roman"/>
          <w:color w:val="000000" w:themeColor="text1"/>
          <w:lang w:val="sq-AL"/>
        </w:rPr>
      </w:pPr>
      <w:r w:rsidRPr="009E674D">
        <w:rPr>
          <w:color w:val="000000" w:themeColor="text1"/>
          <w:lang w:val="sq-AL"/>
        </w:rPr>
        <w:t>K</w:t>
      </w:r>
      <w:r w:rsidRPr="009E674D">
        <w:rPr>
          <w:rFonts w:ascii="Calibri" w:eastAsia="Times New Roman" w:hAnsi="Calibri" w:cs="Times New Roman"/>
          <w:color w:val="000000" w:themeColor="text1"/>
          <w:lang w:val="sq-AL"/>
        </w:rPr>
        <w:t xml:space="preserve">apacitetet profesionale për zhvillim ekonomik në institucione komunale janë të pamjaftueshme. </w:t>
      </w:r>
      <w:r w:rsidRPr="009E674D">
        <w:rPr>
          <w:color w:val="000000" w:themeColor="text1"/>
          <w:lang w:val="sq-AL"/>
        </w:rPr>
        <w:t>Sipas UNDP-së, vetëm 21.6% e drejtorëve, shërbyesve civil</w:t>
      </w:r>
      <w:r w:rsidR="0037218F">
        <w:rPr>
          <w:color w:val="000000" w:themeColor="text1"/>
          <w:lang w:val="sq-AL"/>
        </w:rPr>
        <w:t>ë</w:t>
      </w:r>
      <w:r w:rsidRPr="009E674D">
        <w:rPr>
          <w:color w:val="000000" w:themeColor="text1"/>
          <w:lang w:val="sq-AL"/>
        </w:rPr>
        <w:t xml:space="preserve"> dhe asamblistëve vlerësojnë se niveli komunal ka </w:t>
      </w:r>
      <w:r w:rsidRPr="009E674D">
        <w:rPr>
          <w:color w:val="000000" w:themeColor="text1"/>
          <w:lang w:val="sq-AL"/>
        </w:rPr>
        <w:lastRenderedPageBreak/>
        <w:t xml:space="preserve">kapacitete të brendshme për hartimin e strategjive për zhvillimin ekonomik lokal. </w:t>
      </w:r>
      <w:r w:rsidR="008C20AD">
        <w:rPr>
          <w:color w:val="000000" w:themeColor="text1"/>
          <w:lang w:val="sq-AL"/>
        </w:rPr>
        <w:t>Gjithashtu</w:t>
      </w:r>
      <w:r w:rsidR="0037218F">
        <w:rPr>
          <w:color w:val="000000" w:themeColor="text1"/>
          <w:lang w:val="sq-AL"/>
        </w:rPr>
        <w:t>, k</w:t>
      </w:r>
      <w:r w:rsidRPr="009E674D">
        <w:rPr>
          <w:rFonts w:ascii="Calibri" w:eastAsia="Times New Roman" w:hAnsi="Calibri" w:cs="Times New Roman"/>
          <w:color w:val="000000" w:themeColor="text1"/>
          <w:lang w:val="sq-AL"/>
        </w:rPr>
        <w:t xml:space="preserve">apacitetet janë të kufizuara </w:t>
      </w:r>
      <w:r w:rsidR="0037218F">
        <w:rPr>
          <w:rFonts w:ascii="Calibri" w:eastAsia="Times New Roman" w:hAnsi="Calibri" w:cs="Times New Roman"/>
          <w:color w:val="000000" w:themeColor="text1"/>
          <w:lang w:val="sq-AL"/>
        </w:rPr>
        <w:t xml:space="preserve">edhe </w:t>
      </w:r>
      <w:r w:rsidR="00935829" w:rsidRPr="009E674D">
        <w:rPr>
          <w:rFonts w:ascii="Calibri" w:eastAsia="Times New Roman" w:hAnsi="Calibri" w:cs="Times New Roman"/>
          <w:color w:val="000000" w:themeColor="text1"/>
          <w:lang w:val="sq-AL"/>
        </w:rPr>
        <w:t>kur vjen puna te hartimi i</w:t>
      </w:r>
      <w:r w:rsidRPr="009E674D">
        <w:rPr>
          <w:rFonts w:ascii="Calibri" w:eastAsia="Times New Roman" w:hAnsi="Calibri" w:cs="Times New Roman"/>
          <w:color w:val="000000" w:themeColor="text1"/>
          <w:lang w:val="sq-AL"/>
        </w:rPr>
        <w:t xml:space="preserve"> projekteve për të tërhequr fonde nga donatorët e huaj. Shumë komuna kanë mungesë të personelit të kualifikuar në shumë departamente dhe kjo ndikon negativisht në mjedisin e biznesit. Nga ana tjetër, disa komuna janë me staf të tepërt, por q</w:t>
      </w:r>
      <w:r w:rsidRPr="009E674D">
        <w:rPr>
          <w:color w:val="000000" w:themeColor="text1"/>
          <w:lang w:val="sq-AL"/>
        </w:rPr>
        <w:t>ë nuk</w:t>
      </w:r>
      <w:r w:rsidRPr="009E674D">
        <w:rPr>
          <w:rFonts w:ascii="Calibri" w:eastAsia="Times New Roman" w:hAnsi="Calibri" w:cs="Times New Roman"/>
          <w:color w:val="000000" w:themeColor="text1"/>
          <w:lang w:val="sq-AL"/>
        </w:rPr>
        <w:t xml:space="preserve"> menaxhohen si duhet.</w:t>
      </w:r>
    </w:p>
    <w:p w14:paraId="674B1E9C" w14:textId="4511164D" w:rsidR="00E74542" w:rsidRPr="009E674D" w:rsidRDefault="006448E7" w:rsidP="006448E7">
      <w:pPr>
        <w:jc w:val="both"/>
        <w:rPr>
          <w:rFonts w:cstheme="minorHAnsi"/>
          <w:color w:val="000000" w:themeColor="text1"/>
          <w:lang w:val="sq-AL"/>
        </w:rPr>
      </w:pPr>
      <w:r w:rsidRPr="009E674D">
        <w:rPr>
          <w:rFonts w:ascii="Calibri" w:eastAsia="Times New Roman" w:hAnsi="Calibri" w:cs="Times New Roman"/>
          <w:color w:val="000000" w:themeColor="text1"/>
          <w:lang w:val="sq-AL"/>
        </w:rPr>
        <w:t>Bashkëpunimi n</w:t>
      </w:r>
      <w:r w:rsidRPr="009E674D">
        <w:rPr>
          <w:color w:val="000000" w:themeColor="text1"/>
          <w:lang w:val="sq-AL"/>
        </w:rPr>
        <w:t>ë mes të komunave dhe</w:t>
      </w:r>
      <w:r w:rsidRPr="009E674D">
        <w:rPr>
          <w:rFonts w:ascii="Calibri" w:eastAsia="Times New Roman" w:hAnsi="Calibri" w:cs="Times New Roman"/>
          <w:color w:val="000000" w:themeColor="text1"/>
          <w:lang w:val="sq-AL"/>
        </w:rPr>
        <w:t xml:space="preserve"> komunitetit t</w:t>
      </w:r>
      <w:r w:rsidRPr="009E674D">
        <w:rPr>
          <w:color w:val="000000" w:themeColor="text1"/>
          <w:lang w:val="sq-AL"/>
        </w:rPr>
        <w:t>ë</w:t>
      </w:r>
      <w:r w:rsidRPr="009E674D">
        <w:rPr>
          <w:rFonts w:ascii="Calibri" w:eastAsia="Times New Roman" w:hAnsi="Calibri" w:cs="Times New Roman"/>
          <w:color w:val="000000" w:themeColor="text1"/>
          <w:lang w:val="sq-AL"/>
        </w:rPr>
        <w:t xml:space="preserve"> biznesit vlerësohet të jetë n</w:t>
      </w:r>
      <w:r w:rsidRPr="009E674D">
        <w:rPr>
          <w:color w:val="000000" w:themeColor="text1"/>
          <w:lang w:val="sq-AL"/>
        </w:rPr>
        <w:t>ë nivel</w:t>
      </w:r>
      <w:r w:rsidR="00935829" w:rsidRPr="009E674D">
        <w:rPr>
          <w:color w:val="000000" w:themeColor="text1"/>
          <w:lang w:val="sq-AL"/>
        </w:rPr>
        <w:t xml:space="preserve"> </w:t>
      </w:r>
      <w:r w:rsidR="00935829" w:rsidRPr="009E674D">
        <w:rPr>
          <w:rFonts w:ascii="Calibri" w:eastAsia="Times New Roman" w:hAnsi="Calibri" w:cs="Times New Roman"/>
          <w:color w:val="000000" w:themeColor="text1"/>
          <w:lang w:val="sq-AL"/>
        </w:rPr>
        <w:t>jo</w:t>
      </w:r>
      <w:r w:rsidRPr="009E674D">
        <w:rPr>
          <w:color w:val="000000" w:themeColor="text1"/>
          <w:lang w:val="sq-AL"/>
        </w:rPr>
        <w:t xml:space="preserve"> të kënaqshëm</w:t>
      </w:r>
      <w:r w:rsidRPr="009E674D">
        <w:rPr>
          <w:rFonts w:ascii="Calibri" w:eastAsia="Times New Roman" w:hAnsi="Calibri" w:cs="Times New Roman"/>
          <w:color w:val="000000" w:themeColor="text1"/>
          <w:lang w:val="sq-AL"/>
        </w:rPr>
        <w:t>. Vet</w:t>
      </w:r>
      <w:r w:rsidRPr="009E674D">
        <w:rPr>
          <w:color w:val="000000" w:themeColor="text1"/>
          <w:lang w:val="sq-AL"/>
        </w:rPr>
        <w:t>ëm n</w:t>
      </w:r>
      <w:r w:rsidRPr="009E674D">
        <w:rPr>
          <w:rFonts w:ascii="Calibri" w:eastAsia="Times New Roman" w:hAnsi="Calibri" w:cs="Times New Roman"/>
          <w:color w:val="000000" w:themeColor="text1"/>
          <w:lang w:val="sq-AL"/>
        </w:rPr>
        <w:t>jë përqindje e vogël e komunave, kryesisht ato q</w:t>
      </w:r>
      <w:r w:rsidRPr="009E674D">
        <w:rPr>
          <w:color w:val="000000" w:themeColor="text1"/>
          <w:lang w:val="sq-AL"/>
        </w:rPr>
        <w:t>ë janë</w:t>
      </w:r>
      <w:r w:rsidRPr="009E674D">
        <w:rPr>
          <w:rFonts w:ascii="Calibri" w:eastAsia="Times New Roman" w:hAnsi="Calibri" w:cs="Times New Roman"/>
          <w:color w:val="000000" w:themeColor="text1"/>
          <w:lang w:val="sq-AL"/>
        </w:rPr>
        <w:t xml:space="preserve"> m</w:t>
      </w:r>
      <w:r w:rsidRPr="009E674D">
        <w:rPr>
          <w:color w:val="000000" w:themeColor="text1"/>
          <w:lang w:val="sq-AL"/>
        </w:rPr>
        <w:t>ë të mëdha</w:t>
      </w:r>
      <w:r w:rsidRPr="009E674D">
        <w:rPr>
          <w:rFonts w:ascii="Calibri" w:eastAsia="Times New Roman" w:hAnsi="Calibri" w:cs="Times New Roman"/>
          <w:color w:val="000000" w:themeColor="text1"/>
          <w:lang w:val="sq-AL"/>
        </w:rPr>
        <w:t>, kanë shoqata/organizata biznesi funksionale</w:t>
      </w:r>
      <w:r w:rsidR="0037218F">
        <w:rPr>
          <w:rFonts w:ascii="Calibri" w:eastAsia="Times New Roman" w:hAnsi="Calibri" w:cs="Times New Roman"/>
          <w:color w:val="000000" w:themeColor="text1"/>
          <w:lang w:val="sq-AL"/>
        </w:rPr>
        <w:t>,</w:t>
      </w:r>
      <w:r w:rsidRPr="009E674D">
        <w:rPr>
          <w:rFonts w:ascii="Calibri" w:eastAsia="Times New Roman" w:hAnsi="Calibri" w:cs="Times New Roman"/>
          <w:color w:val="000000" w:themeColor="text1"/>
          <w:lang w:val="sq-AL"/>
        </w:rPr>
        <w:t xml:space="preserve"> </w:t>
      </w:r>
      <w:r w:rsidR="0037218F">
        <w:rPr>
          <w:rFonts w:ascii="Calibri" w:eastAsia="Times New Roman" w:hAnsi="Calibri" w:cs="Times New Roman"/>
          <w:color w:val="000000" w:themeColor="text1"/>
          <w:lang w:val="sq-AL"/>
        </w:rPr>
        <w:t>të cilat</w:t>
      </w:r>
      <w:r w:rsidR="0037218F" w:rsidRPr="009E674D">
        <w:rPr>
          <w:rFonts w:ascii="Calibri" w:eastAsia="Times New Roman" w:hAnsi="Calibri" w:cs="Times New Roman"/>
          <w:color w:val="000000" w:themeColor="text1"/>
          <w:lang w:val="sq-AL"/>
        </w:rPr>
        <w:t xml:space="preserve"> </w:t>
      </w:r>
      <w:r w:rsidRPr="009E674D">
        <w:rPr>
          <w:rFonts w:ascii="Calibri" w:eastAsia="Times New Roman" w:hAnsi="Calibri" w:cs="Times New Roman"/>
          <w:color w:val="000000" w:themeColor="text1"/>
          <w:lang w:val="sq-AL"/>
        </w:rPr>
        <w:t>përfaqësojnë dhe ndihmojnë sektorin privat duke i artikuluar nevojat</w:t>
      </w:r>
      <w:r w:rsidR="004261D2" w:rsidRPr="009E674D">
        <w:rPr>
          <w:rFonts w:ascii="Calibri" w:eastAsia="Times New Roman" w:hAnsi="Calibri" w:cs="Times New Roman"/>
          <w:color w:val="000000" w:themeColor="text1"/>
          <w:lang w:val="sq-AL"/>
        </w:rPr>
        <w:t xml:space="preserve"> e tyre. Probleme</w:t>
      </w:r>
      <w:r w:rsidRPr="009E674D">
        <w:rPr>
          <w:rFonts w:ascii="Calibri" w:eastAsia="Times New Roman" w:hAnsi="Calibri" w:cs="Times New Roman"/>
          <w:color w:val="000000" w:themeColor="text1"/>
          <w:lang w:val="sq-AL"/>
        </w:rPr>
        <w:t xml:space="preserve"> ka edhe në mes të nivelit lokal dhe qendror n</w:t>
      </w:r>
      <w:r w:rsidRPr="009E674D">
        <w:rPr>
          <w:color w:val="000000" w:themeColor="text1"/>
          <w:lang w:val="sq-AL"/>
        </w:rPr>
        <w:t>ë lidhje me zhvillimin ekonomik</w:t>
      </w:r>
      <w:r w:rsidR="00933571">
        <w:rPr>
          <w:rFonts w:ascii="Calibri" w:eastAsia="Times New Roman" w:hAnsi="Calibri" w:cs="Times New Roman"/>
          <w:color w:val="000000" w:themeColor="text1"/>
          <w:lang w:val="sq-AL"/>
        </w:rPr>
        <w:t xml:space="preserve">. </w:t>
      </w:r>
      <w:r w:rsidRPr="009E674D">
        <w:rPr>
          <w:rFonts w:ascii="Calibri" w:eastAsia="Times New Roman" w:hAnsi="Calibri" w:cs="Times New Roman"/>
          <w:color w:val="000000" w:themeColor="text1"/>
          <w:lang w:val="sq-AL"/>
        </w:rPr>
        <w:t xml:space="preserve">Paqartësia </w:t>
      </w:r>
      <w:r w:rsidR="0037218F">
        <w:rPr>
          <w:rFonts w:ascii="Calibri" w:eastAsia="Times New Roman" w:hAnsi="Calibri" w:cs="Times New Roman"/>
          <w:color w:val="000000" w:themeColor="text1"/>
          <w:lang w:val="sq-AL"/>
        </w:rPr>
        <w:t>rreth</w:t>
      </w:r>
      <w:r w:rsidRPr="009E674D">
        <w:rPr>
          <w:rFonts w:ascii="Calibri" w:eastAsia="Times New Roman" w:hAnsi="Calibri" w:cs="Times New Roman"/>
          <w:color w:val="000000" w:themeColor="text1"/>
          <w:lang w:val="sq-AL"/>
        </w:rPr>
        <w:t xml:space="preserve"> kompetencave në mes të nivelit lokal dhe atij qendror</w:t>
      </w:r>
      <w:r w:rsidR="008C20AD">
        <w:rPr>
          <w:rFonts w:ascii="Calibri" w:eastAsia="Times New Roman" w:hAnsi="Calibri" w:cs="Times New Roman"/>
          <w:color w:val="000000" w:themeColor="text1"/>
          <w:lang w:val="sq-AL"/>
        </w:rPr>
        <w:t xml:space="preserve"> </w:t>
      </w:r>
      <w:r w:rsidRPr="009E674D">
        <w:rPr>
          <w:rFonts w:ascii="Calibri" w:eastAsia="Times New Roman" w:hAnsi="Calibri" w:cs="Times New Roman"/>
          <w:color w:val="000000" w:themeColor="text1"/>
          <w:lang w:val="sq-AL"/>
        </w:rPr>
        <w:t>është renditur si barriera më serioze n</w:t>
      </w:r>
      <w:r w:rsidRPr="009E674D">
        <w:rPr>
          <w:color w:val="000000" w:themeColor="text1"/>
          <w:lang w:val="sq-AL"/>
        </w:rPr>
        <w:t>ë anketën e zhvilluar me komuna</w:t>
      </w:r>
      <w:r w:rsidRPr="009E674D">
        <w:rPr>
          <w:rFonts w:ascii="Calibri" w:eastAsia="Times New Roman" w:hAnsi="Calibri" w:cs="Times New Roman"/>
          <w:color w:val="000000" w:themeColor="text1"/>
          <w:lang w:val="sq-AL"/>
        </w:rPr>
        <w:t>. Bashk</w:t>
      </w:r>
      <w:r w:rsidRPr="009E674D">
        <w:rPr>
          <w:color w:val="000000" w:themeColor="text1"/>
          <w:lang w:val="sq-AL"/>
        </w:rPr>
        <w:t>ëpunimi ndër-komunal, në anën tjetë</w:t>
      </w:r>
      <w:r w:rsidR="00935829" w:rsidRPr="009E674D">
        <w:rPr>
          <w:color w:val="000000" w:themeColor="text1"/>
          <w:lang w:val="sq-AL"/>
        </w:rPr>
        <w:t>r</w:t>
      </w:r>
      <w:r w:rsidRPr="009E674D">
        <w:rPr>
          <w:color w:val="000000" w:themeColor="text1"/>
          <w:lang w:val="sq-AL"/>
        </w:rPr>
        <w:t>, është kryesisht në projekte investuese infrastrukturore. Komunat deklarojnë se gjysma e tyre kanë projekte të përbashkëta</w:t>
      </w:r>
      <w:r w:rsidRPr="009E674D">
        <w:rPr>
          <w:rFonts w:ascii="Calibri" w:eastAsia="Times New Roman" w:hAnsi="Calibri" w:cs="Times New Roman"/>
          <w:color w:val="000000" w:themeColor="text1"/>
          <w:lang w:val="sq-AL"/>
        </w:rPr>
        <w:t>, ku p</w:t>
      </w:r>
      <w:r w:rsidRPr="009E674D">
        <w:rPr>
          <w:color w:val="000000" w:themeColor="text1"/>
          <w:lang w:val="sq-AL"/>
        </w:rPr>
        <w:t xml:space="preserve">ërfshihen </w:t>
      </w:r>
      <w:r w:rsidRPr="009E674D">
        <w:rPr>
          <w:rFonts w:cstheme="minorHAnsi"/>
          <w:color w:val="000000" w:themeColor="text1"/>
          <w:lang w:val="sq-AL"/>
        </w:rPr>
        <w:t>asfaltimi i rrugëve, hapja dhe definimi i shtigjeve për qëllime turistike, rregullimi i shtret</w:t>
      </w:r>
      <w:r w:rsidRPr="009E674D">
        <w:rPr>
          <w:color w:val="000000" w:themeColor="text1"/>
          <w:lang w:val="sq-AL"/>
        </w:rPr>
        <w:t>ërve</w:t>
      </w:r>
      <w:r w:rsidRPr="009E674D">
        <w:rPr>
          <w:rFonts w:cstheme="minorHAnsi"/>
          <w:color w:val="000000" w:themeColor="text1"/>
          <w:lang w:val="sq-AL"/>
        </w:rPr>
        <w:t xml:space="preserve"> te lumit dhe të ngjashme.</w:t>
      </w:r>
    </w:p>
    <w:p w14:paraId="47E2472C" w14:textId="77777777" w:rsidR="00190BA7" w:rsidRPr="009E674D" w:rsidRDefault="00E74542" w:rsidP="00190BA7">
      <w:pPr>
        <w:rPr>
          <w:rFonts w:cstheme="minorHAnsi"/>
          <w:color w:val="000000" w:themeColor="text1"/>
          <w:lang w:val="sq-AL"/>
        </w:rPr>
      </w:pPr>
      <w:r w:rsidRPr="009E674D">
        <w:rPr>
          <w:rFonts w:cstheme="minorHAnsi"/>
          <w:color w:val="000000" w:themeColor="text1"/>
          <w:lang w:val="sq-AL"/>
        </w:rPr>
        <w:br w:type="page"/>
      </w:r>
    </w:p>
    <w:p w14:paraId="4ED15087" w14:textId="77777777" w:rsidR="00190BA7" w:rsidRPr="009E674D" w:rsidRDefault="00190BA7" w:rsidP="0063250B">
      <w:pPr>
        <w:pStyle w:val="Heading1"/>
        <w:numPr>
          <w:ilvl w:val="0"/>
          <w:numId w:val="12"/>
        </w:numPr>
        <w:rPr>
          <w:b/>
          <w:lang w:val="sq-AL"/>
        </w:rPr>
      </w:pPr>
      <w:bookmarkStart w:id="9" w:name="_Toc132188429"/>
      <w:r w:rsidRPr="009E674D">
        <w:rPr>
          <w:b/>
          <w:lang w:val="sq-AL"/>
        </w:rPr>
        <w:lastRenderedPageBreak/>
        <w:t>Ndërlidhja me</w:t>
      </w:r>
      <w:r w:rsidR="00954306" w:rsidRPr="009E674D">
        <w:rPr>
          <w:b/>
          <w:lang w:val="sq-AL"/>
        </w:rPr>
        <w:t xml:space="preserve"> dokumentet strategjike</w:t>
      </w:r>
      <w:r w:rsidRPr="009E674D">
        <w:rPr>
          <w:b/>
          <w:lang w:val="sq-AL"/>
        </w:rPr>
        <w:t xml:space="preserve"> relevante</w:t>
      </w:r>
      <w:bookmarkEnd w:id="9"/>
    </w:p>
    <w:p w14:paraId="4F0B3A50" w14:textId="02974C12" w:rsidR="00190BA7" w:rsidRPr="009E674D" w:rsidRDefault="00190BA7" w:rsidP="00190BA7">
      <w:pPr>
        <w:jc w:val="both"/>
        <w:rPr>
          <w:rFonts w:cstheme="minorHAnsi"/>
          <w:lang w:val="sq-AL"/>
        </w:rPr>
      </w:pPr>
      <w:r w:rsidRPr="009E674D">
        <w:rPr>
          <w:rFonts w:cstheme="minorHAnsi"/>
          <w:b/>
          <w:lang w:val="sq-AL"/>
        </w:rPr>
        <w:br/>
        <w:t>Strate</w:t>
      </w:r>
      <w:r w:rsidR="007C4EB3" w:rsidRPr="009E674D">
        <w:rPr>
          <w:rFonts w:cstheme="minorHAnsi"/>
          <w:b/>
          <w:lang w:val="sq-AL"/>
        </w:rPr>
        <w:t>gjia</w:t>
      </w:r>
      <w:r w:rsidR="00E55C33">
        <w:rPr>
          <w:rFonts w:cstheme="minorHAnsi"/>
          <w:b/>
          <w:lang w:val="sq-AL"/>
        </w:rPr>
        <w:t xml:space="preserve"> dhe plani k</w:t>
      </w:r>
      <w:r w:rsidR="00723D5C" w:rsidRPr="009E674D">
        <w:rPr>
          <w:rFonts w:cstheme="minorHAnsi"/>
          <w:b/>
          <w:lang w:val="sq-AL"/>
        </w:rPr>
        <w:t>ombëtar</w:t>
      </w:r>
      <w:r w:rsidR="00E55C33">
        <w:rPr>
          <w:rFonts w:cstheme="minorHAnsi"/>
          <w:b/>
          <w:lang w:val="sq-AL"/>
        </w:rPr>
        <w:t xml:space="preserve"> për z</w:t>
      </w:r>
      <w:r w:rsidR="007C4EB3" w:rsidRPr="009E674D">
        <w:rPr>
          <w:rFonts w:cstheme="minorHAnsi"/>
          <w:b/>
          <w:lang w:val="sq-AL"/>
        </w:rPr>
        <w:t>hvillim</w:t>
      </w:r>
      <w:r w:rsidRPr="009E674D">
        <w:rPr>
          <w:rFonts w:cstheme="minorHAnsi"/>
          <w:b/>
          <w:lang w:val="sq-AL"/>
        </w:rPr>
        <w:t xml:space="preserve"> (SKZH</w:t>
      </w:r>
      <w:r w:rsidR="00723D5C" w:rsidRPr="009E674D">
        <w:rPr>
          <w:rFonts w:cstheme="minorHAnsi"/>
          <w:b/>
          <w:lang w:val="sq-AL"/>
        </w:rPr>
        <w:t xml:space="preserve"> dhe PKZH</w:t>
      </w:r>
      <w:r w:rsidRPr="009E674D">
        <w:rPr>
          <w:rFonts w:cstheme="minorHAnsi"/>
          <w:b/>
          <w:lang w:val="sq-AL"/>
        </w:rPr>
        <w:t xml:space="preserve"> 2030)</w:t>
      </w:r>
      <w:r w:rsidRPr="009E674D">
        <w:rPr>
          <w:rFonts w:cstheme="minorHAnsi"/>
          <w:lang w:val="sq-AL"/>
        </w:rPr>
        <w:t xml:space="preserve"> është dokumenti kryesor strategjik i vendit në perspektivë afatgjat</w:t>
      </w:r>
      <w:r w:rsidR="0063250B" w:rsidRPr="009E674D">
        <w:rPr>
          <w:rFonts w:cstheme="minorHAnsi"/>
          <w:lang w:val="sq-AL"/>
        </w:rPr>
        <w:t>ë</w:t>
      </w:r>
      <w:r w:rsidR="00954306" w:rsidRPr="009E674D">
        <w:rPr>
          <w:rFonts w:cstheme="minorHAnsi"/>
          <w:lang w:val="sq-AL"/>
        </w:rPr>
        <w:t xml:space="preserve">. Duke qenë se </w:t>
      </w:r>
      <w:r w:rsidR="00954306" w:rsidRPr="009E674D">
        <w:rPr>
          <w:rFonts w:eastAsiaTheme="minorEastAsia" w:cstheme="minorHAnsi"/>
          <w:color w:val="000000" w:themeColor="text1"/>
          <w:lang w:val="sq-AL"/>
        </w:rPr>
        <w:t>është në krye të hierarkisë së dokumenteve strategjike</w:t>
      </w:r>
      <w:r w:rsidRPr="009E674D">
        <w:rPr>
          <w:rFonts w:cstheme="minorHAnsi"/>
          <w:lang w:val="sq-AL"/>
        </w:rPr>
        <w:t>, të</w:t>
      </w:r>
      <w:r w:rsidR="00954306" w:rsidRPr="009E674D">
        <w:rPr>
          <w:rFonts w:cstheme="minorHAnsi"/>
          <w:lang w:val="sq-AL"/>
        </w:rPr>
        <w:t xml:space="preserve"> gjitha dokumentet tjera t</w:t>
      </w:r>
      <w:r w:rsidR="00954306" w:rsidRPr="009E674D">
        <w:rPr>
          <w:rFonts w:eastAsiaTheme="minorEastAsia" w:cstheme="minorHAnsi"/>
          <w:color w:val="000000" w:themeColor="text1"/>
          <w:lang w:val="sq-AL"/>
        </w:rPr>
        <w:t>ë kësaj natyre</w:t>
      </w:r>
      <w:r w:rsidR="00732F17" w:rsidRPr="009E674D">
        <w:rPr>
          <w:rFonts w:cstheme="minorHAnsi"/>
          <w:lang w:val="sq-AL"/>
        </w:rPr>
        <w:t xml:space="preserve">, përfshirë </w:t>
      </w:r>
      <w:r w:rsidR="0063250B" w:rsidRPr="009E674D">
        <w:rPr>
          <w:rFonts w:cstheme="minorHAnsi"/>
          <w:lang w:val="sq-AL"/>
        </w:rPr>
        <w:t>edhe këtë p</w:t>
      </w:r>
      <w:r w:rsidRPr="009E674D">
        <w:rPr>
          <w:rFonts w:cstheme="minorHAnsi"/>
          <w:lang w:val="sq-AL"/>
        </w:rPr>
        <w:t xml:space="preserve">rogram, </w:t>
      </w:r>
      <w:r w:rsidR="0063250B" w:rsidRPr="009E674D">
        <w:rPr>
          <w:rFonts w:cstheme="minorHAnsi"/>
          <w:lang w:val="sq-AL"/>
        </w:rPr>
        <w:t>duhet të</w:t>
      </w:r>
      <w:r w:rsidRPr="009E674D">
        <w:rPr>
          <w:rFonts w:cstheme="minorHAnsi"/>
          <w:lang w:val="sq-AL"/>
        </w:rPr>
        <w:t xml:space="preserve"> jen</w:t>
      </w:r>
      <w:r w:rsidR="0063250B" w:rsidRPr="009E674D">
        <w:rPr>
          <w:rFonts w:cstheme="minorHAnsi"/>
          <w:lang w:val="sq-AL"/>
        </w:rPr>
        <w:t>ë të an</w:t>
      </w:r>
      <w:r w:rsidR="00954306" w:rsidRPr="009E674D">
        <w:rPr>
          <w:rFonts w:cstheme="minorHAnsi"/>
          <w:lang w:val="sq-AL"/>
        </w:rPr>
        <w:t>koruara në t</w:t>
      </w:r>
      <w:r w:rsidR="00954306" w:rsidRPr="009E674D">
        <w:rPr>
          <w:rFonts w:eastAsiaTheme="minorEastAsia" w:cstheme="minorHAnsi"/>
          <w:color w:val="000000" w:themeColor="text1"/>
          <w:lang w:val="sq-AL"/>
        </w:rPr>
        <w:t>ë</w:t>
      </w:r>
      <w:r w:rsidRPr="009E674D">
        <w:rPr>
          <w:rFonts w:cstheme="minorHAnsi"/>
          <w:lang w:val="sq-AL"/>
        </w:rPr>
        <w:t xml:space="preserve">. </w:t>
      </w:r>
    </w:p>
    <w:p w14:paraId="7CC8DEC8" w14:textId="2919AB0B" w:rsidR="00190BA7" w:rsidRPr="009E674D" w:rsidRDefault="0063250B" w:rsidP="00190BA7">
      <w:pPr>
        <w:jc w:val="both"/>
        <w:rPr>
          <w:rFonts w:cstheme="minorHAnsi"/>
          <w:lang w:val="sq-AL"/>
        </w:rPr>
      </w:pPr>
      <w:r w:rsidRPr="009E674D">
        <w:rPr>
          <w:rFonts w:cstheme="minorHAnsi"/>
          <w:lang w:val="sq-AL"/>
        </w:rPr>
        <w:t>SKZH</w:t>
      </w:r>
      <w:r w:rsidR="00954306" w:rsidRPr="009E674D">
        <w:rPr>
          <w:rFonts w:cstheme="minorHAnsi"/>
          <w:lang w:val="sq-AL"/>
        </w:rPr>
        <w:t xml:space="preserve"> dhe PKZH 2030</w:t>
      </w:r>
      <w:r w:rsidR="00190BA7" w:rsidRPr="009E674D">
        <w:rPr>
          <w:rFonts w:cstheme="minorHAnsi"/>
          <w:lang w:val="sq-AL"/>
        </w:rPr>
        <w:t xml:space="preserve"> organizohet në katër shtylla, </w:t>
      </w:r>
      <w:r w:rsidR="002505C7">
        <w:rPr>
          <w:rFonts w:cstheme="minorHAnsi"/>
          <w:lang w:val="sq-AL"/>
        </w:rPr>
        <w:t>të cilat janë</w:t>
      </w:r>
      <w:r w:rsidRPr="009E674D">
        <w:rPr>
          <w:rFonts w:cstheme="minorHAnsi"/>
          <w:lang w:val="sq-AL"/>
        </w:rPr>
        <w:t>: (I) Z</w:t>
      </w:r>
      <w:r w:rsidR="00190BA7" w:rsidRPr="009E674D">
        <w:rPr>
          <w:rFonts w:cstheme="minorHAnsi"/>
          <w:lang w:val="sq-AL"/>
        </w:rPr>
        <w:t xml:space="preserve">hvillimi i </w:t>
      </w:r>
      <w:r w:rsidRPr="009E674D">
        <w:rPr>
          <w:rFonts w:eastAsia="SimSun" w:cstheme="minorHAnsi"/>
          <w:lang w:val="sq-AL"/>
        </w:rPr>
        <w:t>qëndrueshëm ekonomik; (II) Z</w:t>
      </w:r>
      <w:r w:rsidR="00190BA7" w:rsidRPr="009E674D">
        <w:rPr>
          <w:rFonts w:eastAsia="SimSun" w:cstheme="minorHAnsi"/>
          <w:lang w:val="sq-AL"/>
        </w:rPr>
        <w:t>hvilli</w:t>
      </w:r>
      <w:r w:rsidRPr="009E674D">
        <w:rPr>
          <w:rFonts w:eastAsia="SimSun" w:cstheme="minorHAnsi"/>
          <w:lang w:val="sq-AL"/>
        </w:rPr>
        <w:t>mi i barabartë njerëzor; (III) S</w:t>
      </w:r>
      <w:r w:rsidR="00190BA7" w:rsidRPr="009E674D">
        <w:rPr>
          <w:rFonts w:eastAsia="SimSun" w:cstheme="minorHAnsi"/>
          <w:lang w:val="sq-AL"/>
        </w:rPr>
        <w:t>iguria dhe sundimi i ligjit; dhe</w:t>
      </w:r>
      <w:r w:rsidR="00190BA7" w:rsidRPr="009E674D">
        <w:rPr>
          <w:rFonts w:cstheme="minorHAnsi"/>
          <w:lang w:val="sq-AL"/>
        </w:rPr>
        <w:t xml:space="preserve"> (IV) </w:t>
      </w:r>
      <w:r w:rsidRPr="009E674D">
        <w:rPr>
          <w:rFonts w:eastAsia="SimSun" w:cstheme="minorHAnsi"/>
          <w:lang w:val="sq-AL"/>
        </w:rPr>
        <w:t>Q</w:t>
      </w:r>
      <w:r w:rsidR="00190BA7" w:rsidRPr="009E674D">
        <w:rPr>
          <w:rFonts w:eastAsia="SimSun" w:cstheme="minorHAnsi"/>
          <w:lang w:val="sq-AL"/>
        </w:rPr>
        <w:t xml:space="preserve">everisja e mirë. </w:t>
      </w:r>
      <w:r w:rsidR="00190BA7" w:rsidRPr="009E674D">
        <w:rPr>
          <w:rFonts w:cstheme="minorHAnsi"/>
          <w:lang w:val="sq-AL"/>
        </w:rPr>
        <w:t xml:space="preserve">Shtylla e parë, siç tregon </w:t>
      </w:r>
      <w:r w:rsidR="00935829" w:rsidRPr="009E674D">
        <w:rPr>
          <w:rFonts w:cstheme="minorHAnsi"/>
          <w:lang w:val="sq-AL"/>
        </w:rPr>
        <w:t xml:space="preserve">edhe </w:t>
      </w:r>
      <w:r w:rsidR="00190BA7" w:rsidRPr="009E674D">
        <w:rPr>
          <w:rFonts w:cstheme="minorHAnsi"/>
          <w:lang w:val="sq-AL"/>
        </w:rPr>
        <w:t xml:space="preserve">emri, është ajo në të cilën kryesisht </w:t>
      </w:r>
      <w:r w:rsidRPr="009E674D">
        <w:rPr>
          <w:rFonts w:cstheme="minorHAnsi"/>
          <w:lang w:val="sq-AL"/>
        </w:rPr>
        <w:t>është bazuar</w:t>
      </w:r>
      <w:r w:rsidR="00190BA7" w:rsidRPr="009E674D">
        <w:rPr>
          <w:rFonts w:cstheme="minorHAnsi"/>
          <w:lang w:val="sq-AL"/>
        </w:rPr>
        <w:t xml:space="preserve"> </w:t>
      </w:r>
      <w:r w:rsidR="00312D8F" w:rsidRPr="009E674D">
        <w:rPr>
          <w:rFonts w:cstheme="minorHAnsi"/>
          <w:lang w:val="sq-AL"/>
        </w:rPr>
        <w:t>PNZHEL</w:t>
      </w:r>
      <w:r w:rsidR="00954306" w:rsidRPr="009E674D">
        <w:rPr>
          <w:rFonts w:cstheme="minorHAnsi"/>
          <w:lang w:val="sq-AL"/>
        </w:rPr>
        <w:t xml:space="preserve"> 2030</w:t>
      </w:r>
      <w:r w:rsidR="00190BA7" w:rsidRPr="009E674D">
        <w:rPr>
          <w:rFonts w:cstheme="minorHAnsi"/>
          <w:lang w:val="sq-AL"/>
        </w:rPr>
        <w:t>. Te kjo shtyllë, synohen të arrihen tri qëllime kryesore. Qëllimi i parë ka të bëjë me krijimin e një ekonomie digjitale, qarkore dhe konkurruese. Për ta arritur këtë qëllim, parashihet</w:t>
      </w:r>
      <w:r w:rsidR="00190BA7" w:rsidRPr="009E674D">
        <w:rPr>
          <w:rFonts w:ascii="Book Antiqua" w:eastAsiaTheme="minorEastAsia" w:hAnsi="Book Antiqua"/>
          <w:lang w:val="sq-AL"/>
        </w:rPr>
        <w:t xml:space="preserve"> </w:t>
      </w:r>
      <w:r w:rsidR="00190BA7" w:rsidRPr="009E674D">
        <w:rPr>
          <w:rFonts w:cstheme="minorHAnsi"/>
          <w:lang w:val="sq-AL"/>
        </w:rPr>
        <w:t>përmirësimi i mjedisit biznesor dhe transformimi ekonomisë drejt aktivitete</w:t>
      </w:r>
      <w:r w:rsidR="002505C7">
        <w:rPr>
          <w:rFonts w:cstheme="minorHAnsi"/>
          <w:lang w:val="sq-AL"/>
        </w:rPr>
        <w:t>ve</w:t>
      </w:r>
      <w:r w:rsidR="00190BA7" w:rsidRPr="009E674D">
        <w:rPr>
          <w:rFonts w:cstheme="minorHAnsi"/>
          <w:lang w:val="sq-AL"/>
        </w:rPr>
        <w:t xml:space="preserve"> me vlerë të shtuar, me fokus në digjitalizim e inovacion. Qëllimi i dytë është që infrastruktura të jetë cilësore, e qëndrueshme dhe e integruar. Në këtë kuadër, parashihet që të përmirësohet infrastruktura dhe shërbimet e transportit, sidomos transportit hekurudhor; të ketë furnizim të qëndrueshëm dhe </w:t>
      </w:r>
      <w:r w:rsidR="002505C7">
        <w:rPr>
          <w:rFonts w:cstheme="minorHAnsi"/>
          <w:lang w:val="sq-AL"/>
        </w:rPr>
        <w:t xml:space="preserve">të </w:t>
      </w:r>
      <w:r w:rsidR="00190BA7" w:rsidRPr="009E674D">
        <w:rPr>
          <w:rFonts w:cstheme="minorHAnsi"/>
          <w:lang w:val="sq-AL"/>
        </w:rPr>
        <w:t>përballueshëm me energji; dhe të avancohet infrastruktura komunikimit, që është qenësore për digjitalizim. Qëllimi i fundit në këtë sht</w:t>
      </w:r>
      <w:r w:rsidR="00935829" w:rsidRPr="009E674D">
        <w:rPr>
          <w:rFonts w:cstheme="minorHAnsi"/>
          <w:lang w:val="sq-AL"/>
        </w:rPr>
        <w:t>yllë, por jo më pak i rëndësish</w:t>
      </w:r>
      <w:r w:rsidR="00190BA7" w:rsidRPr="009E674D">
        <w:rPr>
          <w:rFonts w:cstheme="minorHAnsi"/>
          <w:lang w:val="sq-AL"/>
        </w:rPr>
        <w:t>m</w:t>
      </w:r>
      <w:r w:rsidR="00935829" w:rsidRPr="009E674D">
        <w:rPr>
          <w:rFonts w:cstheme="minorHAnsi"/>
          <w:lang w:val="sq-AL"/>
        </w:rPr>
        <w:t>i</w:t>
      </w:r>
      <w:r w:rsidR="00190BA7" w:rsidRPr="009E674D">
        <w:rPr>
          <w:rFonts w:cstheme="minorHAnsi"/>
          <w:lang w:val="sq-AL"/>
        </w:rPr>
        <w:t>, është që mjedisi të jetë i pastë</w:t>
      </w:r>
      <w:r w:rsidR="00C639C9" w:rsidRPr="009E674D">
        <w:rPr>
          <w:rFonts w:cstheme="minorHAnsi"/>
          <w:lang w:val="sq-AL"/>
        </w:rPr>
        <w:t>r, pra të parandalohet ndotja e</w:t>
      </w:r>
      <w:r w:rsidR="00F2789A">
        <w:rPr>
          <w:rFonts w:cstheme="minorHAnsi"/>
          <w:lang w:val="sq-AL"/>
        </w:rPr>
        <w:t xml:space="preserve"> tokës, ujit dhe ajrit dhe </w:t>
      </w:r>
      <w:r w:rsidR="00190BA7" w:rsidRPr="009E674D">
        <w:rPr>
          <w:rFonts w:cstheme="minorHAnsi"/>
          <w:lang w:val="sq-AL"/>
        </w:rPr>
        <w:t xml:space="preserve">të mbrohet biodiversiteti në përgjithësi, </w:t>
      </w:r>
      <w:r w:rsidR="00F2789A">
        <w:rPr>
          <w:rFonts w:cstheme="minorHAnsi"/>
          <w:lang w:val="sq-AL"/>
        </w:rPr>
        <w:t>nd</w:t>
      </w:r>
      <w:r w:rsidR="00F2789A" w:rsidRPr="009E674D">
        <w:rPr>
          <w:rFonts w:eastAsiaTheme="minorEastAsia" w:cstheme="minorHAnsi"/>
          <w:color w:val="000000" w:themeColor="text1"/>
          <w:lang w:val="sq-AL"/>
        </w:rPr>
        <w:t>ë</w:t>
      </w:r>
      <w:r w:rsidR="00F2789A">
        <w:rPr>
          <w:rFonts w:eastAsiaTheme="minorEastAsia" w:cstheme="minorHAnsi"/>
          <w:color w:val="000000" w:themeColor="text1"/>
          <w:lang w:val="sq-AL"/>
        </w:rPr>
        <w:t>rkoh</w:t>
      </w:r>
      <w:r w:rsidR="00F2789A" w:rsidRPr="009E674D">
        <w:rPr>
          <w:rFonts w:eastAsiaTheme="minorEastAsia" w:cstheme="minorHAnsi"/>
          <w:color w:val="000000" w:themeColor="text1"/>
          <w:lang w:val="sq-AL"/>
        </w:rPr>
        <w:t>ë</w:t>
      </w:r>
      <w:r w:rsidR="00F2789A">
        <w:rPr>
          <w:rFonts w:eastAsiaTheme="minorEastAsia" w:cstheme="minorHAnsi"/>
          <w:color w:val="000000" w:themeColor="text1"/>
          <w:lang w:val="sq-AL"/>
        </w:rPr>
        <w:t xml:space="preserve"> q</w:t>
      </w:r>
      <w:r w:rsidR="00F2789A" w:rsidRPr="009E674D">
        <w:rPr>
          <w:rFonts w:eastAsiaTheme="minorEastAsia" w:cstheme="minorHAnsi"/>
          <w:color w:val="000000" w:themeColor="text1"/>
          <w:lang w:val="sq-AL"/>
        </w:rPr>
        <w:t>ë</w:t>
      </w:r>
      <w:r w:rsidR="00190BA7" w:rsidRPr="009E674D">
        <w:rPr>
          <w:rFonts w:cstheme="minorHAnsi"/>
          <w:lang w:val="sq-AL"/>
        </w:rPr>
        <w:t xml:space="preserve"> burimet natyrore të shfrytëzohen në mënyre efikase. </w:t>
      </w:r>
    </w:p>
    <w:p w14:paraId="4117A90D" w14:textId="380D1589" w:rsidR="00190BA7" w:rsidRPr="009E674D" w:rsidRDefault="00190BA7" w:rsidP="00190BA7">
      <w:pPr>
        <w:jc w:val="both"/>
        <w:rPr>
          <w:rFonts w:cstheme="minorHAnsi"/>
          <w:lang w:val="sq-AL"/>
        </w:rPr>
      </w:pPr>
      <w:r w:rsidRPr="009E674D">
        <w:rPr>
          <w:rFonts w:cstheme="minorHAnsi"/>
          <w:lang w:val="sq-AL"/>
        </w:rPr>
        <w:t>Shtylla e dytë, përkatësisht që</w:t>
      </w:r>
      <w:r w:rsidR="00935829" w:rsidRPr="009E674D">
        <w:rPr>
          <w:rFonts w:cstheme="minorHAnsi"/>
          <w:lang w:val="sq-AL"/>
        </w:rPr>
        <w:t>llimi i parë i kësaj shtylle –</w:t>
      </w:r>
      <w:r w:rsidRPr="009E674D">
        <w:rPr>
          <w:rFonts w:cstheme="minorHAnsi"/>
          <w:lang w:val="sq-AL"/>
        </w:rPr>
        <w:t xml:space="preserve"> krijimi i një tregu </w:t>
      </w:r>
      <w:r w:rsidR="002505C7" w:rsidRPr="009E674D">
        <w:rPr>
          <w:rFonts w:cstheme="minorHAnsi"/>
          <w:lang w:val="sq-AL"/>
        </w:rPr>
        <w:t xml:space="preserve">gjithëpërfshirës </w:t>
      </w:r>
      <w:r w:rsidRPr="009E674D">
        <w:rPr>
          <w:rFonts w:cstheme="minorHAnsi"/>
          <w:lang w:val="sq-AL"/>
        </w:rPr>
        <w:t xml:space="preserve">të punës me punësim të lartë dhe të denjë, lidhet me fushëveprimin e </w:t>
      </w:r>
      <w:r w:rsidR="00312D8F" w:rsidRPr="009E674D">
        <w:rPr>
          <w:rFonts w:cstheme="minorHAnsi"/>
          <w:lang w:val="sq-AL"/>
        </w:rPr>
        <w:t>PNZHEL</w:t>
      </w:r>
      <w:r w:rsidR="00954306" w:rsidRPr="009E674D">
        <w:rPr>
          <w:rFonts w:cstheme="minorHAnsi"/>
          <w:lang w:val="sq-AL"/>
        </w:rPr>
        <w:t xml:space="preserve"> 2030</w:t>
      </w:r>
      <w:r w:rsidRPr="009E674D">
        <w:rPr>
          <w:rFonts w:cstheme="minorHAnsi"/>
          <w:lang w:val="sq-AL"/>
        </w:rPr>
        <w:t>. Ky qëllim parashihet të arrihet përmes zhvillimit të shkathtësive dhe kompetencave</w:t>
      </w:r>
      <w:r w:rsidR="002505C7">
        <w:rPr>
          <w:rFonts w:cstheme="minorHAnsi"/>
          <w:lang w:val="sq-AL"/>
        </w:rPr>
        <w:t>, si</w:t>
      </w:r>
      <w:r w:rsidRPr="009E674D">
        <w:rPr>
          <w:rFonts w:cstheme="minorHAnsi"/>
          <w:lang w:val="sq-AL"/>
        </w:rPr>
        <w:t xml:space="preserve"> dhe ngushtimit të hendekut në tregun e punës; </w:t>
      </w:r>
      <w:r w:rsidR="002505C7">
        <w:rPr>
          <w:rFonts w:cstheme="minorHAnsi"/>
          <w:lang w:val="sq-AL"/>
        </w:rPr>
        <w:t xml:space="preserve"> </w:t>
      </w:r>
      <w:r w:rsidRPr="009E674D">
        <w:rPr>
          <w:rFonts w:cstheme="minorHAnsi"/>
          <w:lang w:val="sq-AL"/>
        </w:rPr>
        <w:t xml:space="preserve">rritjes së pjesëmarrjes së grave në tregun e punës; dhe përmirësimit të kushteve të punës. </w:t>
      </w:r>
    </w:p>
    <w:p w14:paraId="43BD1E15" w14:textId="2C43D530" w:rsidR="00190BA7" w:rsidRPr="009E674D" w:rsidRDefault="00190BA7" w:rsidP="00190BA7">
      <w:pPr>
        <w:jc w:val="both"/>
        <w:rPr>
          <w:rFonts w:cstheme="minorHAnsi"/>
          <w:lang w:val="sq-AL"/>
        </w:rPr>
      </w:pPr>
      <w:r w:rsidRPr="009E674D">
        <w:rPr>
          <w:rFonts w:cstheme="minorHAnsi"/>
          <w:lang w:val="sq-AL"/>
        </w:rPr>
        <w:t>Përpos shtyllave me qëllime dhe objektiva përkatëse, në SKZH</w:t>
      </w:r>
      <w:r w:rsidR="00954306" w:rsidRPr="009E674D">
        <w:rPr>
          <w:rFonts w:cstheme="minorHAnsi"/>
          <w:lang w:val="sq-AL"/>
        </w:rPr>
        <w:t xml:space="preserve"> dhe PKZH 2030</w:t>
      </w:r>
      <w:r w:rsidR="002505C7">
        <w:rPr>
          <w:rFonts w:cstheme="minorHAnsi"/>
          <w:lang w:val="sq-AL"/>
        </w:rPr>
        <w:t>,</w:t>
      </w:r>
      <w:r w:rsidRPr="009E674D">
        <w:rPr>
          <w:rFonts w:cstheme="minorHAnsi"/>
          <w:lang w:val="sq-AL"/>
        </w:rPr>
        <w:t xml:space="preserve"> gjithashtu janë të përcaktuara agjendat horizontale, si çështje</w:t>
      </w:r>
      <w:r w:rsidR="00E87264">
        <w:rPr>
          <w:rFonts w:cstheme="minorHAnsi"/>
          <w:lang w:val="sq-AL"/>
        </w:rPr>
        <w:t>t</w:t>
      </w:r>
      <w:r w:rsidRPr="009E674D">
        <w:rPr>
          <w:rFonts w:cstheme="minorHAnsi"/>
          <w:lang w:val="sq-AL"/>
        </w:rPr>
        <w:t xml:space="preserve"> apo fusha</w:t>
      </w:r>
      <w:r w:rsidR="00E87264">
        <w:rPr>
          <w:rFonts w:cstheme="minorHAnsi"/>
          <w:lang w:val="sq-AL"/>
        </w:rPr>
        <w:t>t</w:t>
      </w:r>
      <w:r w:rsidRPr="009E674D">
        <w:rPr>
          <w:rFonts w:cstheme="minorHAnsi"/>
          <w:lang w:val="sq-AL"/>
        </w:rPr>
        <w:t xml:space="preserve"> që kërkojnë koordinim </w:t>
      </w:r>
      <w:r w:rsidR="00844CE8">
        <w:rPr>
          <w:rFonts w:cstheme="minorHAnsi"/>
          <w:lang w:val="sq-AL"/>
        </w:rPr>
        <w:t>midis</w:t>
      </w:r>
      <w:r w:rsidR="00844CE8" w:rsidRPr="009E674D">
        <w:rPr>
          <w:rFonts w:cstheme="minorHAnsi"/>
          <w:lang w:val="sq-AL"/>
        </w:rPr>
        <w:t xml:space="preserve"> </w:t>
      </w:r>
      <w:r w:rsidRPr="009E674D">
        <w:rPr>
          <w:rFonts w:cstheme="minorHAnsi"/>
          <w:lang w:val="sq-AL"/>
        </w:rPr>
        <w:t xml:space="preserve">shumë sektorëve. Agjenda digjitale, </w:t>
      </w:r>
      <w:r w:rsidR="00935829" w:rsidRPr="009E674D">
        <w:rPr>
          <w:rFonts w:cstheme="minorHAnsi"/>
          <w:lang w:val="sq-AL"/>
        </w:rPr>
        <w:t>gjithëpërfshirja</w:t>
      </w:r>
      <w:r w:rsidRPr="009E674D">
        <w:rPr>
          <w:rFonts w:cstheme="minorHAnsi"/>
          <w:lang w:val="sq-AL"/>
        </w:rPr>
        <w:t>, agjenda e gjelbër, migrimi dhe diaspora përbë</w:t>
      </w:r>
      <w:r w:rsidR="00954306" w:rsidRPr="009E674D">
        <w:rPr>
          <w:rFonts w:cstheme="minorHAnsi"/>
          <w:lang w:val="sq-AL"/>
        </w:rPr>
        <w:t>jnë agjendat horizontale të SKZH dhe PKZH 2030</w:t>
      </w:r>
      <w:r w:rsidRPr="009E674D">
        <w:rPr>
          <w:rFonts w:cstheme="minorHAnsi"/>
          <w:lang w:val="sq-AL"/>
        </w:rPr>
        <w:t>. T</w:t>
      </w:r>
      <w:r w:rsidR="00F2789A">
        <w:rPr>
          <w:rFonts w:cstheme="minorHAnsi"/>
          <w:lang w:val="sq-AL"/>
        </w:rPr>
        <w:t>ë gjitha këto janë</w:t>
      </w:r>
      <w:r w:rsidRPr="009E674D">
        <w:rPr>
          <w:rFonts w:cstheme="minorHAnsi"/>
          <w:lang w:val="sq-AL"/>
        </w:rPr>
        <w:t xml:space="preserve"> dimension</w:t>
      </w:r>
      <w:r w:rsidR="00F2789A">
        <w:rPr>
          <w:rFonts w:cstheme="minorHAnsi"/>
          <w:lang w:val="sq-AL"/>
        </w:rPr>
        <w:t>e shtesë,</w:t>
      </w:r>
      <w:r w:rsidR="00E87264">
        <w:rPr>
          <w:rFonts w:cstheme="minorHAnsi"/>
          <w:lang w:val="sq-AL"/>
        </w:rPr>
        <w:t xml:space="preserve"> të cilat</w:t>
      </w:r>
      <w:r w:rsidRPr="009E674D">
        <w:rPr>
          <w:rFonts w:cstheme="minorHAnsi"/>
          <w:lang w:val="sq-AL"/>
        </w:rPr>
        <w:t xml:space="preserve"> </w:t>
      </w:r>
      <w:r w:rsidR="00280B8D" w:rsidRPr="009E674D">
        <w:rPr>
          <w:rFonts w:cstheme="minorHAnsi"/>
          <w:lang w:val="sq-AL"/>
        </w:rPr>
        <w:t>janë marrë parasysh</w:t>
      </w:r>
      <w:r w:rsidRPr="009E674D">
        <w:rPr>
          <w:rFonts w:cstheme="minorHAnsi"/>
          <w:lang w:val="sq-AL"/>
        </w:rPr>
        <w:t xml:space="preserve"> në </w:t>
      </w:r>
      <w:r w:rsidR="00312D8F" w:rsidRPr="009E674D">
        <w:rPr>
          <w:rFonts w:cstheme="minorHAnsi"/>
          <w:lang w:val="sq-AL"/>
        </w:rPr>
        <w:t>PNZHEL</w:t>
      </w:r>
      <w:r w:rsidR="00954306" w:rsidRPr="009E674D">
        <w:rPr>
          <w:rFonts w:cstheme="minorHAnsi"/>
          <w:lang w:val="sq-AL"/>
        </w:rPr>
        <w:t xml:space="preserve"> 2030</w:t>
      </w:r>
      <w:r w:rsidRPr="009E674D">
        <w:rPr>
          <w:rFonts w:cstheme="minorHAnsi"/>
          <w:lang w:val="sq-AL"/>
        </w:rPr>
        <w:t>.</w:t>
      </w:r>
    </w:p>
    <w:p w14:paraId="4937D49C" w14:textId="3C22EC0E" w:rsidR="00190BA7" w:rsidRPr="009E674D" w:rsidRDefault="00190BA7" w:rsidP="00190BA7">
      <w:pPr>
        <w:jc w:val="both"/>
        <w:rPr>
          <w:rFonts w:cstheme="minorHAnsi"/>
          <w:lang w:val="sq-AL"/>
        </w:rPr>
      </w:pPr>
      <w:r w:rsidRPr="009E674D">
        <w:rPr>
          <w:b/>
          <w:lang w:val="sq-AL"/>
        </w:rPr>
        <w:t xml:space="preserve">Strategjia për vetëqeverisjen lokale (2016-2026) </w:t>
      </w:r>
      <w:r w:rsidRPr="009E674D">
        <w:rPr>
          <w:lang w:val="sq-AL"/>
        </w:rPr>
        <w:t>është dokument  që përcakton kornizën strategjike bazë për avancimin e vetëqeverisjes lokal</w:t>
      </w:r>
      <w:r w:rsidR="00C639C9" w:rsidRPr="009E674D">
        <w:rPr>
          <w:lang w:val="sq-AL"/>
        </w:rPr>
        <w:t xml:space="preserve">e. Kjo strategji shërben si </w:t>
      </w:r>
      <w:r w:rsidRPr="009E674D">
        <w:rPr>
          <w:lang w:val="sq-AL"/>
        </w:rPr>
        <w:t>instrument kryesor për udhëzimin e zhvillimit të politikave, strategjive dhe planeve zhvillimore socio‐ekonomike në nivel lokal dhe njëkohësisht bën ndërlidhjen me kornizën strategjike të nivelit qendror të përcaktuar me dokumentet strategjike të asaj</w:t>
      </w:r>
      <w:r w:rsidR="00F2789A">
        <w:rPr>
          <w:lang w:val="sq-AL"/>
        </w:rPr>
        <w:t xml:space="preserve"> kohe. Objektivi i</w:t>
      </w:r>
      <w:r w:rsidRPr="009E674D">
        <w:rPr>
          <w:lang w:val="sq-AL"/>
        </w:rPr>
        <w:t xml:space="preserve"> parë e kësaj strategjie, rritja e qëndrueshmërisë ekonomik</w:t>
      </w:r>
      <w:r w:rsidR="00280B8D" w:rsidRPr="009E674D">
        <w:rPr>
          <w:lang w:val="sq-AL"/>
        </w:rPr>
        <w:t>e dhe sociale të komunave, ka qen</w:t>
      </w:r>
      <w:r w:rsidR="00280B8D" w:rsidRPr="009E674D">
        <w:rPr>
          <w:rFonts w:cstheme="minorHAnsi"/>
          <w:lang w:val="sq-AL"/>
        </w:rPr>
        <w:t>ë</w:t>
      </w:r>
      <w:r w:rsidRPr="009E674D">
        <w:rPr>
          <w:lang w:val="sq-AL"/>
        </w:rPr>
        <w:t xml:space="preserve"> më relevantja për nevojat e këtij progra</w:t>
      </w:r>
      <w:r w:rsidR="009E674D">
        <w:rPr>
          <w:lang w:val="sq-AL"/>
        </w:rPr>
        <w:t>mi. Për ta përmbushur objektivin</w:t>
      </w:r>
      <w:r w:rsidRPr="009E674D">
        <w:rPr>
          <w:lang w:val="sq-AL"/>
        </w:rPr>
        <w:t xml:space="preserve"> në fjalë është paraparë që, mes tjerash, të bëhet ndryshimi i bazës ligjore për financimin e komunave; të përmirësohet infrastruktura e rrugëve lokale dhe rrjetit të transportit ndër‐urban; të aftësohen të rinjtë dhe të përgatiten për treg t</w:t>
      </w:r>
      <w:r w:rsidR="00C639C9" w:rsidRPr="009E674D">
        <w:rPr>
          <w:lang w:val="sq-AL"/>
        </w:rPr>
        <w:t>ë punës; të mbështeten bizneset</w:t>
      </w:r>
      <w:r w:rsidRPr="009E674D">
        <w:rPr>
          <w:lang w:val="sq-AL"/>
        </w:rPr>
        <w:t>; dhe të zhvillohet sektori i bujqësisë. Dy objektiva tjera të strategjisë</w:t>
      </w:r>
      <w:r w:rsidR="00E87264">
        <w:rPr>
          <w:lang w:val="sq-AL"/>
        </w:rPr>
        <w:t>, të cilat</w:t>
      </w:r>
      <w:r w:rsidRPr="009E674D">
        <w:rPr>
          <w:lang w:val="sq-AL"/>
        </w:rPr>
        <w:t xml:space="preserve"> gjithashtu ndërlidhen me fushëveprimin e këtij programi, por në formë më të përgjithshme, janë</w:t>
      </w:r>
      <w:r w:rsidR="00B6657C">
        <w:rPr>
          <w:lang w:val="sq-AL"/>
        </w:rPr>
        <w:t>:</w:t>
      </w:r>
      <w:r w:rsidRPr="009E674D">
        <w:rPr>
          <w:lang w:val="sq-AL"/>
        </w:rPr>
        <w:t xml:space="preserve"> (a) forcimi i kapaciteteve profesionale dhe institucionale të komunave dhe (b) forcimi i partneriteteve ndërmjet pushtetit lokal, shoqërisë civile dhe bizneseve. Në të parën nga këto </w:t>
      </w:r>
      <w:r w:rsidR="00844CE8" w:rsidRPr="009E674D">
        <w:rPr>
          <w:lang w:val="sq-AL"/>
        </w:rPr>
        <w:t xml:space="preserve">dy </w:t>
      </w:r>
      <w:r w:rsidRPr="009E674D">
        <w:rPr>
          <w:lang w:val="sq-AL"/>
        </w:rPr>
        <w:t>objektiva parashihet krijim</w:t>
      </w:r>
      <w:r w:rsidR="00844CE8">
        <w:rPr>
          <w:lang w:val="sq-AL"/>
        </w:rPr>
        <w:t>i</w:t>
      </w:r>
      <w:r w:rsidRPr="009E674D">
        <w:rPr>
          <w:lang w:val="sq-AL"/>
        </w:rPr>
        <w:t xml:space="preserve"> i një sistemi të avancuar për edukim të vazhdueshëm profesional për zyrtarët komunal</w:t>
      </w:r>
      <w:r w:rsidR="00844CE8">
        <w:rPr>
          <w:lang w:val="sq-AL"/>
        </w:rPr>
        <w:t>ë</w:t>
      </w:r>
      <w:r w:rsidRPr="009E674D">
        <w:rPr>
          <w:lang w:val="sq-AL"/>
        </w:rPr>
        <w:t>, ndryshim</w:t>
      </w:r>
      <w:r w:rsidR="00C639C9" w:rsidRPr="009E674D">
        <w:rPr>
          <w:lang w:val="sq-AL"/>
        </w:rPr>
        <w:t>i</w:t>
      </w:r>
      <w:r w:rsidRPr="009E674D">
        <w:rPr>
          <w:lang w:val="sq-AL"/>
        </w:rPr>
        <w:t xml:space="preserve"> i sjelljes së punëtorëve përmes vlerësimit të perfomancës, zhvillimi i kapaciteteve lokale për monitorim të punëve që dalin nga partneriteti me bizneset dhe masa </w:t>
      </w:r>
      <w:r w:rsidR="00844CE8">
        <w:rPr>
          <w:lang w:val="sq-AL"/>
        </w:rPr>
        <w:t xml:space="preserve">të </w:t>
      </w:r>
      <w:r w:rsidRPr="009E674D">
        <w:rPr>
          <w:lang w:val="sq-AL"/>
        </w:rPr>
        <w:t>tjera të ngjashme. Ndërk</w:t>
      </w:r>
      <w:r w:rsidR="009E674D">
        <w:rPr>
          <w:lang w:val="sq-AL"/>
        </w:rPr>
        <w:t>aq, për ta përmbushur objektivin</w:t>
      </w:r>
      <w:r w:rsidRPr="009E674D">
        <w:rPr>
          <w:lang w:val="sq-AL"/>
        </w:rPr>
        <w:t xml:space="preserve"> tjetër, si masa që lidhen me programin janë inicimi i </w:t>
      </w:r>
      <w:r w:rsidRPr="009E674D">
        <w:rPr>
          <w:lang w:val="sq-AL"/>
        </w:rPr>
        <w:lastRenderedPageBreak/>
        <w:t>programeve të praktikës për nxënësit e shkollave të mesme dhe bashkëpunimi për të mbështetur ndërmarrësit e rinj.</w:t>
      </w:r>
    </w:p>
    <w:p w14:paraId="7DE43B5C" w14:textId="5ABC179A" w:rsidR="00190BA7" w:rsidRPr="009E674D" w:rsidRDefault="00190BA7" w:rsidP="00190BA7">
      <w:pPr>
        <w:jc w:val="both"/>
        <w:rPr>
          <w:lang w:val="sq-AL"/>
        </w:rPr>
      </w:pPr>
      <w:r w:rsidRPr="009E674D">
        <w:rPr>
          <w:b/>
          <w:lang w:val="sq-AL"/>
        </w:rPr>
        <w:t>Strategjia për zhvillim ekonomik lokal (2019-2023)</w:t>
      </w:r>
      <w:r w:rsidRPr="009E674D">
        <w:rPr>
          <w:lang w:val="sq-AL"/>
        </w:rPr>
        <w:t xml:space="preserve"> është dokumenti strategjik në fuqi që përcakton rrugën për zhvillim ekonomik lokal të komunave. Meqenëse ky dokument skadon në 2023-ën, </w:t>
      </w:r>
      <w:r w:rsidR="00F75E56" w:rsidRPr="009E674D">
        <w:rPr>
          <w:lang w:val="sq-AL"/>
        </w:rPr>
        <w:t xml:space="preserve">pritet </w:t>
      </w:r>
      <w:r w:rsidR="00F75E56">
        <w:rPr>
          <w:lang w:val="sq-AL"/>
        </w:rPr>
        <w:t xml:space="preserve">që </w:t>
      </w:r>
      <w:r w:rsidR="00312D8F" w:rsidRPr="009E674D">
        <w:rPr>
          <w:lang w:val="sq-AL"/>
        </w:rPr>
        <w:t>PNZHEL</w:t>
      </w:r>
      <w:r w:rsidRPr="009E674D">
        <w:rPr>
          <w:lang w:val="sq-AL"/>
        </w:rPr>
        <w:t xml:space="preserve"> të jetë vazhdimësi e kësaj strategjie. Fushëveprimi i këtij dokumenti, ndonëse vetëm te pjesa e analizës, shkon përtej kuptimit tipik të konceptit të zhvillimit ekonomik, duke trajtuar edhe fusha tjera (si p.sh. shëndetësinë), që vetëm tërthorazi lidhen me temën. Kjo strategji përmban katër objektiva strategjike: rritja e qëndrueshmërisë financiare </w:t>
      </w:r>
      <w:r w:rsidR="00F75E56">
        <w:rPr>
          <w:lang w:val="sq-AL"/>
        </w:rPr>
        <w:t>të</w:t>
      </w:r>
      <w:r w:rsidR="00F75E56" w:rsidRPr="009E674D">
        <w:rPr>
          <w:lang w:val="sq-AL"/>
        </w:rPr>
        <w:t xml:space="preserve"> </w:t>
      </w:r>
      <w:r w:rsidRPr="009E674D">
        <w:rPr>
          <w:lang w:val="sq-AL"/>
        </w:rPr>
        <w:t>komunave; tërheqja e investimeve të huaja; fuqizimi i ekonomisë lokale përmes investimit në kapitalin njerëzor; shfrytëzimi i resurseve në funksion të zhvillimit të qëndrueshëm ekonomik.</w:t>
      </w:r>
    </w:p>
    <w:p w14:paraId="37C63EB2" w14:textId="18763BB2" w:rsidR="00190BA7" w:rsidRPr="009E674D" w:rsidRDefault="00190BA7" w:rsidP="00190BA7">
      <w:pPr>
        <w:jc w:val="both"/>
        <w:rPr>
          <w:lang w:val="sq-AL"/>
        </w:rPr>
      </w:pPr>
      <w:r w:rsidRPr="009E674D">
        <w:rPr>
          <w:lang w:val="sq-AL"/>
        </w:rPr>
        <w:t xml:space="preserve">Për ta përmbushur rritjen e qëndrueshmërisë financiare, është paraparë që të zvogëlohet varësia buxhetore e komunave nga niveli qendror, krijimi i mekanizmit të veçantë për koordinimin e procesit të financimit të investimeve nga niveli qendror në nivelin lokal dhe krijimi i mundësisë për huamarrje. Të gjitha këto, përkundër faktit që janë shumë të rëndësishme </w:t>
      </w:r>
      <w:r w:rsidR="00935829" w:rsidRPr="009E674D">
        <w:rPr>
          <w:lang w:val="sq-AL"/>
        </w:rPr>
        <w:t>për</w:t>
      </w:r>
      <w:r w:rsidRPr="009E674D">
        <w:rPr>
          <w:lang w:val="sq-AL"/>
        </w:rPr>
        <w:t xml:space="preserve"> qën</w:t>
      </w:r>
      <w:r w:rsidR="00935829" w:rsidRPr="009E674D">
        <w:rPr>
          <w:lang w:val="sq-AL"/>
        </w:rPr>
        <w:t>drueshmërinë e financave lokale</w:t>
      </w:r>
      <w:r w:rsidRPr="009E674D">
        <w:rPr>
          <w:lang w:val="sq-AL"/>
        </w:rPr>
        <w:t xml:space="preserve">, realizimi i tyre më shumë lidhet me kompetencat e nivelit qendror. Sidoqoftë, raporti i fundit monitorues për zbatimin e kësaj strategjie tregon se janë bërë përpjekje të vazhdueshme për </w:t>
      </w:r>
      <w:r w:rsidR="00F75E56" w:rsidRPr="009E674D">
        <w:rPr>
          <w:lang w:val="sq-AL"/>
        </w:rPr>
        <w:t>t</w:t>
      </w:r>
      <w:r w:rsidR="00F75E56">
        <w:rPr>
          <w:lang w:val="sq-AL"/>
        </w:rPr>
        <w:t>a</w:t>
      </w:r>
      <w:r w:rsidR="00F75E56" w:rsidRPr="009E674D">
        <w:rPr>
          <w:lang w:val="sq-AL"/>
        </w:rPr>
        <w:t xml:space="preserve"> </w:t>
      </w:r>
      <w:r w:rsidRPr="009E674D">
        <w:rPr>
          <w:lang w:val="sq-AL"/>
        </w:rPr>
        <w:t xml:space="preserve">përmirësuar qëndrueshmërinë e komunave dhe politikat që </w:t>
      </w:r>
      <w:r w:rsidR="00C46375" w:rsidRPr="00C46375">
        <w:rPr>
          <w:color w:val="000000" w:themeColor="text1"/>
          <w:lang w:val="sq-AL"/>
        </w:rPr>
        <w:t>nxisin</w:t>
      </w:r>
      <w:r w:rsidR="00F75E56" w:rsidRPr="009E674D">
        <w:rPr>
          <w:lang w:val="sq-AL"/>
        </w:rPr>
        <w:t xml:space="preserve"> </w:t>
      </w:r>
      <w:r w:rsidRPr="009E674D">
        <w:rPr>
          <w:lang w:val="sq-AL"/>
        </w:rPr>
        <w:t>zhvillimin e mëtejshëm. Sipas këtij raporti, deri në</w:t>
      </w:r>
      <w:r w:rsidR="00F75E56">
        <w:rPr>
          <w:lang w:val="sq-AL"/>
        </w:rPr>
        <w:t xml:space="preserve"> të</w:t>
      </w:r>
      <w:r w:rsidRPr="009E674D">
        <w:rPr>
          <w:lang w:val="sq-AL"/>
        </w:rPr>
        <w:t xml:space="preserve"> 2022-ën, 38.5% e aktiviteteve që ndërlidhen me qëndrueshmërinë financiare janë zbatuar plotësisht, ndërsa 38.5% të tjera janë zbatuar vetëm pjesërisht. </w:t>
      </w:r>
    </w:p>
    <w:p w14:paraId="4B5FF952" w14:textId="1A5EDA77" w:rsidR="00190BA7" w:rsidRPr="009E674D" w:rsidRDefault="00C46375" w:rsidP="00190BA7">
      <w:pPr>
        <w:jc w:val="both"/>
        <w:rPr>
          <w:lang w:val="sq-AL"/>
        </w:rPr>
      </w:pPr>
      <w:r>
        <w:rPr>
          <w:lang w:val="sq-AL"/>
        </w:rPr>
        <w:t>Objektivi strategjik</w:t>
      </w:r>
      <w:r w:rsidR="00190BA7" w:rsidRPr="009E674D">
        <w:rPr>
          <w:lang w:val="sq-AL"/>
        </w:rPr>
        <w:t xml:space="preserve"> për tërheqje të investimeve të huaja është paraparë të arrihet duke krijuar kushte të favorshme për investitorët, </w:t>
      </w:r>
      <w:r w:rsidR="00F75E56">
        <w:rPr>
          <w:lang w:val="sq-AL"/>
        </w:rPr>
        <w:t xml:space="preserve">duke </w:t>
      </w:r>
      <w:r w:rsidR="00190BA7" w:rsidRPr="009E674D">
        <w:rPr>
          <w:lang w:val="sq-AL"/>
        </w:rPr>
        <w:t>funksionalizuar plotësisht zonat e lira ekonomike dhe</w:t>
      </w:r>
      <w:r>
        <w:rPr>
          <w:lang w:val="sq-AL"/>
        </w:rPr>
        <w:t xml:space="preserve"> duke</w:t>
      </w:r>
      <w:r w:rsidR="00190BA7" w:rsidRPr="009E674D">
        <w:rPr>
          <w:lang w:val="sq-AL"/>
        </w:rPr>
        <w:t xml:space="preserve"> rritur transparencën për investime të huaja. Tërheqja e investimeve ë</w:t>
      </w:r>
      <w:r w:rsidR="009E674D">
        <w:rPr>
          <w:lang w:val="sq-AL"/>
        </w:rPr>
        <w:t>shtë gjithashtu objektiv i</w:t>
      </w:r>
      <w:r w:rsidR="00C639C9" w:rsidRPr="009E674D">
        <w:rPr>
          <w:lang w:val="sq-AL"/>
        </w:rPr>
        <w:t xml:space="preserve"> SKZH</w:t>
      </w:r>
      <w:r w:rsidR="00190BA7" w:rsidRPr="009E674D">
        <w:rPr>
          <w:lang w:val="sq-AL"/>
        </w:rPr>
        <w:t>-së</w:t>
      </w:r>
      <w:r w:rsidR="009E674D">
        <w:rPr>
          <w:lang w:val="sq-AL"/>
        </w:rPr>
        <w:t xml:space="preserve"> dhe PKZH-s</w:t>
      </w:r>
      <w:r w:rsidR="009E674D" w:rsidRPr="009E674D">
        <w:rPr>
          <w:lang w:val="sq-AL"/>
        </w:rPr>
        <w:t>ë</w:t>
      </w:r>
      <w:r>
        <w:rPr>
          <w:lang w:val="sq-AL"/>
        </w:rPr>
        <w:t xml:space="preserve">, ndonëse </w:t>
      </w:r>
      <w:r w:rsidR="00F75E56">
        <w:rPr>
          <w:lang w:val="sq-AL"/>
        </w:rPr>
        <w:t>në</w:t>
      </w:r>
      <w:r>
        <w:rPr>
          <w:lang w:val="sq-AL"/>
        </w:rPr>
        <w:t xml:space="preserve"> atë</w:t>
      </w:r>
      <w:r w:rsidR="00F75E56">
        <w:rPr>
          <w:lang w:val="sq-AL"/>
        </w:rPr>
        <w:t xml:space="preserve"> rast,</w:t>
      </w:r>
      <w:r w:rsidR="00F75E56" w:rsidRPr="009E674D">
        <w:rPr>
          <w:lang w:val="sq-AL"/>
        </w:rPr>
        <w:t xml:space="preserve"> </w:t>
      </w:r>
      <w:r w:rsidR="00190BA7" w:rsidRPr="009E674D">
        <w:rPr>
          <w:lang w:val="sq-AL"/>
        </w:rPr>
        <w:t>investimet nuk reduktohet vetëm në investime të huaja direkte, por trajtohen pa dallim me investimet vendore. Në këtë rast</w:t>
      </w:r>
      <w:r w:rsidR="00F75E56">
        <w:rPr>
          <w:lang w:val="sq-AL"/>
        </w:rPr>
        <w:t xml:space="preserve">, </w:t>
      </w:r>
      <w:r w:rsidR="00F75E56" w:rsidRPr="009E674D">
        <w:rPr>
          <w:lang w:val="sq-AL"/>
        </w:rPr>
        <w:t>janë pë</w:t>
      </w:r>
      <w:r w:rsidR="00F75E56">
        <w:rPr>
          <w:lang w:val="sq-AL"/>
        </w:rPr>
        <w:t xml:space="preserve">rmbushur </w:t>
      </w:r>
      <w:r w:rsidR="00190BA7" w:rsidRPr="009E674D">
        <w:rPr>
          <w:lang w:val="sq-AL"/>
        </w:rPr>
        <w:t xml:space="preserve">më shumë aktivitete </w:t>
      </w:r>
      <w:r w:rsidR="009E674D">
        <w:rPr>
          <w:lang w:val="sq-AL"/>
        </w:rPr>
        <w:t>krahasuar me objektivin</w:t>
      </w:r>
      <w:r w:rsidR="00190BA7" w:rsidRPr="009E674D">
        <w:rPr>
          <w:lang w:val="sq-AL"/>
        </w:rPr>
        <w:t xml:space="preserve"> e qëndrueshmërisë financiare. Konkretisht, 43% e aktiviteteve janë përmbushur plotësisht, ndërsa 42.8 pjesërisht. </w:t>
      </w:r>
    </w:p>
    <w:p w14:paraId="3BECA3A5" w14:textId="6596C8A8" w:rsidR="00190BA7" w:rsidRPr="009E674D" w:rsidRDefault="00190BA7" w:rsidP="00190BA7">
      <w:pPr>
        <w:jc w:val="both"/>
        <w:rPr>
          <w:lang w:val="sq-AL"/>
        </w:rPr>
      </w:pPr>
      <w:r w:rsidRPr="009E674D">
        <w:rPr>
          <w:lang w:val="sq-AL"/>
        </w:rPr>
        <w:t xml:space="preserve">Fuqizimi i ekonomisë lokale përmes kapitalit njerëzor është paraparë të arrihet duke e zhvilluar arsimin profesional. Ky është një aspekt i rëndësishëm për adresimin e mungesës së shkathtësive të duhura në tregun e punës. Fokusi është </w:t>
      </w:r>
      <w:r w:rsidR="00F75E56">
        <w:rPr>
          <w:lang w:val="sq-AL"/>
        </w:rPr>
        <w:t>vendosur</w:t>
      </w:r>
      <w:r w:rsidR="00F75E56" w:rsidRPr="009E674D">
        <w:rPr>
          <w:lang w:val="sq-AL"/>
        </w:rPr>
        <w:t xml:space="preserve"> </w:t>
      </w:r>
      <w:r w:rsidRPr="009E674D">
        <w:rPr>
          <w:lang w:val="sq-AL"/>
        </w:rPr>
        <w:t xml:space="preserve">tek ky dimension i adresimit të çështjes, duke qenë se komunat kanë më shumë kompetenca në këtë drejtim. Kjo vërehet edhe në raportin e fundit të monitorimit, ku 53.4% e aktiviteteve janë zbatuar plotësisht dhe 32.2% pjesërisht. </w:t>
      </w:r>
    </w:p>
    <w:p w14:paraId="004EB727" w14:textId="6EA1059B" w:rsidR="002A044B" w:rsidRPr="009E674D" w:rsidRDefault="00190BA7" w:rsidP="00190BA7">
      <w:pPr>
        <w:jc w:val="both"/>
        <w:rPr>
          <w:lang w:val="sq-AL"/>
        </w:rPr>
        <w:sectPr w:rsidR="002A044B" w:rsidRPr="009E674D" w:rsidSect="00467AC9">
          <w:footerReference w:type="default" r:id="rId9"/>
          <w:footerReference w:type="first" r:id="rId10"/>
          <w:pgSz w:w="12240" w:h="15840"/>
          <w:pgMar w:top="1440" w:right="1440" w:bottom="1440" w:left="1440" w:header="720" w:footer="720" w:gutter="0"/>
          <w:pgNumType w:start="0"/>
          <w:cols w:space="720"/>
          <w:titlePg/>
          <w:docGrid w:linePitch="360"/>
        </w:sectPr>
      </w:pPr>
      <w:r w:rsidRPr="009E674D">
        <w:rPr>
          <w:lang w:val="sq-AL"/>
        </w:rPr>
        <w:t xml:space="preserve">Shfrytëzimi i resurseve </w:t>
      </w:r>
      <w:r w:rsidR="009E6205" w:rsidRPr="009E674D">
        <w:rPr>
          <w:lang w:val="sq-AL"/>
        </w:rPr>
        <w:t>n</w:t>
      </w:r>
      <w:r w:rsidR="009E6205">
        <w:rPr>
          <w:lang w:val="sq-AL"/>
        </w:rPr>
        <w:t>ë</w:t>
      </w:r>
      <w:r w:rsidR="009E6205" w:rsidRPr="009E674D">
        <w:rPr>
          <w:lang w:val="sq-AL"/>
        </w:rPr>
        <w:t xml:space="preserve"> </w:t>
      </w:r>
      <w:r w:rsidRPr="009E674D">
        <w:rPr>
          <w:lang w:val="sq-AL"/>
        </w:rPr>
        <w:t>funksion të z</w:t>
      </w:r>
      <w:r w:rsidR="009E674D">
        <w:rPr>
          <w:lang w:val="sq-AL"/>
        </w:rPr>
        <w:t>hvillimit ekonomik, si objektiv strategjik</w:t>
      </w:r>
      <w:r w:rsidRPr="009E674D">
        <w:rPr>
          <w:lang w:val="sq-AL"/>
        </w:rPr>
        <w:t>, është paraparë të arrihet përmes përmirës</w:t>
      </w:r>
      <w:r w:rsidR="00524E30" w:rsidRPr="009E674D">
        <w:rPr>
          <w:lang w:val="sq-AL"/>
        </w:rPr>
        <w:t xml:space="preserve">imit të kushteve për zhvillim </w:t>
      </w:r>
      <w:r w:rsidRPr="009E674D">
        <w:rPr>
          <w:lang w:val="sq-AL"/>
        </w:rPr>
        <w:t xml:space="preserve">të turizmit, krijimit të bazës ligjore për subvencionim të kamatave dhe përmirësimit të infrastrukturës në funksion të bizneseve. </w:t>
      </w:r>
      <w:r w:rsidR="00C46375">
        <w:rPr>
          <w:lang w:val="sq-AL"/>
        </w:rPr>
        <w:t>Edhepse</w:t>
      </w:r>
      <w:r w:rsidR="009E6205" w:rsidRPr="009E674D">
        <w:rPr>
          <w:lang w:val="sq-AL"/>
        </w:rPr>
        <w:t xml:space="preserve"> </w:t>
      </w:r>
      <w:r w:rsidRPr="009E674D">
        <w:rPr>
          <w:lang w:val="sq-AL"/>
        </w:rPr>
        <w:t xml:space="preserve">të gjitha objektivat specifike janë të rëndësishme, </w:t>
      </w:r>
      <w:r w:rsidR="009E6205">
        <w:rPr>
          <w:lang w:val="sq-AL"/>
        </w:rPr>
        <w:t xml:space="preserve">ato </w:t>
      </w:r>
      <w:r w:rsidRPr="009E674D">
        <w:rPr>
          <w:lang w:val="sq-AL"/>
        </w:rPr>
        <w:t>nuk lidhen në mënyr</w:t>
      </w:r>
      <w:r w:rsidR="009E674D">
        <w:rPr>
          <w:lang w:val="sq-AL"/>
        </w:rPr>
        <w:t>ë të drejtpërdrejt me objektivin strategjik</w:t>
      </w:r>
      <w:r w:rsidRPr="009E674D">
        <w:rPr>
          <w:lang w:val="sq-AL"/>
        </w:rPr>
        <w:t xml:space="preserve">. Për më shumë, aktivitetet e planifikuara janë zbatuar më së paku krahasuar me aktivitetet e objektivave tjera. </w:t>
      </w:r>
      <w:r w:rsidR="009E6205">
        <w:rPr>
          <w:lang w:val="sq-AL"/>
        </w:rPr>
        <w:t>Më s</w:t>
      </w:r>
      <w:r w:rsidR="009E6205" w:rsidRPr="009E674D">
        <w:rPr>
          <w:lang w:val="sq-AL"/>
        </w:rPr>
        <w:t>aktësisht</w:t>
      </w:r>
      <w:r w:rsidRPr="009E674D">
        <w:rPr>
          <w:lang w:val="sq-AL"/>
        </w:rPr>
        <w:t>, vetëm 34.4% e aktiviteteve janë zbatuar plotësisht. Ndërsa</w:t>
      </w:r>
      <w:r w:rsidR="009E6205">
        <w:rPr>
          <w:lang w:val="sq-AL"/>
        </w:rPr>
        <w:t>,</w:t>
      </w:r>
      <w:r w:rsidRPr="009E674D">
        <w:rPr>
          <w:lang w:val="sq-AL"/>
        </w:rPr>
        <w:t xml:space="preserve"> shumica (5</w:t>
      </w:r>
      <w:r w:rsidR="0071258E" w:rsidRPr="009E674D">
        <w:rPr>
          <w:lang w:val="sq-AL"/>
        </w:rPr>
        <w:t xml:space="preserve">5.4%) janë zbatuar pjesërisht. </w:t>
      </w:r>
    </w:p>
    <w:bookmarkStart w:id="10" w:name="_Toc132188430"/>
    <w:p w14:paraId="66D50E36" w14:textId="77777777" w:rsidR="002A044B" w:rsidRPr="009E674D" w:rsidRDefault="00334D5D" w:rsidP="00C639C9">
      <w:pPr>
        <w:pStyle w:val="Heading1"/>
        <w:numPr>
          <w:ilvl w:val="0"/>
          <w:numId w:val="12"/>
        </w:numPr>
        <w:rPr>
          <w:b/>
          <w:lang w:val="sq-AL"/>
        </w:rPr>
      </w:pPr>
      <w:r w:rsidRPr="009E674D">
        <w:rPr>
          <w:b/>
          <w:noProof/>
        </w:rPr>
        <w:lastRenderedPageBreak/>
        <mc:AlternateContent>
          <mc:Choice Requires="wps">
            <w:drawing>
              <wp:anchor distT="0" distB="0" distL="114300" distR="114300" simplePos="0" relativeHeight="251658239" behindDoc="0" locked="0" layoutInCell="1" allowOverlap="1" wp14:anchorId="307B0C77" wp14:editId="7B9A0C57">
                <wp:simplePos x="0" y="0"/>
                <wp:positionH relativeFrom="margin">
                  <wp:posOffset>-487045</wp:posOffset>
                </wp:positionH>
                <wp:positionV relativeFrom="paragraph">
                  <wp:posOffset>327660</wp:posOffset>
                </wp:positionV>
                <wp:extent cx="9316085" cy="6092190"/>
                <wp:effectExtent l="0" t="0" r="18415" b="22860"/>
                <wp:wrapNone/>
                <wp:docPr id="87" name="Rounded Rectangle 87"/>
                <wp:cNvGraphicFramePr/>
                <a:graphic xmlns:a="http://schemas.openxmlformats.org/drawingml/2006/main">
                  <a:graphicData uri="http://schemas.microsoft.com/office/word/2010/wordprocessingShape">
                    <wps:wsp>
                      <wps:cNvSpPr/>
                      <wps:spPr>
                        <a:xfrm>
                          <a:off x="0" y="0"/>
                          <a:ext cx="9316085" cy="6092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09148" id="Rounded Rectangle 87" o:spid="_x0000_s1026" style="position:absolute;margin-left:-38.35pt;margin-top:25.8pt;width:733.55pt;height:479.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" filled="f" strokecolor="#1f4d78 [1604]" strokeweight="1pt">
                <v:stroke joinstyle="miter"/>
                <w10:wrap anchorx="margin"/>
              </v:roundrect>
            </w:pict>
          </mc:Fallback>
        </mc:AlternateContent>
      </w:r>
      <w:r w:rsidR="003D18CF" w:rsidRPr="009E674D">
        <w:rPr>
          <w:b/>
          <w:lang w:val="sq-AL"/>
        </w:rPr>
        <w:t>Vizioni, objektivat dhe m</w:t>
      </w:r>
      <w:r w:rsidR="002A044B" w:rsidRPr="009E674D">
        <w:rPr>
          <w:b/>
          <w:lang w:val="sq-AL"/>
        </w:rPr>
        <w:t>asat</w:t>
      </w:r>
      <w:bookmarkEnd w:id="10"/>
    </w:p>
    <w:p w14:paraId="168F0C8E" w14:textId="77777777" w:rsidR="0071258E" w:rsidRPr="009E674D" w:rsidRDefault="0071258E" w:rsidP="002A044B">
      <w:pPr>
        <w:rPr>
          <w:lang w:val="sq-AL"/>
        </w:rPr>
      </w:pPr>
      <w:r w:rsidRPr="009E674D">
        <w:rPr>
          <w:noProof/>
        </w:rPr>
        <mc:AlternateContent>
          <mc:Choice Requires="wps">
            <w:drawing>
              <wp:anchor distT="0" distB="0" distL="114300" distR="114300" simplePos="0" relativeHeight="251776000" behindDoc="0" locked="0" layoutInCell="1" allowOverlap="1" wp14:anchorId="5FD86103" wp14:editId="0B0E903A">
                <wp:simplePos x="0" y="0"/>
                <wp:positionH relativeFrom="margin">
                  <wp:posOffset>1348154</wp:posOffset>
                </wp:positionH>
                <wp:positionV relativeFrom="paragraph">
                  <wp:posOffset>122946</wp:posOffset>
                </wp:positionV>
                <wp:extent cx="5521325" cy="633046"/>
                <wp:effectExtent l="0" t="0" r="22225" b="15240"/>
                <wp:wrapNone/>
                <wp:docPr id="75" name="Rounded Rectangle 75"/>
                <wp:cNvGraphicFramePr/>
                <a:graphic xmlns:a="http://schemas.openxmlformats.org/drawingml/2006/main">
                  <a:graphicData uri="http://schemas.microsoft.com/office/word/2010/wordprocessingShape">
                    <wps:wsp>
                      <wps:cNvSpPr/>
                      <wps:spPr>
                        <a:xfrm>
                          <a:off x="0" y="0"/>
                          <a:ext cx="5521325" cy="633046"/>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4751BD" w14:textId="77777777" w:rsidR="00636E80" w:rsidRPr="0071258E" w:rsidRDefault="00636E80" w:rsidP="0071258E">
                            <w:pPr>
                              <w:jc w:val="center"/>
                              <w:rPr>
                                <w:sz w:val="36"/>
                                <w:szCs w:val="36"/>
                                <w:lang w:val="sq-AL"/>
                              </w:rPr>
                            </w:pPr>
                            <w:r>
                              <w:rPr>
                                <w:sz w:val="36"/>
                                <w:szCs w:val="36"/>
                                <w:lang w:val="sq-AL"/>
                              </w:rPr>
                              <w:t>PROGRAMI NACIONAL P</w:t>
                            </w:r>
                            <w:r w:rsidRPr="00312D8F">
                              <w:rPr>
                                <w:sz w:val="36"/>
                                <w:szCs w:val="36"/>
                                <w:lang w:val="sq-AL"/>
                              </w:rPr>
                              <w:t>Ë</w:t>
                            </w:r>
                            <w:r w:rsidRPr="0071258E">
                              <w:rPr>
                                <w:sz w:val="36"/>
                                <w:szCs w:val="36"/>
                                <w:lang w:val="sq-AL"/>
                              </w:rPr>
                              <w:t>R ZHVILLIM EKONOMIK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86103" id="Rounded Rectangle 75" o:spid="_x0000_s1026" style="position:absolute;margin-left:106.15pt;margin-top:9.7pt;width:434.75pt;height:49.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" fillcolor="#538135 [2409]" strokecolor="#1f4d78 [1604]" strokeweight="1pt">
                <v:stroke joinstyle="miter"/>
                <v:textbox>
                  <w:txbxContent>
                    <w:p w14:paraId="3A4751BD" w14:textId="77777777" w:rsidR="00636E80" w:rsidRPr="0071258E" w:rsidRDefault="00636E80" w:rsidP="0071258E">
                      <w:pPr>
                        <w:jc w:val="center"/>
                        <w:rPr>
                          <w:sz w:val="36"/>
                          <w:szCs w:val="36"/>
                          <w:lang w:val="sq-AL"/>
                        </w:rPr>
                      </w:pPr>
                      <w:r>
                        <w:rPr>
                          <w:sz w:val="36"/>
                          <w:szCs w:val="36"/>
                          <w:lang w:val="sq-AL"/>
                        </w:rPr>
                        <w:t>PROGRAMI NACIONAL P</w:t>
                      </w:r>
                      <w:r w:rsidRPr="00312D8F">
                        <w:rPr>
                          <w:sz w:val="36"/>
                          <w:szCs w:val="36"/>
                          <w:lang w:val="sq-AL"/>
                        </w:rPr>
                        <w:t>Ë</w:t>
                      </w:r>
                      <w:r w:rsidRPr="0071258E">
                        <w:rPr>
                          <w:sz w:val="36"/>
                          <w:szCs w:val="36"/>
                          <w:lang w:val="sq-AL"/>
                        </w:rPr>
                        <w:t>R ZHVILLIM EKONOMIK LOKAL</w:t>
                      </w:r>
                    </w:p>
                  </w:txbxContent>
                </v:textbox>
                <w10:wrap anchorx="margin"/>
              </v:roundrect>
            </w:pict>
          </mc:Fallback>
        </mc:AlternateContent>
      </w:r>
    </w:p>
    <w:p w14:paraId="08E16AC6" w14:textId="77777777" w:rsidR="0071258E" w:rsidRPr="009E674D" w:rsidRDefault="0071258E" w:rsidP="002A044B">
      <w:pPr>
        <w:rPr>
          <w:lang w:val="sq-AL"/>
        </w:rPr>
      </w:pPr>
    </w:p>
    <w:p w14:paraId="4AC9D079" w14:textId="77777777" w:rsidR="007F5215" w:rsidRPr="009E674D" w:rsidRDefault="007F5215" w:rsidP="002A044B">
      <w:pPr>
        <w:rPr>
          <w:lang w:val="sq-AL"/>
        </w:rPr>
      </w:pPr>
      <w:r w:rsidRPr="009E674D">
        <w:rPr>
          <w:noProof/>
        </w:rPr>
        <mc:AlternateContent>
          <mc:Choice Requires="wps">
            <w:drawing>
              <wp:anchor distT="0" distB="0" distL="114300" distR="114300" simplePos="0" relativeHeight="251698176" behindDoc="0" locked="0" layoutInCell="1" allowOverlap="1" wp14:anchorId="48BFB645" wp14:editId="7DC04D8E">
                <wp:simplePos x="0" y="0"/>
                <wp:positionH relativeFrom="column">
                  <wp:posOffset>-264909</wp:posOffset>
                </wp:positionH>
                <wp:positionV relativeFrom="paragraph">
                  <wp:posOffset>349250</wp:posOffset>
                </wp:positionV>
                <wp:extent cx="8855710" cy="688340"/>
                <wp:effectExtent l="0" t="0" r="21590" b="16510"/>
                <wp:wrapNone/>
                <wp:docPr id="6" name="Rounded Rectangle 6"/>
                <wp:cNvGraphicFramePr/>
                <a:graphic xmlns:a="http://schemas.openxmlformats.org/drawingml/2006/main">
                  <a:graphicData uri="http://schemas.microsoft.com/office/word/2010/wordprocessingShape">
                    <wps:wsp>
                      <wps:cNvSpPr/>
                      <wps:spPr>
                        <a:xfrm>
                          <a:off x="0" y="0"/>
                          <a:ext cx="8855710" cy="68834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0B867" w14:textId="77777777" w:rsidR="00636E80" w:rsidRPr="002A044B" w:rsidRDefault="00636E80" w:rsidP="002A044B">
                            <w:pPr>
                              <w:jc w:val="center"/>
                              <w:rPr>
                                <w:b/>
                                <w:i/>
                                <w:sz w:val="32"/>
                                <w:lang w:val="sq-AL"/>
                              </w:rPr>
                            </w:pPr>
                            <w:r w:rsidRPr="002A044B">
                              <w:rPr>
                                <w:b/>
                                <w:i/>
                                <w:sz w:val="32"/>
                                <w:lang w:val="sq-AL"/>
                              </w:rPr>
                              <w:t>Krijimi i një ekonomie lokale të qëndrueshme, të larmishme dhe të përshtatshme ndaj ndryshimeve, që sjell zhvillim dhe prosperitet për të gjithë.</w:t>
                            </w:r>
                          </w:p>
                          <w:p w14:paraId="1B4F3B1C" w14:textId="77777777" w:rsidR="00636E80" w:rsidRPr="002A044B" w:rsidRDefault="00636E80" w:rsidP="002A044B">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BFB645" id="Rounded Rectangle 6" o:spid="_x0000_s1027" style="position:absolute;margin-left:-20.85pt;margin-top:27.5pt;width:697.3pt;height:5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" fillcolor="#2f5496 [2408]" strokecolor="#1f4d78 [1604]" strokeweight="1pt">
                <v:stroke joinstyle="miter"/>
                <v:textbox>
                  <w:txbxContent>
                    <w:p w14:paraId="6D20B867" w14:textId="77777777" w:rsidR="00636E80" w:rsidRPr="002A044B" w:rsidRDefault="00636E80" w:rsidP="002A044B">
                      <w:pPr>
                        <w:jc w:val="center"/>
                        <w:rPr>
                          <w:b/>
                          <w:i/>
                          <w:sz w:val="32"/>
                          <w:lang w:val="sq-AL"/>
                        </w:rPr>
                      </w:pPr>
                      <w:r w:rsidRPr="002A044B">
                        <w:rPr>
                          <w:b/>
                          <w:i/>
                          <w:sz w:val="32"/>
                          <w:lang w:val="sq-AL"/>
                        </w:rPr>
                        <w:t>Krijimi i një ekonomie lokale të qëndrueshme, të larmishme dhe të përshtatshme ndaj ndryshimeve, që sjell zhvillim dhe prosperitet për të gjithë.</w:t>
                      </w:r>
                    </w:p>
                    <w:p w14:paraId="1B4F3B1C" w14:textId="77777777" w:rsidR="00636E80" w:rsidRPr="002A044B" w:rsidRDefault="00636E80" w:rsidP="002A044B">
                      <w:pPr>
                        <w:jc w:val="center"/>
                        <w:rPr>
                          <w:sz w:val="32"/>
                        </w:rPr>
                      </w:pPr>
                    </w:p>
                  </w:txbxContent>
                </v:textbox>
              </v:roundrect>
            </w:pict>
          </mc:Fallback>
        </mc:AlternateContent>
      </w:r>
    </w:p>
    <w:p w14:paraId="3B4F81AE" w14:textId="77777777" w:rsidR="0071258E" w:rsidRPr="009E674D" w:rsidRDefault="0071258E" w:rsidP="002A044B">
      <w:pPr>
        <w:rPr>
          <w:lang w:val="sq-AL"/>
        </w:rPr>
      </w:pPr>
    </w:p>
    <w:p w14:paraId="742ED43D" w14:textId="77777777" w:rsidR="002A044B" w:rsidRPr="009E674D" w:rsidRDefault="00225F39" w:rsidP="002A044B">
      <w:pPr>
        <w:rPr>
          <w:sz w:val="28"/>
          <w:lang w:val="sq-AL"/>
        </w:rPr>
        <w:sectPr w:rsidR="002A044B" w:rsidRPr="009E674D" w:rsidSect="00AE4C40">
          <w:pgSz w:w="15840" w:h="12240" w:orient="landscape"/>
          <w:pgMar w:top="1440" w:right="1440" w:bottom="810" w:left="1440" w:header="720" w:footer="720" w:gutter="0"/>
          <w:cols w:space="720"/>
          <w:titlePg/>
          <w:docGrid w:linePitch="360"/>
        </w:sectPr>
      </w:pPr>
      <w:r w:rsidRPr="009E674D">
        <w:rPr>
          <w:noProof/>
          <w:sz w:val="28"/>
        </w:rPr>
        <mc:AlternateContent>
          <mc:Choice Requires="wps">
            <w:drawing>
              <wp:anchor distT="0" distB="0" distL="114300" distR="114300" simplePos="0" relativeHeight="251749376" behindDoc="0" locked="0" layoutInCell="1" allowOverlap="1" wp14:anchorId="556C2E48" wp14:editId="32385700">
                <wp:simplePos x="0" y="0"/>
                <wp:positionH relativeFrom="margin">
                  <wp:posOffset>6390640</wp:posOffset>
                </wp:positionH>
                <wp:positionV relativeFrom="paragraph">
                  <wp:posOffset>3836035</wp:posOffset>
                </wp:positionV>
                <wp:extent cx="2165985" cy="698500"/>
                <wp:effectExtent l="0" t="0" r="24765" b="25400"/>
                <wp:wrapSquare wrapText="bothSides"/>
                <wp:docPr id="86" name="Rounded Rectangle 86"/>
                <wp:cNvGraphicFramePr/>
                <a:graphic xmlns:a="http://schemas.openxmlformats.org/drawingml/2006/main">
                  <a:graphicData uri="http://schemas.microsoft.com/office/word/2010/wordprocessingShape">
                    <wps:wsp>
                      <wps:cNvSpPr/>
                      <wps:spPr>
                        <a:xfrm>
                          <a:off x="0" y="0"/>
                          <a:ext cx="216598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617F9"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4.4. Forcimi i partneritetit për zhvillim ekonomik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C2E48" id="Rounded Rectangle 86" o:spid="_x0000_s1028" style="position:absolute;margin-left:503.2pt;margin-top:302.05pt;width:170.55pt;height:5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" fillcolor="#bdd6ee [1300]" strokecolor="#9cc2e5 [1940]" strokeweight="1pt">
                <v:stroke joinstyle="miter"/>
                <v:textbox>
                  <w:txbxContent>
                    <w:p w14:paraId="69A617F9"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4.4. Forcimi i partneritetit për zhvillim ekonomik lokal</w:t>
                      </w:r>
                    </w:p>
                  </w:txbxContent>
                </v:textbox>
                <w10:wrap type="square" anchorx="margin"/>
              </v:roundrect>
            </w:pict>
          </mc:Fallback>
        </mc:AlternateContent>
      </w:r>
      <w:r w:rsidRPr="009E674D">
        <w:rPr>
          <w:noProof/>
          <w:sz w:val="28"/>
        </w:rPr>
        <mc:AlternateContent>
          <mc:Choice Requires="wps">
            <w:drawing>
              <wp:anchor distT="0" distB="0" distL="114300" distR="114300" simplePos="0" relativeHeight="251741184" behindDoc="0" locked="0" layoutInCell="1" allowOverlap="1" wp14:anchorId="366E627C" wp14:editId="43C4ED76">
                <wp:simplePos x="0" y="0"/>
                <wp:positionH relativeFrom="margin">
                  <wp:posOffset>4203700</wp:posOffset>
                </wp:positionH>
                <wp:positionV relativeFrom="paragraph">
                  <wp:posOffset>3836035</wp:posOffset>
                </wp:positionV>
                <wp:extent cx="2136140" cy="665480"/>
                <wp:effectExtent l="0" t="0" r="16510" b="20320"/>
                <wp:wrapSquare wrapText="bothSides"/>
                <wp:docPr id="80" name="Rounded Rectangle 80"/>
                <wp:cNvGraphicFramePr/>
                <a:graphic xmlns:a="http://schemas.openxmlformats.org/drawingml/2006/main">
                  <a:graphicData uri="http://schemas.microsoft.com/office/word/2010/wordprocessingShape">
                    <wps:wsp>
                      <wps:cNvSpPr/>
                      <wps:spPr>
                        <a:xfrm>
                          <a:off x="0" y="0"/>
                          <a:ext cx="2136140" cy="66548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241E3"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3.4. Përmirësimi i efiçencës së energjisë në infrastrukturë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E627C" id="Rounded Rectangle 80" o:spid="_x0000_s1029" style="position:absolute;margin-left:331pt;margin-top:302.05pt;width:168.2pt;height:52.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" fillcolor="#bdd6ee [1300]" strokecolor="#9cc2e5 [1940]" strokeweight="1pt">
                <v:stroke joinstyle="miter"/>
                <v:textbox>
                  <w:txbxContent>
                    <w:p w14:paraId="2A5241E3"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3.4. Përmirësimi i efiçencës së energjisë në infrastrukturë</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47328" behindDoc="0" locked="0" layoutInCell="1" allowOverlap="1" wp14:anchorId="74D6AD78" wp14:editId="6AC9BA1F">
                <wp:simplePos x="0" y="0"/>
                <wp:positionH relativeFrom="margin">
                  <wp:posOffset>6423660</wp:posOffset>
                </wp:positionH>
                <wp:positionV relativeFrom="paragraph">
                  <wp:posOffset>3082925</wp:posOffset>
                </wp:positionV>
                <wp:extent cx="2116455" cy="686435"/>
                <wp:effectExtent l="0" t="0" r="17145" b="18415"/>
                <wp:wrapSquare wrapText="bothSides"/>
                <wp:docPr id="83" name="Rounded Rectangle 83"/>
                <wp:cNvGraphicFramePr/>
                <a:graphic xmlns:a="http://schemas.openxmlformats.org/drawingml/2006/main">
                  <a:graphicData uri="http://schemas.microsoft.com/office/word/2010/wordprocessingShape">
                    <wps:wsp>
                      <wps:cNvSpPr/>
                      <wps:spPr>
                        <a:xfrm>
                          <a:off x="0" y="0"/>
                          <a:ext cx="2116455" cy="686435"/>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3DCFA"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4.3. Përmi</w:t>
                            </w:r>
                            <w:r>
                              <w:rPr>
                                <w:rFonts w:ascii="Arial Narrow" w:eastAsia="Times New Roman" w:hAnsi="Arial Narrow" w:cs="Calibri"/>
                                <w:color w:val="000000"/>
                                <w:sz w:val="24"/>
                              </w:rPr>
                              <w:t xml:space="preserve">rësimi i shërbimit dhe përgjegjshmërisë komunale </w:t>
                            </w:r>
                          </w:p>
                          <w:p w14:paraId="5DD1504A" w14:textId="77777777" w:rsidR="00636E80" w:rsidRPr="007F5215" w:rsidRDefault="00636E80" w:rsidP="007F5215">
                            <w:pPr>
                              <w:spacing w:after="0" w:line="240" w:lineRule="auto"/>
                              <w:rPr>
                                <w:rFonts w:ascii="Arial Narrow" w:eastAsia="Times New Roman" w:hAnsi="Arial Narrow" w:cs="Calibri"/>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6AD78" id="Rounded Rectangle 83" o:spid="_x0000_s1030" style="position:absolute;margin-left:505.8pt;margin-top:242.75pt;width:166.65pt;height:54.0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" fillcolor="#bdd6ee [1300]" strokecolor="#9cc2e5 [1940]" strokeweight="1pt">
                <v:stroke joinstyle="miter"/>
                <v:textbox>
                  <w:txbxContent>
                    <w:p w14:paraId="5FD3DCFA"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4.3. Përmi</w:t>
                      </w:r>
                      <w:r>
                        <w:rPr>
                          <w:rFonts w:ascii="Arial Narrow" w:eastAsia="Times New Roman" w:hAnsi="Arial Narrow" w:cs="Calibri"/>
                          <w:color w:val="000000"/>
                          <w:sz w:val="24"/>
                        </w:rPr>
                        <w:t xml:space="preserve">rësimi i shërbimit dhe përgjegjshmërisë komunale </w:t>
                      </w:r>
                    </w:p>
                    <w:p w14:paraId="5DD1504A" w14:textId="77777777" w:rsidR="00636E80" w:rsidRPr="007F5215" w:rsidRDefault="00636E80" w:rsidP="007F5215">
                      <w:pPr>
                        <w:spacing w:after="0" w:line="240" w:lineRule="auto"/>
                        <w:rPr>
                          <w:rFonts w:ascii="Arial Narrow" w:eastAsia="Times New Roman" w:hAnsi="Arial Narrow" w:cs="Calibri"/>
                          <w:color w:val="000000"/>
                        </w:rPr>
                      </w:pP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45280" behindDoc="0" locked="0" layoutInCell="1" allowOverlap="1" wp14:anchorId="57F615E5" wp14:editId="16B2DBEB">
                <wp:simplePos x="0" y="0"/>
                <wp:positionH relativeFrom="margin">
                  <wp:posOffset>6417310</wp:posOffset>
                </wp:positionH>
                <wp:positionV relativeFrom="paragraph">
                  <wp:posOffset>2315210</wp:posOffset>
                </wp:positionV>
                <wp:extent cx="2116455" cy="698500"/>
                <wp:effectExtent l="0" t="0" r="17145" b="25400"/>
                <wp:wrapSquare wrapText="bothSides"/>
                <wp:docPr id="82" name="Rounded Rectangle 82"/>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D51EB"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4.2. Avancimi i proceseve dhe resurseve në planifikimin dhe zhvillimin e politikave lokale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615E5" id="Rounded Rectangle 82" o:spid="_x0000_s1031" style="position:absolute;margin-left:505.3pt;margin-top:182.3pt;width:166.65pt;height: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" fillcolor="#bdd6ee [1300]" strokecolor="#9cc2e5 [1940]" strokeweight="1pt">
                <v:stroke joinstyle="miter"/>
                <v:textbox>
                  <w:txbxContent>
                    <w:p w14:paraId="640D51EB"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4.2. Avancimi i proceseve dhe resurseve në planifikimin dhe zhvillimin e politikave lokale</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43232" behindDoc="0" locked="0" layoutInCell="1" allowOverlap="1" wp14:anchorId="66AB8529" wp14:editId="5D2057F9">
                <wp:simplePos x="0" y="0"/>
                <wp:positionH relativeFrom="margin">
                  <wp:posOffset>6438900</wp:posOffset>
                </wp:positionH>
                <wp:positionV relativeFrom="paragraph">
                  <wp:posOffset>1565910</wp:posOffset>
                </wp:positionV>
                <wp:extent cx="2116455" cy="698500"/>
                <wp:effectExtent l="0" t="0" r="17145" b="25400"/>
                <wp:wrapSquare wrapText="bothSides"/>
                <wp:docPr id="81" name="Rounded Rectangle 81"/>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B3E58" w14:textId="6A8C8E69"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4.1. Financa lokale t</w:t>
                            </w:r>
                            <w:r>
                              <w:rPr>
                                <w:rFonts w:ascii="Arial Narrow" w:eastAsia="Times New Roman" w:hAnsi="Arial Narrow" w:cs="Calibri"/>
                                <w:color w:val="000000"/>
                                <w:sz w:val="24"/>
                              </w:rPr>
                              <w:t>ë</w:t>
                            </w:r>
                            <w:r w:rsidRPr="00CD2C12">
                              <w:rPr>
                                <w:rFonts w:ascii="Arial Narrow" w:eastAsia="Times New Roman" w:hAnsi="Arial Narrow" w:cs="Calibri"/>
                                <w:color w:val="000000"/>
                                <w:sz w:val="24"/>
                              </w:rPr>
                              <w:t xml:space="preserve"> qëndrueshme dhe efektive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B8529" id="Rounded Rectangle 81" o:spid="_x0000_s1032" style="position:absolute;margin-left:507pt;margin-top:123.3pt;width:166.65pt;height: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" fillcolor="#bdd6ee [1300]" strokecolor="#9cc2e5 [1940]" strokeweight="1pt">
                <v:stroke joinstyle="miter"/>
                <v:textbox>
                  <w:txbxContent>
                    <w:p w14:paraId="71CB3E58" w14:textId="6A8C8E69"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4.1. Financa lokale t</w:t>
                      </w:r>
                      <w:r>
                        <w:rPr>
                          <w:rFonts w:ascii="Arial Narrow" w:eastAsia="Times New Roman" w:hAnsi="Arial Narrow" w:cs="Calibri"/>
                          <w:color w:val="000000"/>
                          <w:sz w:val="24"/>
                        </w:rPr>
                        <w:t>ë</w:t>
                      </w:r>
                      <w:r w:rsidRPr="00CD2C12">
                        <w:rPr>
                          <w:rFonts w:ascii="Arial Narrow" w:eastAsia="Times New Roman" w:hAnsi="Arial Narrow" w:cs="Calibri"/>
                          <w:color w:val="000000"/>
                          <w:sz w:val="24"/>
                        </w:rPr>
                        <w:t xml:space="preserve"> qëndrueshme dhe efektive  </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39136" behindDoc="0" locked="0" layoutInCell="1" allowOverlap="1" wp14:anchorId="3CDBE2BE" wp14:editId="5A967374">
                <wp:simplePos x="0" y="0"/>
                <wp:positionH relativeFrom="margin">
                  <wp:posOffset>4208145</wp:posOffset>
                </wp:positionH>
                <wp:positionV relativeFrom="paragraph">
                  <wp:posOffset>3075940</wp:posOffset>
                </wp:positionV>
                <wp:extent cx="2116455" cy="698500"/>
                <wp:effectExtent l="0" t="0" r="17145" b="25400"/>
                <wp:wrapSquare wrapText="bothSides"/>
                <wp:docPr id="79" name="Rounded Rectangle 79"/>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7CD29"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3.3. Menaxhimi i integruar i mbeturinave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BE2BE" id="Rounded Rectangle 79" o:spid="_x0000_s1033" style="position:absolute;margin-left:331.35pt;margin-top:242.2pt;width:166.65pt;height: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" fillcolor="#bdd6ee [1300]" strokecolor="#9cc2e5 [1940]" strokeweight="1pt">
                <v:stroke joinstyle="miter"/>
                <v:textbox>
                  <w:txbxContent>
                    <w:p w14:paraId="7D97CD29"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3.3. Menaxhimi i integruar i mbeturinave</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37088" behindDoc="0" locked="0" layoutInCell="1" allowOverlap="1" wp14:anchorId="58D82093" wp14:editId="766695C5">
                <wp:simplePos x="0" y="0"/>
                <wp:positionH relativeFrom="margin">
                  <wp:posOffset>4230370</wp:posOffset>
                </wp:positionH>
                <wp:positionV relativeFrom="paragraph">
                  <wp:posOffset>2326640</wp:posOffset>
                </wp:positionV>
                <wp:extent cx="2116455" cy="698500"/>
                <wp:effectExtent l="0" t="0" r="17145" b="25400"/>
                <wp:wrapSquare wrapText="bothSides"/>
                <wp:docPr id="78" name="Rounded Rectangle 78"/>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76BD5"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 xml:space="preserve"> 3.2. Sigurimi i qasjes në infrastrukturë përcjellëse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82093" id="Rounded Rectangle 78" o:spid="_x0000_s1034" style="position:absolute;margin-left:333.1pt;margin-top:183.2pt;width:166.65pt;height: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" fillcolor="#bdd6ee [1300]" strokecolor="#9cc2e5 [1940]" strokeweight="1pt">
                <v:stroke joinstyle="miter"/>
                <v:textbox>
                  <w:txbxContent>
                    <w:p w14:paraId="68376BD5"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 xml:space="preserve"> 3.2. Sigurimi i qasjes në infrastrukturë përcjellëse</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35040" behindDoc="0" locked="0" layoutInCell="1" allowOverlap="1" wp14:anchorId="588C95C2" wp14:editId="245A2299">
                <wp:simplePos x="0" y="0"/>
                <wp:positionH relativeFrom="margin">
                  <wp:posOffset>4241165</wp:posOffset>
                </wp:positionH>
                <wp:positionV relativeFrom="paragraph">
                  <wp:posOffset>1567180</wp:posOffset>
                </wp:positionV>
                <wp:extent cx="2116455" cy="698500"/>
                <wp:effectExtent l="0" t="0" r="17145" b="25400"/>
                <wp:wrapSquare wrapText="bothSides"/>
                <wp:docPr id="74" name="Rounded Rectangle 74"/>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5C90A"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 xml:space="preserve">3.1. Përmirësimi infrastrukturës së transportit lokal dhe shërbimeve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C95C2" id="Rounded Rectangle 74" o:spid="_x0000_s1035" style="position:absolute;margin-left:333.95pt;margin-top:123.4pt;width:166.65pt;height: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" fillcolor="#bdd6ee [1300]" strokecolor="#9cc2e5 [1940]" strokeweight="1pt">
                <v:stroke joinstyle="miter"/>
                <v:textbox>
                  <w:txbxContent>
                    <w:p w14:paraId="34F5C90A" w14:textId="77777777" w:rsidR="00636E80" w:rsidRPr="00CD2C12" w:rsidRDefault="00636E80" w:rsidP="007F5215">
                      <w:pPr>
                        <w:spacing w:after="0" w:line="240" w:lineRule="auto"/>
                        <w:jc w:val="center"/>
                        <w:rPr>
                          <w:rFonts w:ascii="Arial Narrow" w:eastAsia="Times New Roman" w:hAnsi="Arial Narrow" w:cs="Calibri"/>
                          <w:color w:val="000000"/>
                          <w:sz w:val="24"/>
                        </w:rPr>
                      </w:pPr>
                      <w:r w:rsidRPr="00CD2C12">
                        <w:rPr>
                          <w:rFonts w:ascii="Arial Narrow" w:eastAsia="Times New Roman" w:hAnsi="Arial Narrow" w:cs="Calibri"/>
                          <w:color w:val="000000"/>
                          <w:sz w:val="24"/>
                        </w:rPr>
                        <w:t xml:space="preserve">3.1. Përmirësimi infrastrukturës së transportit lokal dhe shërbimeve </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30944" behindDoc="0" locked="0" layoutInCell="1" allowOverlap="1" wp14:anchorId="30EE095F" wp14:editId="36EA476C">
                <wp:simplePos x="0" y="0"/>
                <wp:positionH relativeFrom="margin">
                  <wp:posOffset>2023745</wp:posOffset>
                </wp:positionH>
                <wp:positionV relativeFrom="paragraph">
                  <wp:posOffset>1548130</wp:posOffset>
                </wp:positionV>
                <wp:extent cx="2116455" cy="698500"/>
                <wp:effectExtent l="0" t="0" r="17145" b="25400"/>
                <wp:wrapSquare wrapText="bothSides"/>
                <wp:docPr id="72" name="Rounded Rectangle 72"/>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81467"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F5215">
                              <w:rPr>
                                <w:rFonts w:ascii="Arial Narrow" w:eastAsia="Times New Roman" w:hAnsi="Arial Narrow" w:cs="Calibri"/>
                                <w:color w:val="000000"/>
                                <w:sz w:val="24"/>
                              </w:rPr>
                              <w:t>2.1. Zvogëlimi i hendekut të shkathtësive në tregun e punës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E095F" id="Rounded Rectangle 72" o:spid="_x0000_s1036" style="position:absolute;margin-left:159.35pt;margin-top:121.9pt;width:166.65pt;height: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" fillcolor="#bdd6ee [1300]" strokecolor="#9cc2e5 [1940]" strokeweight="1pt">
                <v:stroke joinstyle="miter"/>
                <v:textbox>
                  <w:txbxContent>
                    <w:p w14:paraId="0F981467"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F5215">
                        <w:rPr>
                          <w:rFonts w:ascii="Arial Narrow" w:eastAsia="Times New Roman" w:hAnsi="Arial Narrow" w:cs="Calibri"/>
                          <w:color w:val="000000"/>
                          <w:sz w:val="24"/>
                        </w:rPr>
                        <w:t>2.1. Zvogëlimi i hendekut të shkathtësive në tregun e punës</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28896" behindDoc="0" locked="0" layoutInCell="1" allowOverlap="1" wp14:anchorId="54C2BFC4" wp14:editId="4E43B19F">
                <wp:simplePos x="0" y="0"/>
                <wp:positionH relativeFrom="margin">
                  <wp:posOffset>2034540</wp:posOffset>
                </wp:positionH>
                <wp:positionV relativeFrom="paragraph">
                  <wp:posOffset>2329180</wp:posOffset>
                </wp:positionV>
                <wp:extent cx="2116455" cy="698500"/>
                <wp:effectExtent l="0" t="0" r="17145" b="25400"/>
                <wp:wrapSquare wrapText="bothSides"/>
                <wp:docPr id="71" name="Rounded Rectangle 71"/>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9C1FE"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2.2.</w:t>
                            </w:r>
                            <w:r w:rsidRPr="00751F67">
                              <w:rPr>
                                <w:rFonts w:ascii="Calibri" w:eastAsia="Times New Roman" w:hAnsi="Calibri" w:cs="Calibri"/>
                                <w:b/>
                                <w:bCs/>
                                <w:color w:val="FFFFFF"/>
                                <w:sz w:val="28"/>
                                <w:szCs w:val="26"/>
                              </w:rPr>
                              <w:t xml:space="preserve"> </w:t>
                            </w:r>
                            <w:r>
                              <w:rPr>
                                <w:rFonts w:ascii="Arial Narrow" w:eastAsia="Times New Roman" w:hAnsi="Arial Narrow" w:cs="Calibri"/>
                                <w:color w:val="000000"/>
                                <w:sz w:val="24"/>
                              </w:rPr>
                              <w:t>Rritja e</w:t>
                            </w:r>
                            <w:r w:rsidRPr="00751F67">
                              <w:rPr>
                                <w:rFonts w:ascii="Arial Narrow" w:eastAsia="Times New Roman" w:hAnsi="Arial Narrow" w:cs="Calibri"/>
                                <w:color w:val="000000"/>
                                <w:sz w:val="24"/>
                              </w:rPr>
                              <w:t xml:space="preserve"> punës</w:t>
                            </w:r>
                            <w:r>
                              <w:rPr>
                                <w:rFonts w:ascii="Arial Narrow" w:eastAsia="Times New Roman" w:hAnsi="Arial Narrow" w:cs="Calibri"/>
                                <w:color w:val="000000"/>
                                <w:sz w:val="24"/>
                              </w:rPr>
                              <w:t>imit të dinjitetsh</w:t>
                            </w:r>
                            <w:r w:rsidRPr="00751F67">
                              <w:rPr>
                                <w:rFonts w:ascii="Arial Narrow" w:eastAsia="Times New Roman" w:hAnsi="Arial Narrow" w:cs="Calibri"/>
                                <w:color w:val="000000"/>
                                <w:sz w:val="24"/>
                              </w:rPr>
                              <w:t>ë</w:t>
                            </w:r>
                            <w:r>
                              <w:rPr>
                                <w:rFonts w:ascii="Arial Narrow" w:eastAsia="Times New Roman" w:hAnsi="Arial Narrow" w:cs="Calibri"/>
                                <w:color w:val="000000"/>
                                <w:sz w:val="24"/>
                              </w:rPr>
                              <w:t xml:space="preserve">m për gra, </w:t>
                            </w:r>
                            <w:r w:rsidRPr="00751F67">
                              <w:rPr>
                                <w:rFonts w:ascii="Arial Narrow" w:eastAsia="Times New Roman" w:hAnsi="Arial Narrow" w:cs="Calibri"/>
                                <w:color w:val="000000"/>
                                <w:sz w:val="24"/>
                              </w:rPr>
                              <w:t>të rinj</w:t>
                            </w:r>
                            <w:r>
                              <w:rPr>
                                <w:rFonts w:ascii="Arial Narrow" w:eastAsia="Times New Roman" w:hAnsi="Arial Narrow" w:cs="Calibri"/>
                                <w:color w:val="000000"/>
                                <w:sz w:val="24"/>
                              </w:rPr>
                              <w:t xml:space="preserve"> dhe kategori t</w:t>
                            </w:r>
                            <w:r w:rsidRPr="00751F67">
                              <w:rPr>
                                <w:rFonts w:ascii="Arial Narrow" w:eastAsia="Times New Roman" w:hAnsi="Arial Narrow" w:cs="Calibri"/>
                                <w:color w:val="000000"/>
                                <w:sz w:val="24"/>
                              </w:rPr>
                              <w:t>ë</w:t>
                            </w:r>
                            <w:r>
                              <w:rPr>
                                <w:rFonts w:ascii="Arial Narrow" w:eastAsia="Times New Roman" w:hAnsi="Arial Narrow" w:cs="Calibri"/>
                                <w:color w:val="000000"/>
                                <w:sz w:val="24"/>
                              </w:rPr>
                              <w:t xml:space="preserve"> cenueshme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2BFC4" id="Rounded Rectangle 71" o:spid="_x0000_s1037" style="position:absolute;margin-left:160.2pt;margin-top:183.4pt;width:166.65pt;height: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" fillcolor="#bdd6ee [1300]" strokecolor="#9cc2e5 [1940]" strokeweight="1pt">
                <v:stroke joinstyle="miter"/>
                <v:textbox>
                  <w:txbxContent>
                    <w:p w14:paraId="13E9C1FE"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2.2.</w:t>
                      </w:r>
                      <w:r w:rsidRPr="00751F67">
                        <w:rPr>
                          <w:rFonts w:ascii="Calibri" w:eastAsia="Times New Roman" w:hAnsi="Calibri" w:cs="Calibri"/>
                          <w:b/>
                          <w:bCs/>
                          <w:color w:val="FFFFFF"/>
                          <w:sz w:val="28"/>
                          <w:szCs w:val="26"/>
                        </w:rPr>
                        <w:t xml:space="preserve"> </w:t>
                      </w:r>
                      <w:r>
                        <w:rPr>
                          <w:rFonts w:ascii="Arial Narrow" w:eastAsia="Times New Roman" w:hAnsi="Arial Narrow" w:cs="Calibri"/>
                          <w:color w:val="000000"/>
                          <w:sz w:val="24"/>
                        </w:rPr>
                        <w:t>Rritja e</w:t>
                      </w:r>
                      <w:r w:rsidRPr="00751F67">
                        <w:rPr>
                          <w:rFonts w:ascii="Arial Narrow" w:eastAsia="Times New Roman" w:hAnsi="Arial Narrow" w:cs="Calibri"/>
                          <w:color w:val="000000"/>
                          <w:sz w:val="24"/>
                        </w:rPr>
                        <w:t xml:space="preserve"> punës</w:t>
                      </w:r>
                      <w:r>
                        <w:rPr>
                          <w:rFonts w:ascii="Arial Narrow" w:eastAsia="Times New Roman" w:hAnsi="Arial Narrow" w:cs="Calibri"/>
                          <w:color w:val="000000"/>
                          <w:sz w:val="24"/>
                        </w:rPr>
                        <w:t>imit të dinjitetsh</w:t>
                      </w:r>
                      <w:r w:rsidRPr="00751F67">
                        <w:rPr>
                          <w:rFonts w:ascii="Arial Narrow" w:eastAsia="Times New Roman" w:hAnsi="Arial Narrow" w:cs="Calibri"/>
                          <w:color w:val="000000"/>
                          <w:sz w:val="24"/>
                        </w:rPr>
                        <w:t>ë</w:t>
                      </w:r>
                      <w:r>
                        <w:rPr>
                          <w:rFonts w:ascii="Arial Narrow" w:eastAsia="Times New Roman" w:hAnsi="Arial Narrow" w:cs="Calibri"/>
                          <w:color w:val="000000"/>
                          <w:sz w:val="24"/>
                        </w:rPr>
                        <w:t xml:space="preserve">m për gra, </w:t>
                      </w:r>
                      <w:r w:rsidRPr="00751F67">
                        <w:rPr>
                          <w:rFonts w:ascii="Arial Narrow" w:eastAsia="Times New Roman" w:hAnsi="Arial Narrow" w:cs="Calibri"/>
                          <w:color w:val="000000"/>
                          <w:sz w:val="24"/>
                        </w:rPr>
                        <w:t>të rinj</w:t>
                      </w:r>
                      <w:r>
                        <w:rPr>
                          <w:rFonts w:ascii="Arial Narrow" w:eastAsia="Times New Roman" w:hAnsi="Arial Narrow" w:cs="Calibri"/>
                          <w:color w:val="000000"/>
                          <w:sz w:val="24"/>
                        </w:rPr>
                        <w:t xml:space="preserve"> dhe kategori t</w:t>
                      </w:r>
                      <w:r w:rsidRPr="00751F67">
                        <w:rPr>
                          <w:rFonts w:ascii="Arial Narrow" w:eastAsia="Times New Roman" w:hAnsi="Arial Narrow" w:cs="Calibri"/>
                          <w:color w:val="000000"/>
                          <w:sz w:val="24"/>
                        </w:rPr>
                        <w:t>ë</w:t>
                      </w:r>
                      <w:r>
                        <w:rPr>
                          <w:rFonts w:ascii="Arial Narrow" w:eastAsia="Times New Roman" w:hAnsi="Arial Narrow" w:cs="Calibri"/>
                          <w:color w:val="000000"/>
                          <w:sz w:val="24"/>
                        </w:rPr>
                        <w:t xml:space="preserve"> cenueshme</w:t>
                      </w:r>
                    </w:p>
                  </w:txbxContent>
                </v:textbox>
                <w10:wrap type="square" anchorx="margin"/>
              </v:roundrect>
            </w:pict>
          </mc:Fallback>
        </mc:AlternateContent>
      </w:r>
      <w:r w:rsidR="0071258E" w:rsidRPr="009E674D">
        <w:rPr>
          <w:noProof/>
          <w:sz w:val="28"/>
        </w:rPr>
        <mc:AlternateContent>
          <mc:Choice Requires="wps">
            <w:drawing>
              <wp:anchor distT="0" distB="0" distL="114300" distR="114300" simplePos="0" relativeHeight="251726848" behindDoc="0" locked="0" layoutInCell="1" allowOverlap="1" wp14:anchorId="1601FE6D" wp14:editId="658A5105">
                <wp:simplePos x="0" y="0"/>
                <wp:positionH relativeFrom="margin">
                  <wp:posOffset>-184150</wp:posOffset>
                </wp:positionH>
                <wp:positionV relativeFrom="paragraph">
                  <wp:posOffset>3068955</wp:posOffset>
                </wp:positionV>
                <wp:extent cx="2116455" cy="924560"/>
                <wp:effectExtent l="0" t="0" r="17145" b="27940"/>
                <wp:wrapNone/>
                <wp:docPr id="70" name="Rounded Rectangle 70"/>
                <wp:cNvGraphicFramePr/>
                <a:graphic xmlns:a="http://schemas.openxmlformats.org/drawingml/2006/main">
                  <a:graphicData uri="http://schemas.microsoft.com/office/word/2010/wordprocessingShape">
                    <wps:wsp>
                      <wps:cNvSpPr/>
                      <wps:spPr>
                        <a:xfrm>
                          <a:off x="0" y="0"/>
                          <a:ext cx="2116455" cy="92456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82D64"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 xml:space="preserve">1.3. Përkrahja e </w:t>
                            </w:r>
                            <w:r>
                              <w:rPr>
                                <w:rFonts w:ascii="Arial Narrow" w:eastAsia="Times New Roman" w:hAnsi="Arial Narrow" w:cs="Calibri"/>
                                <w:color w:val="000000"/>
                                <w:sz w:val="24"/>
                              </w:rPr>
                              <w:t>nd</w:t>
                            </w:r>
                            <w:r w:rsidRPr="00BA0BCB">
                              <w:rPr>
                                <w:rFonts w:ascii="Arial Narrow" w:eastAsia="Times New Roman" w:hAnsi="Arial Narrow" w:cs="Calibri"/>
                                <w:color w:val="000000"/>
                                <w:sz w:val="24"/>
                              </w:rPr>
                              <w:t>ërmarrësisë</w:t>
                            </w:r>
                            <w:r w:rsidRPr="00751F67">
                              <w:rPr>
                                <w:rFonts w:ascii="Arial Narrow" w:eastAsia="Times New Roman" w:hAnsi="Arial Narrow" w:cs="Calibri"/>
                                <w:color w:val="000000"/>
                                <w:sz w:val="24"/>
                              </w:rPr>
                              <w:t xml:space="preserve"> me </w:t>
                            </w:r>
                            <w:r>
                              <w:rPr>
                                <w:rFonts w:ascii="Arial Narrow" w:eastAsia="Times New Roman" w:hAnsi="Arial Narrow" w:cs="Calibri"/>
                                <w:color w:val="000000"/>
                                <w:sz w:val="24"/>
                              </w:rPr>
                              <w:t>fokus n</w:t>
                            </w:r>
                            <w:r w:rsidRPr="00BA0BCB">
                              <w:rPr>
                                <w:rFonts w:ascii="Arial Narrow" w:eastAsia="Times New Roman" w:hAnsi="Arial Narrow" w:cs="Calibri"/>
                                <w:color w:val="000000"/>
                                <w:sz w:val="24"/>
                              </w:rPr>
                              <w:t>ë</w:t>
                            </w:r>
                            <w:r>
                              <w:rPr>
                                <w:rFonts w:ascii="Arial Narrow" w:eastAsia="Times New Roman" w:hAnsi="Arial Narrow" w:cs="Calibri"/>
                                <w:color w:val="000000"/>
                                <w:sz w:val="24"/>
                              </w:rPr>
                              <w:t xml:space="preserve"> digjitalizim dhe inovacion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1FE6D" id="Rounded Rectangle 70" o:spid="_x0000_s1038" style="position:absolute;margin-left:-14.5pt;margin-top:241.65pt;width:166.65pt;height:72.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" fillcolor="#bdd6ee [1300]" strokecolor="#9cc2e5 [1940]" strokeweight="1pt">
                <v:stroke joinstyle="miter"/>
                <v:textbox>
                  <w:txbxContent>
                    <w:p w14:paraId="3E382D64"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 xml:space="preserve">1.3. Përkrahja e </w:t>
                      </w:r>
                      <w:r>
                        <w:rPr>
                          <w:rFonts w:ascii="Arial Narrow" w:eastAsia="Times New Roman" w:hAnsi="Arial Narrow" w:cs="Calibri"/>
                          <w:color w:val="000000"/>
                          <w:sz w:val="24"/>
                        </w:rPr>
                        <w:t>nd</w:t>
                      </w:r>
                      <w:r w:rsidRPr="00BA0BCB">
                        <w:rPr>
                          <w:rFonts w:ascii="Arial Narrow" w:eastAsia="Times New Roman" w:hAnsi="Arial Narrow" w:cs="Calibri"/>
                          <w:color w:val="000000"/>
                          <w:sz w:val="24"/>
                        </w:rPr>
                        <w:t>ërmarrësisë</w:t>
                      </w:r>
                      <w:r w:rsidRPr="00751F67">
                        <w:rPr>
                          <w:rFonts w:ascii="Arial Narrow" w:eastAsia="Times New Roman" w:hAnsi="Arial Narrow" w:cs="Calibri"/>
                          <w:color w:val="000000"/>
                          <w:sz w:val="24"/>
                        </w:rPr>
                        <w:t xml:space="preserve"> me </w:t>
                      </w:r>
                      <w:r>
                        <w:rPr>
                          <w:rFonts w:ascii="Arial Narrow" w:eastAsia="Times New Roman" w:hAnsi="Arial Narrow" w:cs="Calibri"/>
                          <w:color w:val="000000"/>
                          <w:sz w:val="24"/>
                        </w:rPr>
                        <w:t>fokus n</w:t>
                      </w:r>
                      <w:r w:rsidRPr="00BA0BCB">
                        <w:rPr>
                          <w:rFonts w:ascii="Arial Narrow" w:eastAsia="Times New Roman" w:hAnsi="Arial Narrow" w:cs="Calibri"/>
                          <w:color w:val="000000"/>
                          <w:sz w:val="24"/>
                        </w:rPr>
                        <w:t>ë</w:t>
                      </w:r>
                      <w:r>
                        <w:rPr>
                          <w:rFonts w:ascii="Arial Narrow" w:eastAsia="Times New Roman" w:hAnsi="Arial Narrow" w:cs="Calibri"/>
                          <w:color w:val="000000"/>
                          <w:sz w:val="24"/>
                        </w:rPr>
                        <w:t xml:space="preserve"> digjitalizim dhe inovacion</w:t>
                      </w:r>
                    </w:p>
                  </w:txbxContent>
                </v:textbox>
                <w10:wrap anchorx="margin"/>
              </v:roundrect>
            </w:pict>
          </mc:Fallback>
        </mc:AlternateContent>
      </w:r>
      <w:r w:rsidR="0071258E" w:rsidRPr="009E674D">
        <w:rPr>
          <w:noProof/>
          <w:sz w:val="28"/>
        </w:rPr>
        <mc:AlternateContent>
          <mc:Choice Requires="wps">
            <w:drawing>
              <wp:anchor distT="0" distB="0" distL="114300" distR="114300" simplePos="0" relativeHeight="251724800" behindDoc="0" locked="0" layoutInCell="1" allowOverlap="1" wp14:anchorId="06531A37" wp14:editId="3D216AF3">
                <wp:simplePos x="0" y="0"/>
                <wp:positionH relativeFrom="margin">
                  <wp:posOffset>-184150</wp:posOffset>
                </wp:positionH>
                <wp:positionV relativeFrom="paragraph">
                  <wp:posOffset>2308225</wp:posOffset>
                </wp:positionV>
                <wp:extent cx="2116455" cy="698500"/>
                <wp:effectExtent l="0" t="0" r="17145" b="25400"/>
                <wp:wrapNone/>
                <wp:docPr id="61" name="Rounded Rectangle 61"/>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8713F"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1.2. Rritja e produktivitetit në bujqësi dhe promovimi i turizmit lokal</w:t>
                            </w:r>
                          </w:p>
                          <w:p w14:paraId="4ADD765F"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1A37" id="Rounded Rectangle 61" o:spid="_x0000_s1039" style="position:absolute;margin-left:-14.5pt;margin-top:181.75pt;width:166.65pt;height: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" fillcolor="#bdd6ee [1300]" strokecolor="#9cc2e5 [1940]" strokeweight="1pt">
                <v:stroke joinstyle="miter"/>
                <v:textbox>
                  <w:txbxContent>
                    <w:p w14:paraId="7CB8713F"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1.2. Rritja e produktivitetit në bujqësi dhe promovimi i turizmit lokal</w:t>
                      </w:r>
                    </w:p>
                    <w:p w14:paraId="4ADD765F"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p>
                  </w:txbxContent>
                </v:textbox>
                <w10:wrap anchorx="margin"/>
              </v:roundrect>
            </w:pict>
          </mc:Fallback>
        </mc:AlternateContent>
      </w:r>
      <w:r w:rsidR="0071258E" w:rsidRPr="009E674D">
        <w:rPr>
          <w:noProof/>
          <w:sz w:val="28"/>
        </w:rPr>
        <mc:AlternateContent>
          <mc:Choice Requires="wps">
            <w:drawing>
              <wp:anchor distT="0" distB="0" distL="114300" distR="114300" simplePos="0" relativeHeight="251708416" behindDoc="0" locked="0" layoutInCell="1" allowOverlap="1" wp14:anchorId="4610C43E" wp14:editId="0C4561CF">
                <wp:simplePos x="0" y="0"/>
                <wp:positionH relativeFrom="margin">
                  <wp:posOffset>-179070</wp:posOffset>
                </wp:positionH>
                <wp:positionV relativeFrom="paragraph">
                  <wp:posOffset>1549058</wp:posOffset>
                </wp:positionV>
                <wp:extent cx="2116455" cy="698500"/>
                <wp:effectExtent l="0" t="0" r="17145" b="25400"/>
                <wp:wrapNone/>
                <wp:docPr id="39" name="Rounded Rectangle 39"/>
                <wp:cNvGraphicFramePr/>
                <a:graphic xmlns:a="http://schemas.openxmlformats.org/drawingml/2006/main">
                  <a:graphicData uri="http://schemas.microsoft.com/office/word/2010/wordprocessingShape">
                    <wps:wsp>
                      <wps:cNvSpPr/>
                      <wps:spPr>
                        <a:xfrm>
                          <a:off x="0" y="0"/>
                          <a:ext cx="2116455" cy="698500"/>
                        </a:xfrm>
                        <a:prstGeom prst="round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7ED32"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1.1. Rritja e investimeve në fushat me potencial për zhvillim ekonomik lokal</w:t>
                            </w:r>
                          </w:p>
                          <w:p w14:paraId="0443652B"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0C43E" id="Rounded Rectangle 39" o:spid="_x0000_s1040" style="position:absolute;margin-left:-14.1pt;margin-top:121.95pt;width:166.65pt;height: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" fillcolor="#bdd6ee [1300]" strokecolor="#9cc2e5 [1940]" strokeweight="1pt">
                <v:stroke joinstyle="miter"/>
                <v:textbox>
                  <w:txbxContent>
                    <w:p w14:paraId="4BA7ED32" w14:textId="77777777" w:rsidR="00636E80" w:rsidRPr="00751F67" w:rsidRDefault="00636E80" w:rsidP="00751F67">
                      <w:pPr>
                        <w:spacing w:after="0" w:line="240" w:lineRule="auto"/>
                        <w:jc w:val="center"/>
                        <w:rPr>
                          <w:rFonts w:ascii="Arial Narrow" w:eastAsia="Times New Roman" w:hAnsi="Arial Narrow" w:cs="Calibri"/>
                          <w:color w:val="000000"/>
                          <w:sz w:val="24"/>
                        </w:rPr>
                      </w:pPr>
                      <w:r w:rsidRPr="00751F67">
                        <w:rPr>
                          <w:rFonts w:ascii="Arial Narrow" w:eastAsia="Times New Roman" w:hAnsi="Arial Narrow" w:cs="Calibri"/>
                          <w:color w:val="000000"/>
                          <w:sz w:val="24"/>
                        </w:rPr>
                        <w:t>1.1. Rritja e investimeve në fushat me potencial për zhvillim ekonomik lokal</w:t>
                      </w:r>
                    </w:p>
                    <w:p w14:paraId="0443652B"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p>
                  </w:txbxContent>
                </v:textbox>
                <w10:wrap anchorx="margin"/>
              </v:roundrect>
            </w:pict>
          </mc:Fallback>
        </mc:AlternateContent>
      </w:r>
      <w:r w:rsidR="007F5215" w:rsidRPr="009E674D">
        <w:rPr>
          <w:noProof/>
          <w:sz w:val="28"/>
        </w:rPr>
        <mc:AlternateContent>
          <mc:Choice Requires="wps">
            <w:drawing>
              <wp:anchor distT="0" distB="0" distL="114300" distR="114300" simplePos="0" relativeHeight="251706368" behindDoc="0" locked="0" layoutInCell="1" allowOverlap="1" wp14:anchorId="5CC5E929" wp14:editId="2F8EB51E">
                <wp:simplePos x="0" y="0"/>
                <wp:positionH relativeFrom="column">
                  <wp:posOffset>6420485</wp:posOffset>
                </wp:positionH>
                <wp:positionV relativeFrom="paragraph">
                  <wp:posOffset>620395</wp:posOffset>
                </wp:positionV>
                <wp:extent cx="2146935" cy="780415"/>
                <wp:effectExtent l="0" t="0" r="24765" b="19685"/>
                <wp:wrapNone/>
                <wp:docPr id="31" name="Rounded Rectangle 31"/>
                <wp:cNvGraphicFramePr/>
                <a:graphic xmlns:a="http://schemas.openxmlformats.org/drawingml/2006/main">
                  <a:graphicData uri="http://schemas.microsoft.com/office/word/2010/wordprocessingShape">
                    <wps:wsp>
                      <wps:cNvSpPr/>
                      <wps:spPr>
                        <a:xfrm>
                          <a:off x="0" y="0"/>
                          <a:ext cx="2146935" cy="7804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7FA8EF" w14:textId="77777777" w:rsidR="00636E80" w:rsidRPr="00751F67" w:rsidRDefault="00636E80" w:rsidP="002A044B">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4. Qeverisje ekonomike efektive dhe bashkëpunuese</w:t>
                            </w:r>
                          </w:p>
                          <w:p w14:paraId="4280B895" w14:textId="77777777" w:rsidR="00636E80" w:rsidRDefault="00636E80" w:rsidP="002A04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C5E929" id="Rounded Rectangle 31" o:spid="_x0000_s1041" style="position:absolute;margin-left:505.55pt;margin-top:48.85pt;width:169.05pt;height:61.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" fillcolor="#5b9bd5 [3204]" strokecolor="#1f4d78 [1604]" strokeweight="1pt">
                <v:stroke joinstyle="miter"/>
                <v:textbox>
                  <w:txbxContent>
                    <w:p w14:paraId="3E7FA8EF" w14:textId="77777777" w:rsidR="00636E80" w:rsidRPr="00751F67" w:rsidRDefault="00636E80" w:rsidP="002A044B">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4. Qeverisje ekonomike efektive dhe bashkëpunuese</w:t>
                      </w:r>
                    </w:p>
                    <w:p w14:paraId="4280B895" w14:textId="77777777" w:rsidR="00636E80" w:rsidRDefault="00636E80" w:rsidP="002A044B">
                      <w:pPr>
                        <w:jc w:val="center"/>
                      </w:pPr>
                    </w:p>
                  </w:txbxContent>
                </v:textbox>
              </v:roundrect>
            </w:pict>
          </mc:Fallback>
        </mc:AlternateContent>
      </w:r>
      <w:r w:rsidR="007F5215" w:rsidRPr="009E674D">
        <w:rPr>
          <w:noProof/>
          <w:sz w:val="28"/>
        </w:rPr>
        <mc:AlternateContent>
          <mc:Choice Requires="wps">
            <w:drawing>
              <wp:anchor distT="0" distB="0" distL="114300" distR="114300" simplePos="0" relativeHeight="251704320" behindDoc="0" locked="0" layoutInCell="1" allowOverlap="1" wp14:anchorId="10C716F8" wp14:editId="40C8DE1E">
                <wp:simplePos x="0" y="0"/>
                <wp:positionH relativeFrom="column">
                  <wp:posOffset>4242435</wp:posOffset>
                </wp:positionH>
                <wp:positionV relativeFrom="paragraph">
                  <wp:posOffset>650875</wp:posOffset>
                </wp:positionV>
                <wp:extent cx="2105660" cy="769620"/>
                <wp:effectExtent l="0" t="0" r="27940" b="11430"/>
                <wp:wrapNone/>
                <wp:docPr id="30" name="Rounded Rectangle 30"/>
                <wp:cNvGraphicFramePr/>
                <a:graphic xmlns:a="http://schemas.openxmlformats.org/drawingml/2006/main">
                  <a:graphicData uri="http://schemas.microsoft.com/office/word/2010/wordprocessingShape">
                    <wps:wsp>
                      <wps:cNvSpPr/>
                      <wps:spPr>
                        <a:xfrm>
                          <a:off x="0" y="0"/>
                          <a:ext cx="2105660" cy="769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5903B7"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3. Infrastrukturë lokale e përmirësuar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716F8" id="Rounded Rectangle 30" o:spid="_x0000_s1042" style="position:absolute;margin-left:334.05pt;margin-top:51.25pt;width:165.8pt;height:6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" fillcolor="#5b9bd5 [3204]" strokecolor="#1f4d78 [1604]" strokeweight="1pt">
                <v:stroke joinstyle="miter"/>
                <v:textbox>
                  <w:txbxContent>
                    <w:p w14:paraId="375903B7"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3. Infrastrukturë lokale e përmirësuar</w:t>
                      </w:r>
                    </w:p>
                  </w:txbxContent>
                </v:textbox>
              </v:roundrect>
            </w:pict>
          </mc:Fallback>
        </mc:AlternateContent>
      </w:r>
      <w:r w:rsidR="007F5215" w:rsidRPr="009E674D">
        <w:rPr>
          <w:noProof/>
          <w:sz w:val="28"/>
        </w:rPr>
        <mc:AlternateContent>
          <mc:Choice Requires="wps">
            <w:drawing>
              <wp:anchor distT="0" distB="0" distL="114300" distR="114300" simplePos="0" relativeHeight="251701248" behindDoc="0" locked="0" layoutInCell="1" allowOverlap="1" wp14:anchorId="74FDFD50" wp14:editId="4EEBCCCA">
                <wp:simplePos x="0" y="0"/>
                <wp:positionH relativeFrom="column">
                  <wp:posOffset>2033270</wp:posOffset>
                </wp:positionH>
                <wp:positionV relativeFrom="paragraph">
                  <wp:posOffset>650875</wp:posOffset>
                </wp:positionV>
                <wp:extent cx="2116455" cy="760095"/>
                <wp:effectExtent l="0" t="0" r="17145" b="20955"/>
                <wp:wrapNone/>
                <wp:docPr id="27" name="Rounded Rectangle 27"/>
                <wp:cNvGraphicFramePr/>
                <a:graphic xmlns:a="http://schemas.openxmlformats.org/drawingml/2006/main">
                  <a:graphicData uri="http://schemas.microsoft.com/office/word/2010/wordprocessingShape">
                    <wps:wsp>
                      <wps:cNvSpPr/>
                      <wps:spPr>
                        <a:xfrm>
                          <a:off x="0" y="0"/>
                          <a:ext cx="2116455" cy="7600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2B07A3"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 xml:space="preserve">2. Punësim gjithëpërfshirës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DFD50" id="Rounded Rectangle 27" o:spid="_x0000_s1043" style="position:absolute;margin-left:160.1pt;margin-top:51.25pt;width:166.65pt;height:5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" fillcolor="#5b9bd5 [3204]" strokecolor="#1f4d78 [1604]" strokeweight="1pt">
                <v:stroke joinstyle="miter"/>
                <v:textbox>
                  <w:txbxContent>
                    <w:p w14:paraId="592B07A3"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 xml:space="preserve">2. Punësim gjithëpërfshirës </w:t>
                      </w:r>
                    </w:p>
                  </w:txbxContent>
                </v:textbox>
              </v:roundrect>
            </w:pict>
          </mc:Fallback>
        </mc:AlternateContent>
      </w:r>
      <w:r w:rsidR="007F5215" w:rsidRPr="009E674D">
        <w:rPr>
          <w:noProof/>
          <w:sz w:val="28"/>
        </w:rPr>
        <mc:AlternateContent>
          <mc:Choice Requires="wps">
            <w:drawing>
              <wp:anchor distT="0" distB="0" distL="114300" distR="114300" simplePos="0" relativeHeight="251699200" behindDoc="0" locked="0" layoutInCell="1" allowOverlap="1" wp14:anchorId="471C3C6C" wp14:editId="2146C950">
                <wp:simplePos x="0" y="0"/>
                <wp:positionH relativeFrom="column">
                  <wp:posOffset>-231254</wp:posOffset>
                </wp:positionH>
                <wp:positionV relativeFrom="paragraph">
                  <wp:posOffset>640715</wp:posOffset>
                </wp:positionV>
                <wp:extent cx="2116455" cy="758825"/>
                <wp:effectExtent l="0" t="0" r="17145" b="22225"/>
                <wp:wrapNone/>
                <wp:docPr id="20" name="Rounded Rectangle 20"/>
                <wp:cNvGraphicFramePr/>
                <a:graphic xmlns:a="http://schemas.openxmlformats.org/drawingml/2006/main">
                  <a:graphicData uri="http://schemas.microsoft.com/office/word/2010/wordprocessingShape">
                    <wps:wsp>
                      <wps:cNvSpPr/>
                      <wps:spPr>
                        <a:xfrm>
                          <a:off x="0" y="0"/>
                          <a:ext cx="2116455" cy="758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4DA6CB"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 xml:space="preserve">1. Ekonomi lokale konkurruese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C3C6C" id="Rounded Rectangle 20" o:spid="_x0000_s1044" style="position:absolute;margin-left:-18.2pt;margin-top:50.45pt;width:166.65pt;height:5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" fillcolor="#5b9bd5 [3204]" strokecolor="#1f4d78 [1604]" strokeweight="1pt">
                <v:stroke joinstyle="miter"/>
                <v:textbox>
                  <w:txbxContent>
                    <w:p w14:paraId="014DA6CB" w14:textId="77777777" w:rsidR="00636E80" w:rsidRPr="00751F67" w:rsidRDefault="00636E80" w:rsidP="00751F67">
                      <w:pPr>
                        <w:spacing w:after="0" w:line="240" w:lineRule="auto"/>
                        <w:jc w:val="center"/>
                        <w:rPr>
                          <w:rFonts w:ascii="Calibri" w:eastAsia="Times New Roman" w:hAnsi="Calibri" w:cs="Calibri"/>
                          <w:b/>
                          <w:bCs/>
                          <w:color w:val="FFFFFF"/>
                          <w:sz w:val="28"/>
                          <w:szCs w:val="26"/>
                        </w:rPr>
                      </w:pPr>
                      <w:r w:rsidRPr="002A044B">
                        <w:rPr>
                          <w:rFonts w:ascii="Calibri" w:eastAsia="Times New Roman" w:hAnsi="Calibri" w:cs="Calibri"/>
                          <w:b/>
                          <w:bCs/>
                          <w:color w:val="FFFFFF"/>
                          <w:sz w:val="28"/>
                          <w:szCs w:val="26"/>
                        </w:rPr>
                        <w:t xml:space="preserve">1. Ekonomi lokale konkurruese </w:t>
                      </w:r>
                    </w:p>
                  </w:txbxContent>
                </v:textbox>
              </v:roundrect>
            </w:pict>
          </mc:Fallback>
        </mc:AlternateContent>
      </w:r>
    </w:p>
    <w:p w14:paraId="439114CE" w14:textId="77777777" w:rsidR="00C90ADF" w:rsidRPr="009E674D" w:rsidRDefault="002A044B" w:rsidP="00C90ADF">
      <w:pPr>
        <w:rPr>
          <w:b/>
          <w:i/>
          <w:lang w:val="sq-AL"/>
        </w:rPr>
      </w:pPr>
      <w:r w:rsidRPr="009E674D">
        <w:rPr>
          <w:b/>
          <w:i/>
          <w:u w:val="single"/>
          <w:lang w:val="sq-AL"/>
        </w:rPr>
        <w:lastRenderedPageBreak/>
        <w:t>Vizioni</w:t>
      </w:r>
      <w:r w:rsidRPr="009E674D">
        <w:rPr>
          <w:b/>
          <w:i/>
          <w:lang w:val="sq-AL"/>
        </w:rPr>
        <w:t xml:space="preserve">: </w:t>
      </w:r>
      <w:r w:rsidR="00C90ADF" w:rsidRPr="009E674D">
        <w:rPr>
          <w:b/>
          <w:i/>
          <w:lang w:val="sq-AL"/>
        </w:rPr>
        <w:t xml:space="preserve">Krijimi i një ekonomie lokale të qëndrueshme, të larmishme dhe të përshtatshme ndaj ndryshimeve, që sjell zhvillim dhe prosperitet për të gjithë. </w:t>
      </w:r>
    </w:p>
    <w:p w14:paraId="2FD80B5D" w14:textId="699BE613" w:rsidR="00C90ADF" w:rsidRPr="009E674D" w:rsidRDefault="00C90ADF" w:rsidP="00C90ADF">
      <w:pPr>
        <w:pStyle w:val="ListParagraph"/>
        <w:numPr>
          <w:ilvl w:val="0"/>
          <w:numId w:val="8"/>
        </w:numPr>
        <w:rPr>
          <w:lang w:val="sq-AL"/>
        </w:rPr>
      </w:pPr>
      <w:r w:rsidRPr="009E674D">
        <w:rPr>
          <w:i/>
          <w:u w:val="single"/>
          <w:lang w:val="sq-AL"/>
        </w:rPr>
        <w:t>Ekonomi lokale e qëndrueshme</w:t>
      </w:r>
      <w:r w:rsidRPr="009E674D">
        <w:rPr>
          <w:lang w:val="sq-AL"/>
        </w:rPr>
        <w:t xml:space="preserve"> që promovon </w:t>
      </w:r>
      <w:r w:rsidR="0071258E" w:rsidRPr="009E674D">
        <w:rPr>
          <w:lang w:val="sq-AL"/>
        </w:rPr>
        <w:t>efikasitetin</w:t>
      </w:r>
      <w:r w:rsidRPr="009E674D">
        <w:rPr>
          <w:lang w:val="sq-AL"/>
        </w:rPr>
        <w:t>, barazinë sociale dhe përgjegjësinë ndaj mjedisit</w:t>
      </w:r>
      <w:r w:rsidR="009E6205">
        <w:rPr>
          <w:lang w:val="sq-AL"/>
        </w:rPr>
        <w:t>;</w:t>
      </w:r>
    </w:p>
    <w:p w14:paraId="0E38B12D" w14:textId="1CD64889" w:rsidR="00E64227" w:rsidRPr="009E674D" w:rsidRDefault="00E64227" w:rsidP="00E64227">
      <w:pPr>
        <w:pStyle w:val="ListParagraph"/>
        <w:numPr>
          <w:ilvl w:val="0"/>
          <w:numId w:val="8"/>
        </w:numPr>
        <w:rPr>
          <w:i/>
          <w:u w:val="single"/>
          <w:lang w:val="sq-AL"/>
        </w:rPr>
      </w:pPr>
      <w:r w:rsidRPr="009E674D">
        <w:rPr>
          <w:i/>
          <w:u w:val="single"/>
          <w:lang w:val="sq-AL"/>
        </w:rPr>
        <w:t xml:space="preserve">Ekonomi lokale e larmishme </w:t>
      </w:r>
      <w:r w:rsidRPr="009E674D">
        <w:rPr>
          <w:lang w:val="sq-AL"/>
        </w:rPr>
        <w:t xml:space="preserve">që synon të arrijë një kombinim apo konfiguracion industrish që e zvogëlojnë ndikimin në rast të luhatjeve në segmente </w:t>
      </w:r>
      <w:r w:rsidR="009E6205" w:rsidRPr="009E674D">
        <w:rPr>
          <w:lang w:val="sq-AL"/>
        </w:rPr>
        <w:t>t</w:t>
      </w:r>
      <w:r w:rsidR="009E6205">
        <w:rPr>
          <w:lang w:val="sq-AL"/>
        </w:rPr>
        <w:t>ë</w:t>
      </w:r>
      <w:r w:rsidR="009E6205" w:rsidRPr="009E674D">
        <w:rPr>
          <w:lang w:val="sq-AL"/>
        </w:rPr>
        <w:t xml:space="preserve"> </w:t>
      </w:r>
      <w:r w:rsidRPr="009E674D">
        <w:rPr>
          <w:lang w:val="sq-AL"/>
        </w:rPr>
        <w:t>caktuara të ekonomisë</w:t>
      </w:r>
      <w:r w:rsidR="009E6205">
        <w:rPr>
          <w:lang w:val="sq-AL"/>
        </w:rPr>
        <w:t>;</w:t>
      </w:r>
    </w:p>
    <w:p w14:paraId="2FF1BC47" w14:textId="4838102D" w:rsidR="00010B8B" w:rsidRPr="009E674D" w:rsidRDefault="00C90ADF" w:rsidP="00010B8B">
      <w:pPr>
        <w:pStyle w:val="ListParagraph"/>
        <w:numPr>
          <w:ilvl w:val="0"/>
          <w:numId w:val="8"/>
        </w:numPr>
        <w:rPr>
          <w:i/>
          <w:u w:val="single"/>
          <w:lang w:val="sq-AL"/>
        </w:rPr>
      </w:pPr>
      <w:r w:rsidRPr="009E674D">
        <w:rPr>
          <w:i/>
          <w:u w:val="single"/>
          <w:lang w:val="sq-AL"/>
        </w:rPr>
        <w:t>Ekonomi lokale e</w:t>
      </w:r>
      <w:r w:rsidR="00E64227" w:rsidRPr="009E674D">
        <w:rPr>
          <w:i/>
          <w:u w:val="single"/>
          <w:lang w:val="sq-AL"/>
        </w:rPr>
        <w:t xml:space="preserve"> përshtatshme ndaj ndryshimeve</w:t>
      </w:r>
      <w:r w:rsidR="00E64227" w:rsidRPr="009E674D">
        <w:rPr>
          <w:b/>
          <w:i/>
          <w:lang w:val="sq-AL"/>
        </w:rPr>
        <w:t xml:space="preserve"> </w:t>
      </w:r>
      <w:r w:rsidR="00E64227" w:rsidRPr="009E674D">
        <w:rPr>
          <w:lang w:val="sq-AL"/>
        </w:rPr>
        <w:t>që krijon një infrastrukturë</w:t>
      </w:r>
      <w:r w:rsidR="00312D8F" w:rsidRPr="009E674D">
        <w:rPr>
          <w:lang w:val="sq-AL"/>
        </w:rPr>
        <w:t xml:space="preserve"> të adaptueshme</w:t>
      </w:r>
      <w:r w:rsidR="003E4404" w:rsidRPr="009E674D">
        <w:rPr>
          <w:lang w:val="sq-AL"/>
        </w:rPr>
        <w:t xml:space="preserve"> dhe sistem </w:t>
      </w:r>
      <w:r w:rsidR="009E6205" w:rsidRPr="009E674D">
        <w:rPr>
          <w:lang w:val="sq-AL"/>
        </w:rPr>
        <w:t>fleksib</w:t>
      </w:r>
      <w:r w:rsidR="00C46375">
        <w:rPr>
          <w:lang w:val="sq-AL"/>
        </w:rPr>
        <w:t>i</w:t>
      </w:r>
      <w:r w:rsidR="009E6205" w:rsidRPr="009E674D">
        <w:rPr>
          <w:lang w:val="sq-AL"/>
        </w:rPr>
        <w:t xml:space="preserve">l </w:t>
      </w:r>
      <w:r w:rsidR="003E4404" w:rsidRPr="009E674D">
        <w:rPr>
          <w:lang w:val="sq-AL"/>
        </w:rPr>
        <w:t xml:space="preserve">ndaj ndryshimeve dhe dinamikave </w:t>
      </w:r>
      <w:r w:rsidR="00BE1CC8" w:rsidRPr="009E674D">
        <w:rPr>
          <w:lang w:val="sq-AL"/>
        </w:rPr>
        <w:t>apo</w:t>
      </w:r>
      <w:r w:rsidR="00312D8F" w:rsidRPr="009E674D">
        <w:rPr>
          <w:lang w:val="sq-AL"/>
        </w:rPr>
        <w:t xml:space="preserve"> </w:t>
      </w:r>
      <w:r w:rsidR="009E6205" w:rsidRPr="009E674D">
        <w:rPr>
          <w:lang w:val="sq-AL"/>
        </w:rPr>
        <w:t>trend</w:t>
      </w:r>
      <w:r w:rsidR="00C46375">
        <w:rPr>
          <w:lang w:val="sq-AL"/>
        </w:rPr>
        <w:t>e</w:t>
      </w:r>
      <w:r w:rsidR="009E6205" w:rsidRPr="009E674D">
        <w:rPr>
          <w:lang w:val="sq-AL"/>
        </w:rPr>
        <w:t xml:space="preserve">ve </w:t>
      </w:r>
      <w:r w:rsidR="000B401D" w:rsidRPr="009E674D">
        <w:rPr>
          <w:lang w:val="sq-AL"/>
        </w:rPr>
        <w:t>ekonomik</w:t>
      </w:r>
      <w:r w:rsidR="00C46375">
        <w:rPr>
          <w:lang w:val="sq-AL"/>
        </w:rPr>
        <w:t>e</w:t>
      </w:r>
      <w:r w:rsidR="003E4404" w:rsidRPr="009E674D">
        <w:rPr>
          <w:lang w:val="sq-AL"/>
        </w:rPr>
        <w:t xml:space="preserve">. </w:t>
      </w:r>
    </w:p>
    <w:p w14:paraId="67D0BAB8" w14:textId="77777777" w:rsidR="005833CC" w:rsidRPr="009E674D" w:rsidRDefault="00954306" w:rsidP="0059254F">
      <w:pPr>
        <w:pStyle w:val="Heading2"/>
        <w:rPr>
          <w:lang w:val="sq-AL"/>
        </w:rPr>
      </w:pPr>
      <w:bookmarkStart w:id="11" w:name="_Toc132188431"/>
      <w:r w:rsidRPr="009E674D">
        <w:rPr>
          <w:lang w:val="sq-AL"/>
        </w:rPr>
        <w:t>Objektivi</w:t>
      </w:r>
      <w:r w:rsidR="00010B8B" w:rsidRPr="009E674D">
        <w:rPr>
          <w:lang w:val="sq-AL"/>
        </w:rPr>
        <w:t xml:space="preserve"> 1</w:t>
      </w:r>
      <w:r w:rsidR="005833CC" w:rsidRPr="009E674D">
        <w:rPr>
          <w:lang w:val="sq-AL"/>
        </w:rPr>
        <w:t>: Ekonomi lokale konkurruese</w:t>
      </w:r>
      <w:bookmarkEnd w:id="11"/>
    </w:p>
    <w:p w14:paraId="4D981742" w14:textId="5A6F8115" w:rsidR="00FF30C7" w:rsidRPr="009E674D" w:rsidRDefault="006F6F6D" w:rsidP="005833CC">
      <w:pPr>
        <w:jc w:val="both"/>
        <w:rPr>
          <w:lang w:val="sq-AL"/>
        </w:rPr>
      </w:pPr>
      <w:r w:rsidRPr="009E674D">
        <w:rPr>
          <w:lang w:val="sq-AL"/>
        </w:rPr>
        <w:br/>
      </w:r>
      <w:r w:rsidR="005833CC" w:rsidRPr="009E674D">
        <w:rPr>
          <w:lang w:val="sq-AL"/>
        </w:rPr>
        <w:t>Krijimi i nj</w:t>
      </w:r>
      <w:r w:rsidR="00784752" w:rsidRPr="009E674D">
        <w:rPr>
          <w:lang w:val="sq-AL"/>
        </w:rPr>
        <w:t>ë</w:t>
      </w:r>
      <w:r w:rsidR="005833CC" w:rsidRPr="009E674D">
        <w:rPr>
          <w:lang w:val="sq-AL"/>
        </w:rPr>
        <w:t xml:space="preserve"> ekonomie lokale konkurruese </w:t>
      </w:r>
      <w:r w:rsidR="00312D8F" w:rsidRPr="009E674D">
        <w:rPr>
          <w:lang w:val="sq-AL"/>
        </w:rPr>
        <w:t>përbën</w:t>
      </w:r>
      <w:r w:rsidR="005833CC" w:rsidRPr="009E674D">
        <w:rPr>
          <w:lang w:val="sq-AL"/>
        </w:rPr>
        <w:t xml:space="preserve"> nj</w:t>
      </w:r>
      <w:r w:rsidR="00784752" w:rsidRPr="009E674D">
        <w:rPr>
          <w:lang w:val="sq-AL"/>
        </w:rPr>
        <w:t>ë</w:t>
      </w:r>
      <w:r w:rsidR="005833CC" w:rsidRPr="009E674D">
        <w:rPr>
          <w:lang w:val="sq-AL"/>
        </w:rPr>
        <w:t xml:space="preserve"> aspekt qen</w:t>
      </w:r>
      <w:r w:rsidR="00784752" w:rsidRPr="009E674D">
        <w:rPr>
          <w:lang w:val="sq-AL"/>
        </w:rPr>
        <w:t>ë</w:t>
      </w:r>
      <w:r w:rsidR="00312D8F" w:rsidRPr="009E674D">
        <w:rPr>
          <w:lang w:val="sq-AL"/>
        </w:rPr>
        <w:t xml:space="preserve">sor të </w:t>
      </w:r>
      <w:r w:rsidR="005833CC" w:rsidRPr="009E674D">
        <w:rPr>
          <w:lang w:val="sq-AL"/>
        </w:rPr>
        <w:t>zhvillim</w:t>
      </w:r>
      <w:r w:rsidR="00312D8F" w:rsidRPr="009E674D">
        <w:rPr>
          <w:lang w:val="sq-AL"/>
        </w:rPr>
        <w:t>it</w:t>
      </w:r>
      <w:r w:rsidR="005833CC" w:rsidRPr="009E674D">
        <w:rPr>
          <w:lang w:val="sq-AL"/>
        </w:rPr>
        <w:t>.</w:t>
      </w:r>
      <w:r w:rsidR="00DC45C0" w:rsidRPr="009E674D">
        <w:rPr>
          <w:lang w:val="sq-AL"/>
        </w:rPr>
        <w:t xml:space="preserve"> Mjedisi konkurrues inkurajon investime t</w:t>
      </w:r>
      <w:r w:rsidR="00784752" w:rsidRPr="009E674D">
        <w:rPr>
          <w:lang w:val="sq-AL"/>
        </w:rPr>
        <w:t>ë</w:t>
      </w:r>
      <w:r w:rsidR="00DC45C0" w:rsidRPr="009E674D">
        <w:rPr>
          <w:lang w:val="sq-AL"/>
        </w:rPr>
        <w:t xml:space="preserve"> r</w:t>
      </w:r>
      <w:r w:rsidR="00784752" w:rsidRPr="009E674D">
        <w:rPr>
          <w:lang w:val="sq-AL"/>
        </w:rPr>
        <w:t>eja në sektorë produktiv</w:t>
      </w:r>
      <w:r w:rsidR="009E6205">
        <w:rPr>
          <w:lang w:val="sq-AL"/>
        </w:rPr>
        <w:t>ë</w:t>
      </w:r>
      <w:r w:rsidR="00DC45C0" w:rsidRPr="009E674D">
        <w:rPr>
          <w:lang w:val="sq-AL"/>
        </w:rPr>
        <w:t xml:space="preserve"> dhe nxit krijimin e vendeve </w:t>
      </w:r>
      <w:r w:rsidR="000B401D" w:rsidRPr="009E674D">
        <w:rPr>
          <w:lang w:val="sq-AL"/>
        </w:rPr>
        <w:t>cilësor</w:t>
      </w:r>
      <w:r w:rsidR="000B401D">
        <w:rPr>
          <w:lang w:val="sq-AL"/>
        </w:rPr>
        <w:t>e</w:t>
      </w:r>
      <w:r w:rsidR="000B401D" w:rsidRPr="009E674D">
        <w:rPr>
          <w:lang w:val="sq-AL"/>
        </w:rPr>
        <w:t xml:space="preserve"> </w:t>
      </w:r>
      <w:r w:rsidR="00DC45C0" w:rsidRPr="009E674D">
        <w:rPr>
          <w:lang w:val="sq-AL"/>
        </w:rPr>
        <w:t>t</w:t>
      </w:r>
      <w:r w:rsidR="00784752" w:rsidRPr="009E674D">
        <w:rPr>
          <w:lang w:val="sq-AL"/>
        </w:rPr>
        <w:t>ë</w:t>
      </w:r>
      <w:r w:rsidR="00DC45C0" w:rsidRPr="009E674D">
        <w:rPr>
          <w:lang w:val="sq-AL"/>
        </w:rPr>
        <w:t xml:space="preserve"> pun</w:t>
      </w:r>
      <w:r w:rsidR="00784752" w:rsidRPr="009E674D">
        <w:rPr>
          <w:lang w:val="sq-AL"/>
        </w:rPr>
        <w:t>ë</w:t>
      </w:r>
      <w:r w:rsidR="00DC45C0" w:rsidRPr="009E674D">
        <w:rPr>
          <w:lang w:val="sq-AL"/>
        </w:rPr>
        <w:t xml:space="preserve">s. </w:t>
      </w:r>
      <w:r w:rsidR="005833CC" w:rsidRPr="009E674D">
        <w:rPr>
          <w:lang w:val="sq-AL"/>
        </w:rPr>
        <w:t xml:space="preserve"> Ndon</w:t>
      </w:r>
      <w:r w:rsidR="00784752" w:rsidRPr="009E674D">
        <w:rPr>
          <w:lang w:val="sq-AL"/>
        </w:rPr>
        <w:t>ë</w:t>
      </w:r>
      <w:r w:rsidR="005833CC" w:rsidRPr="009E674D">
        <w:rPr>
          <w:lang w:val="sq-AL"/>
        </w:rPr>
        <w:t>se</w:t>
      </w:r>
      <w:r w:rsidR="00312D8F" w:rsidRPr="009E674D">
        <w:rPr>
          <w:lang w:val="sq-AL"/>
        </w:rPr>
        <w:t xml:space="preserve"> përgjatë viteve</w:t>
      </w:r>
      <w:r w:rsidR="00DC339A">
        <w:rPr>
          <w:lang w:val="sq-AL"/>
        </w:rPr>
        <w:t>,</w:t>
      </w:r>
      <w:r w:rsidR="00DC45C0" w:rsidRPr="009E674D">
        <w:rPr>
          <w:lang w:val="sq-AL"/>
        </w:rPr>
        <w:t xml:space="preserve"> </w:t>
      </w:r>
      <w:r w:rsidR="005833CC" w:rsidRPr="009E674D">
        <w:rPr>
          <w:lang w:val="sq-AL"/>
        </w:rPr>
        <w:t>e</w:t>
      </w:r>
      <w:r w:rsidR="00DC45C0" w:rsidRPr="009E674D">
        <w:rPr>
          <w:lang w:val="sq-AL"/>
        </w:rPr>
        <w:t>konomit</w:t>
      </w:r>
      <w:r w:rsidR="00784752" w:rsidRPr="009E674D">
        <w:rPr>
          <w:lang w:val="sq-AL"/>
        </w:rPr>
        <w:t>ë</w:t>
      </w:r>
      <w:r w:rsidR="00DC45C0" w:rsidRPr="009E674D">
        <w:rPr>
          <w:lang w:val="sq-AL"/>
        </w:rPr>
        <w:t xml:space="preserve"> lokale</w:t>
      </w:r>
      <w:r w:rsidR="005833CC" w:rsidRPr="009E674D">
        <w:rPr>
          <w:lang w:val="sq-AL"/>
        </w:rPr>
        <w:t xml:space="preserve"> kan</w:t>
      </w:r>
      <w:r w:rsidR="00784752" w:rsidRPr="009E674D">
        <w:rPr>
          <w:lang w:val="sq-AL"/>
        </w:rPr>
        <w:t>ë</w:t>
      </w:r>
      <w:r w:rsidR="005833CC" w:rsidRPr="009E674D">
        <w:rPr>
          <w:lang w:val="sq-AL"/>
        </w:rPr>
        <w:t xml:space="preserve"> sh</w:t>
      </w:r>
      <w:r w:rsidR="00784752" w:rsidRPr="009E674D">
        <w:rPr>
          <w:lang w:val="sq-AL"/>
        </w:rPr>
        <w:t>ë</w:t>
      </w:r>
      <w:r w:rsidR="005833CC" w:rsidRPr="009E674D">
        <w:rPr>
          <w:lang w:val="sq-AL"/>
        </w:rPr>
        <w:t>nuar progres n</w:t>
      </w:r>
      <w:r w:rsidR="00784752" w:rsidRPr="009E674D">
        <w:rPr>
          <w:lang w:val="sq-AL"/>
        </w:rPr>
        <w:t>ë</w:t>
      </w:r>
      <w:r w:rsidR="005833CC" w:rsidRPr="009E674D">
        <w:rPr>
          <w:lang w:val="sq-AL"/>
        </w:rPr>
        <w:t xml:space="preserve"> p</w:t>
      </w:r>
      <w:r w:rsidR="00784752" w:rsidRPr="009E674D">
        <w:rPr>
          <w:lang w:val="sq-AL"/>
        </w:rPr>
        <w:t>ë</w:t>
      </w:r>
      <w:r w:rsidR="005833CC" w:rsidRPr="009E674D">
        <w:rPr>
          <w:lang w:val="sq-AL"/>
        </w:rPr>
        <w:t>rmir</w:t>
      </w:r>
      <w:r w:rsidR="00784752" w:rsidRPr="009E674D">
        <w:rPr>
          <w:lang w:val="sq-AL"/>
        </w:rPr>
        <w:t>ë</w:t>
      </w:r>
      <w:r w:rsidR="00DC45C0" w:rsidRPr="009E674D">
        <w:rPr>
          <w:lang w:val="sq-AL"/>
        </w:rPr>
        <w:t>simin e konkurrueshm</w:t>
      </w:r>
      <w:r w:rsidR="00784752" w:rsidRPr="009E674D">
        <w:rPr>
          <w:lang w:val="sq-AL"/>
        </w:rPr>
        <w:t>ë</w:t>
      </w:r>
      <w:r w:rsidR="00DC45C0" w:rsidRPr="009E674D">
        <w:rPr>
          <w:lang w:val="sq-AL"/>
        </w:rPr>
        <w:t>ris</w:t>
      </w:r>
      <w:r w:rsidR="00784752" w:rsidRPr="009E674D">
        <w:rPr>
          <w:lang w:val="sq-AL"/>
        </w:rPr>
        <w:t>ë</w:t>
      </w:r>
      <w:r w:rsidR="00DC45C0" w:rsidRPr="009E674D">
        <w:rPr>
          <w:lang w:val="sq-AL"/>
        </w:rPr>
        <w:t xml:space="preserve"> s</w:t>
      </w:r>
      <w:r w:rsidR="00784752" w:rsidRPr="009E674D">
        <w:rPr>
          <w:lang w:val="sq-AL"/>
        </w:rPr>
        <w:t>ë</w:t>
      </w:r>
      <w:r w:rsidR="00DC45C0" w:rsidRPr="009E674D">
        <w:rPr>
          <w:lang w:val="sq-AL"/>
        </w:rPr>
        <w:t xml:space="preserve"> </w:t>
      </w:r>
      <w:r w:rsidR="005833CC" w:rsidRPr="009E674D">
        <w:rPr>
          <w:lang w:val="sq-AL"/>
        </w:rPr>
        <w:t xml:space="preserve">tyre, </w:t>
      </w:r>
      <w:r w:rsidR="00DC45C0" w:rsidRPr="009E674D">
        <w:rPr>
          <w:lang w:val="sq-AL"/>
        </w:rPr>
        <w:t>ato ende ballafaqohen me munges</w:t>
      </w:r>
      <w:r w:rsidR="00784752" w:rsidRPr="009E674D">
        <w:rPr>
          <w:lang w:val="sq-AL"/>
        </w:rPr>
        <w:t>ë</w:t>
      </w:r>
      <w:r w:rsidR="00DC45C0" w:rsidRPr="009E674D">
        <w:rPr>
          <w:lang w:val="sq-AL"/>
        </w:rPr>
        <w:t xml:space="preserve"> t</w:t>
      </w:r>
      <w:r w:rsidR="00784752" w:rsidRPr="009E674D">
        <w:rPr>
          <w:lang w:val="sq-AL"/>
        </w:rPr>
        <w:t>ë</w:t>
      </w:r>
      <w:r w:rsidR="00DC45C0" w:rsidRPr="009E674D">
        <w:rPr>
          <w:lang w:val="sq-AL"/>
        </w:rPr>
        <w:t xml:space="preserve"> investimeve n</w:t>
      </w:r>
      <w:r w:rsidR="00784752" w:rsidRPr="009E674D">
        <w:rPr>
          <w:lang w:val="sq-AL"/>
        </w:rPr>
        <w:t>ë</w:t>
      </w:r>
      <w:r w:rsidR="009E674D">
        <w:rPr>
          <w:lang w:val="sq-AL"/>
        </w:rPr>
        <w:t xml:space="preserve"> veprimtari</w:t>
      </w:r>
      <w:r w:rsidR="00FF30C7" w:rsidRPr="009E674D">
        <w:rPr>
          <w:lang w:val="sq-AL"/>
        </w:rPr>
        <w:t xml:space="preserve"> ekonomike</w:t>
      </w:r>
      <w:r w:rsidR="00DC45C0" w:rsidRPr="009E674D">
        <w:rPr>
          <w:lang w:val="sq-AL"/>
        </w:rPr>
        <w:t xml:space="preserve"> me vler</w:t>
      </w:r>
      <w:r w:rsidR="00784752" w:rsidRPr="009E674D">
        <w:rPr>
          <w:lang w:val="sq-AL"/>
        </w:rPr>
        <w:t>ë</w:t>
      </w:r>
      <w:r w:rsidR="00DC45C0" w:rsidRPr="009E674D">
        <w:rPr>
          <w:lang w:val="sq-AL"/>
        </w:rPr>
        <w:t xml:space="preserve"> t</w:t>
      </w:r>
      <w:r w:rsidR="00784752" w:rsidRPr="009E674D">
        <w:rPr>
          <w:lang w:val="sq-AL"/>
        </w:rPr>
        <w:t>ë</w:t>
      </w:r>
      <w:r w:rsidR="00DC45C0" w:rsidRPr="009E674D">
        <w:rPr>
          <w:lang w:val="sq-AL"/>
        </w:rPr>
        <w:t xml:space="preserve"> shtuar, </w:t>
      </w:r>
      <w:r w:rsidR="00784752" w:rsidRPr="009E674D">
        <w:rPr>
          <w:lang w:val="sq-AL"/>
        </w:rPr>
        <w:t xml:space="preserve">kanë </w:t>
      </w:r>
      <w:r w:rsidR="00DC45C0" w:rsidRPr="009E674D">
        <w:rPr>
          <w:lang w:val="sq-AL"/>
        </w:rPr>
        <w:t>produktivitet relativisht t</w:t>
      </w:r>
      <w:r w:rsidR="00784752" w:rsidRPr="009E674D">
        <w:rPr>
          <w:lang w:val="sq-AL"/>
        </w:rPr>
        <w:t>ë</w:t>
      </w:r>
      <w:r w:rsidR="00DC45C0" w:rsidRPr="009E674D">
        <w:rPr>
          <w:lang w:val="sq-AL"/>
        </w:rPr>
        <w:t xml:space="preserve"> ul</w:t>
      </w:r>
      <w:r w:rsidR="00784752" w:rsidRPr="009E674D">
        <w:rPr>
          <w:lang w:val="sq-AL"/>
        </w:rPr>
        <w:t>ë</w:t>
      </w:r>
      <w:r w:rsidR="00DC45C0" w:rsidRPr="009E674D">
        <w:rPr>
          <w:lang w:val="sq-AL"/>
        </w:rPr>
        <w:t>t dhe kan</w:t>
      </w:r>
      <w:r w:rsidR="00784752" w:rsidRPr="009E674D">
        <w:rPr>
          <w:lang w:val="sq-AL"/>
        </w:rPr>
        <w:t>ë</w:t>
      </w:r>
      <w:r w:rsidR="00DC45C0" w:rsidRPr="009E674D">
        <w:rPr>
          <w:lang w:val="sq-AL"/>
        </w:rPr>
        <w:t xml:space="preserve"> ngelur </w:t>
      </w:r>
      <w:r w:rsidR="000B401D">
        <w:rPr>
          <w:lang w:val="sq-AL"/>
        </w:rPr>
        <w:t>p</w:t>
      </w:r>
      <w:r w:rsidR="000B401D" w:rsidRPr="009E674D">
        <w:rPr>
          <w:lang w:val="sq-AL"/>
        </w:rPr>
        <w:t xml:space="preserve">rapa </w:t>
      </w:r>
      <w:r w:rsidR="00DC45C0" w:rsidRPr="009E674D">
        <w:rPr>
          <w:lang w:val="sq-AL"/>
        </w:rPr>
        <w:t>sa i p</w:t>
      </w:r>
      <w:r w:rsidR="00784752" w:rsidRPr="009E674D">
        <w:rPr>
          <w:lang w:val="sq-AL"/>
        </w:rPr>
        <w:t>ë</w:t>
      </w:r>
      <w:r w:rsidR="00DC339A">
        <w:rPr>
          <w:lang w:val="sq-AL"/>
        </w:rPr>
        <w:t>rket trende</w:t>
      </w:r>
      <w:r w:rsidR="00DC45C0" w:rsidRPr="009E674D">
        <w:rPr>
          <w:lang w:val="sq-AL"/>
        </w:rPr>
        <w:t xml:space="preserve">ve </w:t>
      </w:r>
      <w:r w:rsidR="00DC339A">
        <w:rPr>
          <w:lang w:val="sq-AL"/>
        </w:rPr>
        <w:t xml:space="preserve">globale </w:t>
      </w:r>
      <w:r w:rsidR="00784752" w:rsidRPr="009E674D">
        <w:rPr>
          <w:lang w:val="sq-AL"/>
        </w:rPr>
        <w:t xml:space="preserve">të </w:t>
      </w:r>
      <w:r w:rsidR="00DC45C0" w:rsidRPr="009E674D">
        <w:rPr>
          <w:lang w:val="sq-AL"/>
        </w:rPr>
        <w:t>digjitalizim</w:t>
      </w:r>
      <w:r w:rsidR="00784752" w:rsidRPr="009E674D">
        <w:rPr>
          <w:lang w:val="sq-AL"/>
        </w:rPr>
        <w:t>it</w:t>
      </w:r>
      <w:r w:rsidR="00DC45C0" w:rsidRPr="009E674D">
        <w:rPr>
          <w:lang w:val="sq-AL"/>
        </w:rPr>
        <w:t xml:space="preserve"> dhe inovacion</w:t>
      </w:r>
      <w:r w:rsidR="00784752" w:rsidRPr="009E674D">
        <w:rPr>
          <w:lang w:val="sq-AL"/>
        </w:rPr>
        <w:t>it</w:t>
      </w:r>
      <w:r w:rsidR="00DC45C0" w:rsidRPr="009E674D">
        <w:rPr>
          <w:lang w:val="sq-AL"/>
        </w:rPr>
        <w:t>.</w:t>
      </w:r>
      <w:r w:rsidR="00FF30C7" w:rsidRPr="009E674D">
        <w:rPr>
          <w:lang w:val="sq-AL"/>
        </w:rPr>
        <w:t xml:space="preserve"> Për </w:t>
      </w:r>
      <w:r w:rsidR="000B401D" w:rsidRPr="009E674D">
        <w:rPr>
          <w:lang w:val="sq-AL"/>
        </w:rPr>
        <w:t>t</w:t>
      </w:r>
      <w:r w:rsidR="000B401D">
        <w:rPr>
          <w:lang w:val="sq-AL"/>
        </w:rPr>
        <w:t>a</w:t>
      </w:r>
      <w:r w:rsidR="000B401D" w:rsidRPr="009E674D">
        <w:rPr>
          <w:lang w:val="sq-AL"/>
        </w:rPr>
        <w:t xml:space="preserve"> </w:t>
      </w:r>
      <w:r w:rsidR="00FF30C7" w:rsidRPr="009E674D">
        <w:rPr>
          <w:lang w:val="sq-AL"/>
        </w:rPr>
        <w:t>krijuar një ek</w:t>
      </w:r>
      <w:r w:rsidR="00312D8F" w:rsidRPr="009E674D">
        <w:rPr>
          <w:lang w:val="sq-AL"/>
        </w:rPr>
        <w:t>onomi lokale konkurruese, PNZHEL</w:t>
      </w:r>
      <w:r w:rsidR="007C4EB3" w:rsidRPr="009E674D">
        <w:rPr>
          <w:lang w:val="sq-AL"/>
        </w:rPr>
        <w:t xml:space="preserve"> 2030</w:t>
      </w:r>
      <w:r w:rsidR="00FF30C7" w:rsidRPr="009E674D">
        <w:rPr>
          <w:lang w:val="sq-AL"/>
        </w:rPr>
        <w:t xml:space="preserve"> parasheh që të rriten investimet në fushat me potencial për zhvillim ekonomik, të rritet produktiviteti në bujqësi </w:t>
      </w:r>
      <w:r w:rsidR="00524E30" w:rsidRPr="009E674D">
        <w:rPr>
          <w:lang w:val="sq-AL"/>
        </w:rPr>
        <w:t>dhe të promovohet turi</w:t>
      </w:r>
      <w:r w:rsidR="00DC339A">
        <w:rPr>
          <w:lang w:val="sq-AL"/>
        </w:rPr>
        <w:t>zmi lokal, si dhe të përkrahet ndër</w:t>
      </w:r>
      <w:r w:rsidR="00524E30" w:rsidRPr="009E674D">
        <w:rPr>
          <w:lang w:val="sq-AL"/>
        </w:rPr>
        <w:t xml:space="preserve">marrësia. </w:t>
      </w:r>
    </w:p>
    <w:p w14:paraId="5EC126D3" w14:textId="55E288B8" w:rsidR="00FF30C7" w:rsidRPr="009E674D" w:rsidRDefault="00BE1CC8" w:rsidP="009E674D">
      <w:pPr>
        <w:jc w:val="both"/>
        <w:rPr>
          <w:lang w:val="sq-AL"/>
        </w:rPr>
      </w:pPr>
      <w:r w:rsidRPr="009E674D">
        <w:rPr>
          <w:lang w:val="sq-AL"/>
        </w:rPr>
        <w:t>K</w:t>
      </w:r>
      <w:r w:rsidR="009E674D" w:rsidRPr="009E674D">
        <w:rPr>
          <w:lang w:val="sq-AL"/>
        </w:rPr>
        <w:t>y objektiv</w:t>
      </w:r>
      <w:r w:rsidR="00FF30C7" w:rsidRPr="009E674D">
        <w:rPr>
          <w:lang w:val="sq-AL"/>
        </w:rPr>
        <w:t xml:space="preserve"> ndërlidhet me </w:t>
      </w:r>
      <w:r w:rsidR="009E674D" w:rsidRPr="009E674D">
        <w:rPr>
          <w:lang w:val="sq-AL"/>
        </w:rPr>
        <w:t>Q</w:t>
      </w:r>
      <w:r w:rsidR="00CB16CF" w:rsidRPr="009E674D">
        <w:rPr>
          <w:lang w:val="sq-AL"/>
        </w:rPr>
        <w:t>ëllimin</w:t>
      </w:r>
      <w:r w:rsidR="009E674D" w:rsidRPr="009E674D">
        <w:rPr>
          <w:lang w:val="sq-AL"/>
        </w:rPr>
        <w:t xml:space="preserve"> I të SKZH-së dhe PKZH-së për të krijuar</w:t>
      </w:r>
      <w:r w:rsidR="00FF30C7" w:rsidRPr="009E674D">
        <w:rPr>
          <w:lang w:val="sq-AL"/>
        </w:rPr>
        <w:t xml:space="preserve"> një ekonomi digjitale, qarkore dhe konkurruese</w:t>
      </w:r>
      <w:r w:rsidR="00A548A5" w:rsidRPr="009E674D">
        <w:rPr>
          <w:lang w:val="sq-AL"/>
        </w:rPr>
        <w:t xml:space="preserve">. </w:t>
      </w:r>
      <w:r w:rsidR="009E674D" w:rsidRPr="009E674D">
        <w:rPr>
          <w:lang w:val="sq-AL"/>
        </w:rPr>
        <w:t>Gjithashtu, ky objektiv lidhet me Strategjinë për zhvillimin e industrisë dhe mbështetjen e bizneseve, Strategjinë për ndërmarrësi dhe inovacion, si dhe me Strategjinë për bujqësi dhe zhvillim rural. Përmbushja e këtij objektivi</w:t>
      </w:r>
      <w:r w:rsidR="006D2E9E" w:rsidRPr="009E674D">
        <w:rPr>
          <w:lang w:val="sq-AL"/>
        </w:rPr>
        <w:t xml:space="preserve"> do të ndikojë drejtpërdrejt në arritjen</w:t>
      </w:r>
      <w:r w:rsidR="00732F17" w:rsidRPr="009E674D">
        <w:rPr>
          <w:lang w:val="sq-AL"/>
        </w:rPr>
        <w:t xml:space="preserve"> e</w:t>
      </w:r>
      <w:r w:rsidR="006D2E9E" w:rsidRPr="009E674D">
        <w:rPr>
          <w:lang w:val="sq-AL"/>
        </w:rPr>
        <w:t xml:space="preserve"> Objektivave për Zhvillim të</w:t>
      </w:r>
      <w:r w:rsidR="00312D8F" w:rsidRPr="009E674D">
        <w:rPr>
          <w:lang w:val="sq-AL"/>
        </w:rPr>
        <w:t xml:space="preserve"> </w:t>
      </w:r>
      <w:r w:rsidRPr="009E674D">
        <w:rPr>
          <w:lang w:val="sq-AL"/>
        </w:rPr>
        <w:t>Qëndrueshëm (SDG), përkatësish</w:t>
      </w:r>
      <w:r w:rsidR="00DC339A">
        <w:rPr>
          <w:lang w:val="sq-AL"/>
        </w:rPr>
        <w:t>t</w:t>
      </w:r>
      <w:r w:rsidR="00312D8F" w:rsidRPr="009E674D">
        <w:rPr>
          <w:lang w:val="sq-AL"/>
        </w:rPr>
        <w:t xml:space="preserve"> Objektiv</w:t>
      </w:r>
      <w:r w:rsidR="009E674D" w:rsidRPr="009E674D">
        <w:rPr>
          <w:lang w:val="sq-AL"/>
        </w:rPr>
        <w:t>in</w:t>
      </w:r>
      <w:r w:rsidR="006D2E9E" w:rsidRPr="009E674D">
        <w:rPr>
          <w:lang w:val="sq-AL"/>
        </w:rPr>
        <w:t xml:space="preserve"> 8 (Punë dinjitoze dhe rritje ekonomike), </w:t>
      </w:r>
      <w:r w:rsidR="00312D8F" w:rsidRPr="009E674D">
        <w:rPr>
          <w:lang w:val="sq-AL"/>
        </w:rPr>
        <w:t>Objektiv</w:t>
      </w:r>
      <w:r w:rsidR="009E674D" w:rsidRPr="009E674D">
        <w:rPr>
          <w:lang w:val="sq-AL"/>
        </w:rPr>
        <w:t>in</w:t>
      </w:r>
      <w:r w:rsidR="006D2E9E" w:rsidRPr="009E674D">
        <w:rPr>
          <w:lang w:val="sq-AL"/>
        </w:rPr>
        <w:t xml:space="preserve"> 9 (Industri, inovacion dh</w:t>
      </w:r>
      <w:r w:rsidR="00312D8F" w:rsidRPr="009E674D">
        <w:rPr>
          <w:lang w:val="sq-AL"/>
        </w:rPr>
        <w:t xml:space="preserve">e infrastrukturë) dhe </w:t>
      </w:r>
      <w:r w:rsidR="00947DD1" w:rsidRPr="009E674D">
        <w:rPr>
          <w:lang w:val="sq-AL"/>
        </w:rPr>
        <w:t>Objektiv</w:t>
      </w:r>
      <w:r w:rsidR="009E674D" w:rsidRPr="009E674D">
        <w:rPr>
          <w:lang w:val="sq-AL"/>
        </w:rPr>
        <w:t>in</w:t>
      </w:r>
      <w:r w:rsidR="006D2E9E" w:rsidRPr="009E674D">
        <w:rPr>
          <w:lang w:val="sq-AL"/>
        </w:rPr>
        <w:t xml:space="preserve"> 12 (Konsum dhe prodhim i përgjithshëm). </w:t>
      </w:r>
    </w:p>
    <w:p w14:paraId="32FB636A" w14:textId="367EB8CF" w:rsidR="0059254F" w:rsidRPr="009E674D" w:rsidRDefault="00A50ED1" w:rsidP="0059254F">
      <w:pPr>
        <w:pStyle w:val="Heading3"/>
        <w:rPr>
          <w:lang w:val="sq-AL"/>
        </w:rPr>
      </w:pPr>
      <w:bookmarkStart w:id="12" w:name="_Toc132188432"/>
      <w:r w:rsidRPr="009E674D">
        <w:rPr>
          <w:lang w:val="sq-AL"/>
        </w:rPr>
        <w:t>O</w:t>
      </w:r>
      <w:r w:rsidR="009E674D">
        <w:rPr>
          <w:lang w:val="sq-AL"/>
        </w:rPr>
        <w:t>bjektivi</w:t>
      </w:r>
      <w:r w:rsidR="0059254F" w:rsidRPr="009E674D">
        <w:rPr>
          <w:lang w:val="sq-AL"/>
        </w:rPr>
        <w:t xml:space="preserve"> </w:t>
      </w:r>
      <w:r w:rsidR="009E674D">
        <w:rPr>
          <w:lang w:val="sq-AL"/>
        </w:rPr>
        <w:t>specifik</w:t>
      </w:r>
      <w:r w:rsidRPr="009E674D">
        <w:rPr>
          <w:lang w:val="sq-AL"/>
        </w:rPr>
        <w:t xml:space="preserve"> </w:t>
      </w:r>
      <w:r w:rsidR="0059254F" w:rsidRPr="009E674D">
        <w:rPr>
          <w:lang w:val="sq-AL"/>
        </w:rPr>
        <w:t>1.1:  Rritja e investimeve në fushat me potencial për zhvillim ekonomik lokal</w:t>
      </w:r>
      <w:bookmarkEnd w:id="12"/>
    </w:p>
    <w:p w14:paraId="7121AF86" w14:textId="086B6590" w:rsidR="00BC4295" w:rsidRPr="009E674D" w:rsidRDefault="00524E30" w:rsidP="00A548A5">
      <w:pPr>
        <w:jc w:val="both"/>
        <w:rPr>
          <w:lang w:val="sq-AL"/>
        </w:rPr>
      </w:pPr>
      <w:r w:rsidRPr="009E674D">
        <w:rPr>
          <w:lang w:val="sq-AL"/>
        </w:rPr>
        <w:br/>
      </w:r>
      <w:r w:rsidR="0059254F" w:rsidRPr="009E674D">
        <w:rPr>
          <w:lang w:val="sq-AL"/>
        </w:rPr>
        <w:t xml:space="preserve">Mobilizimi i investimeve, qoftë vendore apo të huaja, është i rëndësishëm për rritjen e nivelit </w:t>
      </w:r>
      <w:r w:rsidR="00C52A29" w:rsidRPr="009E674D">
        <w:rPr>
          <w:lang w:val="sq-AL"/>
        </w:rPr>
        <w:t xml:space="preserve">të </w:t>
      </w:r>
      <w:r w:rsidR="00DC339A" w:rsidRPr="009E674D">
        <w:rPr>
          <w:lang w:val="sq-AL"/>
        </w:rPr>
        <w:t>konk</w:t>
      </w:r>
      <w:r w:rsidR="00DC339A">
        <w:rPr>
          <w:lang w:val="sq-AL"/>
        </w:rPr>
        <w:t>u</w:t>
      </w:r>
      <w:r w:rsidR="00DC339A" w:rsidRPr="009E674D">
        <w:rPr>
          <w:lang w:val="sq-AL"/>
        </w:rPr>
        <w:t>rru</w:t>
      </w:r>
      <w:r w:rsidR="00DC339A">
        <w:rPr>
          <w:lang w:val="sq-AL"/>
        </w:rPr>
        <w:t>esh</w:t>
      </w:r>
      <w:r w:rsidR="00DC339A" w:rsidRPr="009E674D">
        <w:rPr>
          <w:lang w:val="sq-AL"/>
        </w:rPr>
        <w:t>mërisë</w:t>
      </w:r>
      <w:r w:rsidR="00BC4295" w:rsidRPr="009E674D">
        <w:rPr>
          <w:lang w:val="sq-AL"/>
        </w:rPr>
        <w:t xml:space="preserve"> së komunave. Investimet e balancuara gjeografikisht i kontribuojnë qasjes gjithëpërfshirëse të zhvillimit dhe bëjnë që asnjë komunë të mos ngelet </w:t>
      </w:r>
      <w:r w:rsidR="000B401D">
        <w:rPr>
          <w:lang w:val="sq-AL"/>
        </w:rPr>
        <w:t>p</w:t>
      </w:r>
      <w:r w:rsidR="000B401D" w:rsidRPr="009E674D">
        <w:rPr>
          <w:lang w:val="sq-AL"/>
        </w:rPr>
        <w:t>rapa</w:t>
      </w:r>
      <w:r w:rsidR="00BC4295" w:rsidRPr="009E674D">
        <w:rPr>
          <w:lang w:val="sq-AL"/>
        </w:rPr>
        <w:t xml:space="preserve">. Për të rritur investimet në fushat me potencial për zhvillim ekonomik lokal, </w:t>
      </w:r>
      <w:r w:rsidR="00312D8F" w:rsidRPr="009E674D">
        <w:rPr>
          <w:lang w:val="sq-AL"/>
        </w:rPr>
        <w:t>PNZHEL</w:t>
      </w:r>
      <w:r w:rsidR="007C4EB3" w:rsidRPr="009E674D">
        <w:rPr>
          <w:lang w:val="sq-AL"/>
        </w:rPr>
        <w:t xml:space="preserve"> 2030</w:t>
      </w:r>
      <w:r w:rsidR="00BC4295" w:rsidRPr="009E674D">
        <w:rPr>
          <w:lang w:val="sq-AL"/>
        </w:rPr>
        <w:t xml:space="preserve"> parasheh që</w:t>
      </w:r>
      <w:r w:rsidR="00C52A29" w:rsidRPr="009E674D">
        <w:rPr>
          <w:lang w:val="sq-AL"/>
        </w:rPr>
        <w:t xml:space="preserve"> komunat </w:t>
      </w:r>
      <w:r w:rsidR="00BC4295" w:rsidRPr="009E674D">
        <w:rPr>
          <w:lang w:val="sq-AL"/>
        </w:rPr>
        <w:t xml:space="preserve">të </w:t>
      </w:r>
      <w:r w:rsidR="00C52A29" w:rsidRPr="009E674D">
        <w:rPr>
          <w:lang w:val="sq-AL"/>
        </w:rPr>
        <w:t>angazhohen</w:t>
      </w:r>
      <w:r w:rsidR="00BC4295" w:rsidRPr="009E674D">
        <w:rPr>
          <w:lang w:val="sq-AL"/>
        </w:rPr>
        <w:t xml:space="preserve"> në promovim të investimeve</w:t>
      </w:r>
      <w:r w:rsidR="00C52A29" w:rsidRPr="009E674D">
        <w:rPr>
          <w:lang w:val="sq-AL"/>
        </w:rPr>
        <w:t>,</w:t>
      </w:r>
      <w:r w:rsidR="00BC4295" w:rsidRPr="009E674D">
        <w:rPr>
          <w:lang w:val="sq-AL"/>
        </w:rPr>
        <w:t xml:space="preserve"> duke</w:t>
      </w:r>
      <w:r w:rsidR="00C52A29" w:rsidRPr="009E674D">
        <w:rPr>
          <w:lang w:val="sq-AL"/>
        </w:rPr>
        <w:t xml:space="preserve"> hartuar profile ekonomike dhe materiale tjera promovuese</w:t>
      </w:r>
      <w:r w:rsidR="008B4706" w:rsidRPr="009E674D">
        <w:rPr>
          <w:lang w:val="sq-AL"/>
        </w:rPr>
        <w:t>,</w:t>
      </w:r>
      <w:r w:rsidR="00C52A29" w:rsidRPr="009E674D">
        <w:rPr>
          <w:lang w:val="sq-AL"/>
        </w:rPr>
        <w:t xml:space="preserve"> </w:t>
      </w:r>
      <w:r w:rsidR="00F84DDB">
        <w:rPr>
          <w:lang w:val="sq-AL"/>
        </w:rPr>
        <w:t xml:space="preserve">ku </w:t>
      </w:r>
      <w:r w:rsidR="00C52A29" w:rsidRPr="009E674D">
        <w:rPr>
          <w:lang w:val="sq-AL"/>
        </w:rPr>
        <w:t xml:space="preserve">shfaqen potencialet për investime konform karakteristikave të zonave. </w:t>
      </w:r>
      <w:r w:rsidR="006F6F6D" w:rsidRPr="009E674D">
        <w:rPr>
          <w:lang w:val="sq-AL"/>
        </w:rPr>
        <w:t>Përpos kësaj,</w:t>
      </w:r>
      <w:r w:rsidR="00A548A5" w:rsidRPr="009E674D">
        <w:rPr>
          <w:lang w:val="sq-AL"/>
        </w:rPr>
        <w:t xml:space="preserve"> është e domosdoshme që të ketë ngritje të resurseve njerëzore brenda komunave për të siguruar promovim sistematik të investimeve.  </w:t>
      </w:r>
      <w:r w:rsidR="008B4706" w:rsidRPr="009E674D">
        <w:rPr>
          <w:lang w:val="sq-AL"/>
        </w:rPr>
        <w:t>Lirimi nga tatimi</w:t>
      </w:r>
      <w:r w:rsidR="00C52A29" w:rsidRPr="009E674D">
        <w:rPr>
          <w:lang w:val="sq-AL"/>
        </w:rPr>
        <w:t xml:space="preserve"> në pronë</w:t>
      </w:r>
      <w:r w:rsidR="006F6F6D" w:rsidRPr="009E674D">
        <w:rPr>
          <w:lang w:val="sq-AL"/>
        </w:rPr>
        <w:t xml:space="preserve"> do të</w:t>
      </w:r>
      <w:r w:rsidR="008B4706" w:rsidRPr="009E674D">
        <w:rPr>
          <w:lang w:val="sq-AL"/>
        </w:rPr>
        <w:t xml:space="preserve"> mund të shfrytëzohet si një instrument fiskal për </w:t>
      </w:r>
      <w:r w:rsidR="000B401D" w:rsidRPr="009E674D">
        <w:rPr>
          <w:lang w:val="sq-AL"/>
        </w:rPr>
        <w:t>t</w:t>
      </w:r>
      <w:r w:rsidR="000B401D">
        <w:rPr>
          <w:lang w:val="sq-AL"/>
        </w:rPr>
        <w:t>’i</w:t>
      </w:r>
      <w:r w:rsidR="000B401D" w:rsidRPr="009E674D">
        <w:rPr>
          <w:lang w:val="sq-AL"/>
        </w:rPr>
        <w:t xml:space="preserve"> </w:t>
      </w:r>
      <w:r w:rsidR="008B4706" w:rsidRPr="009E674D">
        <w:rPr>
          <w:lang w:val="sq-AL"/>
        </w:rPr>
        <w:t xml:space="preserve">stimuluar </w:t>
      </w:r>
      <w:r w:rsidR="00C52A29" w:rsidRPr="009E674D">
        <w:rPr>
          <w:lang w:val="sq-AL"/>
        </w:rPr>
        <w:t>investimet e natyrës më strategjike</w:t>
      </w:r>
      <w:r w:rsidR="008B4706" w:rsidRPr="009E674D">
        <w:rPr>
          <w:lang w:val="sq-AL"/>
        </w:rPr>
        <w:t>. Fjala është për investime të cilat kanë vlerë më të lartë dhe potencial për të krijuar më shumë vende të punës. Pronat të cilat jan</w:t>
      </w:r>
      <w:r w:rsidR="006F6F6D" w:rsidRPr="009E674D">
        <w:rPr>
          <w:lang w:val="sq-AL"/>
        </w:rPr>
        <w:t>ë në pronësi të komunës, do t</w:t>
      </w:r>
      <w:r w:rsidR="008B4706" w:rsidRPr="009E674D">
        <w:rPr>
          <w:lang w:val="sq-AL"/>
        </w:rPr>
        <w:t>ë klasifikohen më mirë</w:t>
      </w:r>
      <w:r w:rsidR="009E674D">
        <w:rPr>
          <w:lang w:val="sq-AL"/>
        </w:rPr>
        <w:t>,</w:t>
      </w:r>
      <w:r w:rsidR="008B4706" w:rsidRPr="009E674D">
        <w:rPr>
          <w:lang w:val="sq-AL"/>
        </w:rPr>
        <w:t xml:space="preserve"> që t</w:t>
      </w:r>
      <w:r w:rsidR="00A548A5" w:rsidRPr="009E674D">
        <w:rPr>
          <w:lang w:val="sq-AL"/>
        </w:rPr>
        <w:t xml:space="preserve">ë dihet </w:t>
      </w:r>
      <w:r w:rsidR="000B401D">
        <w:rPr>
          <w:lang w:val="sq-AL"/>
        </w:rPr>
        <w:t xml:space="preserve">se </w:t>
      </w:r>
      <w:r w:rsidR="00A548A5" w:rsidRPr="009E674D">
        <w:rPr>
          <w:lang w:val="sq-AL"/>
        </w:rPr>
        <w:t xml:space="preserve">cilat </w:t>
      </w:r>
      <w:r w:rsidR="000B401D">
        <w:rPr>
          <w:lang w:val="sq-AL"/>
        </w:rPr>
        <w:t xml:space="preserve">nga ato </w:t>
      </w:r>
      <w:r w:rsidR="00A548A5" w:rsidRPr="009E674D">
        <w:rPr>
          <w:lang w:val="sq-AL"/>
        </w:rPr>
        <w:t>mund të shfrytëzohen për të pë</w:t>
      </w:r>
      <w:r w:rsidR="007827C3" w:rsidRPr="009E674D">
        <w:rPr>
          <w:lang w:val="sq-AL"/>
        </w:rPr>
        <w:t xml:space="preserve">rkrahur investimet. </w:t>
      </w:r>
      <w:r w:rsidR="00A548A5" w:rsidRPr="009E674D">
        <w:rPr>
          <w:lang w:val="sq-AL"/>
        </w:rPr>
        <w:t>Gjithashtu, e</w:t>
      </w:r>
      <w:r w:rsidR="008B4706" w:rsidRPr="009E674D">
        <w:rPr>
          <w:lang w:val="sq-AL"/>
        </w:rPr>
        <w:t>kzistojnë prona në</w:t>
      </w:r>
      <w:r w:rsidR="009E674D">
        <w:rPr>
          <w:lang w:val="sq-AL"/>
        </w:rPr>
        <w:t>n</w:t>
      </w:r>
      <w:r w:rsidR="008B4706" w:rsidRPr="009E674D">
        <w:rPr>
          <w:lang w:val="sq-AL"/>
        </w:rPr>
        <w:t xml:space="preserve"> menaxhimin e AKP-së, të cilat mund të kalojnë nën menaxhim të komunave dhe të shfrytëzohen për nxitje të investimeve, porse është e nevojshme që të thjeshtohen procedurat për</w:t>
      </w:r>
      <w:r w:rsidR="009E674D">
        <w:rPr>
          <w:lang w:val="sq-AL"/>
        </w:rPr>
        <w:t xml:space="preserve"> bartje të menaxhimit nga AKP-ja te</w:t>
      </w:r>
      <w:r w:rsidR="008B4706" w:rsidRPr="009E674D">
        <w:rPr>
          <w:lang w:val="sq-AL"/>
        </w:rPr>
        <w:t xml:space="preserve"> komuna</w:t>
      </w:r>
      <w:r w:rsidR="009E674D">
        <w:rPr>
          <w:lang w:val="sq-AL"/>
        </w:rPr>
        <w:t>t</w:t>
      </w:r>
      <w:r w:rsidR="008B4706" w:rsidRPr="009E674D">
        <w:rPr>
          <w:lang w:val="sq-AL"/>
        </w:rPr>
        <w:t xml:space="preserve">. </w:t>
      </w:r>
      <w:r w:rsidR="006F6F6D" w:rsidRPr="009E674D">
        <w:rPr>
          <w:lang w:val="sq-AL"/>
        </w:rPr>
        <w:t>Komunave do</w:t>
      </w:r>
      <w:r w:rsidR="00A548A5" w:rsidRPr="009E674D">
        <w:rPr>
          <w:lang w:val="sq-AL"/>
        </w:rPr>
        <w:t xml:space="preserve"> t’u sigurohet mundësi që të ofrojnë garanci kreditore për ndërmarrjet</w:t>
      </w:r>
      <w:r w:rsidR="00B86FCC">
        <w:rPr>
          <w:lang w:val="sq-AL"/>
        </w:rPr>
        <w:t>, ashtu</w:t>
      </w:r>
      <w:r w:rsidR="00A548A5" w:rsidRPr="009E674D">
        <w:rPr>
          <w:lang w:val="sq-AL"/>
        </w:rPr>
        <w:t xml:space="preserve"> që ta përmirësojnë qasjen e tyre në financa. Krijimi i parqeve industriale të </w:t>
      </w:r>
      <w:r w:rsidR="00A548A5" w:rsidRPr="009E674D">
        <w:rPr>
          <w:lang w:val="sq-AL"/>
        </w:rPr>
        <w:lastRenderedPageBreak/>
        <w:t>specializuara me ve</w:t>
      </w:r>
      <w:r w:rsidR="006F6F6D" w:rsidRPr="009E674D">
        <w:rPr>
          <w:lang w:val="sq-AL"/>
        </w:rPr>
        <w:t>çori miqësore për mjedisin</w:t>
      </w:r>
      <w:r w:rsidR="00B86FCC">
        <w:rPr>
          <w:lang w:val="sq-AL"/>
        </w:rPr>
        <w:t>,</w:t>
      </w:r>
      <w:r w:rsidR="006F6F6D" w:rsidRPr="009E674D">
        <w:rPr>
          <w:lang w:val="sq-AL"/>
        </w:rPr>
        <w:t xml:space="preserve"> </w:t>
      </w:r>
      <w:r w:rsidR="00A548A5" w:rsidRPr="009E674D">
        <w:rPr>
          <w:lang w:val="sq-AL"/>
        </w:rPr>
        <w:t xml:space="preserve">gjithashtu </w:t>
      </w:r>
      <w:r w:rsidR="00B86FCC" w:rsidRPr="009E674D">
        <w:rPr>
          <w:lang w:val="sq-AL"/>
        </w:rPr>
        <w:t xml:space="preserve">duhet </w:t>
      </w:r>
      <w:r w:rsidR="00A548A5" w:rsidRPr="009E674D">
        <w:rPr>
          <w:lang w:val="sq-AL"/>
        </w:rPr>
        <w:t>të jetë në mesin e prioriteteve të komunave</w:t>
      </w:r>
      <w:r w:rsidR="006F6F6D" w:rsidRPr="009E674D">
        <w:rPr>
          <w:lang w:val="sq-AL"/>
        </w:rPr>
        <w:t xml:space="preserve"> për</w:t>
      </w:r>
      <w:r w:rsidR="00CB16CF" w:rsidRPr="009E674D">
        <w:rPr>
          <w:lang w:val="sq-AL"/>
        </w:rPr>
        <w:t xml:space="preserve"> nxitje</w:t>
      </w:r>
      <w:r w:rsidR="00A548A5" w:rsidRPr="009E674D">
        <w:rPr>
          <w:lang w:val="sq-AL"/>
        </w:rPr>
        <w:t xml:space="preserve"> të investimeve. </w:t>
      </w:r>
    </w:p>
    <w:p w14:paraId="3457959A" w14:textId="71452476" w:rsidR="00A85804" w:rsidRPr="009E674D" w:rsidRDefault="009E674D" w:rsidP="00CB16CF">
      <w:pPr>
        <w:rPr>
          <w:lang w:val="sq-AL"/>
        </w:rPr>
      </w:pPr>
      <w:r w:rsidRPr="009E674D">
        <w:rPr>
          <w:lang w:val="sq-AL"/>
        </w:rPr>
        <w:t>Ky objektiv specifik lidhet me Objektivin</w:t>
      </w:r>
      <w:r w:rsidR="00CB16CF" w:rsidRPr="009E674D">
        <w:rPr>
          <w:lang w:val="sq-AL"/>
        </w:rPr>
        <w:t xml:space="preserve"> 1.6</w:t>
      </w:r>
      <w:r w:rsidR="00C639C9" w:rsidRPr="009E674D">
        <w:rPr>
          <w:lang w:val="sq-AL"/>
        </w:rPr>
        <w:t xml:space="preserve"> të SKZH</w:t>
      </w:r>
      <w:r w:rsidR="006D2E9E" w:rsidRPr="009E674D">
        <w:rPr>
          <w:lang w:val="sq-AL"/>
        </w:rPr>
        <w:t>-së</w:t>
      </w:r>
      <w:r w:rsidRPr="009E674D">
        <w:rPr>
          <w:lang w:val="sq-AL"/>
        </w:rPr>
        <w:t xml:space="preserve"> dhe PKZH-së</w:t>
      </w:r>
      <w:r w:rsidR="00CB16CF" w:rsidRPr="009E674D">
        <w:rPr>
          <w:lang w:val="sq-AL"/>
        </w:rPr>
        <w:t>, që synon rritjen e investimeve të orientuara në eksport</w:t>
      </w:r>
      <w:r w:rsidR="006D2E9E" w:rsidRPr="009E674D">
        <w:rPr>
          <w:lang w:val="sq-AL"/>
        </w:rPr>
        <w:t xml:space="preserve">. </w:t>
      </w:r>
    </w:p>
    <w:p w14:paraId="1F12FA68" w14:textId="77777777" w:rsidR="00A85804" w:rsidRPr="009E674D" w:rsidRDefault="00A85804" w:rsidP="00A85804">
      <w:pPr>
        <w:rPr>
          <w:lang w:val="sq-AL"/>
        </w:rPr>
      </w:pPr>
      <w:r w:rsidRPr="009E674D">
        <w:rPr>
          <w:noProof/>
        </w:rPr>
        <mc:AlternateContent>
          <mc:Choice Requires="wps">
            <w:drawing>
              <wp:anchor distT="0" distB="0" distL="114300" distR="114300" simplePos="0" relativeHeight="251750400" behindDoc="0" locked="0" layoutInCell="1" allowOverlap="1" wp14:anchorId="33A5BFE1" wp14:editId="78BEEEF4">
                <wp:simplePos x="0" y="0"/>
                <wp:positionH relativeFrom="margin">
                  <wp:align>right</wp:align>
                </wp:positionH>
                <wp:positionV relativeFrom="paragraph">
                  <wp:posOffset>59821</wp:posOffset>
                </wp:positionV>
                <wp:extent cx="5932805" cy="2345690"/>
                <wp:effectExtent l="0" t="0" r="10795" b="16510"/>
                <wp:wrapNone/>
                <wp:docPr id="13" name="Text Box 13"/>
                <wp:cNvGraphicFramePr/>
                <a:graphic xmlns:a="http://schemas.openxmlformats.org/drawingml/2006/main">
                  <a:graphicData uri="http://schemas.microsoft.com/office/word/2010/wordprocessingShape">
                    <wps:wsp>
                      <wps:cNvSpPr txBox="1"/>
                      <wps:spPr>
                        <a:xfrm>
                          <a:off x="0" y="0"/>
                          <a:ext cx="5932805" cy="2345909"/>
                        </a:xfrm>
                        <a:prstGeom prst="rect">
                          <a:avLst/>
                        </a:prstGeom>
                        <a:solidFill>
                          <a:schemeClr val="accent1">
                            <a:lumMod val="20000"/>
                            <a:lumOff val="80000"/>
                          </a:schemeClr>
                        </a:solidFill>
                        <a:ln>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6181BC7" w14:textId="77777777" w:rsidR="00636E80" w:rsidRPr="00BE1CC8" w:rsidRDefault="00636E80">
                            <w:pPr>
                              <w:rPr>
                                <w:b/>
                                <w:i/>
                                <w:lang w:val="sq-AL"/>
                              </w:rPr>
                            </w:pPr>
                            <w:r w:rsidRPr="00BE1CC8">
                              <w:rPr>
                                <w:b/>
                                <w:i/>
                                <w:lang w:val="sq-AL"/>
                              </w:rPr>
                              <w:t>Të bëhet:</w:t>
                            </w:r>
                          </w:p>
                          <w:p w14:paraId="35EE557B" w14:textId="69131199" w:rsidR="00636E80" w:rsidRPr="006F6F6D" w:rsidRDefault="00636E80" w:rsidP="00A85804">
                            <w:pPr>
                              <w:pStyle w:val="ListParagraph"/>
                              <w:numPr>
                                <w:ilvl w:val="0"/>
                                <w:numId w:val="9"/>
                              </w:numPr>
                              <w:rPr>
                                <w:i/>
                                <w:sz w:val="22"/>
                                <w:szCs w:val="22"/>
                                <w:lang w:val="sq-AL"/>
                              </w:rPr>
                            </w:pPr>
                            <w:r w:rsidRPr="006F6F6D">
                              <w:rPr>
                                <w:i/>
                                <w:sz w:val="22"/>
                                <w:szCs w:val="22"/>
                                <w:lang w:val="sq-AL"/>
                              </w:rPr>
                              <w:t>Hartimi i profileve ekonomike dhe materialeve</w:t>
                            </w:r>
                            <w:r>
                              <w:rPr>
                                <w:i/>
                                <w:sz w:val="22"/>
                                <w:szCs w:val="22"/>
                                <w:lang w:val="sq-AL"/>
                              </w:rPr>
                              <w:t xml:space="preserve"> të</w:t>
                            </w:r>
                            <w:r w:rsidRPr="006F6F6D">
                              <w:rPr>
                                <w:i/>
                                <w:sz w:val="22"/>
                                <w:szCs w:val="22"/>
                                <w:lang w:val="sq-AL"/>
                              </w:rPr>
                              <w:t xml:space="preserve"> tjera promovuese të komunave ku tregohen potencialet për investime</w:t>
                            </w:r>
                          </w:p>
                          <w:p w14:paraId="13522A03" w14:textId="7B752E9F" w:rsidR="00636E80" w:rsidRPr="006F6F6D" w:rsidRDefault="00636E80" w:rsidP="006F6F6D">
                            <w:pPr>
                              <w:pStyle w:val="ListParagraph"/>
                              <w:numPr>
                                <w:ilvl w:val="0"/>
                                <w:numId w:val="9"/>
                              </w:numPr>
                              <w:rPr>
                                <w:i/>
                                <w:sz w:val="22"/>
                                <w:szCs w:val="22"/>
                                <w:lang w:val="sq-AL"/>
                              </w:rPr>
                            </w:pPr>
                            <w:r w:rsidRPr="006F6F6D">
                              <w:rPr>
                                <w:i/>
                                <w:sz w:val="22"/>
                                <w:szCs w:val="22"/>
                                <w:lang w:val="sq-AL"/>
                              </w:rPr>
                              <w:t xml:space="preserve">Ngritja e resurseve njerëzore brenda komunave për t'i promovuar investimet </w:t>
                            </w:r>
                          </w:p>
                          <w:p w14:paraId="52227A79" w14:textId="20ED0EC9" w:rsidR="00636E80" w:rsidRPr="006F6F6D" w:rsidRDefault="00636E80" w:rsidP="00A85804">
                            <w:pPr>
                              <w:pStyle w:val="ListParagraph"/>
                              <w:numPr>
                                <w:ilvl w:val="0"/>
                                <w:numId w:val="9"/>
                              </w:numPr>
                              <w:rPr>
                                <w:i/>
                                <w:sz w:val="22"/>
                                <w:szCs w:val="22"/>
                                <w:lang w:val="sq-AL"/>
                              </w:rPr>
                            </w:pPr>
                            <w:r w:rsidRPr="006F6F6D">
                              <w:rPr>
                                <w:i/>
                                <w:sz w:val="22"/>
                                <w:szCs w:val="22"/>
                                <w:lang w:val="sq-AL"/>
                              </w:rPr>
                              <w:t xml:space="preserve">Lehtësira te tatimi në pronë për stimulim të investimeve të natyrës më strategjike </w:t>
                            </w:r>
                          </w:p>
                          <w:p w14:paraId="0FC15571" w14:textId="04E6DA9C" w:rsidR="00636E80" w:rsidRPr="006F6F6D" w:rsidRDefault="00636E80" w:rsidP="00A85804">
                            <w:pPr>
                              <w:pStyle w:val="ListParagraph"/>
                              <w:numPr>
                                <w:ilvl w:val="0"/>
                                <w:numId w:val="9"/>
                              </w:numPr>
                              <w:rPr>
                                <w:i/>
                                <w:sz w:val="22"/>
                                <w:szCs w:val="22"/>
                                <w:lang w:val="sq-AL"/>
                              </w:rPr>
                            </w:pPr>
                            <w:r w:rsidRPr="006F6F6D">
                              <w:rPr>
                                <w:i/>
                                <w:sz w:val="22"/>
                                <w:szCs w:val="22"/>
                                <w:lang w:val="sq-AL"/>
                              </w:rPr>
                              <w:t xml:space="preserve">Klasifikimi më i mirë i pronës komunale për dhënie në shfrytëzim </w:t>
                            </w:r>
                          </w:p>
                          <w:p w14:paraId="06F78F98" w14:textId="623376B9" w:rsidR="00636E80" w:rsidRPr="006F6F6D" w:rsidRDefault="00636E80" w:rsidP="006F6F6D">
                            <w:pPr>
                              <w:pStyle w:val="ListParagraph"/>
                              <w:numPr>
                                <w:ilvl w:val="0"/>
                                <w:numId w:val="9"/>
                              </w:numPr>
                              <w:rPr>
                                <w:i/>
                                <w:sz w:val="22"/>
                                <w:szCs w:val="22"/>
                                <w:lang w:val="sq-AL"/>
                              </w:rPr>
                            </w:pPr>
                            <w:r w:rsidRPr="006F6F6D">
                              <w:rPr>
                                <w:i/>
                                <w:sz w:val="22"/>
                                <w:szCs w:val="22"/>
                                <w:lang w:val="sq-AL"/>
                              </w:rPr>
                              <w:t>Thjeshtimi i procedurave p</w:t>
                            </w:r>
                            <w:r>
                              <w:rPr>
                                <w:i/>
                                <w:sz w:val="22"/>
                                <w:szCs w:val="22"/>
                                <w:lang w:val="sq-AL"/>
                              </w:rPr>
                              <w:t>ër kalim të pronës nga AKP-ja te</w:t>
                            </w:r>
                            <w:r w:rsidRPr="006F6F6D">
                              <w:rPr>
                                <w:i/>
                                <w:sz w:val="22"/>
                                <w:szCs w:val="22"/>
                                <w:lang w:val="sq-AL"/>
                              </w:rPr>
                              <w:t xml:space="preserve"> komuna</w:t>
                            </w:r>
                            <w:r>
                              <w:rPr>
                                <w:i/>
                                <w:sz w:val="22"/>
                                <w:szCs w:val="22"/>
                                <w:lang w:val="sq-AL"/>
                              </w:rPr>
                              <w:t>t</w:t>
                            </w:r>
                            <w:r w:rsidRPr="006F6F6D">
                              <w:rPr>
                                <w:i/>
                                <w:sz w:val="22"/>
                                <w:szCs w:val="22"/>
                                <w:lang w:val="sq-AL"/>
                              </w:rPr>
                              <w:t xml:space="preserve"> </w:t>
                            </w:r>
                          </w:p>
                          <w:p w14:paraId="624C6EE4" w14:textId="1D212D22" w:rsidR="00636E80" w:rsidRPr="006F6F6D" w:rsidRDefault="00636E80" w:rsidP="00A85804">
                            <w:pPr>
                              <w:pStyle w:val="ListParagraph"/>
                              <w:numPr>
                                <w:ilvl w:val="0"/>
                                <w:numId w:val="9"/>
                              </w:numPr>
                              <w:rPr>
                                <w:i/>
                                <w:sz w:val="22"/>
                                <w:szCs w:val="22"/>
                                <w:lang w:val="sq-AL"/>
                              </w:rPr>
                            </w:pPr>
                            <w:r w:rsidRPr="006F6F6D">
                              <w:rPr>
                                <w:i/>
                                <w:sz w:val="22"/>
                                <w:szCs w:val="22"/>
                                <w:lang w:val="sq-AL"/>
                              </w:rPr>
                              <w:t>Krijimi i mundësisë që komunat të ofrojnë garanci kreditore për ndërmarrjet</w:t>
                            </w:r>
                            <w:r>
                              <w:rPr>
                                <w:i/>
                                <w:sz w:val="22"/>
                                <w:szCs w:val="22"/>
                                <w:lang w:val="sq-AL"/>
                              </w:rPr>
                              <w:t>, ashtu</w:t>
                            </w:r>
                            <w:r w:rsidRPr="006F6F6D">
                              <w:rPr>
                                <w:i/>
                                <w:sz w:val="22"/>
                                <w:szCs w:val="22"/>
                                <w:lang w:val="sq-AL"/>
                              </w:rPr>
                              <w:t xml:space="preserve"> që t</w:t>
                            </w:r>
                            <w:r>
                              <w:rPr>
                                <w:i/>
                                <w:sz w:val="22"/>
                                <w:szCs w:val="22"/>
                                <w:lang w:val="sq-AL"/>
                              </w:rPr>
                              <w:t>ë</w:t>
                            </w:r>
                            <w:r w:rsidRPr="006F6F6D">
                              <w:rPr>
                                <w:i/>
                                <w:sz w:val="22"/>
                                <w:szCs w:val="22"/>
                                <w:lang w:val="sq-AL"/>
                              </w:rPr>
                              <w:t xml:space="preserve"> përmirëso</w:t>
                            </w:r>
                            <w:r>
                              <w:rPr>
                                <w:i/>
                                <w:sz w:val="22"/>
                                <w:szCs w:val="22"/>
                                <w:lang w:val="sq-AL"/>
                              </w:rPr>
                              <w:t>het</w:t>
                            </w:r>
                            <w:r w:rsidRPr="006F6F6D">
                              <w:rPr>
                                <w:i/>
                                <w:sz w:val="22"/>
                                <w:szCs w:val="22"/>
                                <w:lang w:val="sq-AL"/>
                              </w:rPr>
                              <w:t xml:space="preserve"> qasj</w:t>
                            </w:r>
                            <w:r>
                              <w:rPr>
                                <w:i/>
                                <w:sz w:val="22"/>
                                <w:szCs w:val="22"/>
                                <w:lang w:val="sq-AL"/>
                              </w:rPr>
                              <w:t>a</w:t>
                            </w:r>
                            <w:r w:rsidRPr="006F6F6D">
                              <w:rPr>
                                <w:i/>
                                <w:sz w:val="22"/>
                                <w:szCs w:val="22"/>
                                <w:lang w:val="sq-AL"/>
                              </w:rPr>
                              <w:t xml:space="preserve"> e tyre në financa</w:t>
                            </w:r>
                          </w:p>
                          <w:p w14:paraId="29471545" w14:textId="759DB669" w:rsidR="00636E80" w:rsidRPr="006F6F6D" w:rsidRDefault="00636E80" w:rsidP="00A85804">
                            <w:pPr>
                              <w:pStyle w:val="ListParagraph"/>
                              <w:numPr>
                                <w:ilvl w:val="0"/>
                                <w:numId w:val="9"/>
                              </w:numPr>
                              <w:rPr>
                                <w:i/>
                                <w:sz w:val="22"/>
                                <w:szCs w:val="22"/>
                                <w:lang w:val="sq-AL"/>
                              </w:rPr>
                            </w:pPr>
                            <w:r w:rsidRPr="006F6F6D">
                              <w:rPr>
                                <w:i/>
                                <w:sz w:val="22"/>
                                <w:szCs w:val="22"/>
                                <w:lang w:val="sq-AL"/>
                              </w:rPr>
                              <w:t>Krijimi i parqeve industriale të specializuara me veçori miqësore për mjedisin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BFE1" id="_x0000_t202" coordsize="21600,21600" o:spt="202" path="m,l,21600r21600,l21600,xe">
                <v:stroke joinstyle="miter"/>
                <v:path gradientshapeok="t" o:connecttype="rect"/>
              </v:shapetype>
              <v:shape id="Text Box 13" o:spid="_x0000_s1045" type="#_x0000_t202" style="position:absolute;margin-left:415.95pt;margin-top:4.7pt;width:467.15pt;height:184.7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" fillcolor="#deeaf6 [660]" strokecolor="#deeaf6 [660]" strokeweight="1pt">
                <v:textbox>
                  <w:txbxContent>
                    <w:p w14:paraId="16181BC7" w14:textId="77777777" w:rsidR="00636E80" w:rsidRPr="00BE1CC8" w:rsidRDefault="00636E80">
                      <w:pPr>
                        <w:rPr>
                          <w:b/>
                          <w:i/>
                          <w:lang w:val="sq-AL"/>
                        </w:rPr>
                      </w:pPr>
                      <w:r w:rsidRPr="00BE1CC8">
                        <w:rPr>
                          <w:b/>
                          <w:i/>
                          <w:lang w:val="sq-AL"/>
                        </w:rPr>
                        <w:t>Të bëhet:</w:t>
                      </w:r>
                    </w:p>
                    <w:p w14:paraId="35EE557B" w14:textId="69131199" w:rsidR="00636E80" w:rsidRPr="006F6F6D" w:rsidRDefault="00636E80" w:rsidP="00A85804">
                      <w:pPr>
                        <w:pStyle w:val="ListParagraph"/>
                        <w:numPr>
                          <w:ilvl w:val="0"/>
                          <w:numId w:val="9"/>
                        </w:numPr>
                        <w:rPr>
                          <w:i/>
                          <w:sz w:val="22"/>
                          <w:szCs w:val="22"/>
                          <w:lang w:val="sq-AL"/>
                        </w:rPr>
                      </w:pPr>
                      <w:r w:rsidRPr="006F6F6D">
                        <w:rPr>
                          <w:i/>
                          <w:sz w:val="22"/>
                          <w:szCs w:val="22"/>
                          <w:lang w:val="sq-AL"/>
                        </w:rPr>
                        <w:t>Hartimi i profileve ekonomike dhe materialeve</w:t>
                      </w:r>
                      <w:r>
                        <w:rPr>
                          <w:i/>
                          <w:sz w:val="22"/>
                          <w:szCs w:val="22"/>
                          <w:lang w:val="sq-AL"/>
                        </w:rPr>
                        <w:t xml:space="preserve"> të</w:t>
                      </w:r>
                      <w:r w:rsidRPr="006F6F6D">
                        <w:rPr>
                          <w:i/>
                          <w:sz w:val="22"/>
                          <w:szCs w:val="22"/>
                          <w:lang w:val="sq-AL"/>
                        </w:rPr>
                        <w:t xml:space="preserve"> tjera promovuese të komunave ku tregohen potencialet për investime</w:t>
                      </w:r>
                    </w:p>
                    <w:p w14:paraId="13522A03" w14:textId="7B752E9F" w:rsidR="00636E80" w:rsidRPr="006F6F6D" w:rsidRDefault="00636E80" w:rsidP="006F6F6D">
                      <w:pPr>
                        <w:pStyle w:val="ListParagraph"/>
                        <w:numPr>
                          <w:ilvl w:val="0"/>
                          <w:numId w:val="9"/>
                        </w:numPr>
                        <w:rPr>
                          <w:i/>
                          <w:sz w:val="22"/>
                          <w:szCs w:val="22"/>
                          <w:lang w:val="sq-AL"/>
                        </w:rPr>
                      </w:pPr>
                      <w:r w:rsidRPr="006F6F6D">
                        <w:rPr>
                          <w:i/>
                          <w:sz w:val="22"/>
                          <w:szCs w:val="22"/>
                          <w:lang w:val="sq-AL"/>
                        </w:rPr>
                        <w:t xml:space="preserve">Ngritja e resurseve njerëzore brenda komunave për t'i promovuar investimet </w:t>
                      </w:r>
                    </w:p>
                    <w:p w14:paraId="52227A79" w14:textId="20ED0EC9" w:rsidR="00636E80" w:rsidRPr="006F6F6D" w:rsidRDefault="00636E80" w:rsidP="00A85804">
                      <w:pPr>
                        <w:pStyle w:val="ListParagraph"/>
                        <w:numPr>
                          <w:ilvl w:val="0"/>
                          <w:numId w:val="9"/>
                        </w:numPr>
                        <w:rPr>
                          <w:i/>
                          <w:sz w:val="22"/>
                          <w:szCs w:val="22"/>
                          <w:lang w:val="sq-AL"/>
                        </w:rPr>
                      </w:pPr>
                      <w:r w:rsidRPr="006F6F6D">
                        <w:rPr>
                          <w:i/>
                          <w:sz w:val="22"/>
                          <w:szCs w:val="22"/>
                          <w:lang w:val="sq-AL"/>
                        </w:rPr>
                        <w:t xml:space="preserve">Lehtësira te tatimi në pronë për stimulim të investimeve të natyrës më strategjike </w:t>
                      </w:r>
                    </w:p>
                    <w:p w14:paraId="0FC15571" w14:textId="04E6DA9C" w:rsidR="00636E80" w:rsidRPr="006F6F6D" w:rsidRDefault="00636E80" w:rsidP="00A85804">
                      <w:pPr>
                        <w:pStyle w:val="ListParagraph"/>
                        <w:numPr>
                          <w:ilvl w:val="0"/>
                          <w:numId w:val="9"/>
                        </w:numPr>
                        <w:rPr>
                          <w:i/>
                          <w:sz w:val="22"/>
                          <w:szCs w:val="22"/>
                          <w:lang w:val="sq-AL"/>
                        </w:rPr>
                      </w:pPr>
                      <w:r w:rsidRPr="006F6F6D">
                        <w:rPr>
                          <w:i/>
                          <w:sz w:val="22"/>
                          <w:szCs w:val="22"/>
                          <w:lang w:val="sq-AL"/>
                        </w:rPr>
                        <w:t xml:space="preserve">Klasifikimi më i mirë i pronës komunale për dhënie në shfrytëzim </w:t>
                      </w:r>
                    </w:p>
                    <w:p w14:paraId="06F78F98" w14:textId="623376B9" w:rsidR="00636E80" w:rsidRPr="006F6F6D" w:rsidRDefault="00636E80" w:rsidP="006F6F6D">
                      <w:pPr>
                        <w:pStyle w:val="ListParagraph"/>
                        <w:numPr>
                          <w:ilvl w:val="0"/>
                          <w:numId w:val="9"/>
                        </w:numPr>
                        <w:rPr>
                          <w:i/>
                          <w:sz w:val="22"/>
                          <w:szCs w:val="22"/>
                          <w:lang w:val="sq-AL"/>
                        </w:rPr>
                      </w:pPr>
                      <w:r w:rsidRPr="006F6F6D">
                        <w:rPr>
                          <w:i/>
                          <w:sz w:val="22"/>
                          <w:szCs w:val="22"/>
                          <w:lang w:val="sq-AL"/>
                        </w:rPr>
                        <w:t>Thjeshtimi i procedurave p</w:t>
                      </w:r>
                      <w:r>
                        <w:rPr>
                          <w:i/>
                          <w:sz w:val="22"/>
                          <w:szCs w:val="22"/>
                          <w:lang w:val="sq-AL"/>
                        </w:rPr>
                        <w:t>ër kalim të pronës nga AKP-ja te</w:t>
                      </w:r>
                      <w:r w:rsidRPr="006F6F6D">
                        <w:rPr>
                          <w:i/>
                          <w:sz w:val="22"/>
                          <w:szCs w:val="22"/>
                          <w:lang w:val="sq-AL"/>
                        </w:rPr>
                        <w:t xml:space="preserve"> komuna</w:t>
                      </w:r>
                      <w:r>
                        <w:rPr>
                          <w:i/>
                          <w:sz w:val="22"/>
                          <w:szCs w:val="22"/>
                          <w:lang w:val="sq-AL"/>
                        </w:rPr>
                        <w:t>t</w:t>
                      </w:r>
                      <w:r w:rsidRPr="006F6F6D">
                        <w:rPr>
                          <w:i/>
                          <w:sz w:val="22"/>
                          <w:szCs w:val="22"/>
                          <w:lang w:val="sq-AL"/>
                        </w:rPr>
                        <w:t xml:space="preserve"> </w:t>
                      </w:r>
                    </w:p>
                    <w:p w14:paraId="624C6EE4" w14:textId="1D212D22" w:rsidR="00636E80" w:rsidRPr="006F6F6D" w:rsidRDefault="00636E80" w:rsidP="00A85804">
                      <w:pPr>
                        <w:pStyle w:val="ListParagraph"/>
                        <w:numPr>
                          <w:ilvl w:val="0"/>
                          <w:numId w:val="9"/>
                        </w:numPr>
                        <w:rPr>
                          <w:i/>
                          <w:sz w:val="22"/>
                          <w:szCs w:val="22"/>
                          <w:lang w:val="sq-AL"/>
                        </w:rPr>
                      </w:pPr>
                      <w:r w:rsidRPr="006F6F6D">
                        <w:rPr>
                          <w:i/>
                          <w:sz w:val="22"/>
                          <w:szCs w:val="22"/>
                          <w:lang w:val="sq-AL"/>
                        </w:rPr>
                        <w:t>Krijimi i mundësisë që komunat të ofrojnë garanci kreditore për ndërmarrjet</w:t>
                      </w:r>
                      <w:r>
                        <w:rPr>
                          <w:i/>
                          <w:sz w:val="22"/>
                          <w:szCs w:val="22"/>
                          <w:lang w:val="sq-AL"/>
                        </w:rPr>
                        <w:t>, ashtu</w:t>
                      </w:r>
                      <w:r w:rsidRPr="006F6F6D">
                        <w:rPr>
                          <w:i/>
                          <w:sz w:val="22"/>
                          <w:szCs w:val="22"/>
                          <w:lang w:val="sq-AL"/>
                        </w:rPr>
                        <w:t xml:space="preserve"> që t</w:t>
                      </w:r>
                      <w:r>
                        <w:rPr>
                          <w:i/>
                          <w:sz w:val="22"/>
                          <w:szCs w:val="22"/>
                          <w:lang w:val="sq-AL"/>
                        </w:rPr>
                        <w:t>ë</w:t>
                      </w:r>
                      <w:r w:rsidRPr="006F6F6D">
                        <w:rPr>
                          <w:i/>
                          <w:sz w:val="22"/>
                          <w:szCs w:val="22"/>
                          <w:lang w:val="sq-AL"/>
                        </w:rPr>
                        <w:t xml:space="preserve"> përmirëso</w:t>
                      </w:r>
                      <w:r>
                        <w:rPr>
                          <w:i/>
                          <w:sz w:val="22"/>
                          <w:szCs w:val="22"/>
                          <w:lang w:val="sq-AL"/>
                        </w:rPr>
                        <w:t>het</w:t>
                      </w:r>
                      <w:r w:rsidRPr="006F6F6D">
                        <w:rPr>
                          <w:i/>
                          <w:sz w:val="22"/>
                          <w:szCs w:val="22"/>
                          <w:lang w:val="sq-AL"/>
                        </w:rPr>
                        <w:t xml:space="preserve"> qasj</w:t>
                      </w:r>
                      <w:r>
                        <w:rPr>
                          <w:i/>
                          <w:sz w:val="22"/>
                          <w:szCs w:val="22"/>
                          <w:lang w:val="sq-AL"/>
                        </w:rPr>
                        <w:t>a</w:t>
                      </w:r>
                      <w:r w:rsidRPr="006F6F6D">
                        <w:rPr>
                          <w:i/>
                          <w:sz w:val="22"/>
                          <w:szCs w:val="22"/>
                          <w:lang w:val="sq-AL"/>
                        </w:rPr>
                        <w:t xml:space="preserve"> e tyre në financa</w:t>
                      </w:r>
                    </w:p>
                    <w:p w14:paraId="29471545" w14:textId="759DB669" w:rsidR="00636E80" w:rsidRPr="006F6F6D" w:rsidRDefault="00636E80" w:rsidP="00A85804">
                      <w:pPr>
                        <w:pStyle w:val="ListParagraph"/>
                        <w:numPr>
                          <w:ilvl w:val="0"/>
                          <w:numId w:val="9"/>
                        </w:numPr>
                        <w:rPr>
                          <w:i/>
                          <w:sz w:val="22"/>
                          <w:szCs w:val="22"/>
                          <w:lang w:val="sq-AL"/>
                        </w:rPr>
                      </w:pPr>
                      <w:r w:rsidRPr="006F6F6D">
                        <w:rPr>
                          <w:i/>
                          <w:sz w:val="22"/>
                          <w:szCs w:val="22"/>
                          <w:lang w:val="sq-AL"/>
                        </w:rPr>
                        <w:t>Krijimi i parqeve industriale të specializuara me veçori miqësore për mjedisin</w:t>
                      </w:r>
                    </w:p>
                  </w:txbxContent>
                </v:textbox>
                <w10:wrap anchorx="margin"/>
              </v:shape>
            </w:pict>
          </mc:Fallback>
        </mc:AlternateContent>
      </w:r>
    </w:p>
    <w:p w14:paraId="361D29DE" w14:textId="77777777" w:rsidR="00A85804" w:rsidRPr="009E674D" w:rsidRDefault="00A85804" w:rsidP="00A85804">
      <w:pPr>
        <w:rPr>
          <w:lang w:val="sq-AL"/>
        </w:rPr>
      </w:pPr>
    </w:p>
    <w:p w14:paraId="17DC0B6F" w14:textId="77777777" w:rsidR="00A85804" w:rsidRPr="009E674D" w:rsidRDefault="00A85804" w:rsidP="00A85804">
      <w:pPr>
        <w:rPr>
          <w:lang w:val="sq-AL"/>
        </w:rPr>
      </w:pPr>
    </w:p>
    <w:p w14:paraId="6FAF565F" w14:textId="77777777" w:rsidR="00A85804" w:rsidRPr="009E674D" w:rsidRDefault="00A85804" w:rsidP="00A85804">
      <w:pPr>
        <w:rPr>
          <w:lang w:val="sq-AL"/>
        </w:rPr>
      </w:pPr>
    </w:p>
    <w:p w14:paraId="34916B6E" w14:textId="77777777" w:rsidR="00A85804" w:rsidRPr="009E674D" w:rsidRDefault="00A85804" w:rsidP="00A85804">
      <w:pPr>
        <w:rPr>
          <w:lang w:val="sq-AL"/>
        </w:rPr>
      </w:pPr>
    </w:p>
    <w:p w14:paraId="49D32A9C" w14:textId="77777777" w:rsidR="00A85804" w:rsidRPr="009E674D" w:rsidRDefault="00A85804" w:rsidP="00A85804">
      <w:pPr>
        <w:rPr>
          <w:lang w:val="sq-AL"/>
        </w:rPr>
      </w:pPr>
    </w:p>
    <w:p w14:paraId="45167FBC" w14:textId="77777777" w:rsidR="00A85804" w:rsidRPr="009E674D" w:rsidRDefault="00A85804" w:rsidP="00A85804">
      <w:pPr>
        <w:rPr>
          <w:lang w:val="sq-AL"/>
        </w:rPr>
      </w:pPr>
    </w:p>
    <w:p w14:paraId="0B2F19B4" w14:textId="77777777" w:rsidR="00A85804" w:rsidRPr="009E674D" w:rsidRDefault="00A85804" w:rsidP="00A85804">
      <w:pPr>
        <w:rPr>
          <w:lang w:val="sq-AL"/>
        </w:rPr>
      </w:pPr>
    </w:p>
    <w:p w14:paraId="28F9D008" w14:textId="77777777" w:rsidR="00A85804" w:rsidRPr="009E674D" w:rsidRDefault="00A85804" w:rsidP="00A85804">
      <w:pPr>
        <w:rPr>
          <w:lang w:val="sq-AL"/>
        </w:rPr>
      </w:pPr>
    </w:p>
    <w:p w14:paraId="12AE7AE1" w14:textId="631F5BBE" w:rsidR="00010B8B" w:rsidRPr="009E674D" w:rsidRDefault="009E674D" w:rsidP="0044546C">
      <w:pPr>
        <w:pStyle w:val="Heading3"/>
        <w:rPr>
          <w:lang w:val="sq-AL"/>
        </w:rPr>
      </w:pPr>
      <w:bookmarkStart w:id="13" w:name="_Toc132188433"/>
      <w:r w:rsidRPr="009E674D">
        <w:rPr>
          <w:lang w:val="sq-AL"/>
        </w:rPr>
        <w:t>Objektivi</w:t>
      </w:r>
      <w:r w:rsidR="006F6F6D" w:rsidRPr="009E674D">
        <w:rPr>
          <w:lang w:val="sq-AL"/>
        </w:rPr>
        <w:t xml:space="preserve"> s</w:t>
      </w:r>
      <w:r w:rsidRPr="009E674D">
        <w:rPr>
          <w:lang w:val="sq-AL"/>
        </w:rPr>
        <w:t>pecifik</w:t>
      </w:r>
      <w:r w:rsidR="006D2E9E" w:rsidRPr="009E674D">
        <w:rPr>
          <w:lang w:val="sq-AL"/>
        </w:rPr>
        <w:t xml:space="preserve"> 1.2</w:t>
      </w:r>
      <w:r w:rsidR="007C52BC" w:rsidRPr="009E674D">
        <w:rPr>
          <w:lang w:val="sq-AL"/>
        </w:rPr>
        <w:t xml:space="preserve">: </w:t>
      </w:r>
      <w:r w:rsidR="0044546C" w:rsidRPr="009E674D">
        <w:rPr>
          <w:lang w:val="sq-AL"/>
        </w:rPr>
        <w:t>Rritja e produktivitetit në bujqësi dhe promovimi i turizmit lokal</w:t>
      </w:r>
      <w:bookmarkEnd w:id="13"/>
    </w:p>
    <w:p w14:paraId="4AACD783" w14:textId="31807D9C" w:rsidR="007E0A71" w:rsidRPr="009E674D" w:rsidRDefault="007827C3" w:rsidP="007E0A71">
      <w:pPr>
        <w:jc w:val="both"/>
        <w:rPr>
          <w:lang w:val="sq-AL"/>
        </w:rPr>
      </w:pPr>
      <w:r w:rsidRPr="009E674D">
        <w:rPr>
          <w:lang w:val="sq-AL"/>
        </w:rPr>
        <w:br/>
        <w:t>Bujq</w:t>
      </w:r>
      <w:r w:rsidR="009865F3" w:rsidRPr="009E674D">
        <w:rPr>
          <w:lang w:val="sq-AL"/>
        </w:rPr>
        <w:t>ë</w:t>
      </w:r>
      <w:r w:rsidRPr="009E674D">
        <w:rPr>
          <w:lang w:val="sq-AL"/>
        </w:rPr>
        <w:t>sia dhe turizmi jan</w:t>
      </w:r>
      <w:r w:rsidR="009865F3" w:rsidRPr="009E674D">
        <w:rPr>
          <w:lang w:val="sq-AL"/>
        </w:rPr>
        <w:t>ë</w:t>
      </w:r>
      <w:r w:rsidR="00FE0BDC" w:rsidRPr="009E674D">
        <w:rPr>
          <w:lang w:val="sq-AL"/>
        </w:rPr>
        <w:t xml:space="preserve"> sektor</w:t>
      </w:r>
      <w:r w:rsidR="009865F3" w:rsidRPr="009E674D">
        <w:rPr>
          <w:lang w:val="sq-AL"/>
        </w:rPr>
        <w:t>ë</w:t>
      </w:r>
      <w:r w:rsidR="00FE0BDC" w:rsidRPr="009E674D">
        <w:rPr>
          <w:lang w:val="sq-AL"/>
        </w:rPr>
        <w:t xml:space="preserve"> me interes vital p</w:t>
      </w:r>
      <w:r w:rsidR="009865F3" w:rsidRPr="009E674D">
        <w:rPr>
          <w:lang w:val="sq-AL"/>
        </w:rPr>
        <w:t>ë</w:t>
      </w:r>
      <w:r w:rsidR="00FE0BDC" w:rsidRPr="009E674D">
        <w:rPr>
          <w:lang w:val="sq-AL"/>
        </w:rPr>
        <w:t>r zhvillim</w:t>
      </w:r>
      <w:r w:rsidRPr="009E674D">
        <w:rPr>
          <w:lang w:val="sq-AL"/>
        </w:rPr>
        <w:t xml:space="preserve"> </w:t>
      </w:r>
      <w:r w:rsidR="00770A14" w:rsidRPr="009E674D">
        <w:rPr>
          <w:lang w:val="sq-AL"/>
        </w:rPr>
        <w:t xml:space="preserve">lokal </w:t>
      </w:r>
      <w:r w:rsidR="00FE0BDC" w:rsidRPr="009E674D">
        <w:rPr>
          <w:lang w:val="sq-AL"/>
        </w:rPr>
        <w:t>t</w:t>
      </w:r>
      <w:r w:rsidR="009865F3" w:rsidRPr="009E674D">
        <w:rPr>
          <w:lang w:val="sq-AL"/>
        </w:rPr>
        <w:t>ë</w:t>
      </w:r>
      <w:r w:rsidR="00FE0BDC" w:rsidRPr="009E674D">
        <w:rPr>
          <w:lang w:val="sq-AL"/>
        </w:rPr>
        <w:t xml:space="preserve"> q</w:t>
      </w:r>
      <w:r w:rsidR="009865F3" w:rsidRPr="009E674D">
        <w:rPr>
          <w:lang w:val="sq-AL"/>
        </w:rPr>
        <w:t>ë</w:t>
      </w:r>
      <w:r w:rsidR="00FE0BDC" w:rsidRPr="009E674D">
        <w:rPr>
          <w:lang w:val="sq-AL"/>
        </w:rPr>
        <w:t>ndruesh</w:t>
      </w:r>
      <w:r w:rsidR="009865F3" w:rsidRPr="009E674D">
        <w:rPr>
          <w:lang w:val="sq-AL"/>
        </w:rPr>
        <w:t>ë</w:t>
      </w:r>
      <w:r w:rsidR="00FE0BDC" w:rsidRPr="009E674D">
        <w:rPr>
          <w:lang w:val="sq-AL"/>
        </w:rPr>
        <w:t>m dhe gjith</w:t>
      </w:r>
      <w:r w:rsidR="009865F3" w:rsidRPr="009E674D">
        <w:rPr>
          <w:lang w:val="sq-AL"/>
        </w:rPr>
        <w:t>ë</w:t>
      </w:r>
      <w:r w:rsidR="00FE0BDC" w:rsidRPr="009E674D">
        <w:rPr>
          <w:lang w:val="sq-AL"/>
        </w:rPr>
        <w:t>p</w:t>
      </w:r>
      <w:r w:rsidR="009865F3" w:rsidRPr="009E674D">
        <w:rPr>
          <w:lang w:val="sq-AL"/>
        </w:rPr>
        <w:t>ë</w:t>
      </w:r>
      <w:r w:rsidR="00FE0BDC" w:rsidRPr="009E674D">
        <w:rPr>
          <w:lang w:val="sq-AL"/>
        </w:rPr>
        <w:t>rfshir</w:t>
      </w:r>
      <w:r w:rsidR="009865F3" w:rsidRPr="009E674D">
        <w:rPr>
          <w:lang w:val="sq-AL"/>
        </w:rPr>
        <w:t>ë</w:t>
      </w:r>
      <w:r w:rsidR="00FE0BDC" w:rsidRPr="009E674D">
        <w:rPr>
          <w:lang w:val="sq-AL"/>
        </w:rPr>
        <w:t>s. T</w:t>
      </w:r>
      <w:r w:rsidR="009865F3" w:rsidRPr="009E674D">
        <w:rPr>
          <w:lang w:val="sq-AL"/>
        </w:rPr>
        <w:t>ë</w:t>
      </w:r>
      <w:r w:rsidR="00FE0BDC" w:rsidRPr="009E674D">
        <w:rPr>
          <w:lang w:val="sq-AL"/>
        </w:rPr>
        <w:t xml:space="preserve"> dy k</w:t>
      </w:r>
      <w:r w:rsidR="009865F3" w:rsidRPr="009E674D">
        <w:rPr>
          <w:lang w:val="sq-AL"/>
        </w:rPr>
        <w:t>ë</w:t>
      </w:r>
      <w:r w:rsidR="00FE0BDC" w:rsidRPr="009E674D">
        <w:rPr>
          <w:lang w:val="sq-AL"/>
        </w:rPr>
        <w:t>ta sektor</w:t>
      </w:r>
      <w:r w:rsidR="009865F3" w:rsidRPr="009E674D">
        <w:rPr>
          <w:lang w:val="sq-AL"/>
        </w:rPr>
        <w:t>ë</w:t>
      </w:r>
      <w:r w:rsidR="00FE0BDC" w:rsidRPr="009E674D">
        <w:rPr>
          <w:lang w:val="sq-AL"/>
        </w:rPr>
        <w:t xml:space="preserve"> ndihmojn</w:t>
      </w:r>
      <w:r w:rsidR="009865F3" w:rsidRPr="009E674D">
        <w:rPr>
          <w:lang w:val="sq-AL"/>
        </w:rPr>
        <w:t>ë</w:t>
      </w:r>
      <w:r w:rsidR="00FE0BDC" w:rsidRPr="009E674D">
        <w:rPr>
          <w:lang w:val="sq-AL"/>
        </w:rPr>
        <w:t xml:space="preserve"> ndjesh</w:t>
      </w:r>
      <w:r w:rsidR="009865F3" w:rsidRPr="009E674D">
        <w:rPr>
          <w:lang w:val="sq-AL"/>
        </w:rPr>
        <w:t>ë</w:t>
      </w:r>
      <w:r w:rsidR="00FE0BDC" w:rsidRPr="009E674D">
        <w:rPr>
          <w:lang w:val="sq-AL"/>
        </w:rPr>
        <w:t>m n</w:t>
      </w:r>
      <w:r w:rsidR="009865F3" w:rsidRPr="009E674D">
        <w:rPr>
          <w:lang w:val="sq-AL"/>
        </w:rPr>
        <w:t>ë</w:t>
      </w:r>
      <w:r w:rsidR="00FE0BDC" w:rsidRPr="009E674D">
        <w:rPr>
          <w:lang w:val="sq-AL"/>
        </w:rPr>
        <w:t xml:space="preserve"> krijim</w:t>
      </w:r>
      <w:r w:rsidR="009865F3" w:rsidRPr="009E674D">
        <w:rPr>
          <w:lang w:val="sq-AL"/>
        </w:rPr>
        <w:t>i</w:t>
      </w:r>
      <w:r w:rsidR="003A7BE4" w:rsidRPr="009E674D">
        <w:rPr>
          <w:lang w:val="sq-AL"/>
        </w:rPr>
        <w:t xml:space="preserve">n e </w:t>
      </w:r>
      <w:r w:rsidR="00FE0BDC" w:rsidRPr="009E674D">
        <w:rPr>
          <w:lang w:val="sq-AL"/>
        </w:rPr>
        <w:t>t</w:t>
      </w:r>
      <w:r w:rsidR="009865F3" w:rsidRPr="009E674D">
        <w:rPr>
          <w:lang w:val="sq-AL"/>
        </w:rPr>
        <w:t>ë</w:t>
      </w:r>
      <w:r w:rsidR="00FE0BDC" w:rsidRPr="009E674D">
        <w:rPr>
          <w:lang w:val="sq-AL"/>
        </w:rPr>
        <w:t xml:space="preserve"> ardhurave dhe vendeve t</w:t>
      </w:r>
      <w:r w:rsidR="009865F3" w:rsidRPr="009E674D">
        <w:rPr>
          <w:lang w:val="sq-AL"/>
        </w:rPr>
        <w:t>ë</w:t>
      </w:r>
      <w:r w:rsidR="00FE0BDC" w:rsidRPr="009E674D">
        <w:rPr>
          <w:lang w:val="sq-AL"/>
        </w:rPr>
        <w:t xml:space="preserve"> reja t</w:t>
      </w:r>
      <w:r w:rsidR="009865F3" w:rsidRPr="009E674D">
        <w:rPr>
          <w:lang w:val="sq-AL"/>
        </w:rPr>
        <w:t>ë</w:t>
      </w:r>
      <w:r w:rsidR="00FE0BDC" w:rsidRPr="009E674D">
        <w:rPr>
          <w:lang w:val="sq-AL"/>
        </w:rPr>
        <w:t xml:space="preserve"> pun</w:t>
      </w:r>
      <w:r w:rsidR="009865F3" w:rsidRPr="009E674D">
        <w:rPr>
          <w:lang w:val="sq-AL"/>
        </w:rPr>
        <w:t>ë</w:t>
      </w:r>
      <w:r w:rsidR="00CC4E83" w:rsidRPr="009E674D">
        <w:rPr>
          <w:lang w:val="sq-AL"/>
        </w:rPr>
        <w:t>s</w:t>
      </w:r>
      <w:r w:rsidR="00FE0BDC" w:rsidRPr="009E674D">
        <w:rPr>
          <w:lang w:val="sq-AL"/>
        </w:rPr>
        <w:t>, sidomos tek shtresat shoq</w:t>
      </w:r>
      <w:r w:rsidR="009865F3" w:rsidRPr="009E674D">
        <w:rPr>
          <w:lang w:val="sq-AL"/>
        </w:rPr>
        <w:t>ë</w:t>
      </w:r>
      <w:r w:rsidR="00FE0BDC" w:rsidRPr="009E674D">
        <w:rPr>
          <w:lang w:val="sq-AL"/>
        </w:rPr>
        <w:t>rore m</w:t>
      </w:r>
      <w:r w:rsidR="009865F3" w:rsidRPr="009E674D">
        <w:rPr>
          <w:lang w:val="sq-AL"/>
        </w:rPr>
        <w:t>ë</w:t>
      </w:r>
      <w:r w:rsidR="00FE0BDC" w:rsidRPr="009E674D">
        <w:rPr>
          <w:lang w:val="sq-AL"/>
        </w:rPr>
        <w:t xml:space="preserve"> t</w:t>
      </w:r>
      <w:r w:rsidR="009865F3" w:rsidRPr="009E674D">
        <w:rPr>
          <w:lang w:val="sq-AL"/>
        </w:rPr>
        <w:t>ë</w:t>
      </w:r>
      <w:r w:rsidR="00FE0BDC" w:rsidRPr="009E674D">
        <w:rPr>
          <w:lang w:val="sq-AL"/>
        </w:rPr>
        <w:t xml:space="preserve"> cenueshme. P</w:t>
      </w:r>
      <w:r w:rsidR="009865F3" w:rsidRPr="009E674D">
        <w:rPr>
          <w:lang w:val="sq-AL"/>
        </w:rPr>
        <w:t>ë</w:t>
      </w:r>
      <w:r w:rsidR="00FE0BDC" w:rsidRPr="009E674D">
        <w:rPr>
          <w:lang w:val="sq-AL"/>
        </w:rPr>
        <w:t>r t</w:t>
      </w:r>
      <w:r w:rsidR="009865F3" w:rsidRPr="009E674D">
        <w:rPr>
          <w:lang w:val="sq-AL"/>
        </w:rPr>
        <w:t>ë</w:t>
      </w:r>
      <w:r w:rsidR="00FE0BDC" w:rsidRPr="009E674D">
        <w:rPr>
          <w:lang w:val="sq-AL"/>
        </w:rPr>
        <w:t xml:space="preserve"> kontribuar n</w:t>
      </w:r>
      <w:r w:rsidR="009865F3" w:rsidRPr="009E674D">
        <w:rPr>
          <w:lang w:val="sq-AL"/>
        </w:rPr>
        <w:t>ë</w:t>
      </w:r>
      <w:r w:rsidR="006F6F6D" w:rsidRPr="009E674D">
        <w:rPr>
          <w:lang w:val="sq-AL"/>
        </w:rPr>
        <w:t xml:space="preserve"> përmirësim</w:t>
      </w:r>
      <w:r w:rsidR="00FE0BDC" w:rsidRPr="009E674D">
        <w:rPr>
          <w:lang w:val="sq-AL"/>
        </w:rPr>
        <w:t xml:space="preserve"> t</w:t>
      </w:r>
      <w:r w:rsidR="009865F3" w:rsidRPr="009E674D">
        <w:rPr>
          <w:lang w:val="sq-AL"/>
        </w:rPr>
        <w:t>ë</w:t>
      </w:r>
      <w:r w:rsidR="00FE0BDC" w:rsidRPr="009E674D">
        <w:rPr>
          <w:lang w:val="sq-AL"/>
        </w:rPr>
        <w:t xml:space="preserve"> produktivitetit n</w:t>
      </w:r>
      <w:r w:rsidR="009865F3" w:rsidRPr="009E674D">
        <w:rPr>
          <w:lang w:val="sq-AL"/>
        </w:rPr>
        <w:t xml:space="preserve">ë bujqësi, është e nevojshme të rritet përkrahja përmes granteve për blerje të pajisjeve moderne. Duke qenë se parcializimi i tokave paraqet problem për </w:t>
      </w:r>
      <w:r w:rsidR="00B86FCC" w:rsidRPr="009E674D">
        <w:rPr>
          <w:lang w:val="sq-AL"/>
        </w:rPr>
        <w:t>t</w:t>
      </w:r>
      <w:r w:rsidR="00B86FCC">
        <w:rPr>
          <w:lang w:val="sq-AL"/>
        </w:rPr>
        <w:t>a</w:t>
      </w:r>
      <w:r w:rsidR="00B86FCC" w:rsidRPr="009E674D">
        <w:rPr>
          <w:lang w:val="sq-AL"/>
        </w:rPr>
        <w:t xml:space="preserve"> </w:t>
      </w:r>
      <w:r w:rsidR="009865F3" w:rsidRPr="009E674D">
        <w:rPr>
          <w:lang w:val="sq-AL"/>
        </w:rPr>
        <w:t xml:space="preserve">ushtruar veprimtarinë në mënyrë të leverdishme, </w:t>
      </w:r>
      <w:r w:rsidR="00A30871" w:rsidRPr="009E674D">
        <w:rPr>
          <w:lang w:val="sq-AL"/>
        </w:rPr>
        <w:t>t</w:t>
      </w:r>
      <w:r w:rsidR="009865F3" w:rsidRPr="009E674D">
        <w:rPr>
          <w:lang w:val="sq-AL"/>
        </w:rPr>
        <w:t>ë</w:t>
      </w:r>
      <w:r w:rsidR="00A30871" w:rsidRPr="009E674D">
        <w:rPr>
          <w:lang w:val="sq-AL"/>
        </w:rPr>
        <w:t xml:space="preserve"> njëjtat</w:t>
      </w:r>
      <w:r w:rsidR="009865F3" w:rsidRPr="009E674D">
        <w:rPr>
          <w:lang w:val="sq-AL"/>
        </w:rPr>
        <w:t xml:space="preserve"> gran</w:t>
      </w:r>
      <w:r w:rsidR="00CC4E83" w:rsidRPr="009E674D">
        <w:rPr>
          <w:lang w:val="sq-AL"/>
        </w:rPr>
        <w:t>te mund</w:t>
      </w:r>
      <w:r w:rsidR="00A30871" w:rsidRPr="009E674D">
        <w:rPr>
          <w:lang w:val="sq-AL"/>
        </w:rPr>
        <w:t xml:space="preserve"> t</w:t>
      </w:r>
      <w:r w:rsidR="00770A14" w:rsidRPr="009E674D">
        <w:rPr>
          <w:lang w:val="sq-AL"/>
        </w:rPr>
        <w:t>ë përmbajnë</w:t>
      </w:r>
      <w:r w:rsidR="00A30871" w:rsidRPr="009E674D">
        <w:rPr>
          <w:lang w:val="sq-AL"/>
        </w:rPr>
        <w:t xml:space="preserve"> kushte q</w:t>
      </w:r>
      <w:r w:rsidR="00770A14" w:rsidRPr="009E674D">
        <w:rPr>
          <w:lang w:val="sq-AL"/>
        </w:rPr>
        <w:t>ë</w:t>
      </w:r>
      <w:r w:rsidR="00A30871" w:rsidRPr="009E674D">
        <w:rPr>
          <w:lang w:val="sq-AL"/>
        </w:rPr>
        <w:t xml:space="preserve"> e inkurajojn</w:t>
      </w:r>
      <w:r w:rsidR="00770A14" w:rsidRPr="009E674D">
        <w:rPr>
          <w:lang w:val="sq-AL"/>
        </w:rPr>
        <w:t>ë</w:t>
      </w:r>
      <w:r w:rsidR="00A30871" w:rsidRPr="009E674D">
        <w:rPr>
          <w:lang w:val="sq-AL"/>
        </w:rPr>
        <w:t xml:space="preserve"> bashkimin e parcelave</w:t>
      </w:r>
      <w:r w:rsidR="009865F3" w:rsidRPr="009E674D">
        <w:rPr>
          <w:lang w:val="sq-AL"/>
        </w:rPr>
        <w:t xml:space="preserve">. </w:t>
      </w:r>
      <w:r w:rsidR="00A30871" w:rsidRPr="009E674D">
        <w:rPr>
          <w:lang w:val="sq-AL"/>
        </w:rPr>
        <w:t>Krahas gran</w:t>
      </w:r>
      <w:r w:rsidR="00CC4E83" w:rsidRPr="009E674D">
        <w:rPr>
          <w:lang w:val="sq-AL"/>
        </w:rPr>
        <w:t>teve</w:t>
      </w:r>
      <w:r w:rsidR="009E674D">
        <w:rPr>
          <w:lang w:val="sq-AL"/>
        </w:rPr>
        <w:t>,</w:t>
      </w:r>
      <w:r w:rsidR="00CC4E83" w:rsidRPr="009E674D">
        <w:rPr>
          <w:lang w:val="sq-AL"/>
        </w:rPr>
        <w:t xml:space="preserve"> është e nevojshme</w:t>
      </w:r>
      <w:r w:rsidR="00A30871" w:rsidRPr="009E674D">
        <w:rPr>
          <w:lang w:val="sq-AL"/>
        </w:rPr>
        <w:t xml:space="preserve"> t</w:t>
      </w:r>
      <w:r w:rsidR="00770A14" w:rsidRPr="009E674D">
        <w:rPr>
          <w:lang w:val="sq-AL"/>
        </w:rPr>
        <w:t>ë</w:t>
      </w:r>
      <w:r w:rsidR="00A30871" w:rsidRPr="009E674D">
        <w:rPr>
          <w:lang w:val="sq-AL"/>
        </w:rPr>
        <w:t xml:space="preserve"> rritet edhe p</w:t>
      </w:r>
      <w:r w:rsidR="00770A14" w:rsidRPr="009E674D">
        <w:rPr>
          <w:lang w:val="sq-AL"/>
        </w:rPr>
        <w:t>ë</w:t>
      </w:r>
      <w:r w:rsidR="00A30871" w:rsidRPr="009E674D">
        <w:rPr>
          <w:lang w:val="sq-AL"/>
        </w:rPr>
        <w:t>rkrahja n</w:t>
      </w:r>
      <w:r w:rsidR="00770A14" w:rsidRPr="009E674D">
        <w:rPr>
          <w:lang w:val="sq-AL"/>
        </w:rPr>
        <w:t>ë</w:t>
      </w:r>
      <w:r w:rsidR="00A30871" w:rsidRPr="009E674D">
        <w:rPr>
          <w:lang w:val="sq-AL"/>
        </w:rPr>
        <w:t xml:space="preserve"> form</w:t>
      </w:r>
      <w:r w:rsidR="00770A14" w:rsidRPr="009E674D">
        <w:rPr>
          <w:lang w:val="sq-AL"/>
        </w:rPr>
        <w:t>ë</w:t>
      </w:r>
      <w:r w:rsidR="00A30871" w:rsidRPr="009E674D">
        <w:rPr>
          <w:lang w:val="sq-AL"/>
        </w:rPr>
        <w:t xml:space="preserve"> t</w:t>
      </w:r>
      <w:r w:rsidR="00770A14" w:rsidRPr="009E674D">
        <w:rPr>
          <w:lang w:val="sq-AL"/>
        </w:rPr>
        <w:t>ë</w:t>
      </w:r>
      <w:r w:rsidR="00A30871" w:rsidRPr="009E674D">
        <w:rPr>
          <w:lang w:val="sq-AL"/>
        </w:rPr>
        <w:t xml:space="preserve"> subvencion</w:t>
      </w:r>
      <w:r w:rsidR="00CC4E83" w:rsidRPr="009E674D">
        <w:rPr>
          <w:lang w:val="sq-AL"/>
        </w:rPr>
        <w:t>eve, si dhe</w:t>
      </w:r>
      <w:r w:rsidR="00A30871" w:rsidRPr="009E674D">
        <w:rPr>
          <w:lang w:val="sq-AL"/>
        </w:rPr>
        <w:t xml:space="preserve"> t</w:t>
      </w:r>
      <w:r w:rsidR="00770A14" w:rsidRPr="009E674D">
        <w:rPr>
          <w:lang w:val="sq-AL"/>
        </w:rPr>
        <w:t>ë</w:t>
      </w:r>
      <w:r w:rsidR="00A30871" w:rsidRPr="009E674D">
        <w:rPr>
          <w:lang w:val="sq-AL"/>
        </w:rPr>
        <w:t xml:space="preserve"> punohet n</w:t>
      </w:r>
      <w:r w:rsidR="00770A14" w:rsidRPr="009E674D">
        <w:rPr>
          <w:lang w:val="sq-AL"/>
        </w:rPr>
        <w:t>ë</w:t>
      </w:r>
      <w:r w:rsidR="00A30871" w:rsidRPr="009E674D">
        <w:rPr>
          <w:lang w:val="sq-AL"/>
        </w:rPr>
        <w:t xml:space="preserve"> thjeshtim t</w:t>
      </w:r>
      <w:r w:rsidR="00770A14" w:rsidRPr="009E674D">
        <w:rPr>
          <w:lang w:val="sq-AL"/>
        </w:rPr>
        <w:t>ë</w:t>
      </w:r>
      <w:r w:rsidR="00A30871" w:rsidRPr="009E674D">
        <w:rPr>
          <w:lang w:val="sq-AL"/>
        </w:rPr>
        <w:t xml:space="preserve"> procedurave</w:t>
      </w:r>
      <w:r w:rsidR="00770A14" w:rsidRPr="009E674D">
        <w:rPr>
          <w:lang w:val="sq-AL"/>
        </w:rPr>
        <w:t xml:space="preserve"> </w:t>
      </w:r>
      <w:r w:rsidR="007C52BC" w:rsidRPr="009E674D">
        <w:rPr>
          <w:lang w:val="sq-AL"/>
        </w:rPr>
        <w:t>për aplikim.</w:t>
      </w:r>
      <w:r w:rsidR="00A30871" w:rsidRPr="009E674D">
        <w:rPr>
          <w:lang w:val="sq-AL"/>
        </w:rPr>
        <w:t xml:space="preserve"> </w:t>
      </w:r>
      <w:r w:rsidR="007C52BC" w:rsidRPr="009E674D">
        <w:rPr>
          <w:lang w:val="sq-AL"/>
        </w:rPr>
        <w:t>Zyrat</w:t>
      </w:r>
      <w:r w:rsidR="00770A14" w:rsidRPr="009E674D">
        <w:rPr>
          <w:lang w:val="sq-AL"/>
        </w:rPr>
        <w:t xml:space="preserve"> këshilluese brenda komunave, </w:t>
      </w:r>
      <w:r w:rsidR="00674A08" w:rsidRPr="009E674D">
        <w:rPr>
          <w:lang w:val="sq-AL"/>
        </w:rPr>
        <w:t>duhet</w:t>
      </w:r>
      <w:r w:rsidR="00770A14" w:rsidRPr="009E674D">
        <w:rPr>
          <w:lang w:val="sq-AL"/>
        </w:rPr>
        <w:t xml:space="preserve"> të fuqizohen për </w:t>
      </w:r>
      <w:r w:rsidR="00B86FCC" w:rsidRPr="009E674D">
        <w:rPr>
          <w:lang w:val="sq-AL"/>
        </w:rPr>
        <w:t>t</w:t>
      </w:r>
      <w:r w:rsidR="00B86FCC">
        <w:rPr>
          <w:lang w:val="sq-AL"/>
        </w:rPr>
        <w:t>’i</w:t>
      </w:r>
      <w:r w:rsidR="00B86FCC" w:rsidRPr="009E674D">
        <w:rPr>
          <w:lang w:val="sq-AL"/>
        </w:rPr>
        <w:t xml:space="preserve"> </w:t>
      </w:r>
      <w:r w:rsidR="00770A14" w:rsidRPr="009E674D">
        <w:rPr>
          <w:lang w:val="sq-AL"/>
        </w:rPr>
        <w:t xml:space="preserve">ndihmuar </w:t>
      </w:r>
      <w:r w:rsidR="00AE2FFC" w:rsidRPr="009E674D">
        <w:rPr>
          <w:lang w:val="sq-AL"/>
        </w:rPr>
        <w:t xml:space="preserve">më shumë </w:t>
      </w:r>
      <w:r w:rsidR="00770A14" w:rsidRPr="009E674D">
        <w:rPr>
          <w:lang w:val="sq-AL"/>
        </w:rPr>
        <w:t xml:space="preserve">fermerët </w:t>
      </w:r>
      <w:r w:rsidR="00B86FCC">
        <w:rPr>
          <w:lang w:val="sq-AL"/>
        </w:rPr>
        <w:t>lidhur me</w:t>
      </w:r>
      <w:r w:rsidR="00B86FCC" w:rsidRPr="009E674D">
        <w:rPr>
          <w:lang w:val="sq-AL"/>
        </w:rPr>
        <w:t xml:space="preserve"> </w:t>
      </w:r>
      <w:r w:rsidR="00770A14" w:rsidRPr="009E674D">
        <w:rPr>
          <w:lang w:val="sq-AL"/>
        </w:rPr>
        <w:t>proces</w:t>
      </w:r>
      <w:r w:rsidR="00B86FCC">
        <w:rPr>
          <w:lang w:val="sq-AL"/>
        </w:rPr>
        <w:t>et e</w:t>
      </w:r>
      <w:r w:rsidR="00770A14" w:rsidRPr="009E674D">
        <w:rPr>
          <w:lang w:val="sq-AL"/>
        </w:rPr>
        <w:t xml:space="preserve"> aplikimit për grante.</w:t>
      </w:r>
      <w:r w:rsidR="00AE2FFC" w:rsidRPr="009E674D">
        <w:rPr>
          <w:lang w:val="sq-AL"/>
        </w:rPr>
        <w:t xml:space="preserve"> Më</w:t>
      </w:r>
      <w:r w:rsidR="0059787A" w:rsidRPr="009E674D">
        <w:rPr>
          <w:lang w:val="sq-AL"/>
        </w:rPr>
        <w:t xml:space="preserve"> tutje, </w:t>
      </w:r>
      <w:r w:rsidR="00AE2FFC" w:rsidRPr="009E674D">
        <w:rPr>
          <w:lang w:val="sq-AL"/>
        </w:rPr>
        <w:t>ë</w:t>
      </w:r>
      <w:r w:rsidR="0059787A" w:rsidRPr="009E674D">
        <w:rPr>
          <w:lang w:val="sq-AL"/>
        </w:rPr>
        <w:t>shtë e nevojshme të</w:t>
      </w:r>
      <w:r w:rsidR="00AE2FFC" w:rsidRPr="009E674D">
        <w:rPr>
          <w:lang w:val="sq-AL"/>
        </w:rPr>
        <w:t xml:space="preserve"> ofrohen trajnime për fermerët që </w:t>
      </w:r>
      <w:r w:rsidR="00B86FCC" w:rsidRPr="009E674D">
        <w:rPr>
          <w:lang w:val="sq-AL"/>
        </w:rPr>
        <w:t>t’</w:t>
      </w:r>
      <w:r w:rsidR="00B86FCC">
        <w:rPr>
          <w:lang w:val="sq-AL"/>
        </w:rPr>
        <w:t>iu</w:t>
      </w:r>
      <w:r w:rsidR="00B86FCC" w:rsidRPr="009E674D">
        <w:rPr>
          <w:lang w:val="sq-AL"/>
        </w:rPr>
        <w:t xml:space="preserve"> </w:t>
      </w:r>
      <w:r w:rsidR="00DC339A" w:rsidRPr="009E674D">
        <w:rPr>
          <w:lang w:val="sq-AL"/>
        </w:rPr>
        <w:t>ngrit</w:t>
      </w:r>
      <w:r w:rsidR="00DC339A">
        <w:rPr>
          <w:lang w:val="sq-AL"/>
        </w:rPr>
        <w:t>ë</w:t>
      </w:r>
      <w:r w:rsidR="00DC339A" w:rsidRPr="009E674D">
        <w:rPr>
          <w:lang w:val="sq-AL"/>
        </w:rPr>
        <w:t>n</w:t>
      </w:r>
      <w:r w:rsidR="00DC339A">
        <w:rPr>
          <w:lang w:val="sq-AL"/>
        </w:rPr>
        <w:t xml:space="preserve"> </w:t>
      </w:r>
      <w:r w:rsidR="00AE2FFC" w:rsidRPr="009E674D">
        <w:rPr>
          <w:lang w:val="sq-AL"/>
        </w:rPr>
        <w:t xml:space="preserve">aftësitë për kultivim më efikas të prodhimeve bujqësore. </w:t>
      </w:r>
      <w:r w:rsidR="007C52BC" w:rsidRPr="009E674D">
        <w:rPr>
          <w:lang w:val="sq-AL"/>
        </w:rPr>
        <w:t>Njëkohësisht,</w:t>
      </w:r>
      <w:r w:rsidR="00674A08" w:rsidRPr="009E674D">
        <w:rPr>
          <w:lang w:val="sq-AL"/>
        </w:rPr>
        <w:t xml:space="preserve"> </w:t>
      </w:r>
      <w:r w:rsidR="00CC4E83" w:rsidRPr="009E674D">
        <w:rPr>
          <w:lang w:val="sq-AL"/>
        </w:rPr>
        <w:t>avancimi i</w:t>
      </w:r>
      <w:r w:rsidR="007C52BC" w:rsidRPr="009E674D">
        <w:rPr>
          <w:lang w:val="sq-AL"/>
        </w:rPr>
        <w:t xml:space="preserve"> zinxhirëve të vlerës</w:t>
      </w:r>
      <w:r w:rsidR="00770A14" w:rsidRPr="009E674D">
        <w:rPr>
          <w:lang w:val="sq-AL"/>
        </w:rPr>
        <w:t xml:space="preserve"> </w:t>
      </w:r>
      <w:r w:rsidR="00CC4E83" w:rsidRPr="009E674D">
        <w:rPr>
          <w:lang w:val="sq-AL"/>
        </w:rPr>
        <w:t xml:space="preserve">përmes pikave grumbulluese dhe formave bashkëpunuese duhet të jetë në mesin e prioriteteve </w:t>
      </w:r>
      <w:r w:rsidR="00B86FCC">
        <w:rPr>
          <w:lang w:val="sq-AL"/>
        </w:rPr>
        <w:t>t</w:t>
      </w:r>
      <w:r w:rsidR="00B86FCC" w:rsidRPr="009E674D">
        <w:rPr>
          <w:lang w:val="sq-AL"/>
        </w:rPr>
        <w:t xml:space="preserve">ë </w:t>
      </w:r>
      <w:r w:rsidR="00CC4E83" w:rsidRPr="009E674D">
        <w:rPr>
          <w:lang w:val="sq-AL"/>
        </w:rPr>
        <w:t>bujqësisë</w:t>
      </w:r>
      <w:r w:rsidR="007C52BC" w:rsidRPr="009E674D">
        <w:rPr>
          <w:lang w:val="sq-AL"/>
        </w:rPr>
        <w:t>.</w:t>
      </w:r>
      <w:r w:rsidR="00674A08" w:rsidRPr="009E674D">
        <w:rPr>
          <w:lang w:val="sq-AL"/>
        </w:rPr>
        <w:t xml:space="preserve"> Për ta promovuar turizmin, komunat duhet </w:t>
      </w:r>
      <w:r w:rsidR="00CC4E83" w:rsidRPr="009E674D">
        <w:rPr>
          <w:lang w:val="sq-AL"/>
        </w:rPr>
        <w:t>të punojnë në zhvillim të</w:t>
      </w:r>
      <w:r w:rsidR="00674A08" w:rsidRPr="009E674D">
        <w:rPr>
          <w:lang w:val="sq-AL"/>
        </w:rPr>
        <w:t xml:space="preserve"> brendi</w:t>
      </w:r>
      <w:r w:rsidR="00CC4E83" w:rsidRPr="009E674D">
        <w:rPr>
          <w:lang w:val="sq-AL"/>
        </w:rPr>
        <w:t>t të</w:t>
      </w:r>
      <w:r w:rsidR="00A923DD" w:rsidRPr="009E674D">
        <w:rPr>
          <w:lang w:val="sq-AL"/>
        </w:rPr>
        <w:t xml:space="preserve"> tyre turistik, ku përfshihet</w:t>
      </w:r>
      <w:r w:rsidR="00674A08" w:rsidRPr="009E674D">
        <w:rPr>
          <w:lang w:val="sq-AL"/>
        </w:rPr>
        <w:t xml:space="preserve"> </w:t>
      </w:r>
      <w:r w:rsidR="00A923DD" w:rsidRPr="009E674D">
        <w:rPr>
          <w:lang w:val="sq-AL"/>
        </w:rPr>
        <w:t>logoja</w:t>
      </w:r>
      <w:r w:rsidR="00674A08" w:rsidRPr="009E674D">
        <w:rPr>
          <w:lang w:val="sq-AL"/>
        </w:rPr>
        <w:t xml:space="preserve">, </w:t>
      </w:r>
      <w:r w:rsidR="00A923DD" w:rsidRPr="009E674D">
        <w:rPr>
          <w:lang w:val="sq-AL"/>
        </w:rPr>
        <w:t>slogani</w:t>
      </w:r>
      <w:r w:rsidR="00674A08" w:rsidRPr="009E674D">
        <w:rPr>
          <w:lang w:val="sq-AL"/>
        </w:rPr>
        <w:t xml:space="preserve">, identiteti vizual dhe në përgjithësi narracioni turistik. </w:t>
      </w:r>
      <w:r w:rsidR="00A923DD" w:rsidRPr="009E674D">
        <w:rPr>
          <w:lang w:val="sq-AL"/>
        </w:rPr>
        <w:t>Në këtë drejtim, themelimi i q</w:t>
      </w:r>
      <w:r w:rsidR="00674A08" w:rsidRPr="009E674D">
        <w:rPr>
          <w:lang w:val="sq-AL"/>
        </w:rPr>
        <w:t>en</w:t>
      </w:r>
      <w:r w:rsidR="00A923DD" w:rsidRPr="009E674D">
        <w:rPr>
          <w:lang w:val="sq-AL"/>
        </w:rPr>
        <w:t>drave</w:t>
      </w:r>
      <w:r w:rsidR="00674A08" w:rsidRPr="009E674D">
        <w:rPr>
          <w:lang w:val="sq-AL"/>
        </w:rPr>
        <w:t xml:space="preserve"> informative </w:t>
      </w:r>
      <w:r w:rsidR="00A923DD" w:rsidRPr="009E674D">
        <w:rPr>
          <w:lang w:val="sq-AL"/>
        </w:rPr>
        <w:t>është gjithashtu i</w:t>
      </w:r>
      <w:r w:rsidR="00674A08" w:rsidRPr="009E674D">
        <w:rPr>
          <w:lang w:val="sq-AL"/>
        </w:rPr>
        <w:t xml:space="preserve"> </w:t>
      </w:r>
      <w:r w:rsidR="00CC4E83" w:rsidRPr="009E674D">
        <w:rPr>
          <w:lang w:val="sq-AL"/>
        </w:rPr>
        <w:t>rëndë</w:t>
      </w:r>
      <w:r w:rsidR="00A923DD" w:rsidRPr="009E674D">
        <w:rPr>
          <w:lang w:val="sq-AL"/>
        </w:rPr>
        <w:t>sishëm</w:t>
      </w:r>
      <w:r w:rsidR="007E0A71" w:rsidRPr="009E674D">
        <w:rPr>
          <w:lang w:val="sq-AL"/>
        </w:rPr>
        <w:t xml:space="preserve"> për komunikim të ofertës turistike. Infrastruktura </w:t>
      </w:r>
      <w:r w:rsidR="00CC4E83" w:rsidRPr="009E674D">
        <w:rPr>
          <w:lang w:val="sq-AL"/>
        </w:rPr>
        <w:t>turistike</w:t>
      </w:r>
      <w:r w:rsidR="00A923DD" w:rsidRPr="009E674D">
        <w:rPr>
          <w:lang w:val="sq-AL"/>
        </w:rPr>
        <w:t xml:space="preserve">, si për shembull </w:t>
      </w:r>
      <w:r w:rsidR="007E0A71" w:rsidRPr="009E674D">
        <w:rPr>
          <w:lang w:val="sq-AL"/>
        </w:rPr>
        <w:t>qasja në destinacione, sinjalistika dhe t</w:t>
      </w:r>
      <w:r w:rsidR="00CC4E83" w:rsidRPr="009E674D">
        <w:rPr>
          <w:lang w:val="sq-AL"/>
        </w:rPr>
        <w:t>ë</w:t>
      </w:r>
      <w:r w:rsidR="007E0A71" w:rsidRPr="009E674D">
        <w:rPr>
          <w:lang w:val="sq-AL"/>
        </w:rPr>
        <w:t xml:space="preserve"> ngjashmet</w:t>
      </w:r>
      <w:r w:rsidR="00A923DD" w:rsidRPr="009E674D">
        <w:rPr>
          <w:lang w:val="sq-AL"/>
        </w:rPr>
        <w:t xml:space="preserve"> </w:t>
      </w:r>
      <w:r w:rsidR="00CC4E83" w:rsidRPr="009E674D">
        <w:rPr>
          <w:lang w:val="sq-AL"/>
        </w:rPr>
        <w:t>ka</w:t>
      </w:r>
      <w:r w:rsidR="00A923DD" w:rsidRPr="009E674D">
        <w:rPr>
          <w:lang w:val="sq-AL"/>
        </w:rPr>
        <w:t>në</w:t>
      </w:r>
      <w:r w:rsidR="00CC4E83" w:rsidRPr="009E674D">
        <w:rPr>
          <w:lang w:val="sq-AL"/>
        </w:rPr>
        <w:t xml:space="preserve"> nevojë </w:t>
      </w:r>
      <w:r w:rsidR="00A923DD" w:rsidRPr="009E674D">
        <w:rPr>
          <w:lang w:val="sq-AL"/>
        </w:rPr>
        <w:t>për rregullim</w:t>
      </w:r>
      <w:r w:rsidR="00AE2FFC" w:rsidRPr="009E674D">
        <w:rPr>
          <w:lang w:val="sq-AL"/>
        </w:rPr>
        <w:t>. S</w:t>
      </w:r>
      <w:r w:rsidR="00A923DD" w:rsidRPr="009E674D">
        <w:rPr>
          <w:lang w:val="sq-AL"/>
        </w:rPr>
        <w:t>humë</w:t>
      </w:r>
      <w:r w:rsidR="00CC4E83" w:rsidRPr="009E674D">
        <w:rPr>
          <w:lang w:val="sq-AL"/>
        </w:rPr>
        <w:t xml:space="preserve"> </w:t>
      </w:r>
      <w:r w:rsidR="00A923DD" w:rsidRPr="009E674D">
        <w:rPr>
          <w:lang w:val="sq-AL"/>
        </w:rPr>
        <w:t>hapësira të</w:t>
      </w:r>
      <w:r w:rsidR="007E0A71" w:rsidRPr="009E674D">
        <w:rPr>
          <w:lang w:val="sq-AL"/>
        </w:rPr>
        <w:t xml:space="preserve"> trashëgimisë kulturore</w:t>
      </w:r>
      <w:r w:rsidR="00A923DD" w:rsidRPr="009E674D">
        <w:rPr>
          <w:lang w:val="sq-AL"/>
        </w:rPr>
        <w:t xml:space="preserve"> n</w:t>
      </w:r>
      <w:r w:rsidR="00CC4E83" w:rsidRPr="009E674D">
        <w:rPr>
          <w:lang w:val="sq-AL"/>
        </w:rPr>
        <w:t>ë</w:t>
      </w:r>
      <w:r w:rsidR="00A923DD" w:rsidRPr="009E674D">
        <w:rPr>
          <w:lang w:val="sq-AL"/>
        </w:rPr>
        <w:t>n menaxhim lokal kanë nevojë të</w:t>
      </w:r>
      <w:r w:rsidR="007E0A71" w:rsidRPr="009E674D">
        <w:rPr>
          <w:lang w:val="sq-AL"/>
        </w:rPr>
        <w:t xml:space="preserve"> restaurohen dhe rimodelohen</w:t>
      </w:r>
      <w:r w:rsidR="00A923DD" w:rsidRPr="009E674D">
        <w:rPr>
          <w:lang w:val="sq-AL"/>
        </w:rPr>
        <w:t>,</w:t>
      </w:r>
      <w:r w:rsidR="007E0A71" w:rsidRPr="009E674D">
        <w:rPr>
          <w:lang w:val="sq-AL"/>
        </w:rPr>
        <w:t xml:space="preserve"> </w:t>
      </w:r>
      <w:r w:rsidR="00B86FCC">
        <w:rPr>
          <w:lang w:val="sq-AL"/>
        </w:rPr>
        <w:t xml:space="preserve">ashtu </w:t>
      </w:r>
      <w:r w:rsidR="00A923DD" w:rsidRPr="009E674D">
        <w:rPr>
          <w:lang w:val="sq-AL"/>
        </w:rPr>
        <w:t>që, veç tjerash, t’i shërbejnë ekonomis</w:t>
      </w:r>
      <w:r w:rsidR="007E0A71" w:rsidRPr="009E674D">
        <w:rPr>
          <w:lang w:val="sq-AL"/>
        </w:rPr>
        <w:t>ë kreative</w:t>
      </w:r>
      <w:r w:rsidR="00A923DD" w:rsidRPr="009E674D">
        <w:rPr>
          <w:lang w:val="sq-AL"/>
        </w:rPr>
        <w:t>. Në fund, por jo me</w:t>
      </w:r>
      <w:r w:rsidR="009E674D">
        <w:rPr>
          <w:lang w:val="sq-AL"/>
        </w:rPr>
        <w:t xml:space="preserve"> m</w:t>
      </w:r>
      <w:r w:rsidR="009E674D" w:rsidRPr="009E674D">
        <w:rPr>
          <w:lang w:val="sq-AL"/>
        </w:rPr>
        <w:t>ë</w:t>
      </w:r>
      <w:r w:rsidR="00A923DD" w:rsidRPr="009E674D">
        <w:rPr>
          <w:lang w:val="sq-AL"/>
        </w:rPr>
        <w:t xml:space="preserve"> pak rëndësi, nevojitet përkrahje për zhvillimin e produkteve që promovojnë agroturizmin. </w:t>
      </w:r>
    </w:p>
    <w:p w14:paraId="63D4AB42" w14:textId="128CD608" w:rsidR="00A85804" w:rsidRPr="009E674D" w:rsidRDefault="009E674D" w:rsidP="009601FF">
      <w:pPr>
        <w:jc w:val="both"/>
        <w:rPr>
          <w:lang w:val="sq-AL"/>
        </w:rPr>
      </w:pPr>
      <w:r w:rsidRPr="009E674D">
        <w:rPr>
          <w:lang w:val="sq-AL"/>
        </w:rPr>
        <w:t>Ky</w:t>
      </w:r>
      <w:r w:rsidR="00BE1CC8" w:rsidRPr="009E674D">
        <w:rPr>
          <w:lang w:val="sq-AL"/>
        </w:rPr>
        <w:t xml:space="preserve"> o</w:t>
      </w:r>
      <w:r w:rsidRPr="009E674D">
        <w:rPr>
          <w:lang w:val="sq-AL"/>
        </w:rPr>
        <w:t>bjektiv</w:t>
      </w:r>
      <w:r w:rsidR="006F6F6D" w:rsidRPr="009E674D">
        <w:rPr>
          <w:lang w:val="sq-AL"/>
        </w:rPr>
        <w:t xml:space="preserve"> spe</w:t>
      </w:r>
      <w:r w:rsidRPr="009E674D">
        <w:rPr>
          <w:lang w:val="sq-AL"/>
        </w:rPr>
        <w:t>cifik</w:t>
      </w:r>
      <w:r w:rsidR="00A923DD" w:rsidRPr="009E674D">
        <w:rPr>
          <w:lang w:val="sq-AL"/>
        </w:rPr>
        <w:t xml:space="preserve"> lidhet me</w:t>
      </w:r>
      <w:r w:rsidR="009601FF" w:rsidRPr="009E674D">
        <w:rPr>
          <w:lang w:val="sq-AL"/>
        </w:rPr>
        <w:t xml:space="preserve"> </w:t>
      </w:r>
      <w:r w:rsidRPr="009E674D">
        <w:rPr>
          <w:lang w:val="sq-AL"/>
        </w:rPr>
        <w:t>Objektivin</w:t>
      </w:r>
      <w:r w:rsidR="00A923DD" w:rsidRPr="009E674D">
        <w:rPr>
          <w:lang w:val="sq-AL"/>
        </w:rPr>
        <w:t xml:space="preserve"> </w:t>
      </w:r>
      <w:r w:rsidR="009601FF" w:rsidRPr="009E674D">
        <w:rPr>
          <w:lang w:val="sq-AL"/>
        </w:rPr>
        <w:t>1.7 të SKZH-së</w:t>
      </w:r>
      <w:r w:rsidRPr="009E674D">
        <w:rPr>
          <w:lang w:val="sq-AL"/>
        </w:rPr>
        <w:t xml:space="preserve"> dhe PKZH-së</w:t>
      </w:r>
      <w:r w:rsidR="009601FF" w:rsidRPr="009E674D">
        <w:rPr>
          <w:lang w:val="sq-AL"/>
        </w:rPr>
        <w:t>, që synon përmirësimin e produktivitetit dhe qëndrueshmërisë në bujqësi. Turizmi nuk trajtohe</w:t>
      </w:r>
      <w:r w:rsidRPr="009E674D">
        <w:rPr>
          <w:lang w:val="sq-AL"/>
        </w:rPr>
        <w:t>t si objektiv i</w:t>
      </w:r>
      <w:r w:rsidR="00AE2FFC" w:rsidRPr="009E674D">
        <w:rPr>
          <w:lang w:val="sq-AL"/>
        </w:rPr>
        <w:t xml:space="preserve"> veçantë te SKZH-ja</w:t>
      </w:r>
      <w:r w:rsidRPr="009E674D">
        <w:rPr>
          <w:lang w:val="sq-AL"/>
        </w:rPr>
        <w:t xml:space="preserve"> dhe PKZH-ja</w:t>
      </w:r>
      <w:r w:rsidR="009601FF" w:rsidRPr="009E674D">
        <w:rPr>
          <w:lang w:val="sq-AL"/>
        </w:rPr>
        <w:t>, por hyn në kuadër të Objektiv</w:t>
      </w:r>
      <w:r w:rsidRPr="009E674D">
        <w:rPr>
          <w:lang w:val="sq-AL"/>
        </w:rPr>
        <w:t>it</w:t>
      </w:r>
      <w:r w:rsidR="009601FF" w:rsidRPr="009E674D">
        <w:rPr>
          <w:lang w:val="sq-AL"/>
        </w:rPr>
        <w:t xml:space="preserve"> 1.3, që synon të krijojë produkte dhe shërbime me vlerë të shtuar. </w:t>
      </w:r>
    </w:p>
    <w:p w14:paraId="18633432" w14:textId="573666EB" w:rsidR="00A85804" w:rsidRPr="009E674D" w:rsidRDefault="00A85804" w:rsidP="006045A3">
      <w:pPr>
        <w:jc w:val="both"/>
        <w:rPr>
          <w:lang w:val="sq-AL"/>
        </w:rPr>
      </w:pPr>
    </w:p>
    <w:p w14:paraId="30D620F5" w14:textId="77777777" w:rsidR="00A85804" w:rsidRPr="009E674D" w:rsidRDefault="00A85804" w:rsidP="00A85804">
      <w:pPr>
        <w:rPr>
          <w:lang w:val="sq-AL"/>
        </w:rPr>
      </w:pPr>
      <w:r w:rsidRPr="009E674D">
        <w:rPr>
          <w:noProof/>
        </w:rPr>
        <mc:AlternateContent>
          <mc:Choice Requires="wps">
            <w:drawing>
              <wp:anchor distT="0" distB="0" distL="114300" distR="114300" simplePos="0" relativeHeight="251752448" behindDoc="0" locked="0" layoutInCell="1" allowOverlap="1" wp14:anchorId="4FE20D23" wp14:editId="2E1ED35B">
                <wp:simplePos x="0" y="0"/>
                <wp:positionH relativeFrom="margin">
                  <wp:align>right</wp:align>
                </wp:positionH>
                <wp:positionV relativeFrom="paragraph">
                  <wp:posOffset>46182</wp:posOffset>
                </wp:positionV>
                <wp:extent cx="5925805" cy="2743200"/>
                <wp:effectExtent l="0" t="0" r="18415" b="19050"/>
                <wp:wrapNone/>
                <wp:docPr id="15" name="Text Box 15"/>
                <wp:cNvGraphicFramePr/>
                <a:graphic xmlns:a="http://schemas.openxmlformats.org/drawingml/2006/main">
                  <a:graphicData uri="http://schemas.microsoft.com/office/word/2010/wordprocessingShape">
                    <wps:wsp>
                      <wps:cNvSpPr txBox="1"/>
                      <wps:spPr>
                        <a:xfrm>
                          <a:off x="0" y="0"/>
                          <a:ext cx="5925805" cy="274320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6DD97352" w14:textId="77777777" w:rsidR="00636E80" w:rsidRPr="00BA0BCB" w:rsidRDefault="00636E80" w:rsidP="00A85804">
                            <w:pPr>
                              <w:rPr>
                                <w:b/>
                                <w:i/>
                                <w:lang w:val="sq-AL"/>
                              </w:rPr>
                            </w:pPr>
                            <w:r w:rsidRPr="00BA0BCB">
                              <w:rPr>
                                <w:b/>
                                <w:i/>
                                <w:lang w:val="sq-AL"/>
                              </w:rPr>
                              <w:t>Të bëhet:</w:t>
                            </w:r>
                          </w:p>
                          <w:p w14:paraId="4A29F0EC" w14:textId="1016B147" w:rsidR="00636E80" w:rsidRPr="00BA0BCB" w:rsidRDefault="00636E80" w:rsidP="00AE2FFC">
                            <w:pPr>
                              <w:pStyle w:val="ListParagraph"/>
                              <w:numPr>
                                <w:ilvl w:val="0"/>
                                <w:numId w:val="9"/>
                              </w:numPr>
                              <w:rPr>
                                <w:i/>
                                <w:sz w:val="22"/>
                                <w:szCs w:val="22"/>
                                <w:lang w:val="sq-AL"/>
                              </w:rPr>
                            </w:pPr>
                            <w:r w:rsidRPr="00BA0BCB">
                              <w:rPr>
                                <w:i/>
                                <w:sz w:val="22"/>
                                <w:szCs w:val="22"/>
                                <w:lang w:val="sq-AL"/>
                              </w:rPr>
                              <w:t xml:space="preserve">Ofrimi i granteve për pajisje në bujqësi me kusht bashkimin e parcelave </w:t>
                            </w:r>
                          </w:p>
                          <w:p w14:paraId="460C695F" w14:textId="519BACF6" w:rsidR="00636E80" w:rsidRPr="00BA0BCB" w:rsidRDefault="00636E80" w:rsidP="00AE2FFC">
                            <w:pPr>
                              <w:pStyle w:val="ListParagraph"/>
                              <w:numPr>
                                <w:ilvl w:val="0"/>
                                <w:numId w:val="9"/>
                              </w:numPr>
                              <w:rPr>
                                <w:i/>
                                <w:sz w:val="22"/>
                                <w:szCs w:val="22"/>
                                <w:lang w:val="sq-AL"/>
                              </w:rPr>
                            </w:pPr>
                            <w:r w:rsidRPr="00BA0BCB">
                              <w:rPr>
                                <w:i/>
                                <w:sz w:val="22"/>
                                <w:szCs w:val="22"/>
                                <w:lang w:val="sq-AL"/>
                              </w:rPr>
                              <w:t xml:space="preserve">Rritja e subvencionimit direkt në bujqësi me procedura më të thjeshtuara </w:t>
                            </w:r>
                          </w:p>
                          <w:p w14:paraId="653340F8" w14:textId="5C472DBC" w:rsidR="00636E80" w:rsidRPr="00BA0BCB" w:rsidRDefault="00636E80" w:rsidP="006045A3">
                            <w:pPr>
                              <w:pStyle w:val="ListParagraph"/>
                              <w:numPr>
                                <w:ilvl w:val="0"/>
                                <w:numId w:val="9"/>
                              </w:numPr>
                              <w:rPr>
                                <w:i/>
                                <w:sz w:val="22"/>
                                <w:szCs w:val="22"/>
                                <w:lang w:val="sq-AL"/>
                              </w:rPr>
                            </w:pPr>
                            <w:r w:rsidRPr="00BA0BCB">
                              <w:rPr>
                                <w:i/>
                                <w:sz w:val="22"/>
                                <w:szCs w:val="22"/>
                                <w:lang w:val="sq-AL"/>
                              </w:rPr>
                              <w:t>Fuqizimi i zyrave këshill</w:t>
                            </w:r>
                            <w:r>
                              <w:rPr>
                                <w:i/>
                                <w:sz w:val="22"/>
                                <w:szCs w:val="22"/>
                                <w:lang w:val="sq-AL"/>
                              </w:rPr>
                              <w:t>uese</w:t>
                            </w:r>
                            <w:r w:rsidRPr="00BA0BCB">
                              <w:rPr>
                                <w:i/>
                                <w:sz w:val="22"/>
                                <w:szCs w:val="22"/>
                                <w:lang w:val="sq-AL"/>
                              </w:rPr>
                              <w:t xml:space="preserve"> për t'i ndihmuar fermerët në proces të aplikimit për grante </w:t>
                            </w:r>
                          </w:p>
                          <w:p w14:paraId="7A5053AA" w14:textId="31B2735E" w:rsidR="00636E80" w:rsidRPr="00BA0BCB" w:rsidRDefault="00636E80" w:rsidP="006045A3">
                            <w:pPr>
                              <w:pStyle w:val="ListParagraph"/>
                              <w:numPr>
                                <w:ilvl w:val="0"/>
                                <w:numId w:val="9"/>
                              </w:numPr>
                              <w:rPr>
                                <w:i/>
                                <w:sz w:val="22"/>
                                <w:szCs w:val="22"/>
                                <w:lang w:val="sq-AL"/>
                              </w:rPr>
                            </w:pPr>
                            <w:r w:rsidRPr="00BA0BCB">
                              <w:rPr>
                                <w:i/>
                                <w:sz w:val="22"/>
                                <w:szCs w:val="22"/>
                                <w:lang w:val="sq-AL"/>
                              </w:rPr>
                              <w:t>Trajnime për fermerët për ngritje të aftësive për kultivim më efikas të prodhimeve bujqësore</w:t>
                            </w:r>
                          </w:p>
                          <w:p w14:paraId="76A69E56" w14:textId="2600B078" w:rsidR="00636E80" w:rsidRPr="00BA0BCB" w:rsidRDefault="00636E80" w:rsidP="006045A3">
                            <w:pPr>
                              <w:pStyle w:val="ListParagraph"/>
                              <w:numPr>
                                <w:ilvl w:val="0"/>
                                <w:numId w:val="9"/>
                              </w:numPr>
                              <w:rPr>
                                <w:i/>
                                <w:sz w:val="22"/>
                                <w:szCs w:val="22"/>
                                <w:lang w:val="sq-AL"/>
                              </w:rPr>
                            </w:pPr>
                            <w:r w:rsidRPr="00BA0BCB">
                              <w:rPr>
                                <w:i/>
                                <w:sz w:val="22"/>
                                <w:szCs w:val="22"/>
                                <w:lang w:val="sq-AL"/>
                              </w:rPr>
                              <w:t xml:space="preserve">Përmirësimi i zinxhirit të vlerës në bujqësi përmes përkrahjes së pikave grumbulluese </w:t>
                            </w:r>
                          </w:p>
                          <w:p w14:paraId="71153390" w14:textId="037EC4D6" w:rsidR="00636E80" w:rsidRPr="00BA0BCB" w:rsidRDefault="00636E80" w:rsidP="006045A3">
                            <w:pPr>
                              <w:pStyle w:val="ListParagraph"/>
                              <w:numPr>
                                <w:ilvl w:val="0"/>
                                <w:numId w:val="9"/>
                              </w:numPr>
                              <w:rPr>
                                <w:i/>
                                <w:sz w:val="22"/>
                                <w:szCs w:val="22"/>
                                <w:lang w:val="sq-AL"/>
                              </w:rPr>
                            </w:pPr>
                            <w:r w:rsidRPr="00BA0BCB">
                              <w:rPr>
                                <w:i/>
                                <w:sz w:val="22"/>
                                <w:szCs w:val="22"/>
                                <w:lang w:val="sq-AL"/>
                              </w:rPr>
                              <w:t>Brendimi turistik i komunave (logoja, slogani, identiteti vizual dhe narracioni turistik në përgjithësi)</w:t>
                            </w:r>
                          </w:p>
                          <w:p w14:paraId="556811EC" w14:textId="31520608" w:rsidR="00636E80" w:rsidRPr="00BA0BCB" w:rsidRDefault="00636E80" w:rsidP="006045A3">
                            <w:pPr>
                              <w:pStyle w:val="ListParagraph"/>
                              <w:numPr>
                                <w:ilvl w:val="0"/>
                                <w:numId w:val="9"/>
                              </w:numPr>
                              <w:rPr>
                                <w:i/>
                                <w:sz w:val="22"/>
                                <w:szCs w:val="22"/>
                                <w:lang w:val="sq-AL"/>
                              </w:rPr>
                            </w:pPr>
                            <w:r w:rsidRPr="00BA0BCB">
                              <w:rPr>
                                <w:i/>
                                <w:sz w:val="22"/>
                                <w:szCs w:val="22"/>
                                <w:lang w:val="sq-AL"/>
                              </w:rPr>
                              <w:t>Krijimi i qendrave informative për promovimin e turizmit lokal</w:t>
                            </w:r>
                          </w:p>
                          <w:p w14:paraId="14847942" w14:textId="32BE34E7" w:rsidR="00636E80" w:rsidRPr="00BA0BCB" w:rsidRDefault="00636E80" w:rsidP="006045A3">
                            <w:pPr>
                              <w:pStyle w:val="ListParagraph"/>
                              <w:numPr>
                                <w:ilvl w:val="0"/>
                                <w:numId w:val="9"/>
                              </w:numPr>
                              <w:rPr>
                                <w:i/>
                                <w:sz w:val="22"/>
                                <w:szCs w:val="22"/>
                                <w:lang w:val="sq-AL"/>
                              </w:rPr>
                            </w:pPr>
                            <w:r w:rsidRPr="00BA0BCB">
                              <w:rPr>
                                <w:i/>
                                <w:sz w:val="22"/>
                                <w:szCs w:val="22"/>
                                <w:lang w:val="sq-AL"/>
                              </w:rPr>
                              <w:t xml:space="preserve">Përmirësimi i infrastrukturës lokale </w:t>
                            </w:r>
                            <w:r>
                              <w:rPr>
                                <w:i/>
                                <w:sz w:val="22"/>
                                <w:szCs w:val="22"/>
                                <w:lang w:val="sq-AL"/>
                              </w:rPr>
                              <w:t>në</w:t>
                            </w:r>
                            <w:r w:rsidRPr="00BA0BCB">
                              <w:rPr>
                                <w:i/>
                                <w:sz w:val="22"/>
                                <w:szCs w:val="22"/>
                                <w:lang w:val="sq-AL"/>
                              </w:rPr>
                              <w:t xml:space="preserve"> zonat turistike</w:t>
                            </w:r>
                          </w:p>
                          <w:p w14:paraId="392C8962" w14:textId="149C6C5F" w:rsidR="00636E80" w:rsidRPr="00BA0BCB" w:rsidRDefault="00636E80" w:rsidP="006045A3">
                            <w:pPr>
                              <w:pStyle w:val="ListParagraph"/>
                              <w:numPr>
                                <w:ilvl w:val="0"/>
                                <w:numId w:val="9"/>
                              </w:numPr>
                              <w:rPr>
                                <w:i/>
                                <w:sz w:val="22"/>
                                <w:szCs w:val="22"/>
                                <w:lang w:val="sq-AL"/>
                              </w:rPr>
                            </w:pPr>
                            <w:r w:rsidRPr="00BA0BCB">
                              <w:rPr>
                                <w:i/>
                                <w:sz w:val="22"/>
                                <w:szCs w:val="22"/>
                                <w:lang w:val="sq-AL"/>
                              </w:rPr>
                              <w:t>Restaurimi i hapësirave të trashëgimisë kulturore dhe rimodelimi i tyre për ta promovuar ekonominë kreative</w:t>
                            </w:r>
                          </w:p>
                          <w:p w14:paraId="7C9F351D" w14:textId="77777777" w:rsidR="00636E80" w:rsidRPr="00AE2FFC" w:rsidRDefault="00636E80" w:rsidP="006045A3">
                            <w:pPr>
                              <w:pStyle w:val="ListParagraph"/>
                              <w:numPr>
                                <w:ilvl w:val="0"/>
                                <w:numId w:val="9"/>
                              </w:numPr>
                              <w:rPr>
                                <w:i/>
                                <w:sz w:val="22"/>
                                <w:szCs w:val="22"/>
                              </w:rPr>
                            </w:pPr>
                            <w:r w:rsidRPr="00AE2FFC">
                              <w:rPr>
                                <w:i/>
                                <w:sz w:val="22"/>
                                <w:szCs w:val="22"/>
                              </w:rPr>
                              <w:t>Ofrimi i përkrahjes për zhvillimin e produkteve që promovojnë agroturizmin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0D23" id="Text Box 15" o:spid="_x0000_s1046" type="#_x0000_t202" style="position:absolute;margin-left:415.4pt;margin-top:3.65pt;width:466.6pt;height:3in;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" fillcolor="#deebf7" strokecolor="#deebf7" strokeweight="1pt">
                <v:textbox>
                  <w:txbxContent>
                    <w:p w14:paraId="6DD97352" w14:textId="77777777" w:rsidR="00636E80" w:rsidRPr="00BA0BCB" w:rsidRDefault="00636E80" w:rsidP="00A85804">
                      <w:pPr>
                        <w:rPr>
                          <w:b/>
                          <w:i/>
                          <w:lang w:val="sq-AL"/>
                        </w:rPr>
                      </w:pPr>
                      <w:r w:rsidRPr="00BA0BCB">
                        <w:rPr>
                          <w:b/>
                          <w:i/>
                          <w:lang w:val="sq-AL"/>
                        </w:rPr>
                        <w:t>Të bëhet:</w:t>
                      </w:r>
                    </w:p>
                    <w:p w14:paraId="4A29F0EC" w14:textId="1016B147" w:rsidR="00636E80" w:rsidRPr="00BA0BCB" w:rsidRDefault="00636E80" w:rsidP="00AE2FFC">
                      <w:pPr>
                        <w:pStyle w:val="ListParagraph"/>
                        <w:numPr>
                          <w:ilvl w:val="0"/>
                          <w:numId w:val="9"/>
                        </w:numPr>
                        <w:rPr>
                          <w:i/>
                          <w:sz w:val="22"/>
                          <w:szCs w:val="22"/>
                          <w:lang w:val="sq-AL"/>
                        </w:rPr>
                      </w:pPr>
                      <w:r w:rsidRPr="00BA0BCB">
                        <w:rPr>
                          <w:i/>
                          <w:sz w:val="22"/>
                          <w:szCs w:val="22"/>
                          <w:lang w:val="sq-AL"/>
                        </w:rPr>
                        <w:t xml:space="preserve">Ofrimi i granteve për pajisje në bujqësi me kusht bashkimin e parcelave </w:t>
                      </w:r>
                    </w:p>
                    <w:p w14:paraId="460C695F" w14:textId="519BACF6" w:rsidR="00636E80" w:rsidRPr="00BA0BCB" w:rsidRDefault="00636E80" w:rsidP="00AE2FFC">
                      <w:pPr>
                        <w:pStyle w:val="ListParagraph"/>
                        <w:numPr>
                          <w:ilvl w:val="0"/>
                          <w:numId w:val="9"/>
                        </w:numPr>
                        <w:rPr>
                          <w:i/>
                          <w:sz w:val="22"/>
                          <w:szCs w:val="22"/>
                          <w:lang w:val="sq-AL"/>
                        </w:rPr>
                      </w:pPr>
                      <w:r w:rsidRPr="00BA0BCB">
                        <w:rPr>
                          <w:i/>
                          <w:sz w:val="22"/>
                          <w:szCs w:val="22"/>
                          <w:lang w:val="sq-AL"/>
                        </w:rPr>
                        <w:t xml:space="preserve">Rritja e subvencionimit direkt në bujqësi me procedura më të thjeshtuara </w:t>
                      </w:r>
                    </w:p>
                    <w:p w14:paraId="653340F8" w14:textId="5C472DBC" w:rsidR="00636E80" w:rsidRPr="00BA0BCB" w:rsidRDefault="00636E80" w:rsidP="006045A3">
                      <w:pPr>
                        <w:pStyle w:val="ListParagraph"/>
                        <w:numPr>
                          <w:ilvl w:val="0"/>
                          <w:numId w:val="9"/>
                        </w:numPr>
                        <w:rPr>
                          <w:i/>
                          <w:sz w:val="22"/>
                          <w:szCs w:val="22"/>
                          <w:lang w:val="sq-AL"/>
                        </w:rPr>
                      </w:pPr>
                      <w:r w:rsidRPr="00BA0BCB">
                        <w:rPr>
                          <w:i/>
                          <w:sz w:val="22"/>
                          <w:szCs w:val="22"/>
                          <w:lang w:val="sq-AL"/>
                        </w:rPr>
                        <w:t>Fuqizimi i zyrave këshill</w:t>
                      </w:r>
                      <w:r>
                        <w:rPr>
                          <w:i/>
                          <w:sz w:val="22"/>
                          <w:szCs w:val="22"/>
                          <w:lang w:val="sq-AL"/>
                        </w:rPr>
                        <w:t>uese</w:t>
                      </w:r>
                      <w:r w:rsidRPr="00BA0BCB">
                        <w:rPr>
                          <w:i/>
                          <w:sz w:val="22"/>
                          <w:szCs w:val="22"/>
                          <w:lang w:val="sq-AL"/>
                        </w:rPr>
                        <w:t xml:space="preserve"> për t'i ndihmuar fermerët në proces të aplikimit për grante </w:t>
                      </w:r>
                    </w:p>
                    <w:p w14:paraId="7A5053AA" w14:textId="31B2735E" w:rsidR="00636E80" w:rsidRPr="00BA0BCB" w:rsidRDefault="00636E80" w:rsidP="006045A3">
                      <w:pPr>
                        <w:pStyle w:val="ListParagraph"/>
                        <w:numPr>
                          <w:ilvl w:val="0"/>
                          <w:numId w:val="9"/>
                        </w:numPr>
                        <w:rPr>
                          <w:i/>
                          <w:sz w:val="22"/>
                          <w:szCs w:val="22"/>
                          <w:lang w:val="sq-AL"/>
                        </w:rPr>
                      </w:pPr>
                      <w:r w:rsidRPr="00BA0BCB">
                        <w:rPr>
                          <w:i/>
                          <w:sz w:val="22"/>
                          <w:szCs w:val="22"/>
                          <w:lang w:val="sq-AL"/>
                        </w:rPr>
                        <w:t>Trajnime për fermerët për ngritje të aftësive për kultivim më efikas të prodhimeve bujqësore</w:t>
                      </w:r>
                    </w:p>
                    <w:p w14:paraId="76A69E56" w14:textId="2600B078" w:rsidR="00636E80" w:rsidRPr="00BA0BCB" w:rsidRDefault="00636E80" w:rsidP="006045A3">
                      <w:pPr>
                        <w:pStyle w:val="ListParagraph"/>
                        <w:numPr>
                          <w:ilvl w:val="0"/>
                          <w:numId w:val="9"/>
                        </w:numPr>
                        <w:rPr>
                          <w:i/>
                          <w:sz w:val="22"/>
                          <w:szCs w:val="22"/>
                          <w:lang w:val="sq-AL"/>
                        </w:rPr>
                      </w:pPr>
                      <w:r w:rsidRPr="00BA0BCB">
                        <w:rPr>
                          <w:i/>
                          <w:sz w:val="22"/>
                          <w:szCs w:val="22"/>
                          <w:lang w:val="sq-AL"/>
                        </w:rPr>
                        <w:t xml:space="preserve">Përmirësimi i zinxhirit të vlerës në bujqësi përmes përkrahjes së pikave grumbulluese </w:t>
                      </w:r>
                    </w:p>
                    <w:p w14:paraId="71153390" w14:textId="037EC4D6" w:rsidR="00636E80" w:rsidRPr="00BA0BCB" w:rsidRDefault="00636E80" w:rsidP="006045A3">
                      <w:pPr>
                        <w:pStyle w:val="ListParagraph"/>
                        <w:numPr>
                          <w:ilvl w:val="0"/>
                          <w:numId w:val="9"/>
                        </w:numPr>
                        <w:rPr>
                          <w:i/>
                          <w:sz w:val="22"/>
                          <w:szCs w:val="22"/>
                          <w:lang w:val="sq-AL"/>
                        </w:rPr>
                      </w:pPr>
                      <w:r w:rsidRPr="00BA0BCB">
                        <w:rPr>
                          <w:i/>
                          <w:sz w:val="22"/>
                          <w:szCs w:val="22"/>
                          <w:lang w:val="sq-AL"/>
                        </w:rPr>
                        <w:t>Brendimi turistik i komunave (logoja, slogani, identiteti vizual dhe narracioni turistik në përgjithësi)</w:t>
                      </w:r>
                    </w:p>
                    <w:p w14:paraId="556811EC" w14:textId="31520608" w:rsidR="00636E80" w:rsidRPr="00BA0BCB" w:rsidRDefault="00636E80" w:rsidP="006045A3">
                      <w:pPr>
                        <w:pStyle w:val="ListParagraph"/>
                        <w:numPr>
                          <w:ilvl w:val="0"/>
                          <w:numId w:val="9"/>
                        </w:numPr>
                        <w:rPr>
                          <w:i/>
                          <w:sz w:val="22"/>
                          <w:szCs w:val="22"/>
                          <w:lang w:val="sq-AL"/>
                        </w:rPr>
                      </w:pPr>
                      <w:r w:rsidRPr="00BA0BCB">
                        <w:rPr>
                          <w:i/>
                          <w:sz w:val="22"/>
                          <w:szCs w:val="22"/>
                          <w:lang w:val="sq-AL"/>
                        </w:rPr>
                        <w:t>Krijimi i qendrave informative për promovimin e turizmit lokal</w:t>
                      </w:r>
                    </w:p>
                    <w:p w14:paraId="14847942" w14:textId="32BE34E7" w:rsidR="00636E80" w:rsidRPr="00BA0BCB" w:rsidRDefault="00636E80" w:rsidP="006045A3">
                      <w:pPr>
                        <w:pStyle w:val="ListParagraph"/>
                        <w:numPr>
                          <w:ilvl w:val="0"/>
                          <w:numId w:val="9"/>
                        </w:numPr>
                        <w:rPr>
                          <w:i/>
                          <w:sz w:val="22"/>
                          <w:szCs w:val="22"/>
                          <w:lang w:val="sq-AL"/>
                        </w:rPr>
                      </w:pPr>
                      <w:r w:rsidRPr="00BA0BCB">
                        <w:rPr>
                          <w:i/>
                          <w:sz w:val="22"/>
                          <w:szCs w:val="22"/>
                          <w:lang w:val="sq-AL"/>
                        </w:rPr>
                        <w:t xml:space="preserve">Përmirësimi i infrastrukturës lokale </w:t>
                      </w:r>
                      <w:r>
                        <w:rPr>
                          <w:i/>
                          <w:sz w:val="22"/>
                          <w:szCs w:val="22"/>
                          <w:lang w:val="sq-AL"/>
                        </w:rPr>
                        <w:t>në</w:t>
                      </w:r>
                      <w:r w:rsidRPr="00BA0BCB">
                        <w:rPr>
                          <w:i/>
                          <w:sz w:val="22"/>
                          <w:szCs w:val="22"/>
                          <w:lang w:val="sq-AL"/>
                        </w:rPr>
                        <w:t xml:space="preserve"> zonat turistike</w:t>
                      </w:r>
                    </w:p>
                    <w:p w14:paraId="392C8962" w14:textId="149C6C5F" w:rsidR="00636E80" w:rsidRPr="00BA0BCB" w:rsidRDefault="00636E80" w:rsidP="006045A3">
                      <w:pPr>
                        <w:pStyle w:val="ListParagraph"/>
                        <w:numPr>
                          <w:ilvl w:val="0"/>
                          <w:numId w:val="9"/>
                        </w:numPr>
                        <w:rPr>
                          <w:i/>
                          <w:sz w:val="22"/>
                          <w:szCs w:val="22"/>
                          <w:lang w:val="sq-AL"/>
                        </w:rPr>
                      </w:pPr>
                      <w:r w:rsidRPr="00BA0BCB">
                        <w:rPr>
                          <w:i/>
                          <w:sz w:val="22"/>
                          <w:szCs w:val="22"/>
                          <w:lang w:val="sq-AL"/>
                        </w:rPr>
                        <w:t>Restaurimi i hapësirave të trashëgimisë kulturore dhe rimodelimi i tyre për ta promovuar ekonominë kreative</w:t>
                      </w:r>
                    </w:p>
                    <w:p w14:paraId="7C9F351D" w14:textId="77777777" w:rsidR="00636E80" w:rsidRPr="00AE2FFC" w:rsidRDefault="00636E80" w:rsidP="006045A3">
                      <w:pPr>
                        <w:pStyle w:val="ListParagraph"/>
                        <w:numPr>
                          <w:ilvl w:val="0"/>
                          <w:numId w:val="9"/>
                        </w:numPr>
                        <w:rPr>
                          <w:i/>
                          <w:sz w:val="22"/>
                          <w:szCs w:val="22"/>
                        </w:rPr>
                      </w:pPr>
                      <w:r w:rsidRPr="00AE2FFC">
                        <w:rPr>
                          <w:i/>
                          <w:sz w:val="22"/>
                          <w:szCs w:val="22"/>
                        </w:rPr>
                        <w:t>Ofrimi i përkrahjes për zhvillimin e produkteve që promovojnë agroturizmin</w:t>
                      </w:r>
                    </w:p>
                  </w:txbxContent>
                </v:textbox>
                <w10:wrap anchorx="margin"/>
              </v:shape>
            </w:pict>
          </mc:Fallback>
        </mc:AlternateContent>
      </w:r>
    </w:p>
    <w:p w14:paraId="21BB12B9" w14:textId="77777777" w:rsidR="00A85804" w:rsidRPr="009E674D" w:rsidRDefault="00A85804" w:rsidP="00A85804">
      <w:pPr>
        <w:rPr>
          <w:lang w:val="sq-AL"/>
        </w:rPr>
      </w:pPr>
    </w:p>
    <w:p w14:paraId="20CA1422" w14:textId="77777777" w:rsidR="00A85804" w:rsidRPr="009E674D" w:rsidRDefault="00A85804" w:rsidP="00A85804">
      <w:pPr>
        <w:rPr>
          <w:lang w:val="sq-AL"/>
        </w:rPr>
      </w:pPr>
    </w:p>
    <w:p w14:paraId="0373166D" w14:textId="77777777" w:rsidR="00A85804" w:rsidRPr="009E674D" w:rsidRDefault="00A85804" w:rsidP="00A85804">
      <w:pPr>
        <w:rPr>
          <w:lang w:val="sq-AL"/>
        </w:rPr>
      </w:pPr>
    </w:p>
    <w:p w14:paraId="712FFE4E" w14:textId="77777777" w:rsidR="00A85804" w:rsidRPr="009E674D" w:rsidRDefault="00A85804" w:rsidP="00A85804">
      <w:pPr>
        <w:rPr>
          <w:lang w:val="sq-AL"/>
        </w:rPr>
      </w:pPr>
    </w:p>
    <w:p w14:paraId="593BE4B4" w14:textId="77777777" w:rsidR="00A85804" w:rsidRPr="009E674D" w:rsidRDefault="00A85804" w:rsidP="00A85804">
      <w:pPr>
        <w:rPr>
          <w:lang w:val="sq-AL"/>
        </w:rPr>
      </w:pPr>
    </w:p>
    <w:p w14:paraId="69C1BCA8" w14:textId="77777777" w:rsidR="00A85804" w:rsidRPr="009E674D" w:rsidRDefault="00A85804" w:rsidP="00A85804">
      <w:pPr>
        <w:rPr>
          <w:lang w:val="sq-AL"/>
        </w:rPr>
      </w:pPr>
    </w:p>
    <w:p w14:paraId="486F6F1E" w14:textId="77777777" w:rsidR="00A85804" w:rsidRPr="009E674D" w:rsidRDefault="00A85804" w:rsidP="00A85804">
      <w:pPr>
        <w:rPr>
          <w:lang w:val="sq-AL"/>
        </w:rPr>
      </w:pPr>
    </w:p>
    <w:p w14:paraId="7606B5ED" w14:textId="77777777" w:rsidR="006045A3" w:rsidRPr="009E674D" w:rsidRDefault="006045A3" w:rsidP="006045A3">
      <w:pPr>
        <w:rPr>
          <w:lang w:val="sq-AL"/>
        </w:rPr>
      </w:pPr>
      <w:r w:rsidRPr="009E674D">
        <w:rPr>
          <w:lang w:val="sq-AL"/>
        </w:rPr>
        <w:br/>
      </w:r>
    </w:p>
    <w:p w14:paraId="6D5BD2A0" w14:textId="77777777" w:rsidR="009E674D" w:rsidRDefault="009E674D" w:rsidP="009E674D">
      <w:pPr>
        <w:rPr>
          <w:lang w:val="sq-AL"/>
        </w:rPr>
      </w:pPr>
    </w:p>
    <w:p w14:paraId="7A7E31BE" w14:textId="53D6AA9B" w:rsidR="00A923DD" w:rsidRPr="009E674D" w:rsidRDefault="009E674D" w:rsidP="009601FF">
      <w:pPr>
        <w:pStyle w:val="Heading3"/>
        <w:rPr>
          <w:lang w:val="sq-AL"/>
        </w:rPr>
      </w:pPr>
      <w:bookmarkStart w:id="14" w:name="_Toc132188434"/>
      <w:r w:rsidRPr="009E674D">
        <w:rPr>
          <w:lang w:val="sq-AL"/>
        </w:rPr>
        <w:t>Objektivi specifik</w:t>
      </w:r>
      <w:r w:rsidR="00A923DD" w:rsidRPr="009E674D">
        <w:rPr>
          <w:lang w:val="sq-AL"/>
        </w:rPr>
        <w:t xml:space="preserve"> 1.3:</w:t>
      </w:r>
      <w:r w:rsidR="009601FF" w:rsidRPr="009E674D">
        <w:rPr>
          <w:lang w:val="sq-AL"/>
        </w:rPr>
        <w:t xml:space="preserve"> Përkrahja e </w:t>
      </w:r>
      <w:r w:rsidR="00BA0BCB" w:rsidRPr="009E674D">
        <w:rPr>
          <w:lang w:val="sq-AL"/>
        </w:rPr>
        <w:t>ndërmarrësisë</w:t>
      </w:r>
      <w:r w:rsidR="009601FF" w:rsidRPr="009E674D">
        <w:rPr>
          <w:lang w:val="sq-AL"/>
        </w:rPr>
        <w:t xml:space="preserve"> me fokus </w:t>
      </w:r>
      <w:r w:rsidR="00BA0BCB" w:rsidRPr="009E674D">
        <w:rPr>
          <w:lang w:val="sq-AL"/>
        </w:rPr>
        <w:t>në digjitalizim</w:t>
      </w:r>
      <w:r w:rsidR="009601FF" w:rsidRPr="009E674D">
        <w:rPr>
          <w:lang w:val="sq-AL"/>
        </w:rPr>
        <w:t xml:space="preserve"> dhe inovacion</w:t>
      </w:r>
      <w:bookmarkEnd w:id="14"/>
    </w:p>
    <w:p w14:paraId="56472E8C" w14:textId="0A64ADA4" w:rsidR="00A50ED1" w:rsidRPr="009E674D" w:rsidRDefault="009601FF" w:rsidP="005A6198">
      <w:pPr>
        <w:jc w:val="both"/>
        <w:rPr>
          <w:lang w:val="sq-AL"/>
        </w:rPr>
      </w:pPr>
      <w:r w:rsidRPr="009E674D">
        <w:rPr>
          <w:lang w:val="sq-AL"/>
        </w:rPr>
        <w:br/>
        <w:t>N</w:t>
      </w:r>
      <w:r w:rsidR="00A50ED1" w:rsidRPr="009E674D">
        <w:rPr>
          <w:lang w:val="sq-AL"/>
        </w:rPr>
        <w:t>ë</w:t>
      </w:r>
      <w:r w:rsidRPr="009E674D">
        <w:rPr>
          <w:lang w:val="sq-AL"/>
        </w:rPr>
        <w:t xml:space="preserve"> koh</w:t>
      </w:r>
      <w:r w:rsidR="00A50ED1" w:rsidRPr="009E674D">
        <w:rPr>
          <w:lang w:val="sq-AL"/>
        </w:rPr>
        <w:t>ë</w:t>
      </w:r>
      <w:r w:rsidR="00575FCF" w:rsidRPr="009E674D">
        <w:rPr>
          <w:lang w:val="sq-AL"/>
        </w:rPr>
        <w:t>t</w:t>
      </w:r>
      <w:r w:rsidRPr="009E674D">
        <w:rPr>
          <w:lang w:val="sq-AL"/>
        </w:rPr>
        <w:t xml:space="preserve"> e sotme, shtyt</w:t>
      </w:r>
      <w:r w:rsidR="00A50ED1" w:rsidRPr="009E674D">
        <w:rPr>
          <w:lang w:val="sq-AL"/>
        </w:rPr>
        <w:t>ë</w:t>
      </w:r>
      <w:r w:rsidRPr="009E674D">
        <w:rPr>
          <w:lang w:val="sq-AL"/>
        </w:rPr>
        <w:t>sit kryesor</w:t>
      </w:r>
      <w:r w:rsidR="00E31011" w:rsidRPr="009E674D">
        <w:rPr>
          <w:lang w:val="sq-AL"/>
        </w:rPr>
        <w:t>ë</w:t>
      </w:r>
      <w:r w:rsidRPr="009E674D">
        <w:rPr>
          <w:lang w:val="sq-AL"/>
        </w:rPr>
        <w:t xml:space="preserve"> t</w:t>
      </w:r>
      <w:r w:rsidR="00A50ED1" w:rsidRPr="009E674D">
        <w:rPr>
          <w:lang w:val="sq-AL"/>
        </w:rPr>
        <w:t>ë</w:t>
      </w:r>
      <w:r w:rsidRPr="009E674D">
        <w:rPr>
          <w:lang w:val="sq-AL"/>
        </w:rPr>
        <w:t xml:space="preserve"> rritjes dhe zhvillimit t</w:t>
      </w:r>
      <w:r w:rsidR="00A50ED1" w:rsidRPr="009E674D">
        <w:rPr>
          <w:lang w:val="sq-AL"/>
        </w:rPr>
        <w:t>ë</w:t>
      </w:r>
      <w:r w:rsidRPr="009E674D">
        <w:rPr>
          <w:lang w:val="sq-AL"/>
        </w:rPr>
        <w:t xml:space="preserve"> NVM-ve </w:t>
      </w:r>
      <w:r w:rsidR="00A50ED1" w:rsidRPr="009E674D">
        <w:rPr>
          <w:lang w:val="sq-AL"/>
        </w:rPr>
        <w:t xml:space="preserve">dhe krijimit të startup bizneseve janë digjitalizimi dhe inovacioni. Përshpejtimi i tranzicionit </w:t>
      </w:r>
      <w:r w:rsidR="00A32C9F" w:rsidRPr="009E674D">
        <w:rPr>
          <w:lang w:val="sq-AL"/>
        </w:rPr>
        <w:t>m</w:t>
      </w:r>
      <w:r w:rsidR="00A32C9F">
        <w:rPr>
          <w:lang w:val="sq-AL"/>
        </w:rPr>
        <w:t>e</w:t>
      </w:r>
      <w:r w:rsidR="00A32C9F" w:rsidRPr="009E674D">
        <w:rPr>
          <w:lang w:val="sq-AL"/>
        </w:rPr>
        <w:t xml:space="preserve"> </w:t>
      </w:r>
      <w:r w:rsidR="00A50ED1" w:rsidRPr="009E674D">
        <w:rPr>
          <w:lang w:val="sq-AL"/>
        </w:rPr>
        <w:t xml:space="preserve">fokus në digjitalizim dhe inovacion është parakusht për krijimin e një ekonomie lokale </w:t>
      </w:r>
      <w:r w:rsidR="009E674D">
        <w:rPr>
          <w:lang w:val="sq-AL"/>
        </w:rPr>
        <w:t>konkurruese. Për t’u arritur ky objektiv specifik</w:t>
      </w:r>
      <w:r w:rsidR="00A50ED1" w:rsidRPr="009E674D">
        <w:rPr>
          <w:lang w:val="sq-AL"/>
        </w:rPr>
        <w:t>, është</w:t>
      </w:r>
      <w:r w:rsidR="00E31011" w:rsidRPr="009E674D">
        <w:rPr>
          <w:lang w:val="sq-AL"/>
        </w:rPr>
        <w:t xml:space="preserve"> e</w:t>
      </w:r>
      <w:r w:rsidR="00A50ED1" w:rsidRPr="009E674D">
        <w:rPr>
          <w:lang w:val="sq-AL"/>
        </w:rPr>
        <w:t xml:space="preserve"> </w:t>
      </w:r>
      <w:r w:rsidR="00E31011" w:rsidRPr="009E674D">
        <w:rPr>
          <w:lang w:val="sq-AL"/>
        </w:rPr>
        <w:t>nevojshme</w:t>
      </w:r>
      <w:r w:rsidR="00A50ED1" w:rsidRPr="009E674D">
        <w:rPr>
          <w:lang w:val="sq-AL"/>
        </w:rPr>
        <w:t xml:space="preserve"> </w:t>
      </w:r>
      <w:r w:rsidR="00E31011" w:rsidRPr="009E674D">
        <w:rPr>
          <w:lang w:val="sq-AL"/>
        </w:rPr>
        <w:t xml:space="preserve">të ofrohet mbështetje për </w:t>
      </w:r>
      <w:r w:rsidR="00EF632C" w:rsidRPr="009E674D">
        <w:rPr>
          <w:lang w:val="sq-AL"/>
        </w:rPr>
        <w:t>themelimin e</w:t>
      </w:r>
      <w:r w:rsidR="00E31011" w:rsidRPr="009E674D">
        <w:rPr>
          <w:lang w:val="sq-AL"/>
        </w:rPr>
        <w:t xml:space="preserve"> qendrave të inovacionit të specializuara në veprimtari të zonës</w:t>
      </w:r>
      <w:r w:rsidR="005A6198" w:rsidRPr="009E674D">
        <w:rPr>
          <w:lang w:val="sq-AL"/>
        </w:rPr>
        <w:t xml:space="preserve">. Gjithashtu, </w:t>
      </w:r>
      <w:r w:rsidR="00EF632C" w:rsidRPr="009E674D">
        <w:rPr>
          <w:lang w:val="sq-AL"/>
        </w:rPr>
        <w:t>nevojitet përkrahje për</w:t>
      </w:r>
      <w:r w:rsidR="005A6198" w:rsidRPr="009E674D">
        <w:rPr>
          <w:lang w:val="sq-AL"/>
        </w:rPr>
        <w:t xml:space="preserve"> </w:t>
      </w:r>
      <w:r w:rsidR="00EF632C" w:rsidRPr="009E674D">
        <w:rPr>
          <w:lang w:val="sq-AL"/>
        </w:rPr>
        <w:t>trajnime</w:t>
      </w:r>
      <w:r w:rsidR="005A6198" w:rsidRPr="009E674D">
        <w:rPr>
          <w:lang w:val="sq-AL"/>
        </w:rPr>
        <w:t xml:space="preserve"> rreth përparësive të digjitalizimit të proceseve dhe dobisë</w:t>
      </w:r>
      <w:r w:rsidR="00FD28D2" w:rsidRPr="009E674D">
        <w:rPr>
          <w:lang w:val="sq-AL"/>
        </w:rPr>
        <w:t xml:space="preserve"> së</w:t>
      </w:r>
      <w:r w:rsidR="005A6198" w:rsidRPr="009E674D">
        <w:rPr>
          <w:lang w:val="sq-AL"/>
        </w:rPr>
        <w:t xml:space="preserve"> ekonomisë qarkore</w:t>
      </w:r>
      <w:r w:rsidR="00EF632C" w:rsidRPr="009E674D">
        <w:rPr>
          <w:lang w:val="sq-AL"/>
        </w:rPr>
        <w:t xml:space="preserve">, </w:t>
      </w:r>
      <w:r w:rsidR="00F84DDB">
        <w:rPr>
          <w:lang w:val="sq-AL"/>
        </w:rPr>
        <w:t xml:space="preserve">mbështetje </w:t>
      </w:r>
      <w:r w:rsidR="00FD28D2" w:rsidRPr="009E674D">
        <w:rPr>
          <w:lang w:val="sq-AL"/>
        </w:rPr>
        <w:t>direkte</w:t>
      </w:r>
      <w:r w:rsidR="00BA0BCB" w:rsidRPr="009E674D">
        <w:rPr>
          <w:lang w:val="sq-AL"/>
        </w:rPr>
        <w:t xml:space="preserve"> për inovacion</w:t>
      </w:r>
      <w:r w:rsidR="00DC339A">
        <w:rPr>
          <w:lang w:val="sq-AL"/>
        </w:rPr>
        <w:t xml:space="preserve">, </w:t>
      </w:r>
      <w:r w:rsidR="00A32C9F">
        <w:rPr>
          <w:lang w:val="sq-AL"/>
        </w:rPr>
        <w:t>si</w:t>
      </w:r>
      <w:r w:rsidR="005A6198" w:rsidRPr="009E674D">
        <w:rPr>
          <w:lang w:val="sq-AL"/>
        </w:rPr>
        <w:t xml:space="preserve"> dhe</w:t>
      </w:r>
      <w:r w:rsidR="00575FCF" w:rsidRPr="009E674D">
        <w:rPr>
          <w:lang w:val="sq-AL"/>
        </w:rPr>
        <w:t xml:space="preserve"> o</w:t>
      </w:r>
      <w:r w:rsidR="00BA0BCB" w:rsidRPr="009E674D">
        <w:rPr>
          <w:lang w:val="sq-AL"/>
        </w:rPr>
        <w:t>rganizim ngjarjesh ku promovohen</w:t>
      </w:r>
      <w:r w:rsidR="00575FCF" w:rsidRPr="009E674D">
        <w:rPr>
          <w:lang w:val="sq-AL"/>
        </w:rPr>
        <w:t xml:space="preserve"> dhe shpërblehen</w:t>
      </w:r>
      <w:r w:rsidR="00FD28D2" w:rsidRPr="009E674D">
        <w:rPr>
          <w:lang w:val="sq-AL"/>
        </w:rPr>
        <w:t xml:space="preserve"> </w:t>
      </w:r>
      <w:r w:rsidR="005A6198" w:rsidRPr="009E674D">
        <w:rPr>
          <w:lang w:val="sq-AL"/>
        </w:rPr>
        <w:t xml:space="preserve">ndërmarrjet lokale inovative.  </w:t>
      </w:r>
    </w:p>
    <w:p w14:paraId="03D199B0" w14:textId="55D7AFB1" w:rsidR="00575FCF" w:rsidRPr="009E674D" w:rsidRDefault="00BE1CC8" w:rsidP="00575FCF">
      <w:pPr>
        <w:jc w:val="both"/>
        <w:rPr>
          <w:lang w:val="sq-AL"/>
        </w:rPr>
      </w:pPr>
      <w:r w:rsidRPr="009E674D">
        <w:rPr>
          <w:lang w:val="sq-AL"/>
        </w:rPr>
        <w:t>Ky o</w:t>
      </w:r>
      <w:r w:rsidR="00575FCF" w:rsidRPr="009E674D">
        <w:rPr>
          <w:lang w:val="sq-AL"/>
        </w:rPr>
        <w:t>bj</w:t>
      </w:r>
      <w:r w:rsidR="009E674D" w:rsidRPr="009E674D">
        <w:rPr>
          <w:lang w:val="sq-AL"/>
        </w:rPr>
        <w:t>ektiv specifik</w:t>
      </w:r>
      <w:r w:rsidR="00BA0BCB" w:rsidRPr="009E674D">
        <w:rPr>
          <w:lang w:val="sq-AL"/>
        </w:rPr>
        <w:t xml:space="preserve"> ndërlidhet me O</w:t>
      </w:r>
      <w:r w:rsidR="009E674D" w:rsidRPr="009E674D">
        <w:rPr>
          <w:lang w:val="sq-AL"/>
        </w:rPr>
        <w:t>bjektivin</w:t>
      </w:r>
      <w:r w:rsidR="00575FCF" w:rsidRPr="009E674D">
        <w:rPr>
          <w:lang w:val="sq-AL"/>
        </w:rPr>
        <w:t xml:space="preserve"> 1.3 të SKZH-së</w:t>
      </w:r>
      <w:r w:rsidR="009E674D" w:rsidRPr="009E674D">
        <w:rPr>
          <w:lang w:val="sq-AL"/>
        </w:rPr>
        <w:t xml:space="preserve"> dhe PKZH-së</w:t>
      </w:r>
      <w:r w:rsidR="00575FCF" w:rsidRPr="009E674D">
        <w:rPr>
          <w:lang w:val="sq-AL"/>
        </w:rPr>
        <w:t>, që synon përshpejtimin i transformimit digjital dhe inovacionit tek NVM-të dhe startup bizneset.</w:t>
      </w:r>
    </w:p>
    <w:p w14:paraId="1B01ACD6" w14:textId="77777777" w:rsidR="006045A3" w:rsidRPr="009E674D" w:rsidRDefault="00524E30" w:rsidP="00575FCF">
      <w:pPr>
        <w:jc w:val="both"/>
        <w:rPr>
          <w:lang w:val="sq-AL"/>
        </w:rPr>
      </w:pPr>
      <w:r w:rsidRPr="009E674D">
        <w:rPr>
          <w:noProof/>
        </w:rPr>
        <mc:AlternateContent>
          <mc:Choice Requires="wps">
            <w:drawing>
              <wp:anchor distT="0" distB="0" distL="114300" distR="114300" simplePos="0" relativeHeight="251754496" behindDoc="0" locked="0" layoutInCell="1" allowOverlap="1" wp14:anchorId="6F9F0327" wp14:editId="4248D8BE">
                <wp:simplePos x="0" y="0"/>
                <wp:positionH relativeFrom="margin">
                  <wp:align>right</wp:align>
                </wp:positionH>
                <wp:positionV relativeFrom="paragraph">
                  <wp:posOffset>63500</wp:posOffset>
                </wp:positionV>
                <wp:extent cx="5925185" cy="1881051"/>
                <wp:effectExtent l="0" t="0" r="18415" b="24130"/>
                <wp:wrapNone/>
                <wp:docPr id="29" name="Text Box 29"/>
                <wp:cNvGraphicFramePr/>
                <a:graphic xmlns:a="http://schemas.openxmlformats.org/drawingml/2006/main">
                  <a:graphicData uri="http://schemas.microsoft.com/office/word/2010/wordprocessingShape">
                    <wps:wsp>
                      <wps:cNvSpPr txBox="1"/>
                      <wps:spPr>
                        <a:xfrm>
                          <a:off x="0" y="0"/>
                          <a:ext cx="5925185" cy="1881051"/>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6E29C18D" w14:textId="77777777" w:rsidR="00636E80" w:rsidRPr="00524E30" w:rsidRDefault="00636E80" w:rsidP="006045A3">
                            <w:pPr>
                              <w:rPr>
                                <w:b/>
                                <w:i/>
                                <w:lang w:val="sq-AL"/>
                              </w:rPr>
                            </w:pPr>
                            <w:r w:rsidRPr="00524E30">
                              <w:rPr>
                                <w:b/>
                                <w:i/>
                                <w:lang w:val="sq-AL"/>
                              </w:rPr>
                              <w:t>Të bëhet:</w:t>
                            </w:r>
                          </w:p>
                          <w:p w14:paraId="52F32746" w14:textId="187E0852" w:rsidR="00636E80" w:rsidRPr="00524E30" w:rsidRDefault="00636E80" w:rsidP="006045A3">
                            <w:pPr>
                              <w:pStyle w:val="ListParagraph"/>
                              <w:numPr>
                                <w:ilvl w:val="0"/>
                                <w:numId w:val="10"/>
                              </w:numPr>
                              <w:rPr>
                                <w:i/>
                                <w:sz w:val="22"/>
                                <w:szCs w:val="22"/>
                                <w:lang w:val="sq-AL"/>
                              </w:rPr>
                            </w:pPr>
                            <w:r w:rsidRPr="00524E30">
                              <w:rPr>
                                <w:i/>
                                <w:sz w:val="22"/>
                                <w:szCs w:val="22"/>
                                <w:lang w:val="sq-AL"/>
                              </w:rPr>
                              <w:t xml:space="preserve">Ofrimi i mbështetjes për themelimin e qendrave të inovacionit të specializuara në veprimtari të zonës </w:t>
                            </w:r>
                          </w:p>
                          <w:p w14:paraId="55368C4F" w14:textId="3611EF9B" w:rsidR="00636E80" w:rsidRPr="00524E30" w:rsidRDefault="00636E80" w:rsidP="006045A3">
                            <w:pPr>
                              <w:pStyle w:val="ListParagraph"/>
                              <w:numPr>
                                <w:ilvl w:val="0"/>
                                <w:numId w:val="10"/>
                              </w:numPr>
                              <w:rPr>
                                <w:i/>
                                <w:sz w:val="22"/>
                                <w:szCs w:val="22"/>
                                <w:lang w:val="sq-AL"/>
                              </w:rPr>
                            </w:pPr>
                            <w:r w:rsidRPr="00524E30">
                              <w:rPr>
                                <w:i/>
                                <w:sz w:val="22"/>
                                <w:szCs w:val="22"/>
                                <w:lang w:val="sq-AL"/>
                              </w:rPr>
                              <w:t>Mbështetja e trajnimeve për përparësitë e digjitalizimit të proceseve dhe dobitë e ekonomisë qarkore</w:t>
                            </w:r>
                          </w:p>
                          <w:p w14:paraId="28B19169" w14:textId="6921E187" w:rsidR="00636E80" w:rsidRPr="00524E30" w:rsidRDefault="00636E80" w:rsidP="006045A3">
                            <w:pPr>
                              <w:pStyle w:val="ListParagraph"/>
                              <w:numPr>
                                <w:ilvl w:val="0"/>
                                <w:numId w:val="10"/>
                              </w:numPr>
                              <w:rPr>
                                <w:i/>
                                <w:sz w:val="22"/>
                                <w:szCs w:val="22"/>
                                <w:lang w:val="sq-AL"/>
                              </w:rPr>
                            </w:pPr>
                            <w:r w:rsidRPr="00524E30">
                              <w:rPr>
                                <w:i/>
                                <w:sz w:val="22"/>
                                <w:szCs w:val="22"/>
                                <w:lang w:val="sq-AL"/>
                              </w:rPr>
                              <w:t>Ofrimi i granteve për ndërmarrje të reja inovative (ndërmarrjeve në pronësi të grave t’u jepet përparësi)</w:t>
                            </w:r>
                          </w:p>
                          <w:p w14:paraId="3F243366" w14:textId="53D5D82D" w:rsidR="00636E80" w:rsidRPr="00524E30" w:rsidRDefault="00636E80" w:rsidP="006045A3">
                            <w:pPr>
                              <w:pStyle w:val="ListParagraph"/>
                              <w:numPr>
                                <w:ilvl w:val="0"/>
                                <w:numId w:val="10"/>
                              </w:numPr>
                              <w:rPr>
                                <w:i/>
                                <w:sz w:val="22"/>
                                <w:szCs w:val="22"/>
                                <w:lang w:val="sq-AL"/>
                              </w:rPr>
                            </w:pPr>
                            <w:r w:rsidRPr="00524E30">
                              <w:rPr>
                                <w:i/>
                                <w:sz w:val="22"/>
                                <w:szCs w:val="22"/>
                                <w:lang w:val="sq-AL"/>
                              </w:rPr>
                              <w:t>Ofrimi i shpërblimeve vjetore për ndërmarrjet lokale më inovative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0327" id="Text Box 29" o:spid="_x0000_s1047" type="#_x0000_t202" style="position:absolute;left:0;text-align:left;margin-left:415.35pt;margin-top:5pt;width:466.55pt;height:148.1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" fillcolor="#deebf7" strokecolor="#deebf7" strokeweight="1pt">
                <v:textbox>
                  <w:txbxContent>
                    <w:p w14:paraId="6E29C18D" w14:textId="77777777" w:rsidR="00636E80" w:rsidRPr="00524E30" w:rsidRDefault="00636E80" w:rsidP="006045A3">
                      <w:pPr>
                        <w:rPr>
                          <w:b/>
                          <w:i/>
                          <w:lang w:val="sq-AL"/>
                        </w:rPr>
                      </w:pPr>
                      <w:r w:rsidRPr="00524E30">
                        <w:rPr>
                          <w:b/>
                          <w:i/>
                          <w:lang w:val="sq-AL"/>
                        </w:rPr>
                        <w:t>Të bëhet:</w:t>
                      </w:r>
                    </w:p>
                    <w:p w14:paraId="52F32746" w14:textId="187E0852" w:rsidR="00636E80" w:rsidRPr="00524E30" w:rsidRDefault="00636E80" w:rsidP="006045A3">
                      <w:pPr>
                        <w:pStyle w:val="ListParagraph"/>
                        <w:numPr>
                          <w:ilvl w:val="0"/>
                          <w:numId w:val="10"/>
                        </w:numPr>
                        <w:rPr>
                          <w:i/>
                          <w:sz w:val="22"/>
                          <w:szCs w:val="22"/>
                          <w:lang w:val="sq-AL"/>
                        </w:rPr>
                      </w:pPr>
                      <w:r w:rsidRPr="00524E30">
                        <w:rPr>
                          <w:i/>
                          <w:sz w:val="22"/>
                          <w:szCs w:val="22"/>
                          <w:lang w:val="sq-AL"/>
                        </w:rPr>
                        <w:t xml:space="preserve">Ofrimi i mbështetjes për themelimin e qendrave të inovacionit të specializuara në veprimtari të zonës </w:t>
                      </w:r>
                    </w:p>
                    <w:p w14:paraId="55368C4F" w14:textId="3611EF9B" w:rsidR="00636E80" w:rsidRPr="00524E30" w:rsidRDefault="00636E80" w:rsidP="006045A3">
                      <w:pPr>
                        <w:pStyle w:val="ListParagraph"/>
                        <w:numPr>
                          <w:ilvl w:val="0"/>
                          <w:numId w:val="10"/>
                        </w:numPr>
                        <w:rPr>
                          <w:i/>
                          <w:sz w:val="22"/>
                          <w:szCs w:val="22"/>
                          <w:lang w:val="sq-AL"/>
                        </w:rPr>
                      </w:pPr>
                      <w:r w:rsidRPr="00524E30">
                        <w:rPr>
                          <w:i/>
                          <w:sz w:val="22"/>
                          <w:szCs w:val="22"/>
                          <w:lang w:val="sq-AL"/>
                        </w:rPr>
                        <w:t>Mbështetja e trajnimeve për përparësitë e digjitalizimit të proceseve dhe dobitë e ekonomisë qarkore</w:t>
                      </w:r>
                    </w:p>
                    <w:p w14:paraId="28B19169" w14:textId="6921E187" w:rsidR="00636E80" w:rsidRPr="00524E30" w:rsidRDefault="00636E80" w:rsidP="006045A3">
                      <w:pPr>
                        <w:pStyle w:val="ListParagraph"/>
                        <w:numPr>
                          <w:ilvl w:val="0"/>
                          <w:numId w:val="10"/>
                        </w:numPr>
                        <w:rPr>
                          <w:i/>
                          <w:sz w:val="22"/>
                          <w:szCs w:val="22"/>
                          <w:lang w:val="sq-AL"/>
                        </w:rPr>
                      </w:pPr>
                      <w:r w:rsidRPr="00524E30">
                        <w:rPr>
                          <w:i/>
                          <w:sz w:val="22"/>
                          <w:szCs w:val="22"/>
                          <w:lang w:val="sq-AL"/>
                        </w:rPr>
                        <w:t>Ofrimi i granteve për ndërmarrje të reja inovative (ndërmarrjeve në pronësi të grave t’u jepet përparësi)</w:t>
                      </w:r>
                    </w:p>
                    <w:p w14:paraId="3F243366" w14:textId="53D5D82D" w:rsidR="00636E80" w:rsidRPr="00524E30" w:rsidRDefault="00636E80" w:rsidP="006045A3">
                      <w:pPr>
                        <w:pStyle w:val="ListParagraph"/>
                        <w:numPr>
                          <w:ilvl w:val="0"/>
                          <w:numId w:val="10"/>
                        </w:numPr>
                        <w:rPr>
                          <w:i/>
                          <w:sz w:val="22"/>
                          <w:szCs w:val="22"/>
                          <w:lang w:val="sq-AL"/>
                        </w:rPr>
                      </w:pPr>
                      <w:r w:rsidRPr="00524E30">
                        <w:rPr>
                          <w:i/>
                          <w:sz w:val="22"/>
                          <w:szCs w:val="22"/>
                          <w:lang w:val="sq-AL"/>
                        </w:rPr>
                        <w:t>Ofrimi i shpërblimeve vjetore për ndërmarrjet lokale më inovative</w:t>
                      </w:r>
                    </w:p>
                  </w:txbxContent>
                </v:textbox>
                <w10:wrap anchorx="margin"/>
              </v:shape>
            </w:pict>
          </mc:Fallback>
        </mc:AlternateContent>
      </w:r>
    </w:p>
    <w:p w14:paraId="2A50548D" w14:textId="77777777" w:rsidR="006045A3" w:rsidRPr="009E674D" w:rsidRDefault="006045A3" w:rsidP="006045A3">
      <w:pPr>
        <w:rPr>
          <w:lang w:val="sq-AL"/>
        </w:rPr>
      </w:pPr>
    </w:p>
    <w:p w14:paraId="66C871A6" w14:textId="77777777" w:rsidR="006045A3" w:rsidRPr="009E674D" w:rsidRDefault="006045A3" w:rsidP="006045A3">
      <w:pPr>
        <w:rPr>
          <w:lang w:val="sq-AL"/>
        </w:rPr>
      </w:pPr>
    </w:p>
    <w:p w14:paraId="32BCD1A3" w14:textId="77777777" w:rsidR="006045A3" w:rsidRPr="009E674D" w:rsidRDefault="006045A3" w:rsidP="006045A3">
      <w:pPr>
        <w:rPr>
          <w:lang w:val="sq-AL"/>
        </w:rPr>
      </w:pPr>
    </w:p>
    <w:p w14:paraId="10C31603" w14:textId="77777777" w:rsidR="006045A3" w:rsidRPr="009E674D" w:rsidRDefault="006045A3" w:rsidP="006045A3">
      <w:pPr>
        <w:rPr>
          <w:lang w:val="sq-AL"/>
        </w:rPr>
      </w:pPr>
    </w:p>
    <w:p w14:paraId="2730229F" w14:textId="77777777" w:rsidR="00BA0BCB" w:rsidRPr="009E674D" w:rsidRDefault="00BA0BCB" w:rsidP="006045A3">
      <w:pPr>
        <w:rPr>
          <w:lang w:val="sq-AL"/>
        </w:rPr>
      </w:pPr>
    </w:p>
    <w:p w14:paraId="7CACE3B5" w14:textId="77777777" w:rsidR="00BA0BCB" w:rsidRPr="009E674D" w:rsidRDefault="00BA0BCB" w:rsidP="00BA0BCB">
      <w:pPr>
        <w:rPr>
          <w:lang w:val="sq-AL"/>
        </w:rPr>
      </w:pPr>
    </w:p>
    <w:p w14:paraId="0FA88E91" w14:textId="3068EBFC" w:rsidR="00BA0BCB" w:rsidRDefault="00BA0BCB" w:rsidP="00BA0BCB">
      <w:pPr>
        <w:rPr>
          <w:lang w:val="sq-AL"/>
        </w:rPr>
      </w:pPr>
    </w:p>
    <w:p w14:paraId="4431EC34" w14:textId="77777777" w:rsidR="009E674D" w:rsidRPr="009E674D" w:rsidRDefault="009E674D" w:rsidP="00BA0BCB">
      <w:pPr>
        <w:rPr>
          <w:lang w:val="sq-AL"/>
        </w:rPr>
      </w:pPr>
    </w:p>
    <w:p w14:paraId="5072153C" w14:textId="2ED16A32" w:rsidR="00575FCF" w:rsidRPr="009E674D" w:rsidRDefault="00575FCF" w:rsidP="00ED31A0">
      <w:pPr>
        <w:pStyle w:val="Heading2"/>
        <w:rPr>
          <w:lang w:val="sq-AL"/>
        </w:rPr>
      </w:pPr>
      <w:bookmarkStart w:id="15" w:name="_Toc132188435"/>
      <w:r w:rsidRPr="009E674D">
        <w:rPr>
          <w:lang w:val="sq-AL"/>
        </w:rPr>
        <w:lastRenderedPageBreak/>
        <w:t>O</w:t>
      </w:r>
      <w:r w:rsidR="009E674D" w:rsidRPr="009E674D">
        <w:rPr>
          <w:lang w:val="sq-AL"/>
        </w:rPr>
        <w:t>bjektivi</w:t>
      </w:r>
      <w:r w:rsidRPr="009E674D">
        <w:rPr>
          <w:lang w:val="sq-AL"/>
        </w:rPr>
        <w:t xml:space="preserve"> 2</w:t>
      </w:r>
      <w:r w:rsidR="00ED31A0" w:rsidRPr="009E674D">
        <w:rPr>
          <w:lang w:val="sq-AL"/>
        </w:rPr>
        <w:t>: Punësim gjithëpërfshirës</w:t>
      </w:r>
      <w:bookmarkEnd w:id="15"/>
    </w:p>
    <w:p w14:paraId="43A5805B" w14:textId="108EFF71" w:rsidR="009213A8" w:rsidRPr="009E674D" w:rsidRDefault="00ED31A0" w:rsidP="00770A14">
      <w:pPr>
        <w:jc w:val="both"/>
        <w:rPr>
          <w:lang w:val="sq-AL"/>
        </w:rPr>
      </w:pPr>
      <w:r w:rsidRPr="009E674D">
        <w:rPr>
          <w:lang w:val="sq-AL"/>
        </w:rPr>
        <w:br/>
      </w:r>
      <w:r w:rsidR="00AF548E" w:rsidRPr="009E674D">
        <w:rPr>
          <w:lang w:val="sq-AL"/>
        </w:rPr>
        <w:t xml:space="preserve">Rritja e punësimit dhe krijimi i </w:t>
      </w:r>
      <w:r w:rsidR="009213A8" w:rsidRPr="009E674D">
        <w:rPr>
          <w:lang w:val="sq-AL"/>
        </w:rPr>
        <w:t>kushteve për punë dinjitoze</w:t>
      </w:r>
      <w:r w:rsidR="00AF548E" w:rsidRPr="009E674D">
        <w:rPr>
          <w:lang w:val="sq-AL"/>
        </w:rPr>
        <w:t xml:space="preserve"> për të gjithë janë aspekte </w:t>
      </w:r>
      <w:r w:rsidR="009213A8" w:rsidRPr="009E674D">
        <w:rPr>
          <w:lang w:val="sq-AL"/>
        </w:rPr>
        <w:t xml:space="preserve">të rëndësishme zhvillimore. Punësimi cilësor ndikon në krijim të mirëqenies dhe zvogëlim të pabarazive në shoqëri. </w:t>
      </w:r>
      <w:r w:rsidR="008B79C5" w:rsidRPr="009E674D">
        <w:rPr>
          <w:lang w:val="sq-AL"/>
        </w:rPr>
        <w:t xml:space="preserve">Për më </w:t>
      </w:r>
      <w:r w:rsidR="00A32C9F">
        <w:rPr>
          <w:lang w:val="sq-AL"/>
        </w:rPr>
        <w:t>tepër</w:t>
      </w:r>
      <w:r w:rsidR="008B79C5" w:rsidRPr="009E674D">
        <w:rPr>
          <w:lang w:val="sq-AL"/>
        </w:rPr>
        <w:t xml:space="preserve">, punësimi është shumë i rëndësishëm për t’i parandaluar tendencat për migrim, sidomos në komuna të vogla. </w:t>
      </w:r>
      <w:r w:rsidR="009213A8" w:rsidRPr="009E674D">
        <w:rPr>
          <w:lang w:val="sq-AL"/>
        </w:rPr>
        <w:t xml:space="preserve">Përkundër faktit që në vitet e fundit është shënuar rritje në punësim, </w:t>
      </w:r>
      <w:r w:rsidR="00833C5F">
        <w:rPr>
          <w:lang w:val="sq-AL"/>
        </w:rPr>
        <w:t xml:space="preserve">prapëseprapë </w:t>
      </w:r>
      <w:r w:rsidR="009213A8" w:rsidRPr="009E674D">
        <w:rPr>
          <w:lang w:val="sq-AL"/>
        </w:rPr>
        <w:t xml:space="preserve">norma e përgjithshme </w:t>
      </w:r>
      <w:r w:rsidR="00BB079D" w:rsidRPr="009E674D">
        <w:rPr>
          <w:lang w:val="sq-AL"/>
        </w:rPr>
        <w:t xml:space="preserve">e punësimit </w:t>
      </w:r>
      <w:r w:rsidR="009213A8" w:rsidRPr="009E674D">
        <w:rPr>
          <w:lang w:val="sq-AL"/>
        </w:rPr>
        <w:t>mbetet ende mjaftë e ulët</w:t>
      </w:r>
      <w:r w:rsidR="00BB079D" w:rsidRPr="009E674D">
        <w:rPr>
          <w:lang w:val="sq-AL"/>
        </w:rPr>
        <w:t>, sidomos tek gratë dhe të rinjtë. Përpos problemeve strukturore ekonomike që ndikojnë në punësim, një problem i vazhdueshëm mbetet hendeku i theksuar në mes të ofertës dhe kërkesës në treg</w:t>
      </w:r>
      <w:r w:rsidR="00A32C9F">
        <w:rPr>
          <w:lang w:val="sq-AL"/>
        </w:rPr>
        <w:t>un</w:t>
      </w:r>
      <w:r w:rsidR="00BB079D" w:rsidRPr="009E674D">
        <w:rPr>
          <w:lang w:val="sq-AL"/>
        </w:rPr>
        <w:t xml:space="preserve"> </w:t>
      </w:r>
      <w:r w:rsidR="00A32C9F">
        <w:rPr>
          <w:lang w:val="sq-AL"/>
        </w:rPr>
        <w:t>e</w:t>
      </w:r>
      <w:r w:rsidR="00A32C9F" w:rsidRPr="009E674D">
        <w:rPr>
          <w:lang w:val="sq-AL"/>
        </w:rPr>
        <w:t xml:space="preserve"> </w:t>
      </w:r>
      <w:r w:rsidR="00BB079D" w:rsidRPr="009E674D">
        <w:rPr>
          <w:lang w:val="sq-AL"/>
        </w:rPr>
        <w:t xml:space="preserve">punës. Për </w:t>
      </w:r>
      <w:r w:rsidR="00A32C9F" w:rsidRPr="009E674D">
        <w:rPr>
          <w:lang w:val="sq-AL"/>
        </w:rPr>
        <w:t>t</w:t>
      </w:r>
      <w:r w:rsidR="00A32C9F">
        <w:rPr>
          <w:lang w:val="sq-AL"/>
        </w:rPr>
        <w:t>a</w:t>
      </w:r>
      <w:r w:rsidR="00A32C9F" w:rsidRPr="009E674D">
        <w:rPr>
          <w:lang w:val="sq-AL"/>
        </w:rPr>
        <w:t xml:space="preserve"> </w:t>
      </w:r>
      <w:r w:rsidR="00BB079D" w:rsidRPr="009E674D">
        <w:rPr>
          <w:lang w:val="sq-AL"/>
        </w:rPr>
        <w:t xml:space="preserve">adresuar çështjen e punësimit, </w:t>
      </w:r>
      <w:r w:rsidR="00312D8F" w:rsidRPr="009E674D">
        <w:rPr>
          <w:lang w:val="sq-AL"/>
        </w:rPr>
        <w:t>PNZHEL</w:t>
      </w:r>
      <w:r w:rsidR="007C4EB3" w:rsidRPr="009E674D">
        <w:rPr>
          <w:lang w:val="sq-AL"/>
        </w:rPr>
        <w:t xml:space="preserve"> 2030</w:t>
      </w:r>
      <w:r w:rsidR="00BB079D" w:rsidRPr="009E674D">
        <w:rPr>
          <w:lang w:val="sq-AL"/>
        </w:rPr>
        <w:t xml:space="preserve"> synon të </w:t>
      </w:r>
      <w:r w:rsidR="000815EA" w:rsidRPr="009E674D">
        <w:rPr>
          <w:lang w:val="sq-AL"/>
        </w:rPr>
        <w:t>zvogëlojë hendekun e shkathtësiv</w:t>
      </w:r>
      <w:r w:rsidR="000E639E" w:rsidRPr="009E674D">
        <w:rPr>
          <w:lang w:val="sq-AL"/>
        </w:rPr>
        <w:t xml:space="preserve">e në tregun e punës dhe të </w:t>
      </w:r>
      <w:r w:rsidR="001542D5" w:rsidRPr="009E674D">
        <w:rPr>
          <w:lang w:val="sq-AL"/>
        </w:rPr>
        <w:t>rrisë pun</w:t>
      </w:r>
      <w:r w:rsidR="001542D5" w:rsidRPr="009E674D">
        <w:rPr>
          <w:rFonts w:eastAsia="Times New Roman"/>
          <w:lang w:val="sq-AL"/>
        </w:rPr>
        <w:t>ësimin</w:t>
      </w:r>
      <w:r w:rsidR="001542D5" w:rsidRPr="009E674D">
        <w:rPr>
          <w:lang w:val="sq-AL"/>
        </w:rPr>
        <w:t xml:space="preserve"> e</w:t>
      </w:r>
      <w:r w:rsidR="000E639E" w:rsidRPr="009E674D">
        <w:rPr>
          <w:lang w:val="sq-AL"/>
        </w:rPr>
        <w:t xml:space="preserve"> </w:t>
      </w:r>
      <w:r w:rsidR="001542D5" w:rsidRPr="009E674D">
        <w:rPr>
          <w:lang w:val="sq-AL"/>
        </w:rPr>
        <w:t>dinjitetsh</w:t>
      </w:r>
      <w:r w:rsidR="001542D5" w:rsidRPr="009E674D">
        <w:rPr>
          <w:rFonts w:eastAsia="Times New Roman"/>
          <w:lang w:val="sq-AL"/>
        </w:rPr>
        <w:t>ëm</w:t>
      </w:r>
      <w:r w:rsidR="000815EA" w:rsidRPr="009E674D">
        <w:rPr>
          <w:lang w:val="sq-AL"/>
        </w:rPr>
        <w:t xml:space="preserve"> </w:t>
      </w:r>
      <w:r w:rsidR="001542D5" w:rsidRPr="009E674D">
        <w:rPr>
          <w:lang w:val="sq-AL"/>
        </w:rPr>
        <w:t>për gra</w:t>
      </w:r>
      <w:r w:rsidR="00A32C9F">
        <w:rPr>
          <w:lang w:val="sq-AL"/>
        </w:rPr>
        <w:t>,</w:t>
      </w:r>
      <w:r w:rsidR="001542D5" w:rsidRPr="009E674D">
        <w:rPr>
          <w:lang w:val="sq-AL"/>
        </w:rPr>
        <w:t xml:space="preserve"> </w:t>
      </w:r>
      <w:r w:rsidR="000815EA" w:rsidRPr="009E674D">
        <w:rPr>
          <w:lang w:val="sq-AL"/>
        </w:rPr>
        <w:t>të rinj</w:t>
      </w:r>
      <w:r w:rsidR="001542D5" w:rsidRPr="009E674D">
        <w:rPr>
          <w:lang w:val="sq-AL"/>
        </w:rPr>
        <w:t xml:space="preserve"> dhe grupe t</w:t>
      </w:r>
      <w:r w:rsidR="001542D5" w:rsidRPr="009E674D">
        <w:rPr>
          <w:rFonts w:eastAsia="Times New Roman"/>
          <w:lang w:val="sq-AL"/>
        </w:rPr>
        <w:t>ë cenueshme</w:t>
      </w:r>
      <w:r w:rsidR="000815EA" w:rsidRPr="009E674D">
        <w:rPr>
          <w:lang w:val="sq-AL"/>
        </w:rPr>
        <w:t xml:space="preserve">. </w:t>
      </w:r>
    </w:p>
    <w:p w14:paraId="70B4DF54" w14:textId="5E8E4324" w:rsidR="009E674D" w:rsidRPr="009E674D" w:rsidRDefault="009E674D" w:rsidP="009E674D">
      <w:pPr>
        <w:jc w:val="both"/>
        <w:rPr>
          <w:lang w:val="sq-AL"/>
        </w:rPr>
      </w:pPr>
      <w:r w:rsidRPr="009E674D">
        <w:rPr>
          <w:lang w:val="sq-AL"/>
        </w:rPr>
        <w:t xml:space="preserve">Ky objektiv lidhet me Qëllimin 5 të SKZH-së dhe PKZH-së, që synon të krijojë një treg </w:t>
      </w:r>
      <w:r w:rsidR="00A32C9F" w:rsidRPr="009E674D">
        <w:rPr>
          <w:lang w:val="sq-AL"/>
        </w:rPr>
        <w:t xml:space="preserve">gjithëpërfshirës </w:t>
      </w:r>
      <w:r w:rsidRPr="009E674D">
        <w:rPr>
          <w:lang w:val="sq-AL"/>
        </w:rPr>
        <w:t>të punës, të lartë dhe të denjë, me Strategjinë për punësim dhe treg të punës</w:t>
      </w:r>
      <w:r w:rsidR="00F719E6">
        <w:rPr>
          <w:lang w:val="sq-AL"/>
        </w:rPr>
        <w:t>,</w:t>
      </w:r>
      <w:r w:rsidRPr="009E674D">
        <w:rPr>
          <w:lang w:val="sq-AL"/>
        </w:rPr>
        <w:t xml:space="preserve"> dhe </w:t>
      </w:r>
      <w:r w:rsidR="00F719E6">
        <w:rPr>
          <w:lang w:val="sq-AL"/>
        </w:rPr>
        <w:t xml:space="preserve">me </w:t>
      </w:r>
      <w:r w:rsidRPr="009E674D">
        <w:rPr>
          <w:lang w:val="sq-AL"/>
        </w:rPr>
        <w:t>Strategjinë për arsim. Ky objektiv ka më së shumti kontribut në arritjen e SDG 8 (Punë dinjitoze dhe rritje ekonomike).</w:t>
      </w:r>
    </w:p>
    <w:p w14:paraId="2BC23698" w14:textId="674E7029" w:rsidR="00872BFB" w:rsidRPr="009E674D" w:rsidRDefault="00872BFB" w:rsidP="00872BFB">
      <w:pPr>
        <w:pStyle w:val="Heading3"/>
        <w:rPr>
          <w:lang w:val="sq-AL"/>
        </w:rPr>
      </w:pPr>
      <w:bookmarkStart w:id="16" w:name="_Toc132188436"/>
      <w:r w:rsidRPr="009E674D">
        <w:rPr>
          <w:lang w:val="sq-AL"/>
        </w:rPr>
        <w:t>O</w:t>
      </w:r>
      <w:r w:rsidR="009E674D" w:rsidRPr="009E674D">
        <w:rPr>
          <w:lang w:val="sq-AL"/>
        </w:rPr>
        <w:t>bjektivi specifik</w:t>
      </w:r>
      <w:r w:rsidRPr="009E674D">
        <w:rPr>
          <w:lang w:val="sq-AL"/>
        </w:rPr>
        <w:t xml:space="preserve"> 2.1: Zvogëlimi i hendekut të shkathtësive në tregun e punës</w:t>
      </w:r>
      <w:bookmarkEnd w:id="16"/>
    </w:p>
    <w:p w14:paraId="54B533AB" w14:textId="08C443C4" w:rsidR="00B76C50" w:rsidRPr="009E674D" w:rsidRDefault="00674A08" w:rsidP="00A923DD">
      <w:pPr>
        <w:jc w:val="both"/>
        <w:rPr>
          <w:lang w:val="sq-AL"/>
        </w:rPr>
      </w:pPr>
      <w:r w:rsidRPr="009E674D">
        <w:rPr>
          <w:lang w:val="sq-AL"/>
        </w:rPr>
        <w:t xml:space="preserve"> </w:t>
      </w:r>
      <w:r w:rsidR="00872BFB" w:rsidRPr="009E674D">
        <w:rPr>
          <w:lang w:val="sq-AL"/>
        </w:rPr>
        <w:br/>
        <w:t>Ndonëse</w:t>
      </w:r>
      <w:r w:rsidR="009E674D">
        <w:rPr>
          <w:lang w:val="sq-AL"/>
        </w:rPr>
        <w:t xml:space="preserve"> norma e papunësisë është mjaft </w:t>
      </w:r>
      <w:r w:rsidR="00872BFB" w:rsidRPr="009E674D">
        <w:rPr>
          <w:lang w:val="sq-AL"/>
        </w:rPr>
        <w:t>e lartë, punëdhënësit vazhdimisht ankohen se hasin në vështirësi në gjetjen e profileve të duhura për përmbushje të nevojave të tyre. Në këtë kontekst, përga</w:t>
      </w:r>
      <w:r w:rsidR="009E674D">
        <w:rPr>
          <w:lang w:val="sq-AL"/>
        </w:rPr>
        <w:t>titja e fuqisë punëtore q</w:t>
      </w:r>
      <w:r w:rsidR="009E674D" w:rsidRPr="009E674D">
        <w:rPr>
          <w:lang w:val="sq-AL"/>
        </w:rPr>
        <w:t>ë</w:t>
      </w:r>
      <w:r w:rsidR="009E674D">
        <w:rPr>
          <w:lang w:val="sq-AL"/>
        </w:rPr>
        <w:t xml:space="preserve"> t’i përshtaten</w:t>
      </w:r>
      <w:r w:rsidR="00872BFB" w:rsidRPr="009E674D">
        <w:rPr>
          <w:lang w:val="sq-AL"/>
        </w:rPr>
        <w:t xml:space="preserve"> kërkesave të tregut është tejet e rëndësishme për krijim të vendeve të reja të punës</w:t>
      </w:r>
      <w:r w:rsidR="00B76C50" w:rsidRPr="009E674D">
        <w:rPr>
          <w:lang w:val="sq-AL"/>
        </w:rPr>
        <w:t xml:space="preserve">. Për t’u arritur kjo, është e nevojshme që fillimisht të krijohen këshille komunale apo platforma të ngjashme, të cilat mundësojnë identifikimin dhe artikulimin e nevojave të sektorit privat në lidhje me shkathtësitë që mungojnë në treg të punës. </w:t>
      </w:r>
      <w:r w:rsidR="00743F68" w:rsidRPr="009E674D">
        <w:rPr>
          <w:lang w:val="sq-AL"/>
        </w:rPr>
        <w:t>Më tutje, programet dhe kurrikulat në shkolla profesionale dhe qendr</w:t>
      </w:r>
      <w:r w:rsidR="000E639E" w:rsidRPr="009E674D">
        <w:rPr>
          <w:lang w:val="sq-AL"/>
        </w:rPr>
        <w:t>a të aftësimit profesional do</w:t>
      </w:r>
      <w:r w:rsidR="00743F68" w:rsidRPr="009E674D">
        <w:rPr>
          <w:lang w:val="sq-AL"/>
        </w:rPr>
        <w:t xml:space="preserve"> të përshtaten me nevojat e tregut. Në anën tjetër, komunat duhet të dizajnojnë forma të përkrahjes së trajnimeve në vend të punës.   </w:t>
      </w:r>
    </w:p>
    <w:p w14:paraId="468C07C7" w14:textId="75E97641" w:rsidR="007827C3" w:rsidRPr="009E674D" w:rsidRDefault="006045A3" w:rsidP="009865F3">
      <w:pPr>
        <w:jc w:val="both"/>
        <w:rPr>
          <w:lang w:val="sq-AL"/>
        </w:rPr>
      </w:pPr>
      <w:r w:rsidRPr="009E674D">
        <w:rPr>
          <w:noProof/>
        </w:rPr>
        <mc:AlternateContent>
          <mc:Choice Requires="wps">
            <w:drawing>
              <wp:anchor distT="0" distB="0" distL="114300" distR="114300" simplePos="0" relativeHeight="251756544" behindDoc="0" locked="0" layoutInCell="1" allowOverlap="1" wp14:anchorId="7FAFC850" wp14:editId="15A4965B">
                <wp:simplePos x="0" y="0"/>
                <wp:positionH relativeFrom="margin">
                  <wp:align>right</wp:align>
                </wp:positionH>
                <wp:positionV relativeFrom="paragraph">
                  <wp:posOffset>465455</wp:posOffset>
                </wp:positionV>
                <wp:extent cx="5925185" cy="1226820"/>
                <wp:effectExtent l="0" t="0" r="18415" b="11430"/>
                <wp:wrapNone/>
                <wp:docPr id="44" name="Text Box 44"/>
                <wp:cNvGraphicFramePr/>
                <a:graphic xmlns:a="http://schemas.openxmlformats.org/drawingml/2006/main">
                  <a:graphicData uri="http://schemas.microsoft.com/office/word/2010/wordprocessingShape">
                    <wps:wsp>
                      <wps:cNvSpPr txBox="1"/>
                      <wps:spPr>
                        <a:xfrm>
                          <a:off x="0" y="0"/>
                          <a:ext cx="5925185" cy="122682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7B8F2779" w14:textId="77777777" w:rsidR="00636E80" w:rsidRPr="006045A3" w:rsidRDefault="00636E80" w:rsidP="006045A3">
                            <w:pPr>
                              <w:rPr>
                                <w:b/>
                                <w:i/>
                              </w:rPr>
                            </w:pPr>
                            <w:r w:rsidRPr="006045A3">
                              <w:rPr>
                                <w:b/>
                                <w:i/>
                              </w:rPr>
                              <w:t>T</w:t>
                            </w:r>
                            <w:r w:rsidRPr="006045A3">
                              <w:rPr>
                                <w:b/>
                              </w:rPr>
                              <w:t>ë</w:t>
                            </w:r>
                            <w:r w:rsidRPr="006045A3">
                              <w:rPr>
                                <w:b/>
                                <w:i/>
                              </w:rPr>
                              <w:t xml:space="preserve"> b</w:t>
                            </w:r>
                            <w:r w:rsidRPr="006045A3">
                              <w:rPr>
                                <w:b/>
                              </w:rPr>
                              <w:t>ë</w:t>
                            </w:r>
                            <w:r w:rsidRPr="006045A3">
                              <w:rPr>
                                <w:b/>
                                <w:i/>
                              </w:rPr>
                              <w:t>het:</w:t>
                            </w:r>
                          </w:p>
                          <w:p w14:paraId="3DEA406C" w14:textId="3E56D1E2" w:rsidR="00636E80" w:rsidRPr="00732F17" w:rsidRDefault="00636E80" w:rsidP="006045A3">
                            <w:pPr>
                              <w:pStyle w:val="ListParagraph"/>
                              <w:numPr>
                                <w:ilvl w:val="0"/>
                                <w:numId w:val="10"/>
                              </w:numPr>
                              <w:rPr>
                                <w:i/>
                              </w:rPr>
                            </w:pPr>
                            <w:r w:rsidRPr="00732F17">
                              <w:rPr>
                                <w:i/>
                              </w:rPr>
                              <w:t xml:space="preserve">Krijimi i këshilleve komunale për artikulim të nevojave të sektorit privat </w:t>
                            </w:r>
                          </w:p>
                          <w:p w14:paraId="5EB645A0" w14:textId="23BE9702" w:rsidR="00636E80" w:rsidRPr="00732F17" w:rsidRDefault="00636E80" w:rsidP="006045A3">
                            <w:pPr>
                              <w:pStyle w:val="ListParagraph"/>
                              <w:numPr>
                                <w:ilvl w:val="0"/>
                                <w:numId w:val="10"/>
                              </w:numPr>
                              <w:rPr>
                                <w:i/>
                              </w:rPr>
                            </w:pPr>
                            <w:r w:rsidRPr="00732F17">
                              <w:rPr>
                                <w:i/>
                              </w:rPr>
                              <w:t xml:space="preserve">Përshtatja e programeve dhe kurrikulave në shkolla profesionale dhe qendra të aftësimit profesional me nevojat e tregut  </w:t>
                            </w:r>
                          </w:p>
                          <w:p w14:paraId="1199F587" w14:textId="61B3DB47" w:rsidR="00636E80" w:rsidRPr="00732F17" w:rsidRDefault="00636E80" w:rsidP="006045A3">
                            <w:pPr>
                              <w:pStyle w:val="ListParagraph"/>
                              <w:numPr>
                                <w:ilvl w:val="0"/>
                                <w:numId w:val="10"/>
                              </w:numPr>
                              <w:rPr>
                                <w:i/>
                              </w:rPr>
                            </w:pPr>
                            <w:r w:rsidRPr="00732F17">
                              <w:rPr>
                                <w:i/>
                              </w:rPr>
                              <w:t>Mbështetja e trajnimeve në vend të punës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FC850" id="Text Box 44" o:spid="_x0000_s1048" type="#_x0000_t202" style="position:absolute;left:0;text-align:left;margin-left:415.35pt;margin-top:36.65pt;width:466.55pt;height:96.6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" fillcolor="#deebf7" strokecolor="#deebf7" strokeweight="1pt">
                <v:textbox>
                  <w:txbxContent>
                    <w:p w14:paraId="7B8F2779" w14:textId="77777777" w:rsidR="00636E80" w:rsidRPr="006045A3" w:rsidRDefault="00636E80" w:rsidP="006045A3">
                      <w:pPr>
                        <w:rPr>
                          <w:b/>
                          <w:i/>
                        </w:rPr>
                      </w:pPr>
                      <w:r w:rsidRPr="006045A3">
                        <w:rPr>
                          <w:b/>
                          <w:i/>
                        </w:rPr>
                        <w:t>T</w:t>
                      </w:r>
                      <w:r w:rsidRPr="006045A3">
                        <w:rPr>
                          <w:b/>
                        </w:rPr>
                        <w:t>ë</w:t>
                      </w:r>
                      <w:r w:rsidRPr="006045A3">
                        <w:rPr>
                          <w:b/>
                          <w:i/>
                        </w:rPr>
                        <w:t xml:space="preserve"> b</w:t>
                      </w:r>
                      <w:r w:rsidRPr="006045A3">
                        <w:rPr>
                          <w:b/>
                        </w:rPr>
                        <w:t>ë</w:t>
                      </w:r>
                      <w:r w:rsidRPr="006045A3">
                        <w:rPr>
                          <w:b/>
                          <w:i/>
                        </w:rPr>
                        <w:t>het:</w:t>
                      </w:r>
                    </w:p>
                    <w:p w14:paraId="3DEA406C" w14:textId="3E56D1E2" w:rsidR="00636E80" w:rsidRPr="00732F17" w:rsidRDefault="00636E80" w:rsidP="006045A3">
                      <w:pPr>
                        <w:pStyle w:val="ListParagraph"/>
                        <w:numPr>
                          <w:ilvl w:val="0"/>
                          <w:numId w:val="10"/>
                        </w:numPr>
                        <w:rPr>
                          <w:i/>
                        </w:rPr>
                      </w:pPr>
                      <w:r w:rsidRPr="00732F17">
                        <w:rPr>
                          <w:i/>
                        </w:rPr>
                        <w:t xml:space="preserve">Krijimi i këshilleve komunale për artikulim të nevojave të sektorit privat </w:t>
                      </w:r>
                    </w:p>
                    <w:p w14:paraId="5EB645A0" w14:textId="23BE9702" w:rsidR="00636E80" w:rsidRPr="00732F17" w:rsidRDefault="00636E80" w:rsidP="006045A3">
                      <w:pPr>
                        <w:pStyle w:val="ListParagraph"/>
                        <w:numPr>
                          <w:ilvl w:val="0"/>
                          <w:numId w:val="10"/>
                        </w:numPr>
                        <w:rPr>
                          <w:i/>
                        </w:rPr>
                      </w:pPr>
                      <w:r w:rsidRPr="00732F17">
                        <w:rPr>
                          <w:i/>
                        </w:rPr>
                        <w:t xml:space="preserve">Përshtatja e programeve dhe kurrikulave në shkolla profesionale dhe qendra të aftësimit profesional me nevojat e tregut  </w:t>
                      </w:r>
                    </w:p>
                    <w:p w14:paraId="1199F587" w14:textId="61B3DB47" w:rsidR="00636E80" w:rsidRPr="00732F17" w:rsidRDefault="00636E80" w:rsidP="006045A3">
                      <w:pPr>
                        <w:pStyle w:val="ListParagraph"/>
                        <w:numPr>
                          <w:ilvl w:val="0"/>
                          <w:numId w:val="10"/>
                        </w:numPr>
                        <w:rPr>
                          <w:i/>
                        </w:rPr>
                      </w:pPr>
                      <w:r w:rsidRPr="00732F17">
                        <w:rPr>
                          <w:i/>
                        </w:rPr>
                        <w:t>Mbështetja e trajnimeve në vend të punës</w:t>
                      </w:r>
                    </w:p>
                  </w:txbxContent>
                </v:textbox>
                <w10:wrap anchorx="margin"/>
              </v:shape>
            </w:pict>
          </mc:Fallback>
        </mc:AlternateContent>
      </w:r>
      <w:r w:rsidR="009E674D" w:rsidRPr="009E674D">
        <w:rPr>
          <w:lang w:val="sq-AL"/>
        </w:rPr>
        <w:t>Ky</w:t>
      </w:r>
      <w:r w:rsidR="00BE1CC8" w:rsidRPr="009E674D">
        <w:rPr>
          <w:lang w:val="sq-AL"/>
        </w:rPr>
        <w:t xml:space="preserve"> o</w:t>
      </w:r>
      <w:r w:rsidR="009E674D" w:rsidRPr="009E674D">
        <w:rPr>
          <w:lang w:val="sq-AL"/>
        </w:rPr>
        <w:t>bjektiv specifik</w:t>
      </w:r>
      <w:r w:rsidR="000E639E" w:rsidRPr="009E674D">
        <w:rPr>
          <w:lang w:val="sq-AL"/>
        </w:rPr>
        <w:t xml:space="preserve"> lidhet me O</w:t>
      </w:r>
      <w:r w:rsidR="00FA4DCA" w:rsidRPr="009E674D">
        <w:rPr>
          <w:lang w:val="sq-AL"/>
        </w:rPr>
        <w:t>bje</w:t>
      </w:r>
      <w:r w:rsidR="009E674D" w:rsidRPr="009E674D">
        <w:rPr>
          <w:lang w:val="sq-AL"/>
        </w:rPr>
        <w:t>ktivin</w:t>
      </w:r>
      <w:r w:rsidR="00FA4DCA" w:rsidRPr="009E674D">
        <w:rPr>
          <w:lang w:val="sq-AL"/>
        </w:rPr>
        <w:t xml:space="preserve"> 5.1 të SKZH-së</w:t>
      </w:r>
      <w:r w:rsidR="009E674D" w:rsidRPr="009E674D">
        <w:rPr>
          <w:lang w:val="sq-AL"/>
        </w:rPr>
        <w:t xml:space="preserve"> dhe PKZH-së</w:t>
      </w:r>
      <w:r w:rsidR="00FA4DCA" w:rsidRPr="009E674D">
        <w:rPr>
          <w:lang w:val="sq-AL"/>
        </w:rPr>
        <w:t>, që synon zhvillimin e shkathtësive dhe ngushtimin e hendekut në tregun e punës.</w:t>
      </w:r>
    </w:p>
    <w:p w14:paraId="05134346" w14:textId="77777777" w:rsidR="006045A3" w:rsidRPr="009E674D" w:rsidRDefault="006045A3" w:rsidP="006045A3">
      <w:pPr>
        <w:rPr>
          <w:lang w:val="sq-AL"/>
        </w:rPr>
      </w:pPr>
    </w:p>
    <w:p w14:paraId="4F089012" w14:textId="77777777" w:rsidR="006045A3" w:rsidRPr="009E674D" w:rsidRDefault="006045A3" w:rsidP="006045A3">
      <w:pPr>
        <w:rPr>
          <w:lang w:val="sq-AL"/>
        </w:rPr>
      </w:pPr>
    </w:p>
    <w:p w14:paraId="168BF2DC" w14:textId="77777777" w:rsidR="006045A3" w:rsidRPr="009E674D" w:rsidRDefault="006045A3" w:rsidP="006045A3">
      <w:pPr>
        <w:rPr>
          <w:lang w:val="sq-AL"/>
        </w:rPr>
      </w:pPr>
    </w:p>
    <w:p w14:paraId="11F0A01E" w14:textId="77777777" w:rsidR="006045A3" w:rsidRPr="009E674D" w:rsidRDefault="006045A3" w:rsidP="006045A3">
      <w:pPr>
        <w:rPr>
          <w:lang w:val="sq-AL"/>
        </w:rPr>
      </w:pPr>
    </w:p>
    <w:p w14:paraId="573B493B" w14:textId="77777777" w:rsidR="006045A3" w:rsidRPr="009E674D" w:rsidRDefault="006045A3" w:rsidP="006045A3">
      <w:pPr>
        <w:rPr>
          <w:lang w:val="sq-AL"/>
        </w:rPr>
      </w:pPr>
    </w:p>
    <w:p w14:paraId="18754E54" w14:textId="634DDA48" w:rsidR="00FA4DCA" w:rsidRPr="009E674D" w:rsidRDefault="009E674D" w:rsidP="00FA4DCA">
      <w:pPr>
        <w:pStyle w:val="Heading3"/>
        <w:rPr>
          <w:lang w:val="sq-AL"/>
        </w:rPr>
      </w:pPr>
      <w:bookmarkStart w:id="17" w:name="_Toc132188437"/>
      <w:r w:rsidRPr="009E674D">
        <w:rPr>
          <w:lang w:val="sq-AL"/>
        </w:rPr>
        <w:t>Objektivi specifik</w:t>
      </w:r>
      <w:r w:rsidR="00FA4DCA" w:rsidRPr="009E674D">
        <w:rPr>
          <w:lang w:val="sq-AL"/>
        </w:rPr>
        <w:t xml:space="preserve"> 2.2: </w:t>
      </w:r>
      <w:r w:rsidR="006045A3" w:rsidRPr="009E674D">
        <w:rPr>
          <w:lang w:val="sq-AL"/>
        </w:rPr>
        <w:t>Rritja</w:t>
      </w:r>
      <w:r w:rsidR="00FA4DCA" w:rsidRPr="009E674D">
        <w:rPr>
          <w:lang w:val="sq-AL"/>
        </w:rPr>
        <w:t xml:space="preserve"> e punësimit të dinjitetshëm për gra, të rinj dhe kategori të cenueshme</w:t>
      </w:r>
      <w:bookmarkEnd w:id="17"/>
    </w:p>
    <w:p w14:paraId="674AA396" w14:textId="3BFCF7AB" w:rsidR="00FA4DCA" w:rsidRPr="009E674D" w:rsidRDefault="00FA4DCA" w:rsidP="000E00B8">
      <w:pPr>
        <w:jc w:val="both"/>
        <w:rPr>
          <w:lang w:val="sq-AL"/>
        </w:rPr>
      </w:pPr>
      <w:r w:rsidRPr="009E674D">
        <w:rPr>
          <w:lang w:val="sq-AL"/>
        </w:rPr>
        <w:br/>
        <w:t>Integrimi dhe rritja e punësimit cilësor t</w:t>
      </w:r>
      <w:r w:rsidR="000E00B8" w:rsidRPr="009E674D">
        <w:rPr>
          <w:lang w:val="sq-AL"/>
        </w:rPr>
        <w:t>e</w:t>
      </w:r>
      <w:r w:rsidRPr="009E674D">
        <w:rPr>
          <w:lang w:val="sq-AL"/>
        </w:rPr>
        <w:t xml:space="preserve"> gratë, të rinjtë dhe kategoritë e cenueshme, përveçse krijon mirëqenie pë</w:t>
      </w:r>
      <w:r w:rsidR="000E00B8" w:rsidRPr="009E674D">
        <w:rPr>
          <w:lang w:val="sq-AL"/>
        </w:rPr>
        <w:t>r ta, i kontribuon edhe zhvillimit të gjithmbarshëm ek</w:t>
      </w:r>
      <w:r w:rsidR="009E674D">
        <w:rPr>
          <w:lang w:val="sq-AL"/>
        </w:rPr>
        <w:t>onomik. Për t’i kontribuar këtij objektivi specifik</w:t>
      </w:r>
      <w:r w:rsidR="000E00B8" w:rsidRPr="009E674D">
        <w:rPr>
          <w:lang w:val="sq-AL"/>
        </w:rPr>
        <w:t xml:space="preserve">, është e nevojshme që gratë, të rinjtë dhe grupet e cenueshme të </w:t>
      </w:r>
      <w:r w:rsidR="00F719E6" w:rsidRPr="009E674D">
        <w:rPr>
          <w:lang w:val="sq-AL"/>
        </w:rPr>
        <w:t>prior</w:t>
      </w:r>
      <w:r w:rsidR="00F719E6">
        <w:rPr>
          <w:lang w:val="sq-AL"/>
        </w:rPr>
        <w:t>i</w:t>
      </w:r>
      <w:r w:rsidR="00F719E6" w:rsidRPr="009E674D">
        <w:rPr>
          <w:lang w:val="sq-AL"/>
        </w:rPr>
        <w:t xml:space="preserve">tizohen </w:t>
      </w:r>
      <w:r w:rsidR="000E00B8" w:rsidRPr="009E674D">
        <w:rPr>
          <w:lang w:val="sq-AL"/>
        </w:rPr>
        <w:t>në mundësitë që ofrohen përmes Masave Aktive të Tregut të Punës</w:t>
      </w:r>
      <w:r w:rsidR="00F53523" w:rsidRPr="009E674D">
        <w:rPr>
          <w:lang w:val="sq-AL"/>
        </w:rPr>
        <w:t xml:space="preserve"> (MATP)</w:t>
      </w:r>
      <w:r w:rsidR="000E00B8" w:rsidRPr="009E674D">
        <w:rPr>
          <w:lang w:val="sq-AL"/>
        </w:rPr>
        <w:t xml:space="preserve">. Diaspora mund të luajë rol shumë qenësor në bartje të dijes dhe rrjedhimisht në përmirësim të mundësive të punësimit. Në këtë drejtim, mund të </w:t>
      </w:r>
      <w:r w:rsidR="000E00B8" w:rsidRPr="009E674D">
        <w:rPr>
          <w:lang w:val="sq-AL"/>
        </w:rPr>
        <w:lastRenderedPageBreak/>
        <w:t>parashi</w:t>
      </w:r>
      <w:r w:rsidR="000E639E" w:rsidRPr="009E674D">
        <w:rPr>
          <w:lang w:val="sq-AL"/>
        </w:rPr>
        <w:t>hen programe mentoruese</w:t>
      </w:r>
      <w:r w:rsidR="000E00B8" w:rsidRPr="009E674D">
        <w:rPr>
          <w:lang w:val="sq-AL"/>
        </w:rPr>
        <w:t xml:space="preserve">, ku diaspora angazhohet për aftësim të kategorive të sipërpërmendura. </w:t>
      </w:r>
      <w:r w:rsidR="00712F91" w:rsidRPr="009E674D">
        <w:rPr>
          <w:lang w:val="sq-AL"/>
        </w:rPr>
        <w:t>Gjithashtu, në mën</w:t>
      </w:r>
      <w:r w:rsidR="000E639E" w:rsidRPr="009E674D">
        <w:rPr>
          <w:lang w:val="sq-AL"/>
        </w:rPr>
        <w:t xml:space="preserve">yrë që të adresohet hendeku në </w:t>
      </w:r>
      <w:r w:rsidR="00712F91" w:rsidRPr="009E674D">
        <w:rPr>
          <w:lang w:val="sq-AL"/>
        </w:rPr>
        <w:t>informacion, duhet të organizohen panaire dhe n</w:t>
      </w:r>
      <w:r w:rsidR="000E639E" w:rsidRPr="009E674D">
        <w:rPr>
          <w:lang w:val="sq-AL"/>
        </w:rPr>
        <w:t>gjarje të ngjashme promovuese që</w:t>
      </w:r>
      <w:r w:rsidR="00712F91" w:rsidRPr="009E674D">
        <w:rPr>
          <w:lang w:val="sq-AL"/>
        </w:rPr>
        <w:t xml:space="preserve"> </w:t>
      </w:r>
      <w:r w:rsidR="00FB781D">
        <w:rPr>
          <w:lang w:val="sq-AL"/>
        </w:rPr>
        <w:t xml:space="preserve">i </w:t>
      </w:r>
      <w:r w:rsidR="00712F91" w:rsidRPr="009E674D">
        <w:rPr>
          <w:lang w:val="sq-AL"/>
        </w:rPr>
        <w:t>sjellin bashkë punëdhënësi</w:t>
      </w:r>
      <w:r w:rsidR="000E639E" w:rsidRPr="009E674D">
        <w:rPr>
          <w:lang w:val="sq-AL"/>
        </w:rPr>
        <w:t>t</w:t>
      </w:r>
      <w:r w:rsidR="00712F91" w:rsidRPr="009E674D">
        <w:rPr>
          <w:lang w:val="sq-AL"/>
        </w:rPr>
        <w:t xml:space="preserve"> dhe punëkërkuesit, në këtë rast gratë, të rinjtë dhe kategoritë e cenueshme. </w:t>
      </w:r>
      <w:r w:rsidR="000E00B8" w:rsidRPr="009E674D">
        <w:rPr>
          <w:lang w:val="sq-AL"/>
        </w:rPr>
        <w:t xml:space="preserve">   </w:t>
      </w:r>
      <w:r w:rsidRPr="009E674D">
        <w:rPr>
          <w:lang w:val="sq-AL"/>
        </w:rPr>
        <w:t xml:space="preserve"> </w:t>
      </w:r>
    </w:p>
    <w:p w14:paraId="35729EBD" w14:textId="46F73E94" w:rsidR="00FA4DCA" w:rsidRPr="009E674D" w:rsidRDefault="009E674D" w:rsidP="00712F91">
      <w:pPr>
        <w:jc w:val="both"/>
        <w:rPr>
          <w:lang w:val="sq-AL"/>
        </w:rPr>
      </w:pPr>
      <w:r w:rsidRPr="009E674D">
        <w:rPr>
          <w:lang w:val="sq-AL"/>
        </w:rPr>
        <w:t>Ky</w:t>
      </w:r>
      <w:r w:rsidR="00EF5611" w:rsidRPr="009E674D">
        <w:rPr>
          <w:lang w:val="sq-AL"/>
        </w:rPr>
        <w:t xml:space="preserve"> o</w:t>
      </w:r>
      <w:r w:rsidRPr="009E674D">
        <w:rPr>
          <w:lang w:val="sq-AL"/>
        </w:rPr>
        <w:t>bjektiv</w:t>
      </w:r>
      <w:r w:rsidR="00712F91" w:rsidRPr="009E674D">
        <w:rPr>
          <w:lang w:val="sq-AL"/>
        </w:rPr>
        <w:t xml:space="preserve"> </w:t>
      </w:r>
      <w:r w:rsidRPr="009E674D">
        <w:rPr>
          <w:lang w:val="sq-AL"/>
        </w:rPr>
        <w:t>specifik</w:t>
      </w:r>
      <w:r w:rsidR="00CA25DC" w:rsidRPr="009E674D">
        <w:rPr>
          <w:lang w:val="sq-AL"/>
        </w:rPr>
        <w:t xml:space="preserve"> lidhet </w:t>
      </w:r>
      <w:r w:rsidR="00FB781D" w:rsidRPr="009E674D">
        <w:rPr>
          <w:lang w:val="sq-AL"/>
        </w:rPr>
        <w:t xml:space="preserve">pjesërisht </w:t>
      </w:r>
      <w:r w:rsidR="00CA25DC" w:rsidRPr="009E674D">
        <w:rPr>
          <w:lang w:val="sq-AL"/>
        </w:rPr>
        <w:t>me O</w:t>
      </w:r>
      <w:r w:rsidRPr="009E674D">
        <w:rPr>
          <w:lang w:val="sq-AL"/>
        </w:rPr>
        <w:t>bjektivin</w:t>
      </w:r>
      <w:r w:rsidR="00712F91" w:rsidRPr="009E674D">
        <w:rPr>
          <w:lang w:val="sq-AL"/>
        </w:rPr>
        <w:t xml:space="preserve"> 5.2 të SKZH-së</w:t>
      </w:r>
      <w:r w:rsidRPr="009E674D">
        <w:rPr>
          <w:lang w:val="sq-AL"/>
        </w:rPr>
        <w:t xml:space="preserve"> dhe PKZH-së</w:t>
      </w:r>
      <w:r w:rsidR="00712F91" w:rsidRPr="009E674D">
        <w:rPr>
          <w:lang w:val="sq-AL"/>
        </w:rPr>
        <w:t>, që ka për qëllim rritjen e pjesëmarrjes së grave në tregun e punës. Dy kategoritë tjera, përkatësisht të rinjtë dhe grupe</w:t>
      </w:r>
      <w:r w:rsidR="00453D3E" w:rsidRPr="009E674D">
        <w:rPr>
          <w:lang w:val="sq-AL"/>
        </w:rPr>
        <w:t>t e</w:t>
      </w:r>
      <w:r w:rsidR="00712F91" w:rsidRPr="009E674D">
        <w:rPr>
          <w:lang w:val="sq-AL"/>
        </w:rPr>
        <w:t xml:space="preserve"> cenueshme, lidhen me agjendën horizontale të SKZH-së</w:t>
      </w:r>
      <w:r w:rsidRPr="009E674D">
        <w:rPr>
          <w:lang w:val="sq-AL"/>
        </w:rPr>
        <w:t xml:space="preserve"> dhe PKZH-së</w:t>
      </w:r>
      <w:r w:rsidR="00712F91" w:rsidRPr="009E674D">
        <w:rPr>
          <w:lang w:val="sq-AL"/>
        </w:rPr>
        <w:t xml:space="preserve">. </w:t>
      </w:r>
    </w:p>
    <w:p w14:paraId="09408C0F" w14:textId="77777777" w:rsidR="006045A3" w:rsidRPr="009E674D" w:rsidRDefault="006045A3" w:rsidP="00712F91">
      <w:pPr>
        <w:jc w:val="both"/>
        <w:rPr>
          <w:lang w:val="sq-AL"/>
        </w:rPr>
      </w:pPr>
      <w:r w:rsidRPr="009E674D">
        <w:rPr>
          <w:noProof/>
        </w:rPr>
        <mc:AlternateContent>
          <mc:Choice Requires="wps">
            <w:drawing>
              <wp:anchor distT="0" distB="0" distL="114300" distR="114300" simplePos="0" relativeHeight="251758592" behindDoc="0" locked="0" layoutInCell="1" allowOverlap="1" wp14:anchorId="6628ED1C" wp14:editId="1154B067">
                <wp:simplePos x="0" y="0"/>
                <wp:positionH relativeFrom="margin">
                  <wp:align>right</wp:align>
                </wp:positionH>
                <wp:positionV relativeFrom="paragraph">
                  <wp:posOffset>6649</wp:posOffset>
                </wp:positionV>
                <wp:extent cx="5925185" cy="1265626"/>
                <wp:effectExtent l="0" t="0" r="18415" b="10795"/>
                <wp:wrapNone/>
                <wp:docPr id="45" name="Text Box 45"/>
                <wp:cNvGraphicFramePr/>
                <a:graphic xmlns:a="http://schemas.openxmlformats.org/drawingml/2006/main">
                  <a:graphicData uri="http://schemas.microsoft.com/office/word/2010/wordprocessingShape">
                    <wps:wsp>
                      <wps:cNvSpPr txBox="1"/>
                      <wps:spPr>
                        <a:xfrm>
                          <a:off x="0" y="0"/>
                          <a:ext cx="5925185" cy="1265626"/>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1FC617A5" w14:textId="77777777" w:rsidR="00636E80" w:rsidRPr="00F53523" w:rsidRDefault="00636E80" w:rsidP="006045A3">
                            <w:pPr>
                              <w:rPr>
                                <w:b/>
                                <w:i/>
                              </w:rPr>
                            </w:pPr>
                            <w:r w:rsidRPr="00F53523">
                              <w:rPr>
                                <w:b/>
                                <w:i/>
                              </w:rPr>
                              <w:t>Të bëhet:</w:t>
                            </w:r>
                          </w:p>
                          <w:p w14:paraId="0D85E93D" w14:textId="12FC57DE" w:rsidR="00636E80" w:rsidRPr="00F53523" w:rsidRDefault="00636E80" w:rsidP="003E10CD">
                            <w:pPr>
                              <w:pStyle w:val="ListParagraph"/>
                              <w:numPr>
                                <w:ilvl w:val="0"/>
                                <w:numId w:val="10"/>
                              </w:numPr>
                              <w:rPr>
                                <w:i/>
                                <w:sz w:val="22"/>
                                <w:szCs w:val="22"/>
                              </w:rPr>
                            </w:pPr>
                            <w:r w:rsidRPr="00F53523">
                              <w:rPr>
                                <w:i/>
                                <w:sz w:val="22"/>
                                <w:szCs w:val="22"/>
                              </w:rPr>
                              <w:t>Mentorimi i të rinjëve dhe grave të papuna nga diaspora</w:t>
                            </w:r>
                            <w:r>
                              <w:rPr>
                                <w:i/>
                                <w:sz w:val="22"/>
                                <w:szCs w:val="22"/>
                              </w:rPr>
                              <w:t>,</w:t>
                            </w:r>
                            <w:r w:rsidRPr="00F53523">
                              <w:rPr>
                                <w:i/>
                                <w:sz w:val="22"/>
                                <w:szCs w:val="22"/>
                              </w:rPr>
                              <w:t xml:space="preserve"> për t'</w:t>
                            </w:r>
                            <w:r>
                              <w:rPr>
                                <w:i/>
                                <w:sz w:val="22"/>
                                <w:szCs w:val="22"/>
                              </w:rPr>
                              <w:t>i</w:t>
                            </w:r>
                            <w:r w:rsidRPr="00F53523">
                              <w:rPr>
                                <w:i/>
                                <w:sz w:val="22"/>
                                <w:szCs w:val="22"/>
                              </w:rPr>
                              <w:t>u përmirësuar mundësitë për vetëpunësim</w:t>
                            </w:r>
                          </w:p>
                          <w:p w14:paraId="655189E5" w14:textId="7C85929A" w:rsidR="00636E80" w:rsidRPr="00F53523" w:rsidRDefault="00636E80" w:rsidP="003E10CD">
                            <w:pPr>
                              <w:pStyle w:val="ListParagraph"/>
                              <w:numPr>
                                <w:ilvl w:val="0"/>
                                <w:numId w:val="10"/>
                              </w:numPr>
                              <w:rPr>
                                <w:i/>
                                <w:sz w:val="22"/>
                                <w:szCs w:val="22"/>
                              </w:rPr>
                            </w:pPr>
                            <w:r w:rsidRPr="00F53523">
                              <w:rPr>
                                <w:i/>
                                <w:sz w:val="22"/>
                                <w:szCs w:val="22"/>
                              </w:rPr>
                              <w:t>Prior</w:t>
                            </w:r>
                            <w:r>
                              <w:rPr>
                                <w:i/>
                                <w:sz w:val="22"/>
                                <w:szCs w:val="22"/>
                              </w:rPr>
                              <w:t>i</w:t>
                            </w:r>
                            <w:r w:rsidRPr="00F53523">
                              <w:rPr>
                                <w:i/>
                                <w:sz w:val="22"/>
                                <w:szCs w:val="22"/>
                              </w:rPr>
                              <w:t>tizimi i grave dhe të rinjëve në përkrahjen për punësim përmes MATP</w:t>
                            </w:r>
                          </w:p>
                          <w:p w14:paraId="04241400" w14:textId="0E07F570" w:rsidR="00636E80" w:rsidRPr="00F53523" w:rsidRDefault="00636E80" w:rsidP="003E10CD">
                            <w:pPr>
                              <w:pStyle w:val="ListParagraph"/>
                              <w:numPr>
                                <w:ilvl w:val="0"/>
                                <w:numId w:val="10"/>
                              </w:numPr>
                              <w:rPr>
                                <w:i/>
                                <w:sz w:val="22"/>
                                <w:szCs w:val="22"/>
                              </w:rPr>
                            </w:pPr>
                            <w:r w:rsidRPr="00F53523">
                              <w:rPr>
                                <w:i/>
                                <w:sz w:val="22"/>
                                <w:szCs w:val="22"/>
                              </w:rPr>
                              <w:t>Krijimi i panaireve të punës me fokus punësimin e grave dhe të rinjëve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ED1C" id="Text Box 45" o:spid="_x0000_s1049" type="#_x0000_t202" style="position:absolute;left:0;text-align:left;margin-left:415.35pt;margin-top:.5pt;width:466.55pt;height:99.6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" fillcolor="#deebf7" strokecolor="#deebf7" strokeweight="1pt">
                <v:textbox>
                  <w:txbxContent>
                    <w:p w14:paraId="1FC617A5" w14:textId="77777777" w:rsidR="00636E80" w:rsidRPr="00F53523" w:rsidRDefault="00636E80" w:rsidP="006045A3">
                      <w:pPr>
                        <w:rPr>
                          <w:b/>
                          <w:i/>
                        </w:rPr>
                      </w:pPr>
                      <w:r w:rsidRPr="00F53523">
                        <w:rPr>
                          <w:b/>
                          <w:i/>
                        </w:rPr>
                        <w:t>Të bëhet:</w:t>
                      </w:r>
                    </w:p>
                    <w:p w14:paraId="0D85E93D" w14:textId="12FC57DE" w:rsidR="00636E80" w:rsidRPr="00F53523" w:rsidRDefault="00636E80" w:rsidP="003E10CD">
                      <w:pPr>
                        <w:pStyle w:val="ListParagraph"/>
                        <w:numPr>
                          <w:ilvl w:val="0"/>
                          <w:numId w:val="10"/>
                        </w:numPr>
                        <w:rPr>
                          <w:i/>
                          <w:sz w:val="22"/>
                          <w:szCs w:val="22"/>
                        </w:rPr>
                      </w:pPr>
                      <w:r w:rsidRPr="00F53523">
                        <w:rPr>
                          <w:i/>
                          <w:sz w:val="22"/>
                          <w:szCs w:val="22"/>
                        </w:rPr>
                        <w:t>Mentorimi i të rinjëve dhe grave të papuna nga diaspora</w:t>
                      </w:r>
                      <w:r>
                        <w:rPr>
                          <w:i/>
                          <w:sz w:val="22"/>
                          <w:szCs w:val="22"/>
                        </w:rPr>
                        <w:t>,</w:t>
                      </w:r>
                      <w:r w:rsidRPr="00F53523">
                        <w:rPr>
                          <w:i/>
                          <w:sz w:val="22"/>
                          <w:szCs w:val="22"/>
                        </w:rPr>
                        <w:t xml:space="preserve"> për t'</w:t>
                      </w:r>
                      <w:r>
                        <w:rPr>
                          <w:i/>
                          <w:sz w:val="22"/>
                          <w:szCs w:val="22"/>
                        </w:rPr>
                        <w:t>i</w:t>
                      </w:r>
                      <w:r w:rsidRPr="00F53523">
                        <w:rPr>
                          <w:i/>
                          <w:sz w:val="22"/>
                          <w:szCs w:val="22"/>
                        </w:rPr>
                        <w:t>u përmirësuar mundësitë për vetëpunësim</w:t>
                      </w:r>
                    </w:p>
                    <w:p w14:paraId="655189E5" w14:textId="7C85929A" w:rsidR="00636E80" w:rsidRPr="00F53523" w:rsidRDefault="00636E80" w:rsidP="003E10CD">
                      <w:pPr>
                        <w:pStyle w:val="ListParagraph"/>
                        <w:numPr>
                          <w:ilvl w:val="0"/>
                          <w:numId w:val="10"/>
                        </w:numPr>
                        <w:rPr>
                          <w:i/>
                          <w:sz w:val="22"/>
                          <w:szCs w:val="22"/>
                        </w:rPr>
                      </w:pPr>
                      <w:r w:rsidRPr="00F53523">
                        <w:rPr>
                          <w:i/>
                          <w:sz w:val="22"/>
                          <w:szCs w:val="22"/>
                        </w:rPr>
                        <w:t>Prior</w:t>
                      </w:r>
                      <w:r>
                        <w:rPr>
                          <w:i/>
                          <w:sz w:val="22"/>
                          <w:szCs w:val="22"/>
                        </w:rPr>
                        <w:t>i</w:t>
                      </w:r>
                      <w:r w:rsidRPr="00F53523">
                        <w:rPr>
                          <w:i/>
                          <w:sz w:val="22"/>
                          <w:szCs w:val="22"/>
                        </w:rPr>
                        <w:t>tizimi i grave dhe të rinjëve në përkrahjen për punësim përmes MATP</w:t>
                      </w:r>
                    </w:p>
                    <w:p w14:paraId="04241400" w14:textId="0E07F570" w:rsidR="00636E80" w:rsidRPr="00F53523" w:rsidRDefault="00636E80" w:rsidP="003E10CD">
                      <w:pPr>
                        <w:pStyle w:val="ListParagraph"/>
                        <w:numPr>
                          <w:ilvl w:val="0"/>
                          <w:numId w:val="10"/>
                        </w:numPr>
                        <w:rPr>
                          <w:i/>
                          <w:sz w:val="22"/>
                          <w:szCs w:val="22"/>
                        </w:rPr>
                      </w:pPr>
                      <w:r w:rsidRPr="00F53523">
                        <w:rPr>
                          <w:i/>
                          <w:sz w:val="22"/>
                          <w:szCs w:val="22"/>
                        </w:rPr>
                        <w:t>Krijimi i panaireve të punës me fokus punësimin e grave dhe të rinjëve</w:t>
                      </w:r>
                    </w:p>
                  </w:txbxContent>
                </v:textbox>
                <w10:wrap anchorx="margin"/>
              </v:shape>
            </w:pict>
          </mc:Fallback>
        </mc:AlternateContent>
      </w:r>
    </w:p>
    <w:p w14:paraId="0C49D54C" w14:textId="77777777" w:rsidR="006045A3" w:rsidRPr="009E674D" w:rsidRDefault="006045A3" w:rsidP="00712F91">
      <w:pPr>
        <w:jc w:val="both"/>
        <w:rPr>
          <w:lang w:val="sq-AL"/>
        </w:rPr>
      </w:pPr>
    </w:p>
    <w:p w14:paraId="078880C8" w14:textId="77777777" w:rsidR="006045A3" w:rsidRPr="009E674D" w:rsidRDefault="006045A3" w:rsidP="00712F91">
      <w:pPr>
        <w:jc w:val="both"/>
        <w:rPr>
          <w:lang w:val="sq-AL"/>
        </w:rPr>
      </w:pPr>
    </w:p>
    <w:p w14:paraId="1AC126AA" w14:textId="77777777" w:rsidR="006045A3" w:rsidRPr="009E674D" w:rsidRDefault="006045A3" w:rsidP="00712F91">
      <w:pPr>
        <w:jc w:val="both"/>
        <w:rPr>
          <w:lang w:val="sq-AL"/>
        </w:rPr>
      </w:pPr>
    </w:p>
    <w:p w14:paraId="7EF50F76" w14:textId="77777777" w:rsidR="006045A3" w:rsidRPr="009E674D" w:rsidRDefault="006045A3" w:rsidP="00712F91">
      <w:pPr>
        <w:jc w:val="both"/>
        <w:rPr>
          <w:lang w:val="sq-AL"/>
        </w:rPr>
      </w:pPr>
    </w:p>
    <w:p w14:paraId="1A5F1B8E" w14:textId="0FE0EB9E" w:rsidR="00DB0A99" w:rsidRPr="009E674D" w:rsidRDefault="00DB0A99" w:rsidP="00DB0A99">
      <w:pPr>
        <w:pStyle w:val="Heading2"/>
        <w:rPr>
          <w:rFonts w:eastAsia="Times New Roman"/>
          <w:lang w:val="sq-AL"/>
        </w:rPr>
      </w:pPr>
      <w:bookmarkStart w:id="18" w:name="_Toc132188438"/>
      <w:r w:rsidRPr="009E674D">
        <w:rPr>
          <w:rFonts w:eastAsia="Times New Roman"/>
          <w:lang w:val="sq-AL"/>
        </w:rPr>
        <w:t>O</w:t>
      </w:r>
      <w:r w:rsidR="009E674D" w:rsidRPr="009E674D">
        <w:rPr>
          <w:rFonts w:eastAsia="Times New Roman"/>
          <w:lang w:val="sq-AL"/>
        </w:rPr>
        <w:t>bjektivi</w:t>
      </w:r>
      <w:r w:rsidRPr="009E674D">
        <w:rPr>
          <w:rFonts w:eastAsia="Times New Roman"/>
          <w:lang w:val="sq-AL"/>
        </w:rPr>
        <w:t xml:space="preserve"> 3: Infrastrukturë</w:t>
      </w:r>
      <w:r w:rsidR="00F53523" w:rsidRPr="009E674D">
        <w:rPr>
          <w:rFonts w:eastAsia="Times New Roman"/>
          <w:lang w:val="sq-AL"/>
        </w:rPr>
        <w:t xml:space="preserve"> lokale</w:t>
      </w:r>
      <w:r w:rsidRPr="009E674D">
        <w:rPr>
          <w:rFonts w:eastAsia="Times New Roman"/>
          <w:lang w:val="sq-AL"/>
        </w:rPr>
        <w:t xml:space="preserve"> e përmirësuar</w:t>
      </w:r>
      <w:bookmarkEnd w:id="18"/>
      <w:r w:rsidRPr="009E674D">
        <w:rPr>
          <w:rFonts w:eastAsia="Times New Roman"/>
          <w:lang w:val="sq-AL"/>
        </w:rPr>
        <w:t xml:space="preserve"> </w:t>
      </w:r>
    </w:p>
    <w:p w14:paraId="4DB0C976" w14:textId="1C22D6A9" w:rsidR="00FA4DCA" w:rsidRPr="009E674D" w:rsidRDefault="00DB0A99" w:rsidP="003A7BE4">
      <w:pPr>
        <w:jc w:val="both"/>
        <w:rPr>
          <w:lang w:val="sq-AL"/>
        </w:rPr>
      </w:pPr>
      <w:r w:rsidRPr="009E674D">
        <w:rPr>
          <w:lang w:val="sq-AL"/>
        </w:rPr>
        <w:br/>
        <w:t>Zhvillimi</w:t>
      </w:r>
      <w:r w:rsidR="00F53523" w:rsidRPr="009E674D">
        <w:rPr>
          <w:lang w:val="sq-AL"/>
        </w:rPr>
        <w:t xml:space="preserve"> i</w:t>
      </w:r>
      <w:r w:rsidRPr="009E674D">
        <w:rPr>
          <w:lang w:val="sq-AL"/>
        </w:rPr>
        <w:t xml:space="preserve"> infrastruktur</w:t>
      </w:r>
      <w:r w:rsidR="00820D2B" w:rsidRPr="009E674D">
        <w:rPr>
          <w:lang w:val="sq-AL"/>
        </w:rPr>
        <w:t>ë</w:t>
      </w:r>
      <w:r w:rsidRPr="009E674D">
        <w:rPr>
          <w:lang w:val="sq-AL"/>
        </w:rPr>
        <w:t>s lokale, p</w:t>
      </w:r>
      <w:r w:rsidR="00820D2B" w:rsidRPr="009E674D">
        <w:rPr>
          <w:lang w:val="sq-AL"/>
        </w:rPr>
        <w:t>ë</w:t>
      </w:r>
      <w:r w:rsidRPr="009E674D">
        <w:rPr>
          <w:lang w:val="sq-AL"/>
        </w:rPr>
        <w:t>rpos ndikimit n</w:t>
      </w:r>
      <w:r w:rsidR="00820D2B" w:rsidRPr="009E674D">
        <w:rPr>
          <w:lang w:val="sq-AL"/>
        </w:rPr>
        <w:t>ë</w:t>
      </w:r>
      <w:r w:rsidRPr="009E674D">
        <w:rPr>
          <w:lang w:val="sq-AL"/>
        </w:rPr>
        <w:t xml:space="preserve"> p</w:t>
      </w:r>
      <w:r w:rsidR="00820D2B" w:rsidRPr="009E674D">
        <w:rPr>
          <w:lang w:val="sq-AL"/>
        </w:rPr>
        <w:t>ë</w:t>
      </w:r>
      <w:r w:rsidRPr="009E674D">
        <w:rPr>
          <w:lang w:val="sq-AL"/>
        </w:rPr>
        <w:t>rmir</w:t>
      </w:r>
      <w:r w:rsidR="00820D2B" w:rsidRPr="009E674D">
        <w:rPr>
          <w:lang w:val="sq-AL"/>
        </w:rPr>
        <w:t>ë</w:t>
      </w:r>
      <w:r w:rsidRPr="009E674D">
        <w:rPr>
          <w:lang w:val="sq-AL"/>
        </w:rPr>
        <w:t>sim t</w:t>
      </w:r>
      <w:r w:rsidR="00820D2B" w:rsidRPr="009E674D">
        <w:rPr>
          <w:lang w:val="sq-AL"/>
        </w:rPr>
        <w:t>ë</w:t>
      </w:r>
      <w:r w:rsidRPr="009E674D">
        <w:rPr>
          <w:lang w:val="sq-AL"/>
        </w:rPr>
        <w:t xml:space="preserve"> jet</w:t>
      </w:r>
      <w:r w:rsidR="00820D2B" w:rsidRPr="009E674D">
        <w:rPr>
          <w:lang w:val="sq-AL"/>
        </w:rPr>
        <w:t>ë</w:t>
      </w:r>
      <w:r w:rsidRPr="009E674D">
        <w:rPr>
          <w:lang w:val="sq-AL"/>
        </w:rPr>
        <w:t>s s</w:t>
      </w:r>
      <w:r w:rsidR="00820D2B" w:rsidRPr="009E674D">
        <w:rPr>
          <w:lang w:val="sq-AL"/>
        </w:rPr>
        <w:t>ë</w:t>
      </w:r>
      <w:r w:rsidRPr="009E674D">
        <w:rPr>
          <w:lang w:val="sq-AL"/>
        </w:rPr>
        <w:t xml:space="preserve"> qytetar</w:t>
      </w:r>
      <w:r w:rsidR="00820D2B" w:rsidRPr="009E674D">
        <w:rPr>
          <w:lang w:val="sq-AL"/>
        </w:rPr>
        <w:t>ë</w:t>
      </w:r>
      <w:r w:rsidRPr="009E674D">
        <w:rPr>
          <w:lang w:val="sq-AL"/>
        </w:rPr>
        <w:t>ve, luan n</w:t>
      </w:r>
      <w:r w:rsidR="00820D2B" w:rsidRPr="009E674D">
        <w:rPr>
          <w:lang w:val="sq-AL"/>
        </w:rPr>
        <w:t xml:space="preserve">jë rol qenësor </w:t>
      </w:r>
      <w:r w:rsidR="00FB781D">
        <w:rPr>
          <w:lang w:val="sq-AL"/>
        </w:rPr>
        <w:t xml:space="preserve">edhe </w:t>
      </w:r>
      <w:r w:rsidR="00820D2B" w:rsidRPr="009E674D">
        <w:rPr>
          <w:lang w:val="sq-AL"/>
        </w:rPr>
        <w:t>në rritje ekonomike, duke e krijuar një m</w:t>
      </w:r>
      <w:r w:rsidR="00F53523" w:rsidRPr="009E674D">
        <w:rPr>
          <w:lang w:val="sq-AL"/>
        </w:rPr>
        <w:t>jedis më të lehtë për operim të</w:t>
      </w:r>
      <w:r w:rsidR="00820D2B" w:rsidRPr="009E674D">
        <w:rPr>
          <w:lang w:val="sq-AL"/>
        </w:rPr>
        <w:t xml:space="preserve"> </w:t>
      </w:r>
      <w:r w:rsidR="00586171" w:rsidRPr="009E674D">
        <w:rPr>
          <w:lang w:val="sq-AL"/>
        </w:rPr>
        <w:t>ndërmarrjeve</w:t>
      </w:r>
      <w:r w:rsidR="00777CA6" w:rsidRPr="009E674D">
        <w:rPr>
          <w:lang w:val="sq-AL"/>
        </w:rPr>
        <w:t xml:space="preserve"> dhe akterëve tjerë të tregut</w:t>
      </w:r>
      <w:r w:rsidR="00820D2B" w:rsidRPr="009E674D">
        <w:rPr>
          <w:lang w:val="sq-AL"/>
        </w:rPr>
        <w:t>.</w:t>
      </w:r>
      <w:r w:rsidRPr="009E674D">
        <w:rPr>
          <w:lang w:val="sq-AL"/>
        </w:rPr>
        <w:t xml:space="preserve"> </w:t>
      </w:r>
      <w:r w:rsidR="00820D2B" w:rsidRPr="009E674D">
        <w:rPr>
          <w:lang w:val="sq-AL"/>
        </w:rPr>
        <w:t>Përgjatë viteve, komunat kanë shpenzuar një pjesë të konsiderueshme të buxhetit të tyre për të investuar në projekte infrastrukturore. Si rezultat, janë shënuar përmirësime të dukshme në k</w:t>
      </w:r>
      <w:r w:rsidR="00586171" w:rsidRPr="009E674D">
        <w:rPr>
          <w:lang w:val="sq-AL"/>
        </w:rPr>
        <w:t>ëtë fushë. Përkundër progresit, infrastruktura e tra</w:t>
      </w:r>
      <w:r w:rsidR="00B8776A" w:rsidRPr="009E674D">
        <w:rPr>
          <w:lang w:val="sq-AL"/>
        </w:rPr>
        <w:t>nsportit</w:t>
      </w:r>
      <w:r w:rsidR="00CA25DC" w:rsidRPr="009E674D">
        <w:rPr>
          <w:lang w:val="sq-AL"/>
        </w:rPr>
        <w:t xml:space="preserve"> përgjithësisht </w:t>
      </w:r>
      <w:r w:rsidR="00B8776A" w:rsidRPr="009E674D">
        <w:rPr>
          <w:lang w:val="sq-AL"/>
        </w:rPr>
        <w:t xml:space="preserve">mbetet e pakompletuar dhe </w:t>
      </w:r>
      <w:r w:rsidR="00586171" w:rsidRPr="009E674D">
        <w:rPr>
          <w:lang w:val="sq-AL"/>
        </w:rPr>
        <w:t xml:space="preserve">shërbimet nuk janë në nivel optimal. Për më </w:t>
      </w:r>
      <w:r w:rsidR="00FB781D">
        <w:rPr>
          <w:lang w:val="sq-AL"/>
        </w:rPr>
        <w:t>tepër</w:t>
      </w:r>
      <w:r w:rsidR="00586171" w:rsidRPr="009E674D">
        <w:rPr>
          <w:lang w:val="sq-AL"/>
        </w:rPr>
        <w:t xml:space="preserve">, ekzistojnë sfida në lidhje me infrastrukturën përcjellëse, si për shembull </w:t>
      </w:r>
      <w:r w:rsidR="00FB781D">
        <w:rPr>
          <w:lang w:val="sq-AL"/>
        </w:rPr>
        <w:t xml:space="preserve">në lidhje me </w:t>
      </w:r>
      <w:r w:rsidR="00586171" w:rsidRPr="009E674D">
        <w:rPr>
          <w:lang w:val="sq-AL"/>
        </w:rPr>
        <w:t xml:space="preserve">rrjetin e kanalizimit. Menaxhimi i mbeturinave është i dobët dhe investimet në </w:t>
      </w:r>
      <w:r w:rsidR="00F53523" w:rsidRPr="009E674D">
        <w:rPr>
          <w:lang w:val="sq-AL"/>
        </w:rPr>
        <w:t>efiçencë</w:t>
      </w:r>
      <w:r w:rsidR="00586171" w:rsidRPr="009E674D">
        <w:rPr>
          <w:lang w:val="sq-AL"/>
        </w:rPr>
        <w:t xml:space="preserve"> janë të mangëta. </w:t>
      </w:r>
      <w:r w:rsidR="003A7BE4" w:rsidRPr="009E674D">
        <w:rPr>
          <w:lang w:val="sq-AL"/>
        </w:rPr>
        <w:t>Për ta</w:t>
      </w:r>
      <w:r w:rsidR="00586171" w:rsidRPr="009E674D">
        <w:rPr>
          <w:lang w:val="sq-AL"/>
        </w:rPr>
        <w:t xml:space="preserve"> </w:t>
      </w:r>
      <w:r w:rsidR="003A7BE4" w:rsidRPr="009E674D">
        <w:rPr>
          <w:lang w:val="sq-AL"/>
        </w:rPr>
        <w:t>përmirësuar</w:t>
      </w:r>
      <w:r w:rsidR="00586171" w:rsidRPr="009E674D">
        <w:rPr>
          <w:lang w:val="sq-AL"/>
        </w:rPr>
        <w:t xml:space="preserve"> infrastruktur</w:t>
      </w:r>
      <w:r w:rsidR="003A7BE4" w:rsidRPr="009E674D">
        <w:rPr>
          <w:lang w:val="sq-AL"/>
        </w:rPr>
        <w:t>ë</w:t>
      </w:r>
      <w:r w:rsidR="00586171" w:rsidRPr="009E674D">
        <w:rPr>
          <w:lang w:val="sq-AL"/>
        </w:rPr>
        <w:t>n</w:t>
      </w:r>
      <w:r w:rsidR="003A7BE4" w:rsidRPr="009E674D">
        <w:rPr>
          <w:lang w:val="sq-AL"/>
        </w:rPr>
        <w:t xml:space="preserve"> lokale, </w:t>
      </w:r>
      <w:r w:rsidR="00312D8F" w:rsidRPr="009E674D">
        <w:rPr>
          <w:lang w:val="sq-AL"/>
        </w:rPr>
        <w:t>PNZHEL</w:t>
      </w:r>
      <w:r w:rsidR="007C4EB3" w:rsidRPr="009E674D">
        <w:rPr>
          <w:lang w:val="sq-AL"/>
        </w:rPr>
        <w:t xml:space="preserve"> 2030</w:t>
      </w:r>
      <w:r w:rsidR="003A7BE4" w:rsidRPr="009E674D">
        <w:rPr>
          <w:lang w:val="sq-AL"/>
        </w:rPr>
        <w:t xml:space="preserve"> synon që</w:t>
      </w:r>
      <w:r w:rsidR="00B8776A" w:rsidRPr="009E674D">
        <w:rPr>
          <w:lang w:val="sq-AL"/>
        </w:rPr>
        <w:t xml:space="preserve"> </w:t>
      </w:r>
      <w:r w:rsidR="00FB781D" w:rsidRPr="009E674D">
        <w:rPr>
          <w:lang w:val="sq-AL"/>
        </w:rPr>
        <w:t>t</w:t>
      </w:r>
      <w:r w:rsidR="00FB781D">
        <w:rPr>
          <w:lang w:val="sq-AL"/>
        </w:rPr>
        <w:t>a</w:t>
      </w:r>
      <w:r w:rsidR="00FB781D" w:rsidRPr="009E674D">
        <w:rPr>
          <w:lang w:val="sq-AL"/>
        </w:rPr>
        <w:t xml:space="preserve"> </w:t>
      </w:r>
      <w:r w:rsidR="003A7BE4" w:rsidRPr="009E674D">
        <w:rPr>
          <w:lang w:val="sq-AL"/>
        </w:rPr>
        <w:t>përmirësojë infrastrukturën për transport lokal dhe shërbime,</w:t>
      </w:r>
      <w:r w:rsidR="00B8776A" w:rsidRPr="009E674D">
        <w:rPr>
          <w:lang w:val="sq-AL"/>
        </w:rPr>
        <w:t xml:space="preserve"> të</w:t>
      </w:r>
      <w:r w:rsidR="003A7BE4" w:rsidRPr="009E674D">
        <w:rPr>
          <w:lang w:val="sq-AL"/>
        </w:rPr>
        <w:t xml:space="preserve"> sigurojë qasje në </w:t>
      </w:r>
      <w:r w:rsidR="00B8776A" w:rsidRPr="009E674D">
        <w:rPr>
          <w:lang w:val="sq-AL"/>
        </w:rPr>
        <w:t xml:space="preserve">infrastrukturën përcjellëse, të </w:t>
      </w:r>
      <w:r w:rsidR="003A7BE4" w:rsidRPr="009E674D">
        <w:rPr>
          <w:lang w:val="sq-AL"/>
        </w:rPr>
        <w:t xml:space="preserve">menaxhojë mbeturinat në mënyrë të integruar dhe të përmirësojë </w:t>
      </w:r>
      <w:r w:rsidR="00F53523" w:rsidRPr="009E674D">
        <w:rPr>
          <w:lang w:val="sq-AL"/>
        </w:rPr>
        <w:t>efiçencën</w:t>
      </w:r>
      <w:r w:rsidR="003A7BE4" w:rsidRPr="009E674D">
        <w:rPr>
          <w:lang w:val="sq-AL"/>
        </w:rPr>
        <w:t xml:space="preserve"> e energjisë. </w:t>
      </w:r>
    </w:p>
    <w:p w14:paraId="122D9A86" w14:textId="435DD47F" w:rsidR="003E10CD" w:rsidRPr="009E674D" w:rsidRDefault="009E674D" w:rsidP="009E674D">
      <w:pPr>
        <w:jc w:val="both"/>
        <w:rPr>
          <w:lang w:val="sq-AL"/>
        </w:rPr>
      </w:pPr>
      <w:r w:rsidRPr="009E674D">
        <w:rPr>
          <w:lang w:val="sq-AL"/>
        </w:rPr>
        <w:t>Ky objektiv</w:t>
      </w:r>
      <w:r w:rsidR="00777CA6" w:rsidRPr="009E674D">
        <w:rPr>
          <w:lang w:val="sq-AL"/>
        </w:rPr>
        <w:t xml:space="preserve"> lidhet drejtpërdrejt me Q</w:t>
      </w:r>
      <w:r w:rsidR="003A7BE4" w:rsidRPr="009E674D">
        <w:rPr>
          <w:lang w:val="sq-AL"/>
        </w:rPr>
        <w:t>ëllimin II të SKZH-së</w:t>
      </w:r>
      <w:r w:rsidRPr="009E674D">
        <w:rPr>
          <w:lang w:val="sq-AL"/>
        </w:rPr>
        <w:t xml:space="preserve"> dhe PKZH-së</w:t>
      </w:r>
      <w:r w:rsidR="008B79C5" w:rsidRPr="009E674D">
        <w:rPr>
          <w:lang w:val="sq-AL"/>
        </w:rPr>
        <w:t>, që synon t</w:t>
      </w:r>
      <w:r w:rsidR="00563229" w:rsidRPr="009E674D">
        <w:rPr>
          <w:lang w:val="sq-AL"/>
        </w:rPr>
        <w:t>ë</w:t>
      </w:r>
      <w:r w:rsidR="008B79C5" w:rsidRPr="009E674D">
        <w:rPr>
          <w:lang w:val="sq-AL"/>
        </w:rPr>
        <w:t xml:space="preserve"> krijoj</w:t>
      </w:r>
      <w:r w:rsidR="00563229" w:rsidRPr="009E674D">
        <w:rPr>
          <w:lang w:val="sq-AL"/>
        </w:rPr>
        <w:t>ë</w:t>
      </w:r>
      <w:r w:rsidR="008B79C5" w:rsidRPr="009E674D">
        <w:rPr>
          <w:lang w:val="sq-AL"/>
        </w:rPr>
        <w:t xml:space="preserve"> infrastruktur</w:t>
      </w:r>
      <w:r w:rsidR="00563229" w:rsidRPr="009E674D">
        <w:rPr>
          <w:lang w:val="sq-AL"/>
        </w:rPr>
        <w:t>ë</w:t>
      </w:r>
      <w:r w:rsidR="008B79C5" w:rsidRPr="009E674D">
        <w:rPr>
          <w:lang w:val="sq-AL"/>
        </w:rPr>
        <w:t xml:space="preserve"> cil</w:t>
      </w:r>
      <w:r w:rsidR="00563229" w:rsidRPr="009E674D">
        <w:rPr>
          <w:lang w:val="sq-AL"/>
        </w:rPr>
        <w:t>ë</w:t>
      </w:r>
      <w:r w:rsidR="008B79C5" w:rsidRPr="009E674D">
        <w:rPr>
          <w:lang w:val="sq-AL"/>
        </w:rPr>
        <w:t>sore, t</w:t>
      </w:r>
      <w:r w:rsidR="00563229" w:rsidRPr="009E674D">
        <w:rPr>
          <w:lang w:val="sq-AL"/>
        </w:rPr>
        <w:t>ë</w:t>
      </w:r>
      <w:r w:rsidR="008B79C5" w:rsidRPr="009E674D">
        <w:rPr>
          <w:lang w:val="sq-AL"/>
        </w:rPr>
        <w:t xml:space="preserve"> integruar dhe t</w:t>
      </w:r>
      <w:r w:rsidR="00563229" w:rsidRPr="009E674D">
        <w:rPr>
          <w:lang w:val="sq-AL"/>
        </w:rPr>
        <w:t>ë</w:t>
      </w:r>
      <w:r w:rsidR="008B79C5" w:rsidRPr="009E674D">
        <w:rPr>
          <w:lang w:val="sq-AL"/>
        </w:rPr>
        <w:t xml:space="preserve"> q</w:t>
      </w:r>
      <w:r w:rsidR="00563229" w:rsidRPr="009E674D">
        <w:rPr>
          <w:lang w:val="sq-AL"/>
        </w:rPr>
        <w:t>ë</w:t>
      </w:r>
      <w:r w:rsidR="008B79C5" w:rsidRPr="009E674D">
        <w:rPr>
          <w:lang w:val="sq-AL"/>
        </w:rPr>
        <w:t xml:space="preserve">ndrueshme. </w:t>
      </w:r>
      <w:r w:rsidRPr="009E674D">
        <w:rPr>
          <w:lang w:val="sq-AL"/>
        </w:rPr>
        <w:t>Gjithashtu, lidhet me  Strategjinë për transportin multimodal, Strategjinë për mbrojtjen e mjedisit dhe zhvillimit të qëndrueshëm, Strategjinë e energjisë, Strategjinë për menaxhimin e integruar të mbeturinave.</w:t>
      </w:r>
    </w:p>
    <w:p w14:paraId="7A8DB44F" w14:textId="1ED089DA" w:rsidR="00FA4DCA" w:rsidRPr="009E674D" w:rsidRDefault="009E674D" w:rsidP="00853056">
      <w:pPr>
        <w:pStyle w:val="Heading3"/>
        <w:rPr>
          <w:rFonts w:eastAsia="Times New Roman"/>
          <w:lang w:val="sq-AL"/>
        </w:rPr>
      </w:pPr>
      <w:bookmarkStart w:id="19" w:name="_Toc132188439"/>
      <w:r w:rsidRPr="009E674D">
        <w:rPr>
          <w:rFonts w:eastAsia="Times New Roman"/>
          <w:lang w:val="sq-AL"/>
        </w:rPr>
        <w:t>Objektivi</w:t>
      </w:r>
      <w:r w:rsidR="00563229" w:rsidRPr="009E674D">
        <w:rPr>
          <w:rFonts w:eastAsia="Times New Roman"/>
          <w:lang w:val="sq-AL"/>
        </w:rPr>
        <w:t xml:space="preserve"> </w:t>
      </w:r>
      <w:r w:rsidRPr="009E674D">
        <w:rPr>
          <w:rFonts w:eastAsia="Times New Roman"/>
          <w:lang w:val="sq-AL"/>
        </w:rPr>
        <w:t>specifik</w:t>
      </w:r>
      <w:r w:rsidR="00D32EAA" w:rsidRPr="009E674D">
        <w:rPr>
          <w:rFonts w:eastAsia="Times New Roman"/>
          <w:lang w:val="sq-AL"/>
        </w:rPr>
        <w:t xml:space="preserve"> </w:t>
      </w:r>
      <w:r w:rsidR="00563229" w:rsidRPr="009E674D">
        <w:rPr>
          <w:rFonts w:eastAsia="Times New Roman"/>
          <w:lang w:val="sq-AL"/>
        </w:rPr>
        <w:t xml:space="preserve">3.1. Përmirësimi infrastrukturës së transportit lokal dhe </w:t>
      </w:r>
      <w:r w:rsidR="00563229" w:rsidRPr="009E674D">
        <w:rPr>
          <w:lang w:val="sq-AL"/>
        </w:rPr>
        <w:t>shërbimeve</w:t>
      </w:r>
      <w:bookmarkEnd w:id="19"/>
    </w:p>
    <w:p w14:paraId="294B2C4B" w14:textId="56E1F084" w:rsidR="00007273" w:rsidRPr="009E674D" w:rsidRDefault="00007273" w:rsidP="00EF31B1">
      <w:pPr>
        <w:jc w:val="both"/>
        <w:rPr>
          <w:lang w:val="sq-AL"/>
        </w:rPr>
      </w:pPr>
      <w:r w:rsidRPr="009E674D">
        <w:rPr>
          <w:lang w:val="sq-AL"/>
        </w:rPr>
        <w:br/>
      </w:r>
      <w:r w:rsidR="00563229" w:rsidRPr="009E674D">
        <w:rPr>
          <w:lang w:val="sq-AL"/>
        </w:rPr>
        <w:t>I</w:t>
      </w:r>
      <w:r w:rsidRPr="009E674D">
        <w:rPr>
          <w:lang w:val="sq-AL"/>
        </w:rPr>
        <w:t>nfrastruktura</w:t>
      </w:r>
      <w:r w:rsidR="00AC7E43" w:rsidRPr="009E674D">
        <w:rPr>
          <w:lang w:val="sq-AL"/>
        </w:rPr>
        <w:t xml:space="preserve"> dhe shërbime</w:t>
      </w:r>
      <w:r w:rsidR="00563229" w:rsidRPr="009E674D">
        <w:rPr>
          <w:lang w:val="sq-AL"/>
        </w:rPr>
        <w:t>t e transportit jan</w:t>
      </w:r>
      <w:r w:rsidR="00AC7E43" w:rsidRPr="009E674D">
        <w:rPr>
          <w:lang w:val="sq-AL"/>
        </w:rPr>
        <w:t>ë</w:t>
      </w:r>
      <w:r w:rsidR="00563229" w:rsidRPr="009E674D">
        <w:rPr>
          <w:lang w:val="sq-AL"/>
        </w:rPr>
        <w:t xml:space="preserve"> esenciale p</w:t>
      </w:r>
      <w:r w:rsidR="00AC7E43" w:rsidRPr="009E674D">
        <w:rPr>
          <w:lang w:val="sq-AL"/>
        </w:rPr>
        <w:t>ë</w:t>
      </w:r>
      <w:r w:rsidR="00563229" w:rsidRPr="009E674D">
        <w:rPr>
          <w:lang w:val="sq-AL"/>
        </w:rPr>
        <w:t>r l</w:t>
      </w:r>
      <w:r w:rsidR="00AC7E43" w:rsidRPr="009E674D">
        <w:rPr>
          <w:lang w:val="sq-AL"/>
        </w:rPr>
        <w:t>ë</w:t>
      </w:r>
      <w:r w:rsidR="00563229" w:rsidRPr="009E674D">
        <w:rPr>
          <w:lang w:val="sq-AL"/>
        </w:rPr>
        <w:t>vizje t</w:t>
      </w:r>
      <w:r w:rsidR="00AC7E43" w:rsidRPr="009E674D">
        <w:rPr>
          <w:lang w:val="sq-AL"/>
        </w:rPr>
        <w:t>ë</w:t>
      </w:r>
      <w:r w:rsidR="00563229" w:rsidRPr="009E674D">
        <w:rPr>
          <w:lang w:val="sq-AL"/>
        </w:rPr>
        <w:t xml:space="preserve"> mallrave dhe</w:t>
      </w:r>
      <w:r w:rsidR="00AC7E43" w:rsidRPr="009E674D">
        <w:rPr>
          <w:lang w:val="sq-AL"/>
        </w:rPr>
        <w:t xml:space="preserve"> njerëzve në ekonomi. Investimet në infrastrukturë të transportit stimulojnë ekonominë lokale duke reduktuar kostot e lëvizjes për bizneset dhe qytetarët</w:t>
      </w:r>
      <w:r w:rsidR="00F84DDB">
        <w:rPr>
          <w:lang w:val="sq-AL"/>
        </w:rPr>
        <w:t>, si</w:t>
      </w:r>
      <w:r w:rsidR="00AC7E43" w:rsidRPr="009E674D">
        <w:rPr>
          <w:lang w:val="sq-AL"/>
        </w:rPr>
        <w:t xml:space="preserve"> dhe përgjithësisht duke përmirësuar pjesëmarrjen e tyre në treg. </w:t>
      </w:r>
      <w:r w:rsidR="009E674D">
        <w:rPr>
          <w:lang w:val="sq-AL"/>
        </w:rPr>
        <w:t>Për arritjen e këtij objektivi</w:t>
      </w:r>
      <w:r w:rsidRPr="009E674D">
        <w:rPr>
          <w:lang w:val="sq-AL"/>
        </w:rPr>
        <w:t>, duhet të vazhdojë n</w:t>
      </w:r>
      <w:r w:rsidR="00AC7E43" w:rsidRPr="009E674D">
        <w:rPr>
          <w:lang w:val="sq-AL"/>
        </w:rPr>
        <w:t>dërtimi, mirëmbajtja, rekonstruktimi dhe mbrojtja e rrugëve lokale</w:t>
      </w:r>
      <w:r w:rsidRPr="009E674D">
        <w:rPr>
          <w:lang w:val="sq-AL"/>
        </w:rPr>
        <w:t>. Paralel me këtë, duhet të përmirësohet infrastruktura sinjalistike në komunikacion</w:t>
      </w:r>
      <w:r w:rsidR="00EF31B1" w:rsidRPr="009E674D">
        <w:rPr>
          <w:lang w:val="sq-AL"/>
        </w:rPr>
        <w:t xml:space="preserve"> </w:t>
      </w:r>
      <w:r w:rsidR="0037494A" w:rsidRPr="009E674D">
        <w:rPr>
          <w:lang w:val="sq-AL"/>
        </w:rPr>
        <w:t>dhe të</w:t>
      </w:r>
      <w:r w:rsidR="00EF31B1" w:rsidRPr="009E674D">
        <w:rPr>
          <w:lang w:val="sq-AL"/>
        </w:rPr>
        <w:t xml:space="preserve"> krijohen hapësira të reja të parkingut. Njëkohësisht, është e nevojshme që të </w:t>
      </w:r>
      <w:r w:rsidR="0037494A" w:rsidRPr="009E674D">
        <w:rPr>
          <w:lang w:val="sq-AL"/>
        </w:rPr>
        <w:t>investohet</w:t>
      </w:r>
      <w:r w:rsidR="00EF31B1" w:rsidRPr="009E674D">
        <w:rPr>
          <w:lang w:val="sq-AL"/>
        </w:rPr>
        <w:t xml:space="preserve"> në zhvillim të transportit alternativ dhe miqësor për mjedisin. Shërbimet e stacioneve të autobusëve duhet të digjitalizohen dhe të organizohet transport publik lokal në komuna më të mëdha.  </w:t>
      </w:r>
    </w:p>
    <w:p w14:paraId="43EEFACF" w14:textId="4A97717F" w:rsidR="003E10CD" w:rsidRPr="009E674D" w:rsidRDefault="009E674D" w:rsidP="002D3DC9">
      <w:pPr>
        <w:pStyle w:val="NoSpacing"/>
        <w:jc w:val="both"/>
        <w:rPr>
          <w:lang w:val="sq-AL"/>
        </w:rPr>
      </w:pPr>
      <w:r w:rsidRPr="009E674D">
        <w:rPr>
          <w:lang w:val="sq-AL"/>
        </w:rPr>
        <w:lastRenderedPageBreak/>
        <w:t>Ky objektiv specifik</w:t>
      </w:r>
      <w:r w:rsidR="002D3DC9" w:rsidRPr="009E674D">
        <w:rPr>
          <w:rFonts w:eastAsiaTheme="minorHAnsi"/>
          <w:lang w:val="sq-AL"/>
        </w:rPr>
        <w:t xml:space="preserve"> lidhet me tri</w:t>
      </w:r>
      <w:r w:rsidRPr="009E674D">
        <w:rPr>
          <w:rFonts w:eastAsiaTheme="minorHAnsi"/>
          <w:lang w:val="sq-AL"/>
        </w:rPr>
        <w:t xml:space="preserve"> objektiva të SKZH-së dhe PKZH-s</w:t>
      </w:r>
      <w:r w:rsidRPr="009E674D">
        <w:rPr>
          <w:lang w:val="sq-AL"/>
        </w:rPr>
        <w:t>ë</w:t>
      </w:r>
      <w:r w:rsidRPr="009E674D">
        <w:rPr>
          <w:rFonts w:eastAsiaTheme="minorHAnsi"/>
          <w:lang w:val="sq-AL"/>
        </w:rPr>
        <w:t>: Objektivin</w:t>
      </w:r>
      <w:r w:rsidR="00EF31B1" w:rsidRPr="009E674D">
        <w:rPr>
          <w:rFonts w:eastAsiaTheme="minorHAnsi"/>
          <w:lang w:val="sq-AL"/>
        </w:rPr>
        <w:t xml:space="preserve"> 2.3</w:t>
      </w:r>
      <w:r w:rsidR="00777CA6" w:rsidRPr="009E674D">
        <w:rPr>
          <w:rFonts w:eastAsiaTheme="minorHAnsi"/>
          <w:lang w:val="sq-AL"/>
        </w:rPr>
        <w:t>,</w:t>
      </w:r>
      <w:r w:rsidR="00EF31B1" w:rsidRPr="009E674D">
        <w:rPr>
          <w:rFonts w:eastAsiaTheme="minorHAnsi"/>
          <w:lang w:val="sq-AL"/>
        </w:rPr>
        <w:t xml:space="preserve"> që synon përmirësimin e infrastrukturës dhe shërbimeve të transportit</w:t>
      </w:r>
      <w:r w:rsidR="002D3DC9" w:rsidRPr="009E674D">
        <w:rPr>
          <w:rFonts w:eastAsiaTheme="minorHAnsi"/>
          <w:lang w:val="sq-AL"/>
        </w:rPr>
        <w:t>;</w:t>
      </w:r>
      <w:r w:rsidR="00777CA6" w:rsidRPr="009E674D">
        <w:rPr>
          <w:rFonts w:eastAsiaTheme="minorHAnsi"/>
          <w:lang w:val="sq-AL"/>
        </w:rPr>
        <w:t xml:space="preserve"> O</w:t>
      </w:r>
      <w:r w:rsidRPr="009E674D">
        <w:rPr>
          <w:rFonts w:eastAsiaTheme="minorHAnsi"/>
          <w:lang w:val="sq-AL"/>
        </w:rPr>
        <w:t>bjektivin</w:t>
      </w:r>
      <w:r w:rsidR="0037494A" w:rsidRPr="009E674D">
        <w:rPr>
          <w:rFonts w:eastAsiaTheme="minorHAnsi"/>
          <w:lang w:val="sq-AL"/>
        </w:rPr>
        <w:t xml:space="preserve"> 2.5</w:t>
      </w:r>
      <w:r w:rsidR="00777CA6" w:rsidRPr="009E674D">
        <w:rPr>
          <w:rFonts w:eastAsiaTheme="minorHAnsi"/>
          <w:lang w:val="sq-AL"/>
        </w:rPr>
        <w:t>,</w:t>
      </w:r>
      <w:r w:rsidR="002D3DC9" w:rsidRPr="009E674D">
        <w:rPr>
          <w:rFonts w:eastAsiaTheme="minorHAnsi"/>
          <w:lang w:val="sq-AL"/>
        </w:rPr>
        <w:t xml:space="preserve"> që synon rritjen e sigurisë së transportit</w:t>
      </w:r>
      <w:r w:rsidR="0037494A" w:rsidRPr="009E674D">
        <w:rPr>
          <w:rFonts w:eastAsiaTheme="minorHAnsi"/>
          <w:lang w:val="sq-AL"/>
        </w:rPr>
        <w:t>;</w:t>
      </w:r>
      <w:r w:rsidRPr="009E674D">
        <w:rPr>
          <w:rFonts w:eastAsiaTheme="minorHAnsi"/>
          <w:lang w:val="sq-AL"/>
        </w:rPr>
        <w:t xml:space="preserve"> dhe Objektivin</w:t>
      </w:r>
      <w:r w:rsidR="00777CA6" w:rsidRPr="009E674D">
        <w:rPr>
          <w:rFonts w:eastAsiaTheme="minorHAnsi"/>
          <w:lang w:val="sq-AL"/>
        </w:rPr>
        <w:t xml:space="preserve"> 3.6, që ka p</w:t>
      </w:r>
      <w:r w:rsidR="00777CA6" w:rsidRPr="009E674D">
        <w:rPr>
          <w:lang w:val="sq-AL"/>
        </w:rPr>
        <w:t>ër qëllim</w:t>
      </w:r>
      <w:r w:rsidR="00777CA6" w:rsidRPr="009E674D">
        <w:rPr>
          <w:rFonts w:eastAsiaTheme="minorHAnsi"/>
          <w:lang w:val="sq-AL"/>
        </w:rPr>
        <w:t xml:space="preserve"> promovimin e</w:t>
      </w:r>
      <w:r w:rsidR="002D3DC9" w:rsidRPr="009E674D">
        <w:rPr>
          <w:rFonts w:eastAsiaTheme="minorHAnsi"/>
          <w:lang w:val="sq-AL"/>
        </w:rPr>
        <w:t xml:space="preserve"> mobilite</w:t>
      </w:r>
      <w:r w:rsidR="00777CA6" w:rsidRPr="009E674D">
        <w:rPr>
          <w:rFonts w:eastAsiaTheme="minorHAnsi"/>
          <w:lang w:val="sq-AL"/>
        </w:rPr>
        <w:t>tit digjital dhe të qëndruesh</w:t>
      </w:r>
      <w:r w:rsidR="00777CA6" w:rsidRPr="009E674D">
        <w:rPr>
          <w:lang w:val="sq-AL"/>
        </w:rPr>
        <w:t>ëm.</w:t>
      </w:r>
    </w:p>
    <w:p w14:paraId="35CB89E3" w14:textId="09D0BC09" w:rsidR="009E674D" w:rsidRPr="009E674D" w:rsidRDefault="009E674D" w:rsidP="002D3DC9">
      <w:pPr>
        <w:pStyle w:val="NoSpacing"/>
        <w:jc w:val="both"/>
        <w:rPr>
          <w:lang w:val="sq-AL"/>
        </w:rPr>
      </w:pPr>
    </w:p>
    <w:p w14:paraId="4189234D" w14:textId="5B9513C5" w:rsidR="009E674D" w:rsidRPr="009E674D" w:rsidRDefault="009E674D" w:rsidP="002D3DC9">
      <w:pPr>
        <w:pStyle w:val="NoSpacing"/>
        <w:jc w:val="both"/>
        <w:rPr>
          <w:rFonts w:eastAsiaTheme="minorHAnsi"/>
          <w:lang w:val="sq-AL"/>
        </w:rPr>
      </w:pPr>
      <w:r w:rsidRPr="009E674D">
        <w:rPr>
          <w:noProof/>
        </w:rPr>
        <mc:AlternateContent>
          <mc:Choice Requires="wps">
            <w:drawing>
              <wp:anchor distT="0" distB="0" distL="114300" distR="114300" simplePos="0" relativeHeight="251760640" behindDoc="0" locked="0" layoutInCell="1" allowOverlap="1" wp14:anchorId="3A3B3D94" wp14:editId="01246043">
                <wp:simplePos x="0" y="0"/>
                <wp:positionH relativeFrom="margin">
                  <wp:align>right</wp:align>
                </wp:positionH>
                <wp:positionV relativeFrom="paragraph">
                  <wp:posOffset>47314</wp:posOffset>
                </wp:positionV>
                <wp:extent cx="5925185" cy="1750219"/>
                <wp:effectExtent l="0" t="0" r="18415" b="21590"/>
                <wp:wrapNone/>
                <wp:docPr id="46" name="Text Box 46"/>
                <wp:cNvGraphicFramePr/>
                <a:graphic xmlns:a="http://schemas.openxmlformats.org/drawingml/2006/main">
                  <a:graphicData uri="http://schemas.microsoft.com/office/word/2010/wordprocessingShape">
                    <wps:wsp>
                      <wps:cNvSpPr txBox="1"/>
                      <wps:spPr>
                        <a:xfrm>
                          <a:off x="0" y="0"/>
                          <a:ext cx="5925185" cy="1750219"/>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204076AD" w14:textId="77777777" w:rsidR="00636E80" w:rsidRPr="00777CA6" w:rsidRDefault="00636E80" w:rsidP="003E10CD">
                            <w:pPr>
                              <w:rPr>
                                <w:b/>
                                <w:i/>
                                <w:lang w:val="sq-AL"/>
                              </w:rPr>
                            </w:pPr>
                            <w:r w:rsidRPr="00777CA6">
                              <w:rPr>
                                <w:b/>
                                <w:i/>
                                <w:lang w:val="sq-AL"/>
                              </w:rPr>
                              <w:t>Të bëhet:</w:t>
                            </w:r>
                          </w:p>
                          <w:p w14:paraId="64158D28" w14:textId="0C692F72" w:rsidR="00636E80" w:rsidRPr="00777CA6" w:rsidRDefault="00636E80" w:rsidP="003E10CD">
                            <w:pPr>
                              <w:pStyle w:val="ListParagraph"/>
                              <w:numPr>
                                <w:ilvl w:val="0"/>
                                <w:numId w:val="10"/>
                              </w:numPr>
                              <w:rPr>
                                <w:i/>
                                <w:sz w:val="22"/>
                                <w:szCs w:val="22"/>
                                <w:lang w:val="sq-AL"/>
                              </w:rPr>
                            </w:pPr>
                            <w:r w:rsidRPr="00777CA6">
                              <w:rPr>
                                <w:i/>
                                <w:sz w:val="22"/>
                                <w:szCs w:val="22"/>
                                <w:lang w:val="sq-AL"/>
                              </w:rPr>
                              <w:t>Ndërtimi, mirëmbajtja, rekonstruktimi dhe mbrojtja e rrugëve lokale</w:t>
                            </w:r>
                          </w:p>
                          <w:p w14:paraId="29D52E38" w14:textId="552E7172" w:rsidR="00636E80" w:rsidRPr="00777CA6" w:rsidRDefault="00636E80" w:rsidP="003E10CD">
                            <w:pPr>
                              <w:pStyle w:val="ListParagraph"/>
                              <w:numPr>
                                <w:ilvl w:val="0"/>
                                <w:numId w:val="10"/>
                              </w:numPr>
                              <w:rPr>
                                <w:i/>
                                <w:sz w:val="22"/>
                                <w:szCs w:val="22"/>
                                <w:lang w:val="sq-AL"/>
                              </w:rPr>
                            </w:pPr>
                            <w:r w:rsidRPr="00777CA6">
                              <w:rPr>
                                <w:i/>
                                <w:sz w:val="22"/>
                                <w:szCs w:val="22"/>
                                <w:lang w:val="sq-AL"/>
                              </w:rPr>
                              <w:t>Përmirësimi i infrastrukturës sinjalistike në komunikacion</w:t>
                            </w:r>
                          </w:p>
                          <w:p w14:paraId="725AE964" w14:textId="55C51D7D" w:rsidR="00636E80" w:rsidRPr="00777CA6" w:rsidRDefault="00636E80" w:rsidP="003E10CD">
                            <w:pPr>
                              <w:pStyle w:val="ListParagraph"/>
                              <w:numPr>
                                <w:ilvl w:val="0"/>
                                <w:numId w:val="10"/>
                              </w:numPr>
                              <w:rPr>
                                <w:i/>
                                <w:sz w:val="22"/>
                                <w:szCs w:val="22"/>
                                <w:lang w:val="sq-AL"/>
                              </w:rPr>
                            </w:pPr>
                            <w:r w:rsidRPr="00777CA6">
                              <w:rPr>
                                <w:i/>
                                <w:sz w:val="22"/>
                                <w:szCs w:val="22"/>
                                <w:lang w:val="sq-AL"/>
                              </w:rPr>
                              <w:t xml:space="preserve">Krijimi i hapësirave të reja të parkingut publik  </w:t>
                            </w:r>
                          </w:p>
                          <w:p w14:paraId="24B8935F" w14:textId="6A73E196" w:rsidR="00636E80" w:rsidRPr="00777CA6" w:rsidRDefault="00636E80" w:rsidP="003E10CD">
                            <w:pPr>
                              <w:pStyle w:val="ListParagraph"/>
                              <w:numPr>
                                <w:ilvl w:val="0"/>
                                <w:numId w:val="10"/>
                              </w:numPr>
                              <w:rPr>
                                <w:i/>
                                <w:sz w:val="22"/>
                                <w:szCs w:val="22"/>
                                <w:lang w:val="sq-AL"/>
                              </w:rPr>
                            </w:pPr>
                            <w:r w:rsidRPr="00777CA6">
                              <w:rPr>
                                <w:i/>
                                <w:sz w:val="22"/>
                                <w:szCs w:val="22"/>
                                <w:lang w:val="sq-AL"/>
                              </w:rPr>
                              <w:t xml:space="preserve">Digjitalizimi i shërbimeve në stacionet e autobusëve </w:t>
                            </w:r>
                          </w:p>
                          <w:p w14:paraId="41D8E287" w14:textId="72A721C4" w:rsidR="00636E80" w:rsidRPr="009E674D" w:rsidRDefault="00636E80" w:rsidP="009E674D">
                            <w:pPr>
                              <w:pStyle w:val="ListParagraph"/>
                              <w:numPr>
                                <w:ilvl w:val="0"/>
                                <w:numId w:val="10"/>
                              </w:numPr>
                              <w:rPr>
                                <w:i/>
                                <w:sz w:val="22"/>
                                <w:szCs w:val="22"/>
                                <w:lang w:val="sq-AL"/>
                              </w:rPr>
                            </w:pPr>
                            <w:r w:rsidRPr="00777CA6">
                              <w:rPr>
                                <w:i/>
                                <w:sz w:val="22"/>
                                <w:szCs w:val="22"/>
                                <w:lang w:val="sq-AL"/>
                              </w:rPr>
                              <w:t>Përkrahja e investimeve në transport alternativ</w:t>
                            </w:r>
                          </w:p>
                          <w:p w14:paraId="3C8E5B10" w14:textId="045FFC9D" w:rsidR="00636E80" w:rsidRPr="00777CA6" w:rsidRDefault="00636E80" w:rsidP="003E10CD">
                            <w:pPr>
                              <w:pStyle w:val="ListParagraph"/>
                              <w:numPr>
                                <w:ilvl w:val="0"/>
                                <w:numId w:val="10"/>
                              </w:numPr>
                              <w:rPr>
                                <w:i/>
                                <w:sz w:val="22"/>
                                <w:szCs w:val="22"/>
                                <w:lang w:val="sq-AL"/>
                              </w:rPr>
                            </w:pPr>
                            <w:r w:rsidRPr="00777CA6">
                              <w:rPr>
                                <w:i/>
                                <w:sz w:val="22"/>
                                <w:szCs w:val="22"/>
                                <w:lang w:val="sq-AL"/>
                              </w:rPr>
                              <w:t>Organizimi i transportit publik lokal në komuna më të mëdha (aty ku mungon)</w:t>
                            </w:r>
                          </w:p>
                          <w:p w14:paraId="3C4840B7" w14:textId="77777777" w:rsidR="00636E80" w:rsidRDefault="00636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3D94" id="Text Box 46" o:spid="_x0000_s1050" type="#_x0000_t202" style="position:absolute;left:0;text-align:left;margin-left:415.35pt;margin-top:3.75pt;width:466.55pt;height:137.8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" fillcolor="#deebf7" strokecolor="#deebf7" strokeweight="1pt">
                <v:textbox>
                  <w:txbxContent>
                    <w:p w14:paraId="204076AD" w14:textId="77777777" w:rsidR="00636E80" w:rsidRPr="00777CA6" w:rsidRDefault="00636E80" w:rsidP="003E10CD">
                      <w:pPr>
                        <w:rPr>
                          <w:b/>
                          <w:i/>
                          <w:lang w:val="sq-AL"/>
                        </w:rPr>
                      </w:pPr>
                      <w:r w:rsidRPr="00777CA6">
                        <w:rPr>
                          <w:b/>
                          <w:i/>
                          <w:lang w:val="sq-AL"/>
                        </w:rPr>
                        <w:t>Të bëhet:</w:t>
                      </w:r>
                    </w:p>
                    <w:p w14:paraId="64158D28" w14:textId="0C692F72" w:rsidR="00636E80" w:rsidRPr="00777CA6" w:rsidRDefault="00636E80" w:rsidP="003E10CD">
                      <w:pPr>
                        <w:pStyle w:val="ListParagraph"/>
                        <w:numPr>
                          <w:ilvl w:val="0"/>
                          <w:numId w:val="10"/>
                        </w:numPr>
                        <w:rPr>
                          <w:i/>
                          <w:sz w:val="22"/>
                          <w:szCs w:val="22"/>
                          <w:lang w:val="sq-AL"/>
                        </w:rPr>
                      </w:pPr>
                      <w:r w:rsidRPr="00777CA6">
                        <w:rPr>
                          <w:i/>
                          <w:sz w:val="22"/>
                          <w:szCs w:val="22"/>
                          <w:lang w:val="sq-AL"/>
                        </w:rPr>
                        <w:t>Ndërtimi, mirëmbajtja, rekonstruktimi dhe mbrojtja e rrugëve lokale</w:t>
                      </w:r>
                    </w:p>
                    <w:p w14:paraId="29D52E38" w14:textId="552E7172" w:rsidR="00636E80" w:rsidRPr="00777CA6" w:rsidRDefault="00636E80" w:rsidP="003E10CD">
                      <w:pPr>
                        <w:pStyle w:val="ListParagraph"/>
                        <w:numPr>
                          <w:ilvl w:val="0"/>
                          <w:numId w:val="10"/>
                        </w:numPr>
                        <w:rPr>
                          <w:i/>
                          <w:sz w:val="22"/>
                          <w:szCs w:val="22"/>
                          <w:lang w:val="sq-AL"/>
                        </w:rPr>
                      </w:pPr>
                      <w:r w:rsidRPr="00777CA6">
                        <w:rPr>
                          <w:i/>
                          <w:sz w:val="22"/>
                          <w:szCs w:val="22"/>
                          <w:lang w:val="sq-AL"/>
                        </w:rPr>
                        <w:t>Përmirësimi i infrastrukturës sinjalistike në komunikacion</w:t>
                      </w:r>
                    </w:p>
                    <w:p w14:paraId="725AE964" w14:textId="55C51D7D" w:rsidR="00636E80" w:rsidRPr="00777CA6" w:rsidRDefault="00636E80" w:rsidP="003E10CD">
                      <w:pPr>
                        <w:pStyle w:val="ListParagraph"/>
                        <w:numPr>
                          <w:ilvl w:val="0"/>
                          <w:numId w:val="10"/>
                        </w:numPr>
                        <w:rPr>
                          <w:i/>
                          <w:sz w:val="22"/>
                          <w:szCs w:val="22"/>
                          <w:lang w:val="sq-AL"/>
                        </w:rPr>
                      </w:pPr>
                      <w:r w:rsidRPr="00777CA6">
                        <w:rPr>
                          <w:i/>
                          <w:sz w:val="22"/>
                          <w:szCs w:val="22"/>
                          <w:lang w:val="sq-AL"/>
                        </w:rPr>
                        <w:t xml:space="preserve">Krijimi i hapësirave të reja të parkingut publik  </w:t>
                      </w:r>
                    </w:p>
                    <w:p w14:paraId="24B8935F" w14:textId="6A73E196" w:rsidR="00636E80" w:rsidRPr="00777CA6" w:rsidRDefault="00636E80" w:rsidP="003E10CD">
                      <w:pPr>
                        <w:pStyle w:val="ListParagraph"/>
                        <w:numPr>
                          <w:ilvl w:val="0"/>
                          <w:numId w:val="10"/>
                        </w:numPr>
                        <w:rPr>
                          <w:i/>
                          <w:sz w:val="22"/>
                          <w:szCs w:val="22"/>
                          <w:lang w:val="sq-AL"/>
                        </w:rPr>
                      </w:pPr>
                      <w:r w:rsidRPr="00777CA6">
                        <w:rPr>
                          <w:i/>
                          <w:sz w:val="22"/>
                          <w:szCs w:val="22"/>
                          <w:lang w:val="sq-AL"/>
                        </w:rPr>
                        <w:t xml:space="preserve">Digjitalizimi i shërbimeve në stacionet e autobusëve </w:t>
                      </w:r>
                    </w:p>
                    <w:p w14:paraId="41D8E287" w14:textId="72A721C4" w:rsidR="00636E80" w:rsidRPr="009E674D" w:rsidRDefault="00636E80" w:rsidP="009E674D">
                      <w:pPr>
                        <w:pStyle w:val="ListParagraph"/>
                        <w:numPr>
                          <w:ilvl w:val="0"/>
                          <w:numId w:val="10"/>
                        </w:numPr>
                        <w:rPr>
                          <w:i/>
                          <w:sz w:val="22"/>
                          <w:szCs w:val="22"/>
                          <w:lang w:val="sq-AL"/>
                        </w:rPr>
                      </w:pPr>
                      <w:r w:rsidRPr="00777CA6">
                        <w:rPr>
                          <w:i/>
                          <w:sz w:val="22"/>
                          <w:szCs w:val="22"/>
                          <w:lang w:val="sq-AL"/>
                        </w:rPr>
                        <w:t>Përkrahja e investimeve në transport alternativ</w:t>
                      </w:r>
                    </w:p>
                    <w:p w14:paraId="3C8E5B10" w14:textId="045FFC9D" w:rsidR="00636E80" w:rsidRPr="00777CA6" w:rsidRDefault="00636E80" w:rsidP="003E10CD">
                      <w:pPr>
                        <w:pStyle w:val="ListParagraph"/>
                        <w:numPr>
                          <w:ilvl w:val="0"/>
                          <w:numId w:val="10"/>
                        </w:numPr>
                        <w:rPr>
                          <w:i/>
                          <w:sz w:val="22"/>
                          <w:szCs w:val="22"/>
                          <w:lang w:val="sq-AL"/>
                        </w:rPr>
                      </w:pPr>
                      <w:r w:rsidRPr="00777CA6">
                        <w:rPr>
                          <w:i/>
                          <w:sz w:val="22"/>
                          <w:szCs w:val="22"/>
                          <w:lang w:val="sq-AL"/>
                        </w:rPr>
                        <w:t>Organizimi i transportit publik lokal në komuna më të mëdha (aty ku mungon)</w:t>
                      </w:r>
                    </w:p>
                    <w:p w14:paraId="3C4840B7" w14:textId="77777777" w:rsidR="00636E80" w:rsidRDefault="00636E80"/>
                  </w:txbxContent>
                </v:textbox>
                <w10:wrap anchorx="margin"/>
              </v:shape>
            </w:pict>
          </mc:Fallback>
        </mc:AlternateContent>
      </w:r>
    </w:p>
    <w:p w14:paraId="1F21ECD0" w14:textId="556B185C" w:rsidR="0037494A" w:rsidRPr="009E674D" w:rsidRDefault="009E674D" w:rsidP="00853056">
      <w:pPr>
        <w:pStyle w:val="Heading3"/>
        <w:rPr>
          <w:lang w:val="sq-AL"/>
        </w:rPr>
      </w:pPr>
      <w:bookmarkStart w:id="20" w:name="_Toc132188440"/>
      <w:r w:rsidRPr="009E674D">
        <w:rPr>
          <w:lang w:val="sq-AL"/>
        </w:rPr>
        <w:t>Objektivi specifik</w:t>
      </w:r>
      <w:r w:rsidR="00D32EAA" w:rsidRPr="009E674D">
        <w:rPr>
          <w:lang w:val="sq-AL"/>
        </w:rPr>
        <w:t xml:space="preserve"> </w:t>
      </w:r>
      <w:r w:rsidR="0037494A" w:rsidRPr="009E674D">
        <w:rPr>
          <w:lang w:val="sq-AL"/>
        </w:rPr>
        <w:t>3.2: Sigurimi i qasjes në infrastrukturë përcjellëse</w:t>
      </w:r>
      <w:bookmarkEnd w:id="20"/>
    </w:p>
    <w:p w14:paraId="3657FCE8" w14:textId="77777777" w:rsidR="009E674D" w:rsidRPr="009E674D" w:rsidRDefault="009E674D" w:rsidP="0037494A">
      <w:pPr>
        <w:jc w:val="both"/>
        <w:rPr>
          <w:lang w:val="sq-AL"/>
        </w:rPr>
      </w:pPr>
    </w:p>
    <w:p w14:paraId="2E0D1A4D" w14:textId="77777777" w:rsidR="009E674D" w:rsidRPr="009E674D" w:rsidRDefault="009E674D" w:rsidP="0037494A">
      <w:pPr>
        <w:jc w:val="both"/>
        <w:rPr>
          <w:lang w:val="sq-AL"/>
        </w:rPr>
      </w:pPr>
    </w:p>
    <w:p w14:paraId="4A8071E4" w14:textId="77777777" w:rsidR="009E674D" w:rsidRPr="009E674D" w:rsidRDefault="009E674D" w:rsidP="0037494A">
      <w:pPr>
        <w:jc w:val="both"/>
        <w:rPr>
          <w:lang w:val="sq-AL"/>
        </w:rPr>
      </w:pPr>
    </w:p>
    <w:p w14:paraId="18EA49D8" w14:textId="77777777" w:rsidR="009E674D" w:rsidRPr="009E674D" w:rsidRDefault="009E674D" w:rsidP="0037494A">
      <w:pPr>
        <w:jc w:val="both"/>
        <w:rPr>
          <w:lang w:val="sq-AL"/>
        </w:rPr>
      </w:pPr>
    </w:p>
    <w:p w14:paraId="2D4CECCA" w14:textId="77777777" w:rsidR="009E674D" w:rsidRPr="009E674D" w:rsidRDefault="009E674D" w:rsidP="0037494A">
      <w:pPr>
        <w:jc w:val="both"/>
        <w:rPr>
          <w:lang w:val="sq-AL"/>
        </w:rPr>
      </w:pPr>
    </w:p>
    <w:p w14:paraId="7386AC32" w14:textId="6C746C3D" w:rsidR="0037494A" w:rsidRPr="009E674D" w:rsidRDefault="0037494A" w:rsidP="0037494A">
      <w:pPr>
        <w:jc w:val="both"/>
        <w:rPr>
          <w:lang w:val="sq-AL"/>
        </w:rPr>
      </w:pPr>
      <w:r w:rsidRPr="009E674D">
        <w:rPr>
          <w:lang w:val="sq-AL"/>
        </w:rPr>
        <w:br/>
        <w:t>Infrastruktura e ujit dhe kanalizimit është e rëndësishme për infrastrukturën e nivelit lokal. Përmirësimi i kësaj infrastrukture</w:t>
      </w:r>
      <w:r w:rsidR="00777CA6" w:rsidRPr="009E674D">
        <w:rPr>
          <w:lang w:val="sq-AL"/>
        </w:rPr>
        <w:t>,</w:t>
      </w:r>
      <w:r w:rsidRPr="009E674D">
        <w:rPr>
          <w:lang w:val="sq-AL"/>
        </w:rPr>
        <w:t xml:space="preserve"> duke përfshirë edhe qasjen në të</w:t>
      </w:r>
      <w:r w:rsidR="00777CA6" w:rsidRPr="009E674D">
        <w:rPr>
          <w:lang w:val="sq-AL"/>
        </w:rPr>
        <w:t>,</w:t>
      </w:r>
      <w:r w:rsidRPr="009E674D">
        <w:rPr>
          <w:lang w:val="sq-AL"/>
        </w:rPr>
        <w:t xml:space="preserve"> është parakusht për zhvillim të aktiviteteve ekonomike dhe jo vetëm. Në këtë drejtim, është</w:t>
      </w:r>
      <w:r w:rsidR="00777CA6" w:rsidRPr="009E674D">
        <w:rPr>
          <w:lang w:val="sq-AL"/>
        </w:rPr>
        <w:t xml:space="preserve"> e</w:t>
      </w:r>
      <w:r w:rsidRPr="009E674D">
        <w:rPr>
          <w:lang w:val="sq-AL"/>
        </w:rPr>
        <w:t xml:space="preserve"> nevojshme që të ndahet më shumë buxhet për rregullimin e rrjetit të kanalizimit dhe drenazhit, si dhe aty ku është e mundur, të ndërtohen impiante për trajtimin e ujërave të zeza. </w:t>
      </w:r>
    </w:p>
    <w:p w14:paraId="1088E2B1" w14:textId="37C8816C" w:rsidR="003E10CD" w:rsidRPr="009E674D" w:rsidRDefault="00777CA6" w:rsidP="0037494A">
      <w:pPr>
        <w:jc w:val="both"/>
        <w:rPr>
          <w:lang w:val="sq-AL"/>
        </w:rPr>
      </w:pPr>
      <w:r w:rsidRPr="009E674D">
        <w:rPr>
          <w:lang w:val="sq-AL"/>
        </w:rPr>
        <w:t>Në SKZH</w:t>
      </w:r>
      <w:r w:rsidR="009E674D" w:rsidRPr="009E674D">
        <w:rPr>
          <w:lang w:val="sq-AL"/>
        </w:rPr>
        <w:t xml:space="preserve"> dhe PKZH</w:t>
      </w:r>
      <w:r w:rsidRPr="009E674D">
        <w:rPr>
          <w:lang w:val="sq-AL"/>
        </w:rPr>
        <w:t xml:space="preserve"> nuk ka ndonjë objektiv</w:t>
      </w:r>
      <w:r w:rsidR="0037494A" w:rsidRPr="009E674D">
        <w:rPr>
          <w:lang w:val="sq-AL"/>
        </w:rPr>
        <w:t xml:space="preserve"> që lidhet drejtpërdrejt me këtë objektiv</w:t>
      </w:r>
      <w:r w:rsidR="009E674D" w:rsidRPr="009E674D">
        <w:rPr>
          <w:lang w:val="sq-AL"/>
        </w:rPr>
        <w:t xml:space="preserve"> specifik</w:t>
      </w:r>
      <w:r w:rsidR="0037494A" w:rsidRPr="009E674D">
        <w:rPr>
          <w:lang w:val="sq-AL"/>
        </w:rPr>
        <w:t xml:space="preserve">, </w:t>
      </w:r>
      <w:r w:rsidRPr="009E674D">
        <w:rPr>
          <w:lang w:val="sq-AL"/>
        </w:rPr>
        <w:t>por sidoqoftë kjo i kontribuon Q</w:t>
      </w:r>
      <w:r w:rsidR="0037494A" w:rsidRPr="009E674D">
        <w:rPr>
          <w:lang w:val="sq-AL"/>
        </w:rPr>
        <w:t>ëllimit II (Infrastrukturë cilësore, të integruar dhe të qëndrueshme).</w:t>
      </w:r>
    </w:p>
    <w:p w14:paraId="6E6D62C2" w14:textId="77777777" w:rsidR="003E10CD" w:rsidRPr="009E674D" w:rsidRDefault="003E10CD" w:rsidP="0037494A">
      <w:pPr>
        <w:jc w:val="both"/>
        <w:rPr>
          <w:lang w:val="sq-AL"/>
        </w:rPr>
      </w:pPr>
      <w:r w:rsidRPr="009E674D">
        <w:rPr>
          <w:noProof/>
        </w:rPr>
        <mc:AlternateContent>
          <mc:Choice Requires="wps">
            <w:drawing>
              <wp:anchor distT="0" distB="0" distL="114300" distR="114300" simplePos="0" relativeHeight="251762688" behindDoc="0" locked="0" layoutInCell="1" allowOverlap="1" wp14:anchorId="20E0E294" wp14:editId="6E610D26">
                <wp:simplePos x="0" y="0"/>
                <wp:positionH relativeFrom="margin">
                  <wp:align>right</wp:align>
                </wp:positionH>
                <wp:positionV relativeFrom="paragraph">
                  <wp:posOffset>10795</wp:posOffset>
                </wp:positionV>
                <wp:extent cx="5925185" cy="1066800"/>
                <wp:effectExtent l="0" t="0" r="18415" b="19050"/>
                <wp:wrapNone/>
                <wp:docPr id="48" name="Text Box 48"/>
                <wp:cNvGraphicFramePr/>
                <a:graphic xmlns:a="http://schemas.openxmlformats.org/drawingml/2006/main">
                  <a:graphicData uri="http://schemas.microsoft.com/office/word/2010/wordprocessingShape">
                    <wps:wsp>
                      <wps:cNvSpPr txBox="1"/>
                      <wps:spPr>
                        <a:xfrm>
                          <a:off x="0" y="0"/>
                          <a:ext cx="5925185" cy="106680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5F1BA954" w14:textId="77777777" w:rsidR="00636E80" w:rsidRPr="00777CA6" w:rsidRDefault="00636E80" w:rsidP="003E10CD">
                            <w:pPr>
                              <w:rPr>
                                <w:b/>
                                <w:i/>
                                <w:lang w:val="sq-AL"/>
                              </w:rPr>
                            </w:pPr>
                            <w:r w:rsidRPr="00777CA6">
                              <w:rPr>
                                <w:b/>
                                <w:i/>
                                <w:lang w:val="sq-AL"/>
                              </w:rPr>
                              <w:t>Të bëhet:</w:t>
                            </w:r>
                          </w:p>
                          <w:p w14:paraId="433BF726" w14:textId="7410BCAD" w:rsidR="00636E80" w:rsidRPr="00777CA6" w:rsidRDefault="00636E80" w:rsidP="003E10CD">
                            <w:pPr>
                              <w:pStyle w:val="ListParagraph"/>
                              <w:numPr>
                                <w:ilvl w:val="0"/>
                                <w:numId w:val="10"/>
                              </w:numPr>
                              <w:rPr>
                                <w:i/>
                                <w:sz w:val="22"/>
                                <w:szCs w:val="22"/>
                                <w:lang w:val="sq-AL"/>
                              </w:rPr>
                            </w:pPr>
                            <w:r w:rsidRPr="00777CA6">
                              <w:rPr>
                                <w:i/>
                                <w:sz w:val="22"/>
                                <w:szCs w:val="22"/>
                                <w:lang w:val="sq-AL"/>
                              </w:rPr>
                              <w:t>Ndarja e më shumë mjeteve financiare për rregullimin dhe zgjerimin e rrjetit të kanalizimit dhe drenazhit</w:t>
                            </w:r>
                          </w:p>
                          <w:p w14:paraId="6E853B67" w14:textId="716742A1" w:rsidR="00636E80" w:rsidRPr="00777CA6" w:rsidRDefault="00636E80" w:rsidP="003E10CD">
                            <w:pPr>
                              <w:pStyle w:val="ListParagraph"/>
                              <w:numPr>
                                <w:ilvl w:val="0"/>
                                <w:numId w:val="10"/>
                              </w:numPr>
                              <w:rPr>
                                <w:i/>
                                <w:sz w:val="22"/>
                                <w:szCs w:val="22"/>
                                <w:lang w:val="sq-AL"/>
                              </w:rPr>
                            </w:pPr>
                            <w:r w:rsidRPr="00777CA6">
                              <w:rPr>
                                <w:i/>
                                <w:sz w:val="22"/>
                                <w:szCs w:val="22"/>
                                <w:lang w:val="sq-AL"/>
                              </w:rPr>
                              <w:t>Ndërtimi i impianteve për trajtimin e ujërave të zeza</w:t>
                            </w:r>
                          </w:p>
                          <w:p w14:paraId="0844CD04" w14:textId="77777777" w:rsidR="00636E80" w:rsidRPr="00777CA6" w:rsidRDefault="00636E80" w:rsidP="003E10CD">
                            <w:pPr>
                              <w:pStyle w:val="ListParagraph"/>
                              <w:numPr>
                                <w:ilvl w:val="0"/>
                                <w:numId w:val="10"/>
                              </w:num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E294" id="Text Box 48" o:spid="_x0000_s1051" type="#_x0000_t202" style="position:absolute;left:0;text-align:left;margin-left:415.35pt;margin-top:.85pt;width:466.55pt;height:84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" fillcolor="#deebf7" strokecolor="#deebf7" strokeweight="1pt">
                <v:textbox>
                  <w:txbxContent>
                    <w:p w14:paraId="5F1BA954" w14:textId="77777777" w:rsidR="00636E80" w:rsidRPr="00777CA6" w:rsidRDefault="00636E80" w:rsidP="003E10CD">
                      <w:pPr>
                        <w:rPr>
                          <w:b/>
                          <w:i/>
                          <w:lang w:val="sq-AL"/>
                        </w:rPr>
                      </w:pPr>
                      <w:r w:rsidRPr="00777CA6">
                        <w:rPr>
                          <w:b/>
                          <w:i/>
                          <w:lang w:val="sq-AL"/>
                        </w:rPr>
                        <w:t>Të bëhet:</w:t>
                      </w:r>
                    </w:p>
                    <w:p w14:paraId="433BF726" w14:textId="7410BCAD" w:rsidR="00636E80" w:rsidRPr="00777CA6" w:rsidRDefault="00636E80" w:rsidP="003E10CD">
                      <w:pPr>
                        <w:pStyle w:val="ListParagraph"/>
                        <w:numPr>
                          <w:ilvl w:val="0"/>
                          <w:numId w:val="10"/>
                        </w:numPr>
                        <w:rPr>
                          <w:i/>
                          <w:sz w:val="22"/>
                          <w:szCs w:val="22"/>
                          <w:lang w:val="sq-AL"/>
                        </w:rPr>
                      </w:pPr>
                      <w:r w:rsidRPr="00777CA6">
                        <w:rPr>
                          <w:i/>
                          <w:sz w:val="22"/>
                          <w:szCs w:val="22"/>
                          <w:lang w:val="sq-AL"/>
                        </w:rPr>
                        <w:t>Ndarja e më shumë mjeteve financiare për rregullimin dhe zgjerimin e rrjetit të kanalizimit dhe drenazhit</w:t>
                      </w:r>
                    </w:p>
                    <w:p w14:paraId="6E853B67" w14:textId="716742A1" w:rsidR="00636E80" w:rsidRPr="00777CA6" w:rsidRDefault="00636E80" w:rsidP="003E10CD">
                      <w:pPr>
                        <w:pStyle w:val="ListParagraph"/>
                        <w:numPr>
                          <w:ilvl w:val="0"/>
                          <w:numId w:val="10"/>
                        </w:numPr>
                        <w:rPr>
                          <w:i/>
                          <w:sz w:val="22"/>
                          <w:szCs w:val="22"/>
                          <w:lang w:val="sq-AL"/>
                        </w:rPr>
                      </w:pPr>
                      <w:r w:rsidRPr="00777CA6">
                        <w:rPr>
                          <w:i/>
                          <w:sz w:val="22"/>
                          <w:szCs w:val="22"/>
                          <w:lang w:val="sq-AL"/>
                        </w:rPr>
                        <w:t>Ndërtimi i impianteve për trajtimin e ujërave të zeza</w:t>
                      </w:r>
                    </w:p>
                    <w:p w14:paraId="0844CD04" w14:textId="77777777" w:rsidR="00636E80" w:rsidRPr="00777CA6" w:rsidRDefault="00636E80" w:rsidP="003E10CD">
                      <w:pPr>
                        <w:pStyle w:val="ListParagraph"/>
                        <w:numPr>
                          <w:ilvl w:val="0"/>
                          <w:numId w:val="10"/>
                        </w:numPr>
                        <w:rPr>
                          <w:sz w:val="22"/>
                          <w:szCs w:val="22"/>
                        </w:rPr>
                      </w:pPr>
                    </w:p>
                  </w:txbxContent>
                </v:textbox>
                <w10:wrap anchorx="margin"/>
              </v:shape>
            </w:pict>
          </mc:Fallback>
        </mc:AlternateContent>
      </w:r>
    </w:p>
    <w:p w14:paraId="7572B119" w14:textId="77777777" w:rsidR="003E10CD" w:rsidRPr="009E674D" w:rsidRDefault="003E10CD" w:rsidP="0037494A">
      <w:pPr>
        <w:jc w:val="both"/>
        <w:rPr>
          <w:lang w:val="sq-AL"/>
        </w:rPr>
      </w:pPr>
    </w:p>
    <w:p w14:paraId="4C00F967" w14:textId="77777777" w:rsidR="003E10CD" w:rsidRPr="009E674D" w:rsidRDefault="003E10CD" w:rsidP="003E10CD">
      <w:pPr>
        <w:rPr>
          <w:lang w:val="sq-AL"/>
        </w:rPr>
      </w:pPr>
      <w:r w:rsidRPr="009E674D">
        <w:rPr>
          <w:lang w:val="sq-AL"/>
        </w:rPr>
        <w:br/>
      </w:r>
      <w:r w:rsidRPr="009E674D">
        <w:rPr>
          <w:lang w:val="sq-AL"/>
        </w:rPr>
        <w:br/>
      </w:r>
    </w:p>
    <w:p w14:paraId="5C6CBEDB" w14:textId="355F14D6" w:rsidR="0037494A" w:rsidRPr="009E674D" w:rsidRDefault="009E674D" w:rsidP="00853056">
      <w:pPr>
        <w:pStyle w:val="Heading3"/>
        <w:rPr>
          <w:lang w:val="sq-AL"/>
        </w:rPr>
      </w:pPr>
      <w:bookmarkStart w:id="21" w:name="_Toc132188441"/>
      <w:r w:rsidRPr="009E674D">
        <w:rPr>
          <w:lang w:val="sq-AL"/>
        </w:rPr>
        <w:t>Objektivi specifik</w:t>
      </w:r>
      <w:r w:rsidR="0037494A" w:rsidRPr="009E674D">
        <w:rPr>
          <w:lang w:val="sq-AL"/>
        </w:rPr>
        <w:t xml:space="preserve"> 3.3: Menaxhimi i integruar i mbeturinave</w:t>
      </w:r>
      <w:bookmarkEnd w:id="21"/>
    </w:p>
    <w:p w14:paraId="52E2BA9D" w14:textId="17CF9110" w:rsidR="0037494A" w:rsidRPr="009E674D" w:rsidRDefault="0037494A" w:rsidP="0037494A">
      <w:pPr>
        <w:jc w:val="both"/>
        <w:rPr>
          <w:lang w:val="sq-AL"/>
        </w:rPr>
      </w:pPr>
      <w:r w:rsidRPr="009E674D">
        <w:rPr>
          <w:lang w:val="sq-AL"/>
        </w:rPr>
        <w:br/>
        <w:t xml:space="preserve">Menaxhimi i mbeturinave kërkon një qasje të integruar, </w:t>
      </w:r>
      <w:r w:rsidR="00E636D8">
        <w:rPr>
          <w:lang w:val="sq-AL"/>
        </w:rPr>
        <w:t>e cila</w:t>
      </w:r>
      <w:r w:rsidR="00E636D8" w:rsidRPr="009E674D">
        <w:rPr>
          <w:lang w:val="sq-AL"/>
        </w:rPr>
        <w:t xml:space="preserve"> </w:t>
      </w:r>
      <w:r w:rsidRPr="009E674D">
        <w:rPr>
          <w:lang w:val="sq-AL"/>
        </w:rPr>
        <w:t>mundëson reduktimin</w:t>
      </w:r>
      <w:r w:rsidR="00777CA6" w:rsidRPr="009E674D">
        <w:rPr>
          <w:lang w:val="sq-AL"/>
        </w:rPr>
        <w:t xml:space="preserve"> e</w:t>
      </w:r>
      <w:r w:rsidRPr="009E674D">
        <w:rPr>
          <w:lang w:val="sq-AL"/>
        </w:rPr>
        <w:t xml:space="preserve"> tyre, përmirësimin e mbledhjes, riciklimin dhe deponimin e duhur të mbetjeve të gjenerura nga qytetarët, instititutcionet, bizneset </w:t>
      </w:r>
      <w:r w:rsidR="009E674D">
        <w:rPr>
          <w:lang w:val="sq-AL"/>
        </w:rPr>
        <w:t>dhe industria. Që të arrihet ky objektiv specifik</w:t>
      </w:r>
      <w:r w:rsidRPr="009E674D">
        <w:rPr>
          <w:lang w:val="sq-AL"/>
        </w:rPr>
        <w:t>, do të rritet përkrahja nga niveli qendror për themelimin e ndërmarrjeve publike lokale për menaxhim të mbeturinave. Njëkohësisht, do të zhvillohen rrjete të stacioneve të transferimit, trajtimit dhe deponimit të mbeturinave përmes iniciativave ndërkomunale. Në këtë drejtim, është e nevojshme që të krijohen qendra të riciklimit dhe kompozimit të mbeturinave, si dhe paralel me këtë, të rritet vetëdija për dobitë e menaxhimit dhe riciklimit të mbeturinave. Përveç këtyre, është e</w:t>
      </w:r>
      <w:r w:rsidR="00777CA6" w:rsidRPr="009E674D">
        <w:rPr>
          <w:lang w:val="sq-AL"/>
        </w:rPr>
        <w:t xml:space="preserve"> domosdoshme të ofrohen grante për inovacion që </w:t>
      </w:r>
      <w:r w:rsidRPr="009E674D">
        <w:rPr>
          <w:lang w:val="sq-AL"/>
        </w:rPr>
        <w:t>promovojnë parandalimin, ripërdorimin dhe riciklimin e mbeturinave, me fokus të veçantë në gjetjen e alternativave ndaj ambalazhit dhe produkteve plastike.</w:t>
      </w:r>
    </w:p>
    <w:p w14:paraId="1BB90484" w14:textId="6189E428" w:rsidR="003E10CD" w:rsidRDefault="009E674D" w:rsidP="0037494A">
      <w:pPr>
        <w:jc w:val="both"/>
        <w:rPr>
          <w:lang w:val="sq-AL"/>
        </w:rPr>
      </w:pPr>
      <w:r w:rsidRPr="009E674D">
        <w:rPr>
          <w:lang w:val="sq-AL"/>
        </w:rPr>
        <w:t xml:space="preserve">Ky </w:t>
      </w:r>
      <w:r w:rsidR="00EF5611" w:rsidRPr="009E674D">
        <w:rPr>
          <w:lang w:val="sq-AL"/>
        </w:rPr>
        <w:t>o</w:t>
      </w:r>
      <w:r w:rsidR="0037494A" w:rsidRPr="009E674D">
        <w:rPr>
          <w:lang w:val="sq-AL"/>
        </w:rPr>
        <w:t>bjekti</w:t>
      </w:r>
      <w:r w:rsidRPr="009E674D">
        <w:rPr>
          <w:lang w:val="sq-AL"/>
        </w:rPr>
        <w:t>v specifik</w:t>
      </w:r>
      <w:r w:rsidR="001542D5" w:rsidRPr="009E674D">
        <w:rPr>
          <w:lang w:val="sq-AL"/>
        </w:rPr>
        <w:t xml:space="preserve"> lidhet ngushtë me O</w:t>
      </w:r>
      <w:r w:rsidRPr="009E674D">
        <w:rPr>
          <w:lang w:val="sq-AL"/>
        </w:rPr>
        <w:t>bjektivin</w:t>
      </w:r>
      <w:r w:rsidR="0037494A" w:rsidRPr="009E674D">
        <w:rPr>
          <w:lang w:val="sq-AL"/>
        </w:rPr>
        <w:t xml:space="preserve"> 3.1</w:t>
      </w:r>
      <w:r w:rsidRPr="009E674D">
        <w:rPr>
          <w:lang w:val="sq-AL"/>
        </w:rPr>
        <w:t xml:space="preserve"> të SKZH-së dhe PKZH-së</w:t>
      </w:r>
      <w:r w:rsidR="0037494A" w:rsidRPr="009E674D">
        <w:rPr>
          <w:lang w:val="sq-AL"/>
        </w:rPr>
        <w:t>, që synon menaxhimin e integruar të mbeturinave dhe rritjen e qarkullimit të resurseve.</w:t>
      </w:r>
    </w:p>
    <w:p w14:paraId="33B48871" w14:textId="794FC533" w:rsidR="009E674D" w:rsidRDefault="009E674D" w:rsidP="0037494A">
      <w:pPr>
        <w:jc w:val="both"/>
        <w:rPr>
          <w:lang w:val="sq-AL"/>
        </w:rPr>
      </w:pPr>
    </w:p>
    <w:p w14:paraId="044D2014" w14:textId="6305BAB3" w:rsidR="009E674D" w:rsidRDefault="009E674D" w:rsidP="0037494A">
      <w:pPr>
        <w:jc w:val="both"/>
        <w:rPr>
          <w:lang w:val="sq-AL"/>
        </w:rPr>
      </w:pPr>
    </w:p>
    <w:p w14:paraId="6DD84994" w14:textId="5F4D7897" w:rsidR="009E674D" w:rsidRPr="009E674D" w:rsidRDefault="009E674D" w:rsidP="0037494A">
      <w:pPr>
        <w:jc w:val="both"/>
        <w:rPr>
          <w:lang w:val="sq-AL"/>
        </w:rPr>
      </w:pPr>
      <w:r w:rsidRPr="009E674D">
        <w:rPr>
          <w:noProof/>
        </w:rPr>
        <mc:AlternateContent>
          <mc:Choice Requires="wps">
            <w:drawing>
              <wp:anchor distT="0" distB="0" distL="114300" distR="114300" simplePos="0" relativeHeight="251764736" behindDoc="0" locked="0" layoutInCell="1" allowOverlap="1" wp14:anchorId="1C424C4A" wp14:editId="3A183397">
                <wp:simplePos x="0" y="0"/>
                <wp:positionH relativeFrom="margin">
                  <wp:align>right</wp:align>
                </wp:positionH>
                <wp:positionV relativeFrom="paragraph">
                  <wp:posOffset>-528974</wp:posOffset>
                </wp:positionV>
                <wp:extent cx="5925185" cy="2271712"/>
                <wp:effectExtent l="0" t="0" r="18415" b="14605"/>
                <wp:wrapNone/>
                <wp:docPr id="49" name="Text Box 49"/>
                <wp:cNvGraphicFramePr/>
                <a:graphic xmlns:a="http://schemas.openxmlformats.org/drawingml/2006/main">
                  <a:graphicData uri="http://schemas.microsoft.com/office/word/2010/wordprocessingShape">
                    <wps:wsp>
                      <wps:cNvSpPr txBox="1"/>
                      <wps:spPr>
                        <a:xfrm>
                          <a:off x="0" y="0"/>
                          <a:ext cx="5925185" cy="2271712"/>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25408669" w14:textId="77777777" w:rsidR="00636E80" w:rsidRPr="001542D5" w:rsidRDefault="00636E80" w:rsidP="003E10CD">
                            <w:pPr>
                              <w:rPr>
                                <w:b/>
                                <w:i/>
                                <w:lang w:val="sq-AL"/>
                              </w:rPr>
                            </w:pPr>
                            <w:r w:rsidRPr="001542D5">
                              <w:rPr>
                                <w:b/>
                                <w:i/>
                                <w:lang w:val="sq-AL"/>
                              </w:rPr>
                              <w:t>T</w:t>
                            </w:r>
                            <w:r w:rsidRPr="001542D5">
                              <w:rPr>
                                <w:b/>
                                <w:lang w:val="sq-AL"/>
                              </w:rPr>
                              <w:t>ë</w:t>
                            </w:r>
                            <w:r w:rsidRPr="001542D5">
                              <w:rPr>
                                <w:b/>
                                <w:i/>
                                <w:lang w:val="sq-AL"/>
                              </w:rPr>
                              <w:t xml:space="preserve"> b</w:t>
                            </w:r>
                            <w:r w:rsidRPr="001542D5">
                              <w:rPr>
                                <w:b/>
                                <w:lang w:val="sq-AL"/>
                              </w:rPr>
                              <w:t>ë</w:t>
                            </w:r>
                            <w:r w:rsidRPr="001542D5">
                              <w:rPr>
                                <w:b/>
                                <w:i/>
                                <w:lang w:val="sq-AL"/>
                              </w:rPr>
                              <w:t>het:</w:t>
                            </w:r>
                          </w:p>
                          <w:p w14:paraId="37712D0E" w14:textId="26BB6AFC" w:rsidR="00636E80" w:rsidRPr="001542D5" w:rsidRDefault="00636E80" w:rsidP="003E10CD">
                            <w:pPr>
                              <w:pStyle w:val="ListParagraph"/>
                              <w:numPr>
                                <w:ilvl w:val="0"/>
                                <w:numId w:val="10"/>
                              </w:numPr>
                              <w:rPr>
                                <w:i/>
                                <w:sz w:val="22"/>
                                <w:lang w:val="sq-AL"/>
                              </w:rPr>
                            </w:pPr>
                            <w:r w:rsidRPr="001542D5">
                              <w:rPr>
                                <w:i/>
                                <w:sz w:val="22"/>
                                <w:lang w:val="sq-AL"/>
                              </w:rPr>
                              <w:t>Rritja e përkrahjes nga niveli qendror për themelimin e ndërmarrjeve publike lokale për menaxhim të mbeturinave</w:t>
                            </w:r>
                          </w:p>
                          <w:p w14:paraId="0BDA53CC" w14:textId="59CF7E59" w:rsidR="00636E80" w:rsidRPr="001542D5" w:rsidRDefault="00636E80" w:rsidP="003E10CD">
                            <w:pPr>
                              <w:pStyle w:val="ListParagraph"/>
                              <w:numPr>
                                <w:ilvl w:val="0"/>
                                <w:numId w:val="10"/>
                              </w:numPr>
                              <w:rPr>
                                <w:i/>
                                <w:sz w:val="22"/>
                                <w:lang w:val="sq-AL"/>
                              </w:rPr>
                            </w:pPr>
                            <w:r w:rsidRPr="001542D5">
                              <w:rPr>
                                <w:i/>
                                <w:sz w:val="22"/>
                                <w:lang w:val="sq-AL"/>
                              </w:rPr>
                              <w:t>Zhvillimi i rrjetit të stacioneve të transferimit, trajtimit dhe deponimit të mbeturinave përmes iniciativave ndër</w:t>
                            </w:r>
                            <w:r>
                              <w:rPr>
                                <w:i/>
                                <w:sz w:val="22"/>
                                <w:lang w:val="sq-AL"/>
                              </w:rPr>
                              <w:t>-</w:t>
                            </w:r>
                            <w:r w:rsidRPr="001542D5">
                              <w:rPr>
                                <w:i/>
                                <w:sz w:val="22"/>
                                <w:lang w:val="sq-AL"/>
                              </w:rPr>
                              <w:t>komunale</w:t>
                            </w:r>
                          </w:p>
                          <w:p w14:paraId="51CD6731" w14:textId="16471894" w:rsidR="00636E80" w:rsidRPr="001542D5" w:rsidRDefault="00636E80" w:rsidP="003E10CD">
                            <w:pPr>
                              <w:pStyle w:val="ListParagraph"/>
                              <w:numPr>
                                <w:ilvl w:val="0"/>
                                <w:numId w:val="10"/>
                              </w:numPr>
                              <w:rPr>
                                <w:i/>
                                <w:sz w:val="22"/>
                                <w:lang w:val="sq-AL"/>
                              </w:rPr>
                            </w:pPr>
                            <w:r w:rsidRPr="001542D5">
                              <w:rPr>
                                <w:i/>
                                <w:sz w:val="22"/>
                                <w:lang w:val="sq-AL"/>
                              </w:rPr>
                              <w:t>Krijimi i qendrave të riciklimit d</w:t>
                            </w:r>
                            <w:r w:rsidRPr="00833C5F">
                              <w:rPr>
                                <w:i/>
                                <w:color w:val="000000" w:themeColor="text1"/>
                                <w:sz w:val="22"/>
                                <w:lang w:val="sq-AL"/>
                              </w:rPr>
                              <w:t xml:space="preserve">he kompozimit të </w:t>
                            </w:r>
                            <w:r w:rsidRPr="001542D5">
                              <w:rPr>
                                <w:i/>
                                <w:sz w:val="22"/>
                                <w:lang w:val="sq-AL"/>
                              </w:rPr>
                              <w:t>mbeturinave</w:t>
                            </w:r>
                          </w:p>
                          <w:p w14:paraId="4FFC917A" w14:textId="604D2382" w:rsidR="00636E80" w:rsidRPr="001542D5" w:rsidRDefault="00636E80" w:rsidP="003E10CD">
                            <w:pPr>
                              <w:pStyle w:val="ListParagraph"/>
                              <w:numPr>
                                <w:ilvl w:val="0"/>
                                <w:numId w:val="10"/>
                              </w:numPr>
                              <w:rPr>
                                <w:i/>
                                <w:sz w:val="22"/>
                                <w:lang w:val="sq-AL"/>
                              </w:rPr>
                            </w:pPr>
                            <w:r w:rsidRPr="001542D5">
                              <w:rPr>
                                <w:i/>
                                <w:sz w:val="22"/>
                                <w:lang w:val="sq-AL"/>
                              </w:rPr>
                              <w:t>Rritja e vetëdijes për dobitë e menaxhimit dhe riciklimit të mbeturinave</w:t>
                            </w:r>
                          </w:p>
                          <w:p w14:paraId="2765C485" w14:textId="13D40448" w:rsidR="00636E80" w:rsidRPr="001542D5" w:rsidRDefault="00636E80" w:rsidP="003E10CD">
                            <w:pPr>
                              <w:pStyle w:val="ListParagraph"/>
                              <w:numPr>
                                <w:ilvl w:val="0"/>
                                <w:numId w:val="10"/>
                              </w:numPr>
                              <w:rPr>
                                <w:i/>
                                <w:sz w:val="22"/>
                                <w:lang w:val="sq-AL"/>
                              </w:rPr>
                            </w:pPr>
                            <w:r w:rsidRPr="001542D5">
                              <w:rPr>
                                <w:i/>
                                <w:sz w:val="22"/>
                                <w:lang w:val="sq-AL"/>
                              </w:rPr>
                              <w:t>Ofrimi i granteve për inovacion që e promovojnë parandalimin, ripërdorimin dhe riciklimin e mbeturinave, me fokus të veçantë në gjetjen e alternativave ndaj ambalazhit dhe produkteve plastike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4C4A" id="Text Box 49" o:spid="_x0000_s1052" type="#_x0000_t202" style="position:absolute;left:0;text-align:left;margin-left:415.35pt;margin-top:-41.65pt;width:466.55pt;height:178.8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" fillcolor="#deebf7" strokecolor="#deebf7" strokeweight="1pt">
                <v:textbox>
                  <w:txbxContent>
                    <w:p w14:paraId="25408669" w14:textId="77777777" w:rsidR="00636E80" w:rsidRPr="001542D5" w:rsidRDefault="00636E80" w:rsidP="003E10CD">
                      <w:pPr>
                        <w:rPr>
                          <w:b/>
                          <w:i/>
                          <w:lang w:val="sq-AL"/>
                        </w:rPr>
                      </w:pPr>
                      <w:r w:rsidRPr="001542D5">
                        <w:rPr>
                          <w:b/>
                          <w:i/>
                          <w:lang w:val="sq-AL"/>
                        </w:rPr>
                        <w:t>T</w:t>
                      </w:r>
                      <w:r w:rsidRPr="001542D5">
                        <w:rPr>
                          <w:b/>
                          <w:lang w:val="sq-AL"/>
                        </w:rPr>
                        <w:t>ë</w:t>
                      </w:r>
                      <w:r w:rsidRPr="001542D5">
                        <w:rPr>
                          <w:b/>
                          <w:i/>
                          <w:lang w:val="sq-AL"/>
                        </w:rPr>
                        <w:t xml:space="preserve"> b</w:t>
                      </w:r>
                      <w:r w:rsidRPr="001542D5">
                        <w:rPr>
                          <w:b/>
                          <w:lang w:val="sq-AL"/>
                        </w:rPr>
                        <w:t>ë</w:t>
                      </w:r>
                      <w:r w:rsidRPr="001542D5">
                        <w:rPr>
                          <w:b/>
                          <w:i/>
                          <w:lang w:val="sq-AL"/>
                        </w:rPr>
                        <w:t>het:</w:t>
                      </w:r>
                    </w:p>
                    <w:p w14:paraId="37712D0E" w14:textId="26BB6AFC" w:rsidR="00636E80" w:rsidRPr="001542D5" w:rsidRDefault="00636E80" w:rsidP="003E10CD">
                      <w:pPr>
                        <w:pStyle w:val="ListParagraph"/>
                        <w:numPr>
                          <w:ilvl w:val="0"/>
                          <w:numId w:val="10"/>
                        </w:numPr>
                        <w:rPr>
                          <w:i/>
                          <w:sz w:val="22"/>
                          <w:lang w:val="sq-AL"/>
                        </w:rPr>
                      </w:pPr>
                      <w:r w:rsidRPr="001542D5">
                        <w:rPr>
                          <w:i/>
                          <w:sz w:val="22"/>
                          <w:lang w:val="sq-AL"/>
                        </w:rPr>
                        <w:t>Rritja e përkrahjes nga niveli qendror për themelimin e ndërmarrjeve publike lokale për menaxhim të mbeturinave</w:t>
                      </w:r>
                    </w:p>
                    <w:p w14:paraId="0BDA53CC" w14:textId="59CF7E59" w:rsidR="00636E80" w:rsidRPr="001542D5" w:rsidRDefault="00636E80" w:rsidP="003E10CD">
                      <w:pPr>
                        <w:pStyle w:val="ListParagraph"/>
                        <w:numPr>
                          <w:ilvl w:val="0"/>
                          <w:numId w:val="10"/>
                        </w:numPr>
                        <w:rPr>
                          <w:i/>
                          <w:sz w:val="22"/>
                          <w:lang w:val="sq-AL"/>
                        </w:rPr>
                      </w:pPr>
                      <w:r w:rsidRPr="001542D5">
                        <w:rPr>
                          <w:i/>
                          <w:sz w:val="22"/>
                          <w:lang w:val="sq-AL"/>
                        </w:rPr>
                        <w:t>Zhvillimi i rrjetit të stacioneve të transferimit, trajtimit dhe deponimit të mbeturinave përmes iniciativave ndër</w:t>
                      </w:r>
                      <w:r>
                        <w:rPr>
                          <w:i/>
                          <w:sz w:val="22"/>
                          <w:lang w:val="sq-AL"/>
                        </w:rPr>
                        <w:t>-</w:t>
                      </w:r>
                      <w:r w:rsidRPr="001542D5">
                        <w:rPr>
                          <w:i/>
                          <w:sz w:val="22"/>
                          <w:lang w:val="sq-AL"/>
                        </w:rPr>
                        <w:t>komunale</w:t>
                      </w:r>
                    </w:p>
                    <w:p w14:paraId="51CD6731" w14:textId="16471894" w:rsidR="00636E80" w:rsidRPr="001542D5" w:rsidRDefault="00636E80" w:rsidP="003E10CD">
                      <w:pPr>
                        <w:pStyle w:val="ListParagraph"/>
                        <w:numPr>
                          <w:ilvl w:val="0"/>
                          <w:numId w:val="10"/>
                        </w:numPr>
                        <w:rPr>
                          <w:i/>
                          <w:sz w:val="22"/>
                          <w:lang w:val="sq-AL"/>
                        </w:rPr>
                      </w:pPr>
                      <w:r w:rsidRPr="001542D5">
                        <w:rPr>
                          <w:i/>
                          <w:sz w:val="22"/>
                          <w:lang w:val="sq-AL"/>
                        </w:rPr>
                        <w:t>Krijimi i qendrave të riciklimit d</w:t>
                      </w:r>
                      <w:r w:rsidRPr="00833C5F">
                        <w:rPr>
                          <w:i/>
                          <w:color w:val="000000" w:themeColor="text1"/>
                          <w:sz w:val="22"/>
                          <w:lang w:val="sq-AL"/>
                        </w:rPr>
                        <w:t xml:space="preserve">he kompozimit të </w:t>
                      </w:r>
                      <w:r w:rsidRPr="001542D5">
                        <w:rPr>
                          <w:i/>
                          <w:sz w:val="22"/>
                          <w:lang w:val="sq-AL"/>
                        </w:rPr>
                        <w:t>mbeturinave</w:t>
                      </w:r>
                    </w:p>
                    <w:p w14:paraId="4FFC917A" w14:textId="604D2382" w:rsidR="00636E80" w:rsidRPr="001542D5" w:rsidRDefault="00636E80" w:rsidP="003E10CD">
                      <w:pPr>
                        <w:pStyle w:val="ListParagraph"/>
                        <w:numPr>
                          <w:ilvl w:val="0"/>
                          <w:numId w:val="10"/>
                        </w:numPr>
                        <w:rPr>
                          <w:i/>
                          <w:sz w:val="22"/>
                          <w:lang w:val="sq-AL"/>
                        </w:rPr>
                      </w:pPr>
                      <w:r w:rsidRPr="001542D5">
                        <w:rPr>
                          <w:i/>
                          <w:sz w:val="22"/>
                          <w:lang w:val="sq-AL"/>
                        </w:rPr>
                        <w:t>Rritja e vetëdijes për dobitë e menaxhimit dhe riciklimit të mbeturinave</w:t>
                      </w:r>
                    </w:p>
                    <w:p w14:paraId="2765C485" w14:textId="13D40448" w:rsidR="00636E80" w:rsidRPr="001542D5" w:rsidRDefault="00636E80" w:rsidP="003E10CD">
                      <w:pPr>
                        <w:pStyle w:val="ListParagraph"/>
                        <w:numPr>
                          <w:ilvl w:val="0"/>
                          <w:numId w:val="10"/>
                        </w:numPr>
                        <w:rPr>
                          <w:i/>
                          <w:sz w:val="22"/>
                          <w:lang w:val="sq-AL"/>
                        </w:rPr>
                      </w:pPr>
                      <w:r w:rsidRPr="001542D5">
                        <w:rPr>
                          <w:i/>
                          <w:sz w:val="22"/>
                          <w:lang w:val="sq-AL"/>
                        </w:rPr>
                        <w:t>Ofrimi i granteve për inovacion që e promovojnë parandalimin, ripërdorimin dhe riciklimin e mbeturinave, me fokus të veçantë në gjetjen e alternativave ndaj ambalazhit dhe produkteve plastike</w:t>
                      </w:r>
                    </w:p>
                  </w:txbxContent>
                </v:textbox>
                <w10:wrap anchorx="margin"/>
              </v:shape>
            </w:pict>
          </mc:Fallback>
        </mc:AlternateContent>
      </w:r>
    </w:p>
    <w:p w14:paraId="1E3DA36E" w14:textId="276B6D51" w:rsidR="001542D5" w:rsidRPr="009E674D" w:rsidRDefault="001542D5" w:rsidP="009E674D">
      <w:pPr>
        <w:jc w:val="both"/>
        <w:rPr>
          <w:lang w:val="sq-AL"/>
        </w:rPr>
      </w:pPr>
    </w:p>
    <w:p w14:paraId="7B7548A8" w14:textId="77777777" w:rsidR="009E674D" w:rsidRDefault="009E674D" w:rsidP="009E674D">
      <w:pPr>
        <w:rPr>
          <w:lang w:val="sq-AL"/>
        </w:rPr>
      </w:pPr>
    </w:p>
    <w:p w14:paraId="5F6CB5B7" w14:textId="77777777" w:rsidR="009E674D" w:rsidRDefault="009E674D" w:rsidP="009E674D">
      <w:pPr>
        <w:rPr>
          <w:lang w:val="sq-AL"/>
        </w:rPr>
      </w:pPr>
    </w:p>
    <w:p w14:paraId="2EC8A78E" w14:textId="77777777" w:rsidR="009E674D" w:rsidRDefault="009E674D" w:rsidP="009E674D">
      <w:pPr>
        <w:rPr>
          <w:lang w:val="sq-AL"/>
        </w:rPr>
      </w:pPr>
    </w:p>
    <w:p w14:paraId="7B4E50A9" w14:textId="77777777" w:rsidR="009E674D" w:rsidRDefault="009E674D" w:rsidP="009E674D">
      <w:pPr>
        <w:rPr>
          <w:lang w:val="sq-AL"/>
        </w:rPr>
      </w:pPr>
    </w:p>
    <w:p w14:paraId="663659AF" w14:textId="21D2F7F3" w:rsidR="009E674D" w:rsidRDefault="009E674D" w:rsidP="009E674D">
      <w:pPr>
        <w:rPr>
          <w:lang w:val="sq-AL"/>
        </w:rPr>
      </w:pPr>
    </w:p>
    <w:p w14:paraId="3DB37B1E" w14:textId="34A983E9" w:rsidR="0037494A" w:rsidRPr="009E674D" w:rsidRDefault="0037494A" w:rsidP="00853056">
      <w:pPr>
        <w:pStyle w:val="Heading3"/>
        <w:rPr>
          <w:rFonts w:eastAsia="Times New Roman"/>
          <w:lang w:val="sq-AL"/>
        </w:rPr>
      </w:pPr>
      <w:bookmarkStart w:id="22" w:name="_Toc132188442"/>
      <w:r w:rsidRPr="009E674D">
        <w:rPr>
          <w:rFonts w:eastAsia="Times New Roman"/>
          <w:lang w:val="sq-AL"/>
        </w:rPr>
        <w:t>Objekt</w:t>
      </w:r>
      <w:r w:rsidR="009E674D" w:rsidRPr="009E674D">
        <w:rPr>
          <w:rFonts w:eastAsia="Times New Roman"/>
          <w:lang w:val="sq-AL"/>
        </w:rPr>
        <w:t>ivi specifik</w:t>
      </w:r>
      <w:r w:rsidRPr="009E674D">
        <w:rPr>
          <w:rFonts w:eastAsia="Times New Roman"/>
          <w:lang w:val="sq-AL"/>
        </w:rPr>
        <w:t xml:space="preserve"> 3.4: Përmirësimi i </w:t>
      </w:r>
      <w:r w:rsidR="001542D5" w:rsidRPr="009E674D">
        <w:rPr>
          <w:rFonts w:eastAsia="Times New Roman"/>
          <w:lang w:val="sq-AL"/>
        </w:rPr>
        <w:t>efiçencës</w:t>
      </w:r>
      <w:r w:rsidRPr="009E674D">
        <w:rPr>
          <w:rFonts w:eastAsia="Times New Roman"/>
          <w:lang w:val="sq-AL"/>
        </w:rPr>
        <w:t xml:space="preserve"> së energjisë në infrastrukturë</w:t>
      </w:r>
      <w:bookmarkEnd w:id="22"/>
    </w:p>
    <w:p w14:paraId="298704AB" w14:textId="51E74A71" w:rsidR="0037494A" w:rsidRPr="009E674D" w:rsidRDefault="0037494A" w:rsidP="0037494A">
      <w:pPr>
        <w:jc w:val="both"/>
        <w:rPr>
          <w:lang w:val="sq-AL"/>
        </w:rPr>
      </w:pPr>
      <w:r w:rsidRPr="009E674D">
        <w:rPr>
          <w:lang w:val="sq-AL"/>
        </w:rPr>
        <w:br/>
      </w:r>
      <w:r w:rsidR="001542D5" w:rsidRPr="009E674D">
        <w:rPr>
          <w:lang w:val="sq-AL"/>
        </w:rPr>
        <w:t>Efiçenca</w:t>
      </w:r>
      <w:r w:rsidRPr="009E674D">
        <w:rPr>
          <w:lang w:val="sq-AL"/>
        </w:rPr>
        <w:t xml:space="preserve"> e energjisë është integrale për infrastrukturën. Përveçse kontribuon në ulje të kostove, </w:t>
      </w:r>
      <w:r w:rsidR="00E636D8" w:rsidRPr="009E674D">
        <w:rPr>
          <w:lang w:val="sq-AL"/>
        </w:rPr>
        <w:t>për ta bërë atë më efiçente</w:t>
      </w:r>
      <w:r w:rsidR="00E636D8">
        <w:rPr>
          <w:lang w:val="sq-AL"/>
        </w:rPr>
        <w:t>,</w:t>
      </w:r>
      <w:r w:rsidR="00E636D8" w:rsidRPr="009E674D">
        <w:rPr>
          <w:lang w:val="sq-AL"/>
        </w:rPr>
        <w:t xml:space="preserve"> </w:t>
      </w:r>
      <w:r w:rsidRPr="009E674D">
        <w:rPr>
          <w:lang w:val="sq-AL"/>
        </w:rPr>
        <w:t>investimi në infras</w:t>
      </w:r>
      <w:r w:rsidR="001542D5" w:rsidRPr="009E674D">
        <w:rPr>
          <w:lang w:val="sq-AL"/>
        </w:rPr>
        <w:t xml:space="preserve">trukturë </w:t>
      </w:r>
      <w:r w:rsidRPr="009E674D">
        <w:rPr>
          <w:lang w:val="sq-AL"/>
        </w:rPr>
        <w:t>ka ndikim të drejtpërdrejt</w:t>
      </w:r>
      <w:r w:rsidR="001542D5" w:rsidRPr="009E674D">
        <w:rPr>
          <w:lang w:val="sq-AL"/>
        </w:rPr>
        <w:t>ë</w:t>
      </w:r>
      <w:r w:rsidRPr="009E674D">
        <w:rPr>
          <w:lang w:val="sq-AL"/>
        </w:rPr>
        <w:t xml:space="preserve"> </w:t>
      </w:r>
      <w:r w:rsidR="00E636D8">
        <w:rPr>
          <w:lang w:val="sq-AL"/>
        </w:rPr>
        <w:t xml:space="preserve">edhe </w:t>
      </w:r>
      <w:r w:rsidRPr="009E674D">
        <w:rPr>
          <w:lang w:val="sq-AL"/>
        </w:rPr>
        <w:t>në mbrojtje të mjedisi</w:t>
      </w:r>
      <w:r w:rsidR="009E674D">
        <w:rPr>
          <w:lang w:val="sq-AL"/>
        </w:rPr>
        <w:t>t. Për ta arritur këtë objektiv</w:t>
      </w:r>
      <w:r w:rsidRPr="009E674D">
        <w:rPr>
          <w:lang w:val="sq-AL"/>
        </w:rPr>
        <w:t xml:space="preserve"> është e nevojshme që të bëhet renovimi i të gjitha ndërtesave nën pronësi dhe menaxhim të komunës, të investohet në teknologji LED për ndriçim të rrugëve dhe të ofrohet përkrahje për sektorin privat </w:t>
      </w:r>
      <w:r w:rsidR="00E636D8">
        <w:rPr>
          <w:lang w:val="sq-AL"/>
        </w:rPr>
        <w:t>për përdorimin e</w:t>
      </w:r>
      <w:r w:rsidRPr="009E674D">
        <w:rPr>
          <w:lang w:val="sq-AL"/>
        </w:rPr>
        <w:t xml:space="preserve"> panele</w:t>
      </w:r>
      <w:r w:rsidR="00E636D8">
        <w:rPr>
          <w:lang w:val="sq-AL"/>
        </w:rPr>
        <w:t>ve</w:t>
      </w:r>
      <w:r w:rsidRPr="009E674D">
        <w:rPr>
          <w:lang w:val="sq-AL"/>
        </w:rPr>
        <w:t xml:space="preserve"> solare në objekte afariste.</w:t>
      </w:r>
    </w:p>
    <w:p w14:paraId="69809F3D" w14:textId="77777777" w:rsidR="009E674D" w:rsidRDefault="009E674D" w:rsidP="009E674D">
      <w:pPr>
        <w:jc w:val="both"/>
        <w:rPr>
          <w:lang w:val="sq-AL"/>
        </w:rPr>
      </w:pPr>
      <w:r w:rsidRPr="009E674D">
        <w:rPr>
          <w:lang w:val="sq-AL"/>
        </w:rPr>
        <w:t>Ky</w:t>
      </w:r>
      <w:r w:rsidR="00EF5611" w:rsidRPr="009E674D">
        <w:rPr>
          <w:lang w:val="sq-AL"/>
        </w:rPr>
        <w:t xml:space="preserve"> o</w:t>
      </w:r>
      <w:r w:rsidRPr="009E674D">
        <w:rPr>
          <w:lang w:val="sq-AL"/>
        </w:rPr>
        <w:t>bjektiv</w:t>
      </w:r>
      <w:r w:rsidR="0037494A" w:rsidRPr="009E674D">
        <w:rPr>
          <w:lang w:val="sq-AL"/>
        </w:rPr>
        <w:t xml:space="preserve"> spe</w:t>
      </w:r>
      <w:r w:rsidRPr="009E674D">
        <w:rPr>
          <w:lang w:val="sq-AL"/>
        </w:rPr>
        <w:t>cifik</w:t>
      </w:r>
      <w:r w:rsidR="001542D5" w:rsidRPr="009E674D">
        <w:rPr>
          <w:lang w:val="sq-AL"/>
        </w:rPr>
        <w:t xml:space="preserve"> lidhet drejtpërdrejt me O</w:t>
      </w:r>
      <w:r w:rsidRPr="009E674D">
        <w:rPr>
          <w:lang w:val="sq-AL"/>
        </w:rPr>
        <w:t xml:space="preserve">bjektivin </w:t>
      </w:r>
      <w:r w:rsidR="0037494A" w:rsidRPr="009E674D">
        <w:rPr>
          <w:lang w:val="sq-AL"/>
        </w:rPr>
        <w:t>3.4 të SKZH-së</w:t>
      </w:r>
      <w:r w:rsidRPr="009E674D">
        <w:rPr>
          <w:lang w:val="sq-AL"/>
        </w:rPr>
        <w:t xml:space="preserve"> dhe PKZH-së,</w:t>
      </w:r>
      <w:r w:rsidR="0037494A" w:rsidRPr="009E674D">
        <w:rPr>
          <w:lang w:val="sq-AL"/>
        </w:rPr>
        <w:t xml:space="preserve"> që synon përmirësimin e </w:t>
      </w:r>
      <w:r w:rsidR="001542D5" w:rsidRPr="009E674D">
        <w:rPr>
          <w:lang w:val="sq-AL"/>
        </w:rPr>
        <w:t>efiçencës</w:t>
      </w:r>
      <w:r w:rsidR="0037494A" w:rsidRPr="009E674D">
        <w:rPr>
          <w:lang w:val="sq-AL"/>
        </w:rPr>
        <w:t xml:space="preserve"> së energjisë. </w:t>
      </w:r>
    </w:p>
    <w:p w14:paraId="4970FD43" w14:textId="1D5BE583" w:rsidR="001542D5" w:rsidRDefault="009E674D" w:rsidP="009E674D">
      <w:pPr>
        <w:jc w:val="both"/>
        <w:rPr>
          <w:lang w:val="sq-AL"/>
        </w:rPr>
      </w:pPr>
      <w:r w:rsidRPr="009E674D">
        <w:rPr>
          <w:noProof/>
        </w:rPr>
        <mc:AlternateContent>
          <mc:Choice Requires="wps">
            <w:drawing>
              <wp:anchor distT="0" distB="0" distL="114300" distR="114300" simplePos="0" relativeHeight="251766784" behindDoc="0" locked="0" layoutInCell="1" allowOverlap="1" wp14:anchorId="52B65424" wp14:editId="71D9C78E">
                <wp:simplePos x="0" y="0"/>
                <wp:positionH relativeFrom="margin">
                  <wp:align>right</wp:align>
                </wp:positionH>
                <wp:positionV relativeFrom="paragraph">
                  <wp:posOffset>125730</wp:posOffset>
                </wp:positionV>
                <wp:extent cx="5925185" cy="1106805"/>
                <wp:effectExtent l="0" t="0" r="18415" b="17145"/>
                <wp:wrapNone/>
                <wp:docPr id="50" name="Text Box 50"/>
                <wp:cNvGraphicFramePr/>
                <a:graphic xmlns:a="http://schemas.openxmlformats.org/drawingml/2006/main">
                  <a:graphicData uri="http://schemas.microsoft.com/office/word/2010/wordprocessingShape">
                    <wps:wsp>
                      <wps:cNvSpPr txBox="1"/>
                      <wps:spPr>
                        <a:xfrm>
                          <a:off x="0" y="0"/>
                          <a:ext cx="5925185" cy="110680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203DBC98" w14:textId="77777777" w:rsidR="00636E80" w:rsidRPr="001542D5" w:rsidRDefault="00636E80" w:rsidP="003E10CD">
                            <w:pPr>
                              <w:rPr>
                                <w:b/>
                                <w:i/>
                                <w:lang w:val="sq-AL"/>
                              </w:rPr>
                            </w:pPr>
                            <w:r w:rsidRPr="001542D5">
                              <w:rPr>
                                <w:b/>
                                <w:i/>
                                <w:lang w:val="sq-AL"/>
                              </w:rPr>
                              <w:t>Të bëhet:</w:t>
                            </w:r>
                          </w:p>
                          <w:p w14:paraId="7B78D29B" w14:textId="53D1B85D" w:rsidR="00636E80" w:rsidRPr="001542D5" w:rsidRDefault="00636E80" w:rsidP="003E10CD">
                            <w:pPr>
                              <w:pStyle w:val="ListParagraph"/>
                              <w:numPr>
                                <w:ilvl w:val="0"/>
                                <w:numId w:val="10"/>
                              </w:numPr>
                              <w:rPr>
                                <w:i/>
                                <w:sz w:val="22"/>
                                <w:szCs w:val="22"/>
                                <w:lang w:val="sq-AL"/>
                              </w:rPr>
                            </w:pPr>
                            <w:r w:rsidRPr="001542D5">
                              <w:rPr>
                                <w:i/>
                                <w:sz w:val="22"/>
                                <w:szCs w:val="22"/>
                                <w:lang w:val="sq-AL"/>
                              </w:rPr>
                              <w:t>Renovimi i ndërtesave publike komunale</w:t>
                            </w:r>
                            <w:r>
                              <w:rPr>
                                <w:i/>
                                <w:sz w:val="22"/>
                                <w:szCs w:val="22"/>
                                <w:lang w:val="sq-AL"/>
                              </w:rPr>
                              <w:t>,</w:t>
                            </w:r>
                            <w:r w:rsidRPr="001542D5">
                              <w:rPr>
                                <w:i/>
                                <w:sz w:val="22"/>
                                <w:szCs w:val="22"/>
                                <w:lang w:val="sq-AL"/>
                              </w:rPr>
                              <w:t xml:space="preserve"> për ta përmirësuar efiçencën e tyre </w:t>
                            </w:r>
                          </w:p>
                          <w:p w14:paraId="653477C5" w14:textId="0BFABA63" w:rsidR="00636E80" w:rsidRPr="001542D5" w:rsidRDefault="00636E80" w:rsidP="003E10CD">
                            <w:pPr>
                              <w:pStyle w:val="ListParagraph"/>
                              <w:numPr>
                                <w:ilvl w:val="0"/>
                                <w:numId w:val="10"/>
                              </w:numPr>
                              <w:rPr>
                                <w:i/>
                                <w:sz w:val="22"/>
                                <w:szCs w:val="22"/>
                                <w:lang w:val="sq-AL"/>
                              </w:rPr>
                            </w:pPr>
                            <w:r w:rsidRPr="001542D5">
                              <w:rPr>
                                <w:i/>
                                <w:sz w:val="22"/>
                                <w:szCs w:val="22"/>
                                <w:lang w:val="sq-AL"/>
                              </w:rPr>
                              <w:t>Rehabilitimi i ndriçimit të rrugëve me teknologji LED</w:t>
                            </w:r>
                          </w:p>
                          <w:p w14:paraId="28E3BD53" w14:textId="70F81690" w:rsidR="00636E80" w:rsidRPr="001542D5" w:rsidRDefault="00636E80" w:rsidP="003E10CD">
                            <w:pPr>
                              <w:pStyle w:val="ListParagraph"/>
                              <w:numPr>
                                <w:ilvl w:val="0"/>
                                <w:numId w:val="10"/>
                              </w:numPr>
                              <w:rPr>
                                <w:i/>
                                <w:sz w:val="22"/>
                                <w:szCs w:val="22"/>
                                <w:lang w:val="sq-AL"/>
                              </w:rPr>
                            </w:pPr>
                            <w:r w:rsidRPr="001542D5">
                              <w:rPr>
                                <w:i/>
                                <w:sz w:val="22"/>
                                <w:szCs w:val="22"/>
                                <w:lang w:val="sq-AL"/>
                              </w:rPr>
                              <w:t>Ofrimi i stimujve për përdorimin e paneleve solare në objekte afariste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65424" id="Text Box 50" o:spid="_x0000_s1053" type="#_x0000_t202" style="position:absolute;left:0;text-align:left;margin-left:415.35pt;margin-top:9.9pt;width:466.55pt;height:87.1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" fillcolor="#deebf7" strokecolor="#deebf7" strokeweight="1pt">
                <v:textbox>
                  <w:txbxContent>
                    <w:p w14:paraId="203DBC98" w14:textId="77777777" w:rsidR="00636E80" w:rsidRPr="001542D5" w:rsidRDefault="00636E80" w:rsidP="003E10CD">
                      <w:pPr>
                        <w:rPr>
                          <w:b/>
                          <w:i/>
                          <w:lang w:val="sq-AL"/>
                        </w:rPr>
                      </w:pPr>
                      <w:r w:rsidRPr="001542D5">
                        <w:rPr>
                          <w:b/>
                          <w:i/>
                          <w:lang w:val="sq-AL"/>
                        </w:rPr>
                        <w:t>Të bëhet:</w:t>
                      </w:r>
                    </w:p>
                    <w:p w14:paraId="7B78D29B" w14:textId="53D1B85D" w:rsidR="00636E80" w:rsidRPr="001542D5" w:rsidRDefault="00636E80" w:rsidP="003E10CD">
                      <w:pPr>
                        <w:pStyle w:val="ListParagraph"/>
                        <w:numPr>
                          <w:ilvl w:val="0"/>
                          <w:numId w:val="10"/>
                        </w:numPr>
                        <w:rPr>
                          <w:i/>
                          <w:sz w:val="22"/>
                          <w:szCs w:val="22"/>
                          <w:lang w:val="sq-AL"/>
                        </w:rPr>
                      </w:pPr>
                      <w:r w:rsidRPr="001542D5">
                        <w:rPr>
                          <w:i/>
                          <w:sz w:val="22"/>
                          <w:szCs w:val="22"/>
                          <w:lang w:val="sq-AL"/>
                        </w:rPr>
                        <w:t>Renovimi i ndërtesave publike komunale</w:t>
                      </w:r>
                      <w:r>
                        <w:rPr>
                          <w:i/>
                          <w:sz w:val="22"/>
                          <w:szCs w:val="22"/>
                          <w:lang w:val="sq-AL"/>
                        </w:rPr>
                        <w:t>,</w:t>
                      </w:r>
                      <w:r w:rsidRPr="001542D5">
                        <w:rPr>
                          <w:i/>
                          <w:sz w:val="22"/>
                          <w:szCs w:val="22"/>
                          <w:lang w:val="sq-AL"/>
                        </w:rPr>
                        <w:t xml:space="preserve"> për ta përmirësuar efiçencën e tyre </w:t>
                      </w:r>
                    </w:p>
                    <w:p w14:paraId="653477C5" w14:textId="0BFABA63" w:rsidR="00636E80" w:rsidRPr="001542D5" w:rsidRDefault="00636E80" w:rsidP="003E10CD">
                      <w:pPr>
                        <w:pStyle w:val="ListParagraph"/>
                        <w:numPr>
                          <w:ilvl w:val="0"/>
                          <w:numId w:val="10"/>
                        </w:numPr>
                        <w:rPr>
                          <w:i/>
                          <w:sz w:val="22"/>
                          <w:szCs w:val="22"/>
                          <w:lang w:val="sq-AL"/>
                        </w:rPr>
                      </w:pPr>
                      <w:r w:rsidRPr="001542D5">
                        <w:rPr>
                          <w:i/>
                          <w:sz w:val="22"/>
                          <w:szCs w:val="22"/>
                          <w:lang w:val="sq-AL"/>
                        </w:rPr>
                        <w:t>Rehabilitimi i ndriçimit të rrugëve me teknologji LED</w:t>
                      </w:r>
                    </w:p>
                    <w:p w14:paraId="28E3BD53" w14:textId="70F81690" w:rsidR="00636E80" w:rsidRPr="001542D5" w:rsidRDefault="00636E80" w:rsidP="003E10CD">
                      <w:pPr>
                        <w:pStyle w:val="ListParagraph"/>
                        <w:numPr>
                          <w:ilvl w:val="0"/>
                          <w:numId w:val="10"/>
                        </w:numPr>
                        <w:rPr>
                          <w:i/>
                          <w:sz w:val="22"/>
                          <w:szCs w:val="22"/>
                          <w:lang w:val="sq-AL"/>
                        </w:rPr>
                      </w:pPr>
                      <w:r w:rsidRPr="001542D5">
                        <w:rPr>
                          <w:i/>
                          <w:sz w:val="22"/>
                          <w:szCs w:val="22"/>
                          <w:lang w:val="sq-AL"/>
                        </w:rPr>
                        <w:t>Ofrimi i stimujve për përdorimin e paneleve solare në objekte afariste</w:t>
                      </w:r>
                    </w:p>
                  </w:txbxContent>
                </v:textbox>
                <w10:wrap anchorx="margin"/>
              </v:shape>
            </w:pict>
          </mc:Fallback>
        </mc:AlternateContent>
      </w:r>
    </w:p>
    <w:p w14:paraId="6AA34320" w14:textId="7388A27D" w:rsidR="009E674D" w:rsidRDefault="009E674D" w:rsidP="009E674D">
      <w:pPr>
        <w:jc w:val="both"/>
        <w:rPr>
          <w:lang w:val="sq-AL"/>
        </w:rPr>
      </w:pPr>
    </w:p>
    <w:p w14:paraId="4EB17DF4" w14:textId="00B1B162" w:rsidR="009E674D" w:rsidRDefault="009E674D" w:rsidP="009E674D">
      <w:pPr>
        <w:jc w:val="both"/>
        <w:rPr>
          <w:lang w:val="sq-AL"/>
        </w:rPr>
      </w:pPr>
    </w:p>
    <w:p w14:paraId="5403E2F1" w14:textId="7E39DCAD" w:rsidR="009E674D" w:rsidRDefault="009E674D" w:rsidP="009E674D">
      <w:pPr>
        <w:rPr>
          <w:lang w:val="sq-AL"/>
        </w:rPr>
      </w:pPr>
    </w:p>
    <w:p w14:paraId="0CD3CDAA" w14:textId="77777777" w:rsidR="009E674D" w:rsidRPr="009E674D" w:rsidRDefault="009E674D" w:rsidP="009E674D">
      <w:pPr>
        <w:rPr>
          <w:lang w:val="sq-AL"/>
        </w:rPr>
      </w:pPr>
    </w:p>
    <w:p w14:paraId="0EB0C145" w14:textId="6A3024E2" w:rsidR="00853056" w:rsidRPr="009E674D" w:rsidRDefault="00853056" w:rsidP="00853056">
      <w:pPr>
        <w:pStyle w:val="Heading2"/>
        <w:rPr>
          <w:rFonts w:eastAsia="Times New Roman"/>
          <w:lang w:val="sq-AL"/>
        </w:rPr>
      </w:pPr>
      <w:bookmarkStart w:id="23" w:name="_Toc132188443"/>
      <w:r w:rsidRPr="009E674D">
        <w:rPr>
          <w:rFonts w:eastAsia="Times New Roman"/>
          <w:lang w:val="sq-AL"/>
        </w:rPr>
        <w:t>O</w:t>
      </w:r>
      <w:r w:rsidR="009E674D" w:rsidRPr="009E674D">
        <w:rPr>
          <w:rFonts w:eastAsia="Times New Roman"/>
          <w:lang w:val="sq-AL"/>
        </w:rPr>
        <w:t>bjektivi</w:t>
      </w:r>
      <w:r w:rsidRPr="009E674D">
        <w:rPr>
          <w:rFonts w:eastAsia="Times New Roman"/>
          <w:lang w:val="sq-AL"/>
        </w:rPr>
        <w:t xml:space="preserve"> 4: Qeverisje ekonomike efektive dhe bashkëpunuese</w:t>
      </w:r>
      <w:bookmarkEnd w:id="23"/>
    </w:p>
    <w:p w14:paraId="2DF323F2" w14:textId="30D09BB2" w:rsidR="00853056" w:rsidRPr="009E674D" w:rsidRDefault="00853056" w:rsidP="00B046BA">
      <w:pPr>
        <w:jc w:val="both"/>
        <w:rPr>
          <w:lang w:val="sq-AL"/>
        </w:rPr>
      </w:pPr>
      <w:r w:rsidRPr="009E674D">
        <w:rPr>
          <w:lang w:val="sq-AL"/>
        </w:rPr>
        <w:br/>
        <w:t>Qeverisja efektive dhe bashk</w:t>
      </w:r>
      <w:r w:rsidR="00B046BA" w:rsidRPr="009E674D">
        <w:rPr>
          <w:lang w:val="sq-AL"/>
        </w:rPr>
        <w:t>ë</w:t>
      </w:r>
      <w:r w:rsidRPr="009E674D">
        <w:rPr>
          <w:lang w:val="sq-AL"/>
        </w:rPr>
        <w:t>punimi jan</w:t>
      </w:r>
      <w:r w:rsidR="00B046BA" w:rsidRPr="009E674D">
        <w:rPr>
          <w:lang w:val="sq-AL"/>
        </w:rPr>
        <w:t>ë</w:t>
      </w:r>
      <w:r w:rsidRPr="009E674D">
        <w:rPr>
          <w:lang w:val="sq-AL"/>
        </w:rPr>
        <w:t xml:space="preserve"> parakushte p</w:t>
      </w:r>
      <w:r w:rsidR="00B046BA" w:rsidRPr="009E674D">
        <w:rPr>
          <w:lang w:val="sq-AL"/>
        </w:rPr>
        <w:t>ë</w:t>
      </w:r>
      <w:r w:rsidRPr="009E674D">
        <w:rPr>
          <w:lang w:val="sq-AL"/>
        </w:rPr>
        <w:t>r zhvillim ekonomik lokal t</w:t>
      </w:r>
      <w:r w:rsidR="00B046BA" w:rsidRPr="009E674D">
        <w:rPr>
          <w:lang w:val="sq-AL"/>
        </w:rPr>
        <w:t>ë</w:t>
      </w:r>
      <w:r w:rsidRPr="009E674D">
        <w:rPr>
          <w:lang w:val="sq-AL"/>
        </w:rPr>
        <w:t xml:space="preserve"> q</w:t>
      </w:r>
      <w:r w:rsidR="00B046BA" w:rsidRPr="009E674D">
        <w:rPr>
          <w:lang w:val="sq-AL"/>
        </w:rPr>
        <w:t>ë</w:t>
      </w:r>
      <w:r w:rsidRPr="009E674D">
        <w:rPr>
          <w:lang w:val="sq-AL"/>
        </w:rPr>
        <w:t>ndruesh</w:t>
      </w:r>
      <w:r w:rsidR="00B046BA" w:rsidRPr="009E674D">
        <w:rPr>
          <w:lang w:val="sq-AL"/>
        </w:rPr>
        <w:t>ë</w:t>
      </w:r>
      <w:r w:rsidRPr="009E674D">
        <w:rPr>
          <w:lang w:val="sq-AL"/>
        </w:rPr>
        <w:t xml:space="preserve">m. </w:t>
      </w:r>
      <w:r w:rsidR="00B046BA" w:rsidRPr="009E674D">
        <w:rPr>
          <w:lang w:val="sq-AL"/>
        </w:rPr>
        <w:t>N</w:t>
      </w:r>
      <w:r w:rsidRPr="009E674D">
        <w:rPr>
          <w:lang w:val="sq-AL"/>
        </w:rPr>
        <w:t>ë</w:t>
      </w:r>
      <w:r w:rsidR="001542D5" w:rsidRPr="009E674D">
        <w:rPr>
          <w:lang w:val="sq-AL"/>
        </w:rPr>
        <w:t xml:space="preserve"> vitet e fundit janë vërejtur </w:t>
      </w:r>
      <w:r w:rsidR="00B046BA" w:rsidRPr="009E674D">
        <w:rPr>
          <w:lang w:val="sq-AL"/>
        </w:rPr>
        <w:t>përmirësim</w:t>
      </w:r>
      <w:r w:rsidR="001542D5" w:rsidRPr="009E674D">
        <w:rPr>
          <w:lang w:val="sq-AL"/>
        </w:rPr>
        <w:t>e</w:t>
      </w:r>
      <w:r w:rsidR="00B046BA" w:rsidRPr="009E674D">
        <w:rPr>
          <w:lang w:val="sq-AL"/>
        </w:rPr>
        <w:t xml:space="preserve"> në parametra të qeverisje</w:t>
      </w:r>
      <w:r w:rsidR="001542D5" w:rsidRPr="009E674D">
        <w:rPr>
          <w:lang w:val="sq-AL"/>
        </w:rPr>
        <w:t>s së mirë. Pavarësisht kësaj, ka</w:t>
      </w:r>
      <w:r w:rsidR="00B046BA" w:rsidRPr="009E674D">
        <w:rPr>
          <w:lang w:val="sq-AL"/>
        </w:rPr>
        <w:t xml:space="preserve"> hapësirë </w:t>
      </w:r>
      <w:r w:rsidR="00E636D8">
        <w:rPr>
          <w:lang w:val="sq-AL"/>
        </w:rPr>
        <w:t>për</w:t>
      </w:r>
      <w:r w:rsidR="00B046BA" w:rsidRPr="009E674D">
        <w:rPr>
          <w:lang w:val="sq-AL"/>
        </w:rPr>
        <w:t xml:space="preserve"> progres të mëtutjeshëm në adresimin e çështjeve që lidhen me financat lokale, resurset planifikuese, shërbimet publike, dhe nivelin e bashkëpunimit. Për të ta</w:t>
      </w:r>
      <w:r w:rsidR="009E674D">
        <w:rPr>
          <w:lang w:val="sq-AL"/>
        </w:rPr>
        <w:t xml:space="preserve"> përmbushur këtë objektiv</w:t>
      </w:r>
      <w:r w:rsidR="00B046BA" w:rsidRPr="009E674D">
        <w:rPr>
          <w:lang w:val="sq-AL"/>
        </w:rPr>
        <w:t xml:space="preserve">, </w:t>
      </w:r>
      <w:r w:rsidR="00312D8F" w:rsidRPr="009E674D">
        <w:rPr>
          <w:lang w:val="sq-AL"/>
        </w:rPr>
        <w:t>PNZHEL</w:t>
      </w:r>
      <w:r w:rsidR="00B046BA" w:rsidRPr="009E674D">
        <w:rPr>
          <w:lang w:val="sq-AL"/>
        </w:rPr>
        <w:t xml:space="preserve"> parasheh qe financat lokale të bëhen të qëndrueshme dhe efektive, të avancohen proceset dhe resurset në planifikimin dhe zhvillimin e politikave lokale, të përmirësohen </w:t>
      </w:r>
      <w:r w:rsidR="00EF5611" w:rsidRPr="009E674D">
        <w:rPr>
          <w:lang w:val="sq-AL"/>
        </w:rPr>
        <w:t xml:space="preserve">shërbimi dhe përgjegjshmëria </w:t>
      </w:r>
      <w:r w:rsidR="007954AF" w:rsidRPr="009E674D">
        <w:rPr>
          <w:lang w:val="sq-AL"/>
        </w:rPr>
        <w:t>lokale</w:t>
      </w:r>
      <w:r w:rsidR="00B046BA" w:rsidRPr="009E674D">
        <w:rPr>
          <w:lang w:val="sq-AL"/>
        </w:rPr>
        <w:t xml:space="preserve"> dhe të rritet </w:t>
      </w:r>
      <w:r w:rsidR="001542D5" w:rsidRPr="009E674D">
        <w:rPr>
          <w:lang w:val="sq-AL"/>
        </w:rPr>
        <w:t>partneriteti për zhvillim ekonomik lokal</w:t>
      </w:r>
      <w:r w:rsidR="00B046BA" w:rsidRPr="009E674D">
        <w:rPr>
          <w:lang w:val="sq-AL"/>
        </w:rPr>
        <w:t xml:space="preserve">.   </w:t>
      </w:r>
    </w:p>
    <w:p w14:paraId="63B6D760" w14:textId="1046C5FF" w:rsidR="00665A18" w:rsidRPr="009E674D" w:rsidRDefault="009E674D" w:rsidP="009E674D">
      <w:pPr>
        <w:jc w:val="both"/>
        <w:rPr>
          <w:lang w:val="sq-AL"/>
        </w:rPr>
      </w:pPr>
      <w:r w:rsidRPr="009E674D">
        <w:rPr>
          <w:lang w:val="sq-AL"/>
        </w:rPr>
        <w:t>Ky objektiv</w:t>
      </w:r>
      <w:r w:rsidR="00665A18" w:rsidRPr="009E674D">
        <w:rPr>
          <w:lang w:val="sq-AL"/>
        </w:rPr>
        <w:t xml:space="preserve"> lidhet</w:t>
      </w:r>
      <w:r w:rsidR="001542D5" w:rsidRPr="009E674D">
        <w:rPr>
          <w:lang w:val="sq-AL"/>
        </w:rPr>
        <w:t xml:space="preserve"> në masë të madhe me Qëllimin X</w:t>
      </w:r>
      <w:r w:rsidRPr="009E674D">
        <w:rPr>
          <w:lang w:val="sq-AL"/>
        </w:rPr>
        <w:t xml:space="preserve"> të SKZH-së dhe PKZH-së, për të krijuar</w:t>
      </w:r>
      <w:r w:rsidR="00665A18" w:rsidRPr="009E674D">
        <w:rPr>
          <w:lang w:val="sq-AL"/>
        </w:rPr>
        <w:t xml:space="preserve"> qeveri efektive dhe llogaridhënëse.</w:t>
      </w:r>
      <w:r w:rsidRPr="009E674D">
        <w:rPr>
          <w:lang w:val="sq-AL"/>
        </w:rPr>
        <w:t xml:space="preserve"> Gjithashtu, ky objektiv lidhet me </w:t>
      </w:r>
      <w:r w:rsidR="001F7FB9" w:rsidRPr="009E674D">
        <w:rPr>
          <w:lang w:val="sq-AL"/>
        </w:rPr>
        <w:t>Strategji</w:t>
      </w:r>
      <w:r w:rsidR="001F7FB9">
        <w:rPr>
          <w:lang w:val="sq-AL"/>
        </w:rPr>
        <w:t>në</w:t>
      </w:r>
      <w:r w:rsidR="001F7FB9" w:rsidRPr="009E674D">
        <w:rPr>
          <w:lang w:val="sq-AL"/>
        </w:rPr>
        <w:t xml:space="preserve"> </w:t>
      </w:r>
      <w:r w:rsidRPr="009E674D">
        <w:rPr>
          <w:lang w:val="sq-AL"/>
        </w:rPr>
        <w:t>për reformën e menaxhimit të financave publike, Strategjinë për re</w:t>
      </w:r>
      <w:r w:rsidR="00F84DDB">
        <w:rPr>
          <w:lang w:val="sq-AL"/>
        </w:rPr>
        <w:t xml:space="preserve">formën e administratës publike </w:t>
      </w:r>
      <w:r w:rsidRPr="009E674D">
        <w:rPr>
          <w:lang w:val="sq-AL"/>
        </w:rPr>
        <w:t>dhe Strategjinë për vetëqeverisje lokale</w:t>
      </w:r>
      <w:r w:rsidR="00F84DDB">
        <w:rPr>
          <w:lang w:val="sq-AL"/>
        </w:rPr>
        <w:t>.</w:t>
      </w:r>
    </w:p>
    <w:p w14:paraId="78715D41" w14:textId="37AF27A6" w:rsidR="00947D08" w:rsidRPr="009E674D" w:rsidRDefault="009E674D" w:rsidP="00947D08">
      <w:pPr>
        <w:pStyle w:val="Heading3"/>
        <w:rPr>
          <w:rFonts w:eastAsia="Times New Roman"/>
          <w:lang w:val="sq-AL"/>
        </w:rPr>
      </w:pPr>
      <w:bookmarkStart w:id="24" w:name="_Toc132188444"/>
      <w:r w:rsidRPr="009E674D">
        <w:rPr>
          <w:rFonts w:eastAsia="Times New Roman"/>
          <w:lang w:val="sq-AL"/>
        </w:rPr>
        <w:lastRenderedPageBreak/>
        <w:t>Objektivi specifik</w:t>
      </w:r>
      <w:r w:rsidR="00947D08" w:rsidRPr="009E674D">
        <w:rPr>
          <w:rFonts w:eastAsia="Times New Roman"/>
          <w:lang w:val="sq-AL"/>
        </w:rPr>
        <w:t xml:space="preserve"> 4.1: Financa </w:t>
      </w:r>
      <w:r w:rsidR="0000526D" w:rsidRPr="009E674D">
        <w:rPr>
          <w:rFonts w:eastAsia="Times New Roman"/>
          <w:lang w:val="sq-AL"/>
        </w:rPr>
        <w:t>të pushtetit lokal të</w:t>
      </w:r>
      <w:r w:rsidR="00947D08" w:rsidRPr="009E674D">
        <w:rPr>
          <w:rFonts w:eastAsia="Times New Roman"/>
          <w:lang w:val="sq-AL"/>
        </w:rPr>
        <w:t xml:space="preserve"> qëndrueshme dhe efektive</w:t>
      </w:r>
      <w:bookmarkEnd w:id="24"/>
    </w:p>
    <w:p w14:paraId="30138F95" w14:textId="49599F83" w:rsidR="001747E7" w:rsidRPr="009E674D" w:rsidRDefault="00947D08" w:rsidP="001747E7">
      <w:pPr>
        <w:jc w:val="both"/>
        <w:rPr>
          <w:rFonts w:ascii="Calibri" w:eastAsia="Times New Roman" w:hAnsi="Calibri" w:cs="Calibri"/>
          <w:iCs/>
          <w:color w:val="000000"/>
          <w:sz w:val="20"/>
          <w:szCs w:val="20"/>
          <w:lang w:val="sq-AL"/>
        </w:rPr>
      </w:pPr>
      <w:r w:rsidRPr="009E674D">
        <w:rPr>
          <w:lang w:val="sq-AL"/>
        </w:rPr>
        <w:br/>
      </w:r>
      <w:r w:rsidR="0000526D" w:rsidRPr="009E674D">
        <w:rPr>
          <w:lang w:val="sq-AL"/>
        </w:rPr>
        <w:t xml:space="preserve">Arritja e </w:t>
      </w:r>
      <w:r w:rsidR="001747E7" w:rsidRPr="009E674D">
        <w:rPr>
          <w:lang w:val="sq-AL"/>
        </w:rPr>
        <w:t>q</w:t>
      </w:r>
      <w:r w:rsidR="001747E7" w:rsidRPr="009E674D">
        <w:rPr>
          <w:rFonts w:eastAsia="Times New Roman"/>
          <w:lang w:val="sq-AL"/>
        </w:rPr>
        <w:t>ë</w:t>
      </w:r>
      <w:r w:rsidR="001747E7" w:rsidRPr="009E674D">
        <w:rPr>
          <w:lang w:val="sq-AL"/>
        </w:rPr>
        <w:t>ndrueshmërisë</w:t>
      </w:r>
      <w:r w:rsidR="0000526D" w:rsidRPr="009E674D">
        <w:rPr>
          <w:rFonts w:eastAsia="Times New Roman"/>
          <w:lang w:val="sq-AL"/>
        </w:rPr>
        <w:t xml:space="preserve"> në financat e pushtetit lokal </w:t>
      </w:r>
      <w:r w:rsidR="001747E7" w:rsidRPr="009E674D">
        <w:rPr>
          <w:rFonts w:eastAsia="Times New Roman"/>
          <w:lang w:val="sq-AL"/>
        </w:rPr>
        <w:t>ë</w:t>
      </w:r>
      <w:r w:rsidR="0000526D" w:rsidRPr="009E674D">
        <w:rPr>
          <w:rFonts w:eastAsia="Times New Roman"/>
          <w:lang w:val="sq-AL"/>
        </w:rPr>
        <w:t>sht</w:t>
      </w:r>
      <w:r w:rsidR="001747E7" w:rsidRPr="009E674D">
        <w:rPr>
          <w:rFonts w:eastAsia="Times New Roman"/>
          <w:lang w:val="sq-AL"/>
        </w:rPr>
        <w:t>ë</w:t>
      </w:r>
      <w:r w:rsidR="0000526D" w:rsidRPr="009E674D">
        <w:rPr>
          <w:rFonts w:eastAsia="Times New Roman"/>
          <w:lang w:val="sq-AL"/>
        </w:rPr>
        <w:t xml:space="preserve"> thelb</w:t>
      </w:r>
      <w:r w:rsidR="001747E7" w:rsidRPr="009E674D">
        <w:rPr>
          <w:rFonts w:eastAsia="Times New Roman"/>
          <w:lang w:val="sq-AL"/>
        </w:rPr>
        <w:t>ë</w:t>
      </w:r>
      <w:r w:rsidR="0000526D" w:rsidRPr="009E674D">
        <w:rPr>
          <w:rFonts w:eastAsia="Times New Roman"/>
          <w:lang w:val="sq-AL"/>
        </w:rPr>
        <w:t>sore p</w:t>
      </w:r>
      <w:r w:rsidR="001747E7" w:rsidRPr="009E674D">
        <w:rPr>
          <w:rFonts w:eastAsia="Times New Roman"/>
          <w:lang w:val="sq-AL"/>
        </w:rPr>
        <w:t>ë</w:t>
      </w:r>
      <w:r w:rsidR="0000526D" w:rsidRPr="009E674D">
        <w:rPr>
          <w:rFonts w:eastAsia="Times New Roman"/>
          <w:lang w:val="sq-AL"/>
        </w:rPr>
        <w:t>r realizimin e masave q</w:t>
      </w:r>
      <w:r w:rsidR="001747E7" w:rsidRPr="009E674D">
        <w:rPr>
          <w:rFonts w:eastAsia="Times New Roman"/>
          <w:lang w:val="sq-AL"/>
        </w:rPr>
        <w:t>ë</w:t>
      </w:r>
      <w:r w:rsidR="0000526D" w:rsidRPr="009E674D">
        <w:rPr>
          <w:rFonts w:eastAsia="Times New Roman"/>
          <w:lang w:val="sq-AL"/>
        </w:rPr>
        <w:t xml:space="preserve"> nevojiten p</w:t>
      </w:r>
      <w:r w:rsidR="001747E7" w:rsidRPr="009E674D">
        <w:rPr>
          <w:rFonts w:eastAsia="Times New Roman"/>
          <w:lang w:val="sq-AL"/>
        </w:rPr>
        <w:t>ë</w:t>
      </w:r>
      <w:r w:rsidR="0000526D" w:rsidRPr="009E674D">
        <w:rPr>
          <w:rFonts w:eastAsia="Times New Roman"/>
          <w:lang w:val="sq-AL"/>
        </w:rPr>
        <w:t>r zhvillim ekonomik lokal</w:t>
      </w:r>
      <w:r w:rsidR="001542D5" w:rsidRPr="009E674D">
        <w:rPr>
          <w:rFonts w:eastAsia="Times New Roman"/>
          <w:lang w:val="sq-AL"/>
        </w:rPr>
        <w:t xml:space="preserve"> dhe për një qeverisje efektive në përgjithësi. </w:t>
      </w:r>
      <w:r w:rsidR="0000526D" w:rsidRPr="009E674D">
        <w:rPr>
          <w:rFonts w:eastAsia="Times New Roman"/>
          <w:lang w:val="sq-AL"/>
        </w:rPr>
        <w:t>P</w:t>
      </w:r>
      <w:r w:rsidR="001747E7" w:rsidRPr="009E674D">
        <w:rPr>
          <w:rFonts w:eastAsia="Times New Roman"/>
          <w:lang w:val="sq-AL"/>
        </w:rPr>
        <w:t>ë</w:t>
      </w:r>
      <w:r w:rsidR="0000526D" w:rsidRPr="009E674D">
        <w:rPr>
          <w:rFonts w:eastAsia="Times New Roman"/>
          <w:lang w:val="sq-AL"/>
        </w:rPr>
        <w:t>r t</w:t>
      </w:r>
      <w:r w:rsidR="001747E7" w:rsidRPr="009E674D">
        <w:rPr>
          <w:rFonts w:eastAsia="Times New Roman"/>
          <w:lang w:val="sq-AL"/>
        </w:rPr>
        <w:t>ë</w:t>
      </w:r>
      <w:r w:rsidR="0000526D" w:rsidRPr="009E674D">
        <w:rPr>
          <w:rFonts w:eastAsia="Times New Roman"/>
          <w:lang w:val="sq-AL"/>
        </w:rPr>
        <w:t xml:space="preserve"> arritur k</w:t>
      </w:r>
      <w:r w:rsidR="001747E7" w:rsidRPr="009E674D">
        <w:rPr>
          <w:rFonts w:eastAsia="Times New Roman"/>
          <w:lang w:val="sq-AL"/>
        </w:rPr>
        <w:t>ë</w:t>
      </w:r>
      <w:r w:rsidR="0000526D" w:rsidRPr="009E674D">
        <w:rPr>
          <w:rFonts w:eastAsia="Times New Roman"/>
          <w:lang w:val="sq-AL"/>
        </w:rPr>
        <w:t>t</w:t>
      </w:r>
      <w:r w:rsidR="001747E7" w:rsidRPr="009E674D">
        <w:rPr>
          <w:rFonts w:eastAsia="Times New Roman"/>
          <w:lang w:val="sq-AL"/>
        </w:rPr>
        <w:t>ë</w:t>
      </w:r>
      <w:r w:rsidR="0000526D" w:rsidRPr="009E674D">
        <w:rPr>
          <w:rFonts w:eastAsia="Times New Roman"/>
          <w:lang w:val="sq-AL"/>
        </w:rPr>
        <w:t xml:space="preserve"> objektiv </w:t>
      </w:r>
      <w:r w:rsidR="009E674D">
        <w:rPr>
          <w:rFonts w:eastAsia="Times New Roman"/>
          <w:lang w:val="sq-AL"/>
        </w:rPr>
        <w:t>specifik</w:t>
      </w:r>
      <w:r w:rsidR="0000526D" w:rsidRPr="009E674D">
        <w:rPr>
          <w:rFonts w:eastAsia="Times New Roman"/>
          <w:lang w:val="sq-AL"/>
        </w:rPr>
        <w:t xml:space="preserve">, fillimisht </w:t>
      </w:r>
      <w:r w:rsidR="00FB1180" w:rsidRPr="009E674D">
        <w:rPr>
          <w:rFonts w:eastAsia="Times New Roman"/>
          <w:lang w:val="sq-AL"/>
        </w:rPr>
        <w:t xml:space="preserve">do </w:t>
      </w:r>
      <w:r w:rsidR="0000526D" w:rsidRPr="009E674D">
        <w:rPr>
          <w:lang w:val="sq-AL"/>
        </w:rPr>
        <w:t>t</w:t>
      </w:r>
      <w:r w:rsidR="001747E7" w:rsidRPr="009E674D">
        <w:rPr>
          <w:lang w:val="sq-AL"/>
        </w:rPr>
        <w:t>ë</w:t>
      </w:r>
      <w:r w:rsidR="0000526D" w:rsidRPr="009E674D">
        <w:rPr>
          <w:lang w:val="sq-AL"/>
        </w:rPr>
        <w:t xml:space="preserve"> rishikohen kushtet dhe kriteret për të përcaktuar</w:t>
      </w:r>
      <w:r w:rsidR="00FB1180" w:rsidRPr="009E674D">
        <w:rPr>
          <w:lang w:val="sq-AL"/>
        </w:rPr>
        <w:t xml:space="preserve"> banorët rezidentë në komun</w:t>
      </w:r>
      <w:r w:rsidR="00FB1180" w:rsidRPr="009E674D">
        <w:rPr>
          <w:rFonts w:eastAsia="Times New Roman"/>
          <w:lang w:val="sq-AL"/>
        </w:rPr>
        <w:t>ë që</w:t>
      </w:r>
      <w:r w:rsidR="0000526D" w:rsidRPr="009E674D">
        <w:rPr>
          <w:lang w:val="sq-AL"/>
        </w:rPr>
        <w:t xml:space="preserve"> të</w:t>
      </w:r>
      <w:r w:rsidR="00FB1180" w:rsidRPr="009E674D">
        <w:rPr>
          <w:lang w:val="sq-AL"/>
        </w:rPr>
        <w:t xml:space="preserve"> ket</w:t>
      </w:r>
      <w:r w:rsidR="00FB1180" w:rsidRPr="009E674D">
        <w:rPr>
          <w:rFonts w:eastAsia="Times New Roman"/>
          <w:lang w:val="sq-AL"/>
        </w:rPr>
        <w:t>ë</w:t>
      </w:r>
      <w:r w:rsidR="00FB1180" w:rsidRPr="009E674D">
        <w:rPr>
          <w:lang w:val="sq-AL"/>
        </w:rPr>
        <w:t xml:space="preserve"> ndarje</w:t>
      </w:r>
      <w:r w:rsidR="0000526D" w:rsidRPr="009E674D">
        <w:rPr>
          <w:lang w:val="sq-AL"/>
        </w:rPr>
        <w:t xml:space="preserve"> më</w:t>
      </w:r>
      <w:r w:rsidR="00FB1180" w:rsidRPr="009E674D">
        <w:rPr>
          <w:lang w:val="sq-AL"/>
        </w:rPr>
        <w:t xml:space="preserve"> t</w:t>
      </w:r>
      <w:r w:rsidR="00FB1180" w:rsidRPr="009E674D">
        <w:rPr>
          <w:rFonts w:eastAsia="Times New Roman"/>
          <w:lang w:val="sq-AL"/>
        </w:rPr>
        <w:t>ë</w:t>
      </w:r>
      <w:r w:rsidR="0000526D" w:rsidRPr="009E674D">
        <w:rPr>
          <w:lang w:val="sq-AL"/>
        </w:rPr>
        <w:t xml:space="preserve"> mirë</w:t>
      </w:r>
      <w:r w:rsidR="00FB1180" w:rsidRPr="009E674D">
        <w:rPr>
          <w:lang w:val="sq-AL"/>
        </w:rPr>
        <w:t xml:space="preserve"> t</w:t>
      </w:r>
      <w:r w:rsidR="00FB1180" w:rsidRPr="009E674D">
        <w:rPr>
          <w:rFonts w:eastAsia="Times New Roman"/>
          <w:lang w:val="sq-AL"/>
        </w:rPr>
        <w:t>ë</w:t>
      </w:r>
      <w:r w:rsidR="00FB1180" w:rsidRPr="009E674D">
        <w:rPr>
          <w:lang w:val="sq-AL"/>
        </w:rPr>
        <w:t xml:space="preserve"> fondeve</w:t>
      </w:r>
      <w:r w:rsidR="0000526D" w:rsidRPr="009E674D">
        <w:rPr>
          <w:lang w:val="sq-AL"/>
        </w:rPr>
        <w:t xml:space="preserve"> qeveritare. Nj</w:t>
      </w:r>
      <w:r w:rsidR="001747E7" w:rsidRPr="009E674D">
        <w:rPr>
          <w:lang w:val="sq-AL"/>
        </w:rPr>
        <w:t>ë</w:t>
      </w:r>
      <w:r w:rsidR="0000526D" w:rsidRPr="009E674D">
        <w:rPr>
          <w:lang w:val="sq-AL"/>
        </w:rPr>
        <w:t>koh</w:t>
      </w:r>
      <w:r w:rsidR="001747E7" w:rsidRPr="009E674D">
        <w:rPr>
          <w:lang w:val="sq-AL"/>
        </w:rPr>
        <w:t>ë</w:t>
      </w:r>
      <w:r w:rsidR="0000526D" w:rsidRPr="009E674D">
        <w:rPr>
          <w:lang w:val="sq-AL"/>
        </w:rPr>
        <w:t>sisht,</w:t>
      </w:r>
      <w:r w:rsidR="00FB1180" w:rsidRPr="009E674D">
        <w:rPr>
          <w:lang w:val="sq-AL"/>
        </w:rPr>
        <w:t xml:space="preserve"> do t</w:t>
      </w:r>
      <w:r w:rsidR="00FB1180" w:rsidRPr="009E674D">
        <w:rPr>
          <w:rFonts w:eastAsia="Times New Roman"/>
          <w:lang w:val="sq-AL"/>
        </w:rPr>
        <w:t>ë</w:t>
      </w:r>
      <w:r w:rsidR="0000526D" w:rsidRPr="009E674D">
        <w:rPr>
          <w:lang w:val="sq-AL"/>
        </w:rPr>
        <w:t xml:space="preserve"> rishikohen politikat buxhetore për grantet specifike bazuar në kompetenca</w:t>
      </w:r>
      <w:r w:rsidR="00FB1180" w:rsidRPr="009E674D">
        <w:rPr>
          <w:lang w:val="sq-AL"/>
        </w:rPr>
        <w:t>,</w:t>
      </w:r>
      <w:r w:rsidR="0000526D" w:rsidRPr="009E674D">
        <w:rPr>
          <w:lang w:val="sq-AL"/>
        </w:rPr>
        <w:t xml:space="preserve"> q</w:t>
      </w:r>
      <w:r w:rsidR="001747E7" w:rsidRPr="009E674D">
        <w:rPr>
          <w:lang w:val="sq-AL"/>
        </w:rPr>
        <w:t>ë</w:t>
      </w:r>
      <w:r w:rsidR="0000526D" w:rsidRPr="009E674D">
        <w:rPr>
          <w:lang w:val="sq-AL"/>
        </w:rPr>
        <w:t xml:space="preserve"> t</w:t>
      </w:r>
      <w:r w:rsidR="001747E7" w:rsidRPr="009E674D">
        <w:rPr>
          <w:lang w:val="sq-AL"/>
        </w:rPr>
        <w:t>ë</w:t>
      </w:r>
      <w:r w:rsidR="0000526D" w:rsidRPr="009E674D">
        <w:rPr>
          <w:lang w:val="sq-AL"/>
        </w:rPr>
        <w:t xml:space="preserve"> ket</w:t>
      </w:r>
      <w:r w:rsidR="001747E7" w:rsidRPr="009E674D">
        <w:rPr>
          <w:lang w:val="sq-AL"/>
        </w:rPr>
        <w:t>ë</w:t>
      </w:r>
      <w:r w:rsidR="0000526D" w:rsidRPr="009E674D">
        <w:rPr>
          <w:lang w:val="sq-AL"/>
        </w:rPr>
        <w:t xml:space="preserve"> menaxhim m</w:t>
      </w:r>
      <w:r w:rsidR="001747E7" w:rsidRPr="009E674D">
        <w:rPr>
          <w:lang w:val="sq-AL"/>
        </w:rPr>
        <w:t>ë</w:t>
      </w:r>
      <w:r w:rsidR="0000526D" w:rsidRPr="009E674D">
        <w:rPr>
          <w:lang w:val="sq-AL"/>
        </w:rPr>
        <w:t xml:space="preserve"> t</w:t>
      </w:r>
      <w:r w:rsidR="001747E7" w:rsidRPr="009E674D">
        <w:rPr>
          <w:lang w:val="sq-AL"/>
        </w:rPr>
        <w:t>ë</w:t>
      </w:r>
      <w:r w:rsidR="0000526D" w:rsidRPr="009E674D">
        <w:rPr>
          <w:lang w:val="sq-AL"/>
        </w:rPr>
        <w:t xml:space="preserve"> mir</w:t>
      </w:r>
      <w:r w:rsidR="001747E7" w:rsidRPr="009E674D">
        <w:rPr>
          <w:lang w:val="sq-AL"/>
        </w:rPr>
        <w:t>ë</w:t>
      </w:r>
      <w:r w:rsidR="0000526D" w:rsidRPr="009E674D">
        <w:rPr>
          <w:lang w:val="sq-AL"/>
        </w:rPr>
        <w:t xml:space="preserve"> t</w:t>
      </w:r>
      <w:r w:rsidR="001747E7" w:rsidRPr="009E674D">
        <w:rPr>
          <w:lang w:val="sq-AL"/>
        </w:rPr>
        <w:t>ë</w:t>
      </w:r>
      <w:r w:rsidR="0000526D" w:rsidRPr="009E674D">
        <w:rPr>
          <w:lang w:val="sq-AL"/>
        </w:rPr>
        <w:t xml:space="preserve"> financave. P</w:t>
      </w:r>
      <w:r w:rsidR="001747E7" w:rsidRPr="009E674D">
        <w:rPr>
          <w:lang w:val="sq-AL"/>
        </w:rPr>
        <w:t>ë</w:t>
      </w:r>
      <w:r w:rsidR="0000526D" w:rsidRPr="009E674D">
        <w:rPr>
          <w:lang w:val="sq-AL"/>
        </w:rPr>
        <w:t>r t</w:t>
      </w:r>
      <w:r w:rsidR="001747E7" w:rsidRPr="009E674D">
        <w:rPr>
          <w:lang w:val="sq-AL"/>
        </w:rPr>
        <w:t>ë</w:t>
      </w:r>
      <w:r w:rsidR="0000526D" w:rsidRPr="009E674D">
        <w:rPr>
          <w:lang w:val="sq-AL"/>
        </w:rPr>
        <w:t xml:space="preserve"> rritur gamën e të hyrave vetanake, </w:t>
      </w:r>
      <w:r w:rsidR="001F7FB9" w:rsidRPr="009E674D">
        <w:rPr>
          <w:lang w:val="sq-AL"/>
        </w:rPr>
        <w:t>duhe</w:t>
      </w:r>
      <w:r w:rsidR="001F7FB9">
        <w:rPr>
          <w:lang w:val="sq-AL"/>
        </w:rPr>
        <w:t>n</w:t>
      </w:r>
      <w:r w:rsidR="001F7FB9" w:rsidRPr="009E674D">
        <w:rPr>
          <w:lang w:val="sq-AL"/>
        </w:rPr>
        <w:t xml:space="preserve"> </w:t>
      </w:r>
      <w:r w:rsidR="0000526D" w:rsidRPr="009E674D">
        <w:rPr>
          <w:lang w:val="sq-AL"/>
        </w:rPr>
        <w:t>parapar</w:t>
      </w:r>
      <w:r w:rsidR="001747E7" w:rsidRPr="009E674D">
        <w:rPr>
          <w:lang w:val="sq-AL"/>
        </w:rPr>
        <w:t>ë</w:t>
      </w:r>
      <w:r w:rsidR="0000526D" w:rsidRPr="009E674D">
        <w:rPr>
          <w:lang w:val="sq-AL"/>
        </w:rPr>
        <w:t xml:space="preserve"> tarifa apo </w:t>
      </w:r>
      <w:r w:rsidR="001747E7" w:rsidRPr="009E674D">
        <w:rPr>
          <w:lang w:val="sq-AL"/>
        </w:rPr>
        <w:t>taksa</w:t>
      </w:r>
      <w:r w:rsidR="0000526D" w:rsidRPr="009E674D">
        <w:rPr>
          <w:lang w:val="sq-AL"/>
        </w:rPr>
        <w:t xml:space="preserve"> shesë, si p</w:t>
      </w:r>
      <w:r w:rsidR="001747E7" w:rsidRPr="009E674D">
        <w:rPr>
          <w:lang w:val="sq-AL"/>
        </w:rPr>
        <w:t>ë</w:t>
      </w:r>
      <w:r w:rsidR="0000526D" w:rsidRPr="009E674D">
        <w:rPr>
          <w:lang w:val="sq-AL"/>
        </w:rPr>
        <w:t>r shembull</w:t>
      </w:r>
      <w:r w:rsidR="001747E7" w:rsidRPr="009E674D">
        <w:rPr>
          <w:lang w:val="sq-AL"/>
        </w:rPr>
        <w:t xml:space="preserve"> për mbrojtje të mjedisit, për shit-blerje të</w:t>
      </w:r>
      <w:r w:rsidR="00FB1180" w:rsidRPr="009E674D">
        <w:rPr>
          <w:lang w:val="sq-AL"/>
        </w:rPr>
        <w:t xml:space="preserve"> patundshmërive apo për raste të</w:t>
      </w:r>
      <w:r w:rsidR="0000526D" w:rsidRPr="009E674D">
        <w:rPr>
          <w:lang w:val="sq-AL"/>
        </w:rPr>
        <w:t xml:space="preserve"> trashëgimisë</w:t>
      </w:r>
      <w:r w:rsidR="001747E7" w:rsidRPr="009E674D">
        <w:rPr>
          <w:lang w:val="sq-AL"/>
        </w:rPr>
        <w:t xml:space="preserve">. Paralel </w:t>
      </w:r>
      <w:r w:rsidR="00FB1180" w:rsidRPr="009E674D">
        <w:rPr>
          <w:lang w:val="sq-AL"/>
        </w:rPr>
        <w:t>më këtë, do</w:t>
      </w:r>
      <w:r w:rsidR="001747E7" w:rsidRPr="009E674D">
        <w:rPr>
          <w:lang w:val="sq-AL"/>
        </w:rPr>
        <w:t xml:space="preserve"> të krijohen mekanizma për grumbullim më të mirë dhe efektiv të llogarive të arkëtueshme, duke zvogëluar kështu borxhet ndaj komunave. Përveç kësaj, duhet të organizohen fushata vetëdijësuese për rr</w:t>
      </w:r>
      <w:r w:rsidR="00FB1180" w:rsidRPr="009E674D">
        <w:rPr>
          <w:lang w:val="sq-AL"/>
        </w:rPr>
        <w:t>itjen e shkalles së inkasimit te</w:t>
      </w:r>
      <w:r w:rsidR="001747E7" w:rsidRPr="009E674D">
        <w:rPr>
          <w:lang w:val="sq-AL"/>
        </w:rPr>
        <w:t xml:space="preserve"> të hyrave vetanake, duke shpjeguar në mënyrë </w:t>
      </w:r>
      <w:r w:rsidR="00FB1180" w:rsidRPr="009E674D">
        <w:rPr>
          <w:lang w:val="sq-AL"/>
        </w:rPr>
        <w:t>vizuale</w:t>
      </w:r>
      <w:r w:rsidR="001747E7" w:rsidRPr="009E674D">
        <w:rPr>
          <w:lang w:val="sq-AL"/>
        </w:rPr>
        <w:t xml:space="preserve"> lidhjen </w:t>
      </w:r>
      <w:r w:rsidR="001F7FB9">
        <w:rPr>
          <w:lang w:val="sq-AL"/>
        </w:rPr>
        <w:t>midis</w:t>
      </w:r>
      <w:r w:rsidR="001F7FB9" w:rsidRPr="009E674D">
        <w:rPr>
          <w:lang w:val="sq-AL"/>
        </w:rPr>
        <w:t xml:space="preserve"> </w:t>
      </w:r>
      <w:r w:rsidR="001747E7" w:rsidRPr="009E674D">
        <w:rPr>
          <w:lang w:val="sq-AL"/>
        </w:rPr>
        <w:t>inkasimit dhe ndikimit në zhvillim ekonomik lokal. Krijimi</w:t>
      </w:r>
      <w:r w:rsidR="00FB1180" w:rsidRPr="009E674D">
        <w:rPr>
          <w:lang w:val="sq-AL"/>
        </w:rPr>
        <w:t xml:space="preserve"> i</w:t>
      </w:r>
      <w:r w:rsidR="001747E7" w:rsidRPr="009E674D">
        <w:rPr>
          <w:lang w:val="sq-AL"/>
        </w:rPr>
        <w:t xml:space="preserve"> kushteve ligjore për të lehtësuar huamarrjen e komunave është gjithashtu aspekt shumë i rëndësishëm në këtë drejtim. </w:t>
      </w:r>
      <w:r w:rsidR="00743CAB" w:rsidRPr="009E674D">
        <w:rPr>
          <w:lang w:val="sq-AL"/>
        </w:rPr>
        <w:t xml:space="preserve">Numri i zyrtarëve të prokurimit publik parashihet të rritet për shpenzim më efektiv të buxhetit. </w:t>
      </w:r>
      <w:r w:rsidR="00FB1180" w:rsidRPr="009E674D">
        <w:rPr>
          <w:lang w:val="sq-AL"/>
        </w:rPr>
        <w:t>Te buxheti për investime kapitale,</w:t>
      </w:r>
      <w:r w:rsidR="00FB1180" w:rsidRPr="009A0159">
        <w:rPr>
          <w:lang w:val="sq-AL"/>
        </w:rPr>
        <w:t xml:space="preserve"> </w:t>
      </w:r>
      <w:r w:rsidR="001F7FB9" w:rsidRPr="009A0159">
        <w:rPr>
          <w:lang w:val="sq-AL"/>
        </w:rPr>
        <w:t>është i nevojshëm planifikimi më i mirë i mirëmbajtjes nga komunat.</w:t>
      </w:r>
    </w:p>
    <w:p w14:paraId="79782277" w14:textId="3925F594" w:rsidR="00743CAB" w:rsidRPr="009E674D" w:rsidRDefault="009E674D" w:rsidP="001747E7">
      <w:pPr>
        <w:jc w:val="both"/>
        <w:rPr>
          <w:rFonts w:eastAsia="Times New Roman"/>
          <w:lang w:val="sq-AL"/>
        </w:rPr>
      </w:pPr>
      <w:r w:rsidRPr="009E674D">
        <w:rPr>
          <w:rFonts w:eastAsia="Times New Roman"/>
          <w:lang w:val="sq-AL"/>
        </w:rPr>
        <w:t xml:space="preserve">Ky </w:t>
      </w:r>
      <w:r w:rsidR="00EF5611" w:rsidRPr="009E674D">
        <w:rPr>
          <w:rFonts w:eastAsia="Times New Roman"/>
          <w:lang w:val="sq-AL"/>
        </w:rPr>
        <w:t>o</w:t>
      </w:r>
      <w:r w:rsidRPr="009E674D">
        <w:rPr>
          <w:rFonts w:eastAsia="Times New Roman"/>
          <w:lang w:val="sq-AL"/>
        </w:rPr>
        <w:t>bjektiv specifik</w:t>
      </w:r>
      <w:r w:rsidR="00FB1180" w:rsidRPr="009E674D">
        <w:rPr>
          <w:rFonts w:eastAsia="Times New Roman"/>
          <w:lang w:val="sq-AL"/>
        </w:rPr>
        <w:t xml:space="preserve"> lidhet O</w:t>
      </w:r>
      <w:r w:rsidRPr="009E674D">
        <w:rPr>
          <w:rFonts w:eastAsia="Times New Roman"/>
          <w:lang w:val="sq-AL"/>
        </w:rPr>
        <w:t>bjektivin</w:t>
      </w:r>
      <w:r w:rsidR="00743CAB" w:rsidRPr="009E674D">
        <w:rPr>
          <w:rFonts w:eastAsia="Times New Roman"/>
          <w:lang w:val="sq-AL"/>
        </w:rPr>
        <w:t xml:space="preserve"> 10.5 të SKZH-së</w:t>
      </w:r>
      <w:r w:rsidRPr="009E674D">
        <w:rPr>
          <w:rFonts w:eastAsia="Times New Roman"/>
          <w:lang w:val="sq-AL"/>
        </w:rPr>
        <w:t xml:space="preserve"> dhe PKZH-s</w:t>
      </w:r>
      <w:r w:rsidRPr="009E674D">
        <w:rPr>
          <w:lang w:val="sq-AL"/>
        </w:rPr>
        <w:t>ë</w:t>
      </w:r>
      <w:r w:rsidR="00743CAB" w:rsidRPr="009E674D">
        <w:rPr>
          <w:rFonts w:eastAsia="Times New Roman"/>
          <w:lang w:val="sq-AL"/>
        </w:rPr>
        <w:t xml:space="preserve">, që ka për qëllim që të krijojë financa publike të qëndrueshme dhe efektive dhe tërthorazi e </w:t>
      </w:r>
      <w:r w:rsidR="00AA7817" w:rsidRPr="009E674D">
        <w:rPr>
          <w:rFonts w:eastAsia="Times New Roman"/>
          <w:lang w:val="sq-AL"/>
        </w:rPr>
        <w:t>përmbush</w:t>
      </w:r>
      <w:r w:rsidR="00743CAB" w:rsidRPr="009E674D">
        <w:rPr>
          <w:rFonts w:eastAsia="Times New Roman"/>
          <w:lang w:val="sq-AL"/>
        </w:rPr>
        <w:t xml:space="preserve"> SDG 16, që mes tjerash synon të krijojë institucione të forta. </w:t>
      </w:r>
    </w:p>
    <w:p w14:paraId="10CF192F" w14:textId="77777777" w:rsidR="003E10CD" w:rsidRPr="009E674D" w:rsidRDefault="003E10CD" w:rsidP="001747E7">
      <w:pPr>
        <w:jc w:val="both"/>
        <w:rPr>
          <w:rFonts w:eastAsia="Times New Roman"/>
          <w:lang w:val="sq-AL"/>
        </w:rPr>
      </w:pPr>
      <w:r w:rsidRPr="009E674D">
        <w:rPr>
          <w:noProof/>
        </w:rPr>
        <mc:AlternateContent>
          <mc:Choice Requires="wps">
            <w:drawing>
              <wp:anchor distT="0" distB="0" distL="114300" distR="114300" simplePos="0" relativeHeight="251768832" behindDoc="0" locked="0" layoutInCell="1" allowOverlap="1" wp14:anchorId="628EDC3E" wp14:editId="1DA42D96">
                <wp:simplePos x="0" y="0"/>
                <wp:positionH relativeFrom="margin">
                  <wp:align>right</wp:align>
                </wp:positionH>
                <wp:positionV relativeFrom="paragraph">
                  <wp:posOffset>11966</wp:posOffset>
                </wp:positionV>
                <wp:extent cx="5925185" cy="2543175"/>
                <wp:effectExtent l="0" t="0" r="18415" b="28575"/>
                <wp:wrapNone/>
                <wp:docPr id="55" name="Text Box 55"/>
                <wp:cNvGraphicFramePr/>
                <a:graphic xmlns:a="http://schemas.openxmlformats.org/drawingml/2006/main">
                  <a:graphicData uri="http://schemas.microsoft.com/office/word/2010/wordprocessingShape">
                    <wps:wsp>
                      <wps:cNvSpPr txBox="1"/>
                      <wps:spPr>
                        <a:xfrm>
                          <a:off x="0" y="0"/>
                          <a:ext cx="5925185" cy="254317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714C5194" w14:textId="77777777" w:rsidR="00636E80" w:rsidRPr="00E702DA" w:rsidRDefault="00636E80" w:rsidP="003E10CD">
                            <w:pPr>
                              <w:rPr>
                                <w:b/>
                                <w:i/>
                                <w:lang w:val="sq-AL"/>
                              </w:rPr>
                            </w:pPr>
                            <w:r w:rsidRPr="00E702DA">
                              <w:rPr>
                                <w:b/>
                                <w:i/>
                                <w:lang w:val="sq-AL"/>
                              </w:rPr>
                              <w:t>Të bëhet:</w:t>
                            </w:r>
                          </w:p>
                          <w:p w14:paraId="17E27E20" w14:textId="63987199" w:rsidR="00636E80" w:rsidRPr="00E702DA" w:rsidRDefault="00636E80" w:rsidP="003E10CD">
                            <w:pPr>
                              <w:pStyle w:val="ListParagraph"/>
                              <w:numPr>
                                <w:ilvl w:val="0"/>
                                <w:numId w:val="10"/>
                              </w:numPr>
                              <w:rPr>
                                <w:i/>
                                <w:sz w:val="22"/>
                                <w:szCs w:val="22"/>
                                <w:lang w:val="sq-AL"/>
                              </w:rPr>
                            </w:pPr>
                            <w:r w:rsidRPr="00E702DA">
                              <w:rPr>
                                <w:i/>
                                <w:sz w:val="22"/>
                                <w:szCs w:val="22"/>
                                <w:lang w:val="sq-AL"/>
                              </w:rPr>
                              <w:t>Rishikimi i kushteve dhe kritereve për të përcaktuar banorët rezidentë në komune për të ndarë më mirë fondet qeveritare</w:t>
                            </w:r>
                          </w:p>
                          <w:p w14:paraId="670D3FB4" w14:textId="6A4AD9E3" w:rsidR="00636E80" w:rsidRPr="00E702DA" w:rsidRDefault="00636E80" w:rsidP="00FB1180">
                            <w:pPr>
                              <w:pStyle w:val="ListParagraph"/>
                              <w:numPr>
                                <w:ilvl w:val="0"/>
                                <w:numId w:val="10"/>
                              </w:numPr>
                              <w:rPr>
                                <w:i/>
                                <w:sz w:val="22"/>
                                <w:szCs w:val="22"/>
                                <w:lang w:val="sq-AL"/>
                              </w:rPr>
                            </w:pPr>
                            <w:r w:rsidRPr="00E702DA">
                              <w:rPr>
                                <w:i/>
                                <w:sz w:val="22"/>
                                <w:szCs w:val="22"/>
                                <w:lang w:val="sq-AL"/>
                              </w:rPr>
                              <w:t>Rishikimi i politikave buxhetore për grantet specifike bazuar në kompetenca</w:t>
                            </w:r>
                          </w:p>
                          <w:p w14:paraId="0251D16F" w14:textId="5495DB77" w:rsidR="00636E80" w:rsidRPr="00E702DA" w:rsidRDefault="00636E80" w:rsidP="00FB1180">
                            <w:pPr>
                              <w:pStyle w:val="ListParagraph"/>
                              <w:numPr>
                                <w:ilvl w:val="0"/>
                                <w:numId w:val="10"/>
                              </w:numPr>
                              <w:rPr>
                                <w:i/>
                                <w:sz w:val="22"/>
                                <w:szCs w:val="22"/>
                                <w:lang w:val="sq-AL"/>
                              </w:rPr>
                            </w:pPr>
                            <w:r w:rsidRPr="00E702DA">
                              <w:rPr>
                                <w:i/>
                                <w:sz w:val="22"/>
                                <w:szCs w:val="22"/>
                                <w:lang w:val="sq-AL"/>
                              </w:rPr>
                              <w:t>Rritja e gamës së të hyrave vetanake duke vendosur tarifa/taksa shesë, si p.sh: për mbrojtjen e mjedisit, për shit-blerje</w:t>
                            </w:r>
                            <w:r>
                              <w:rPr>
                                <w:i/>
                                <w:sz w:val="22"/>
                                <w:szCs w:val="22"/>
                                <w:lang w:val="sq-AL"/>
                              </w:rPr>
                              <w:t>n</w:t>
                            </w:r>
                            <w:r w:rsidRPr="00E702DA">
                              <w:rPr>
                                <w:i/>
                                <w:sz w:val="22"/>
                                <w:szCs w:val="22"/>
                                <w:lang w:val="sq-AL"/>
                              </w:rPr>
                              <w:t xml:space="preserve"> e patundshmërive apo në rastin e trashëgimisë </w:t>
                            </w:r>
                          </w:p>
                          <w:p w14:paraId="17DC382A" w14:textId="141143B1" w:rsidR="00636E80" w:rsidRPr="00E702DA" w:rsidRDefault="00636E80" w:rsidP="00FB1180">
                            <w:pPr>
                              <w:pStyle w:val="ListParagraph"/>
                              <w:numPr>
                                <w:ilvl w:val="0"/>
                                <w:numId w:val="10"/>
                              </w:numPr>
                              <w:rPr>
                                <w:i/>
                                <w:sz w:val="22"/>
                                <w:szCs w:val="22"/>
                                <w:lang w:val="sq-AL"/>
                              </w:rPr>
                            </w:pPr>
                            <w:r w:rsidRPr="00E702DA">
                              <w:rPr>
                                <w:i/>
                                <w:sz w:val="22"/>
                                <w:szCs w:val="22"/>
                                <w:lang w:val="sq-AL"/>
                              </w:rPr>
                              <w:t>Krijimi i mekanizmave për grumbullim më të mirë të llogarive të arkëtueshmeve</w:t>
                            </w:r>
                          </w:p>
                          <w:p w14:paraId="76635682" w14:textId="1B23A768" w:rsidR="00636E80" w:rsidRPr="00E702DA" w:rsidRDefault="00636E80" w:rsidP="00FB1180">
                            <w:pPr>
                              <w:pStyle w:val="ListParagraph"/>
                              <w:numPr>
                                <w:ilvl w:val="0"/>
                                <w:numId w:val="10"/>
                              </w:numPr>
                              <w:rPr>
                                <w:i/>
                                <w:sz w:val="22"/>
                                <w:szCs w:val="22"/>
                                <w:lang w:val="sq-AL"/>
                              </w:rPr>
                            </w:pPr>
                            <w:r>
                              <w:rPr>
                                <w:i/>
                                <w:sz w:val="22"/>
                                <w:szCs w:val="22"/>
                                <w:lang w:val="sq-AL"/>
                              </w:rPr>
                              <w:t>Organizimi i fushatave vetëdij</w:t>
                            </w:r>
                            <w:r w:rsidR="00F84DDB" w:rsidRPr="00E702DA">
                              <w:rPr>
                                <w:i/>
                                <w:sz w:val="22"/>
                                <w:szCs w:val="22"/>
                                <w:lang w:val="sq-AL"/>
                              </w:rPr>
                              <w:t>ë</w:t>
                            </w:r>
                            <w:r w:rsidRPr="00E702DA">
                              <w:rPr>
                                <w:i/>
                                <w:sz w:val="22"/>
                                <w:szCs w:val="22"/>
                                <w:lang w:val="sq-AL"/>
                              </w:rPr>
                              <w:t>suese për rritjen e shkalles së inkasimit të të hyrave vetanake</w:t>
                            </w:r>
                          </w:p>
                          <w:p w14:paraId="5BFAB35C" w14:textId="4A4098CE" w:rsidR="00636E80" w:rsidRPr="00E702DA" w:rsidRDefault="00636E80" w:rsidP="00FB1180">
                            <w:pPr>
                              <w:pStyle w:val="ListParagraph"/>
                              <w:numPr>
                                <w:ilvl w:val="0"/>
                                <w:numId w:val="10"/>
                              </w:numPr>
                              <w:rPr>
                                <w:i/>
                                <w:sz w:val="22"/>
                                <w:szCs w:val="22"/>
                                <w:lang w:val="sq-AL"/>
                              </w:rPr>
                            </w:pPr>
                            <w:r w:rsidRPr="00E702DA">
                              <w:rPr>
                                <w:i/>
                                <w:sz w:val="22"/>
                                <w:szCs w:val="22"/>
                                <w:lang w:val="sq-AL"/>
                              </w:rPr>
                              <w:t>Krijimi kushteve ligjore për të lehtësuar huamarrjen e komunave</w:t>
                            </w:r>
                          </w:p>
                          <w:p w14:paraId="3BBFAD42" w14:textId="2B330129" w:rsidR="00636E80" w:rsidRPr="00E702DA" w:rsidRDefault="00636E80" w:rsidP="00FB1180">
                            <w:pPr>
                              <w:pStyle w:val="ListParagraph"/>
                              <w:numPr>
                                <w:ilvl w:val="0"/>
                                <w:numId w:val="10"/>
                              </w:numPr>
                              <w:rPr>
                                <w:i/>
                                <w:sz w:val="22"/>
                                <w:szCs w:val="22"/>
                                <w:lang w:val="sq-AL"/>
                              </w:rPr>
                            </w:pPr>
                            <w:r w:rsidRPr="00E702DA">
                              <w:rPr>
                                <w:i/>
                                <w:sz w:val="22"/>
                                <w:szCs w:val="22"/>
                                <w:lang w:val="sq-AL"/>
                              </w:rPr>
                              <w:t>Rritja e numrit të zyrtarëve të prokurimit</w:t>
                            </w:r>
                          </w:p>
                          <w:p w14:paraId="436698D7" w14:textId="5EC05211" w:rsidR="00636E80" w:rsidRPr="00E702DA" w:rsidRDefault="00636E80" w:rsidP="003E10CD">
                            <w:pPr>
                              <w:pStyle w:val="ListParagraph"/>
                              <w:numPr>
                                <w:ilvl w:val="0"/>
                                <w:numId w:val="10"/>
                              </w:numPr>
                              <w:rPr>
                                <w:i/>
                                <w:sz w:val="22"/>
                                <w:szCs w:val="22"/>
                                <w:lang w:val="sq-AL"/>
                              </w:rPr>
                            </w:pPr>
                            <w:r w:rsidRPr="00E702DA">
                              <w:rPr>
                                <w:i/>
                                <w:sz w:val="22"/>
                                <w:szCs w:val="22"/>
                                <w:lang w:val="sq-AL"/>
                              </w:rPr>
                              <w:t>Planifikimi më i mirë i mirëmbajtjes së investimeve kapitale nga komunat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DC3E" id="Text Box 55" o:spid="_x0000_s1054" type="#_x0000_t202" style="position:absolute;left:0;text-align:left;margin-left:415.35pt;margin-top:.95pt;width:466.55pt;height:200.2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" fillcolor="#deebf7" strokecolor="#deebf7" strokeweight="1pt">
                <v:textbox>
                  <w:txbxContent>
                    <w:p w14:paraId="714C5194" w14:textId="77777777" w:rsidR="00636E80" w:rsidRPr="00E702DA" w:rsidRDefault="00636E80" w:rsidP="003E10CD">
                      <w:pPr>
                        <w:rPr>
                          <w:b/>
                          <w:i/>
                          <w:lang w:val="sq-AL"/>
                        </w:rPr>
                      </w:pPr>
                      <w:r w:rsidRPr="00E702DA">
                        <w:rPr>
                          <w:b/>
                          <w:i/>
                          <w:lang w:val="sq-AL"/>
                        </w:rPr>
                        <w:t>Të bëhet:</w:t>
                      </w:r>
                    </w:p>
                    <w:p w14:paraId="17E27E20" w14:textId="63987199" w:rsidR="00636E80" w:rsidRPr="00E702DA" w:rsidRDefault="00636E80" w:rsidP="003E10CD">
                      <w:pPr>
                        <w:pStyle w:val="ListParagraph"/>
                        <w:numPr>
                          <w:ilvl w:val="0"/>
                          <w:numId w:val="10"/>
                        </w:numPr>
                        <w:rPr>
                          <w:i/>
                          <w:sz w:val="22"/>
                          <w:szCs w:val="22"/>
                          <w:lang w:val="sq-AL"/>
                        </w:rPr>
                      </w:pPr>
                      <w:r w:rsidRPr="00E702DA">
                        <w:rPr>
                          <w:i/>
                          <w:sz w:val="22"/>
                          <w:szCs w:val="22"/>
                          <w:lang w:val="sq-AL"/>
                        </w:rPr>
                        <w:t>Rishikimi i kushteve dhe kritereve për të përcaktuar banorët rezidentë në komune për të ndarë më mirë fondet qeveritare</w:t>
                      </w:r>
                    </w:p>
                    <w:p w14:paraId="670D3FB4" w14:textId="6A4AD9E3" w:rsidR="00636E80" w:rsidRPr="00E702DA" w:rsidRDefault="00636E80" w:rsidP="00FB1180">
                      <w:pPr>
                        <w:pStyle w:val="ListParagraph"/>
                        <w:numPr>
                          <w:ilvl w:val="0"/>
                          <w:numId w:val="10"/>
                        </w:numPr>
                        <w:rPr>
                          <w:i/>
                          <w:sz w:val="22"/>
                          <w:szCs w:val="22"/>
                          <w:lang w:val="sq-AL"/>
                        </w:rPr>
                      </w:pPr>
                      <w:r w:rsidRPr="00E702DA">
                        <w:rPr>
                          <w:i/>
                          <w:sz w:val="22"/>
                          <w:szCs w:val="22"/>
                          <w:lang w:val="sq-AL"/>
                        </w:rPr>
                        <w:t>Rishikimi i politikave buxhetore për grantet specifike bazuar në kompetenca</w:t>
                      </w:r>
                    </w:p>
                    <w:p w14:paraId="0251D16F" w14:textId="5495DB77" w:rsidR="00636E80" w:rsidRPr="00E702DA" w:rsidRDefault="00636E80" w:rsidP="00FB1180">
                      <w:pPr>
                        <w:pStyle w:val="ListParagraph"/>
                        <w:numPr>
                          <w:ilvl w:val="0"/>
                          <w:numId w:val="10"/>
                        </w:numPr>
                        <w:rPr>
                          <w:i/>
                          <w:sz w:val="22"/>
                          <w:szCs w:val="22"/>
                          <w:lang w:val="sq-AL"/>
                        </w:rPr>
                      </w:pPr>
                      <w:r w:rsidRPr="00E702DA">
                        <w:rPr>
                          <w:i/>
                          <w:sz w:val="22"/>
                          <w:szCs w:val="22"/>
                          <w:lang w:val="sq-AL"/>
                        </w:rPr>
                        <w:t>Rritja e gamës së të hyrave vetanake duke vendosur tarifa/taksa shesë, si p.sh: për mbrojtjen e mjedisit, për shit-blerje</w:t>
                      </w:r>
                      <w:r>
                        <w:rPr>
                          <w:i/>
                          <w:sz w:val="22"/>
                          <w:szCs w:val="22"/>
                          <w:lang w:val="sq-AL"/>
                        </w:rPr>
                        <w:t>n</w:t>
                      </w:r>
                      <w:r w:rsidRPr="00E702DA">
                        <w:rPr>
                          <w:i/>
                          <w:sz w:val="22"/>
                          <w:szCs w:val="22"/>
                          <w:lang w:val="sq-AL"/>
                        </w:rPr>
                        <w:t xml:space="preserve"> e patundshmërive apo në rastin e trashëgimisë </w:t>
                      </w:r>
                    </w:p>
                    <w:p w14:paraId="17DC382A" w14:textId="141143B1" w:rsidR="00636E80" w:rsidRPr="00E702DA" w:rsidRDefault="00636E80" w:rsidP="00FB1180">
                      <w:pPr>
                        <w:pStyle w:val="ListParagraph"/>
                        <w:numPr>
                          <w:ilvl w:val="0"/>
                          <w:numId w:val="10"/>
                        </w:numPr>
                        <w:rPr>
                          <w:i/>
                          <w:sz w:val="22"/>
                          <w:szCs w:val="22"/>
                          <w:lang w:val="sq-AL"/>
                        </w:rPr>
                      </w:pPr>
                      <w:r w:rsidRPr="00E702DA">
                        <w:rPr>
                          <w:i/>
                          <w:sz w:val="22"/>
                          <w:szCs w:val="22"/>
                          <w:lang w:val="sq-AL"/>
                        </w:rPr>
                        <w:t>Krijimi i mekanizmave për grumbullim më të mirë të llogarive të arkëtueshmeve</w:t>
                      </w:r>
                    </w:p>
                    <w:p w14:paraId="76635682" w14:textId="1B23A768" w:rsidR="00636E80" w:rsidRPr="00E702DA" w:rsidRDefault="00636E80" w:rsidP="00FB1180">
                      <w:pPr>
                        <w:pStyle w:val="ListParagraph"/>
                        <w:numPr>
                          <w:ilvl w:val="0"/>
                          <w:numId w:val="10"/>
                        </w:numPr>
                        <w:rPr>
                          <w:i/>
                          <w:sz w:val="22"/>
                          <w:szCs w:val="22"/>
                          <w:lang w:val="sq-AL"/>
                        </w:rPr>
                      </w:pPr>
                      <w:r>
                        <w:rPr>
                          <w:i/>
                          <w:sz w:val="22"/>
                          <w:szCs w:val="22"/>
                          <w:lang w:val="sq-AL"/>
                        </w:rPr>
                        <w:t>Organizimi i fushatave vetëdij</w:t>
                      </w:r>
                      <w:r w:rsidR="00F84DDB" w:rsidRPr="00E702DA">
                        <w:rPr>
                          <w:i/>
                          <w:sz w:val="22"/>
                          <w:szCs w:val="22"/>
                          <w:lang w:val="sq-AL"/>
                        </w:rPr>
                        <w:t>ë</w:t>
                      </w:r>
                      <w:r w:rsidRPr="00E702DA">
                        <w:rPr>
                          <w:i/>
                          <w:sz w:val="22"/>
                          <w:szCs w:val="22"/>
                          <w:lang w:val="sq-AL"/>
                        </w:rPr>
                        <w:t>suese për rritjen e shkalles së inkasimit të të hyrave vetanake</w:t>
                      </w:r>
                    </w:p>
                    <w:p w14:paraId="5BFAB35C" w14:textId="4A4098CE" w:rsidR="00636E80" w:rsidRPr="00E702DA" w:rsidRDefault="00636E80" w:rsidP="00FB1180">
                      <w:pPr>
                        <w:pStyle w:val="ListParagraph"/>
                        <w:numPr>
                          <w:ilvl w:val="0"/>
                          <w:numId w:val="10"/>
                        </w:numPr>
                        <w:rPr>
                          <w:i/>
                          <w:sz w:val="22"/>
                          <w:szCs w:val="22"/>
                          <w:lang w:val="sq-AL"/>
                        </w:rPr>
                      </w:pPr>
                      <w:r w:rsidRPr="00E702DA">
                        <w:rPr>
                          <w:i/>
                          <w:sz w:val="22"/>
                          <w:szCs w:val="22"/>
                          <w:lang w:val="sq-AL"/>
                        </w:rPr>
                        <w:t>Krijimi kushteve ligjore për të lehtësuar huamarrjen e komunave</w:t>
                      </w:r>
                    </w:p>
                    <w:p w14:paraId="3BBFAD42" w14:textId="2B330129" w:rsidR="00636E80" w:rsidRPr="00E702DA" w:rsidRDefault="00636E80" w:rsidP="00FB1180">
                      <w:pPr>
                        <w:pStyle w:val="ListParagraph"/>
                        <w:numPr>
                          <w:ilvl w:val="0"/>
                          <w:numId w:val="10"/>
                        </w:numPr>
                        <w:rPr>
                          <w:i/>
                          <w:sz w:val="22"/>
                          <w:szCs w:val="22"/>
                          <w:lang w:val="sq-AL"/>
                        </w:rPr>
                      </w:pPr>
                      <w:r w:rsidRPr="00E702DA">
                        <w:rPr>
                          <w:i/>
                          <w:sz w:val="22"/>
                          <w:szCs w:val="22"/>
                          <w:lang w:val="sq-AL"/>
                        </w:rPr>
                        <w:t>Rritja e numrit të zyrtarëve të prokurimit</w:t>
                      </w:r>
                    </w:p>
                    <w:p w14:paraId="436698D7" w14:textId="5EC05211" w:rsidR="00636E80" w:rsidRPr="00E702DA" w:rsidRDefault="00636E80" w:rsidP="003E10CD">
                      <w:pPr>
                        <w:pStyle w:val="ListParagraph"/>
                        <w:numPr>
                          <w:ilvl w:val="0"/>
                          <w:numId w:val="10"/>
                        </w:numPr>
                        <w:rPr>
                          <w:i/>
                          <w:sz w:val="22"/>
                          <w:szCs w:val="22"/>
                          <w:lang w:val="sq-AL"/>
                        </w:rPr>
                      </w:pPr>
                      <w:r w:rsidRPr="00E702DA">
                        <w:rPr>
                          <w:i/>
                          <w:sz w:val="22"/>
                          <w:szCs w:val="22"/>
                          <w:lang w:val="sq-AL"/>
                        </w:rPr>
                        <w:t>Planifikimi më i mirë i mirëmbajtjes së investimeve kapitale nga komunat</w:t>
                      </w:r>
                    </w:p>
                  </w:txbxContent>
                </v:textbox>
                <w10:wrap anchorx="margin"/>
              </v:shape>
            </w:pict>
          </mc:Fallback>
        </mc:AlternateContent>
      </w:r>
    </w:p>
    <w:p w14:paraId="7405CD8E" w14:textId="77777777" w:rsidR="003E10CD" w:rsidRPr="009E674D" w:rsidRDefault="003E10CD" w:rsidP="001747E7">
      <w:pPr>
        <w:jc w:val="both"/>
        <w:rPr>
          <w:rFonts w:eastAsia="Times New Roman"/>
          <w:lang w:val="sq-AL"/>
        </w:rPr>
      </w:pPr>
    </w:p>
    <w:p w14:paraId="1DABA43E" w14:textId="77777777" w:rsidR="003E10CD" w:rsidRPr="009E674D" w:rsidRDefault="003E10CD" w:rsidP="001747E7">
      <w:pPr>
        <w:jc w:val="both"/>
        <w:rPr>
          <w:rFonts w:eastAsia="Times New Roman"/>
          <w:lang w:val="sq-AL"/>
        </w:rPr>
      </w:pPr>
    </w:p>
    <w:p w14:paraId="5CC8A87A" w14:textId="77777777" w:rsidR="003E10CD" w:rsidRPr="009E674D" w:rsidRDefault="003E10CD" w:rsidP="001747E7">
      <w:pPr>
        <w:jc w:val="both"/>
        <w:rPr>
          <w:rFonts w:eastAsia="Times New Roman"/>
          <w:lang w:val="sq-AL"/>
        </w:rPr>
      </w:pPr>
    </w:p>
    <w:p w14:paraId="18F434E0" w14:textId="77777777" w:rsidR="003E10CD" w:rsidRPr="009E674D" w:rsidRDefault="003E10CD" w:rsidP="001747E7">
      <w:pPr>
        <w:jc w:val="both"/>
        <w:rPr>
          <w:rFonts w:eastAsia="Times New Roman"/>
          <w:lang w:val="sq-AL"/>
        </w:rPr>
      </w:pPr>
    </w:p>
    <w:p w14:paraId="6B9D4612" w14:textId="77777777" w:rsidR="003E10CD" w:rsidRPr="009E674D" w:rsidRDefault="003E10CD" w:rsidP="001747E7">
      <w:pPr>
        <w:jc w:val="both"/>
        <w:rPr>
          <w:rFonts w:eastAsia="Times New Roman"/>
          <w:lang w:val="sq-AL"/>
        </w:rPr>
      </w:pPr>
    </w:p>
    <w:p w14:paraId="0B96126F" w14:textId="77777777" w:rsidR="003E10CD" w:rsidRPr="009E674D" w:rsidRDefault="003E10CD" w:rsidP="001747E7">
      <w:pPr>
        <w:jc w:val="both"/>
        <w:rPr>
          <w:rFonts w:eastAsia="Times New Roman"/>
          <w:lang w:val="sq-AL"/>
        </w:rPr>
      </w:pPr>
    </w:p>
    <w:p w14:paraId="174DE366" w14:textId="77777777" w:rsidR="003E10CD" w:rsidRPr="009E674D" w:rsidRDefault="003E10CD" w:rsidP="001747E7">
      <w:pPr>
        <w:jc w:val="both"/>
        <w:rPr>
          <w:rFonts w:eastAsia="Times New Roman"/>
          <w:lang w:val="sq-AL"/>
        </w:rPr>
      </w:pPr>
    </w:p>
    <w:p w14:paraId="221986F0" w14:textId="77777777" w:rsidR="003E10CD" w:rsidRPr="009E674D" w:rsidRDefault="003E10CD" w:rsidP="003E10CD">
      <w:pPr>
        <w:rPr>
          <w:rFonts w:eastAsia="Times New Roman"/>
          <w:lang w:val="sq-AL"/>
        </w:rPr>
      </w:pPr>
    </w:p>
    <w:p w14:paraId="485A7895" w14:textId="77777777" w:rsidR="00E702DA" w:rsidRPr="009E674D" w:rsidRDefault="00E702DA" w:rsidP="003E10CD">
      <w:pPr>
        <w:rPr>
          <w:lang w:val="sq-AL"/>
        </w:rPr>
      </w:pPr>
    </w:p>
    <w:p w14:paraId="51D0CC56" w14:textId="4EE61B3E" w:rsidR="00AA7817" w:rsidRPr="009E674D" w:rsidRDefault="009E674D" w:rsidP="00AA7817">
      <w:pPr>
        <w:pStyle w:val="Heading3"/>
        <w:rPr>
          <w:rFonts w:eastAsia="Times New Roman"/>
          <w:lang w:val="sq-AL"/>
        </w:rPr>
      </w:pPr>
      <w:bookmarkStart w:id="25" w:name="_Toc132188445"/>
      <w:r w:rsidRPr="009E674D">
        <w:rPr>
          <w:rFonts w:eastAsia="Times New Roman"/>
          <w:lang w:val="sq-AL"/>
        </w:rPr>
        <w:t>Objektivi specifik</w:t>
      </w:r>
      <w:r w:rsidR="00AA7817" w:rsidRPr="009E674D">
        <w:rPr>
          <w:rFonts w:eastAsia="Times New Roman"/>
          <w:lang w:val="sq-AL"/>
        </w:rPr>
        <w:t xml:space="preserve"> 4.2: Avancimi i proceseve dhe resurseve në planifikimin dhe zhvillimin e politikave </w:t>
      </w:r>
      <w:r w:rsidR="00FB1180" w:rsidRPr="009E674D">
        <w:rPr>
          <w:rFonts w:eastAsia="Times New Roman"/>
          <w:lang w:val="sq-AL"/>
        </w:rPr>
        <w:t>lokale</w:t>
      </w:r>
      <w:bookmarkEnd w:id="25"/>
    </w:p>
    <w:p w14:paraId="523BE1C6" w14:textId="48FD2C24" w:rsidR="00AA7817" w:rsidRPr="009E674D" w:rsidRDefault="00AA7817" w:rsidP="00AA7817">
      <w:pPr>
        <w:jc w:val="both"/>
        <w:rPr>
          <w:lang w:val="sq-AL"/>
        </w:rPr>
      </w:pPr>
      <w:r w:rsidRPr="009E674D">
        <w:rPr>
          <w:lang w:val="sq-AL"/>
        </w:rPr>
        <w:br/>
        <w:t>Konsolidimi i proceseve dhe krijimi i resurseve të mjaftueshme për planifikim</w:t>
      </w:r>
      <w:r w:rsidR="009A0159">
        <w:rPr>
          <w:lang w:val="sq-AL"/>
        </w:rPr>
        <w:t>in</w:t>
      </w:r>
      <w:r w:rsidRPr="009E674D">
        <w:rPr>
          <w:lang w:val="sq-AL"/>
        </w:rPr>
        <w:t xml:space="preserve"> dhe zhvillimin e politikave lokale kontribuon në përmirësim</w:t>
      </w:r>
      <w:r w:rsidR="009A0159">
        <w:rPr>
          <w:lang w:val="sq-AL"/>
        </w:rPr>
        <w:t>in e</w:t>
      </w:r>
      <w:r w:rsidRPr="009E674D">
        <w:rPr>
          <w:lang w:val="sq-AL"/>
        </w:rPr>
        <w:t xml:space="preserve"> qeverisjes ekonomike.</w:t>
      </w:r>
      <w:r w:rsidR="009A0159">
        <w:rPr>
          <w:lang w:val="sq-AL"/>
        </w:rPr>
        <w:t xml:space="preserve"> </w:t>
      </w:r>
      <w:r w:rsidRPr="009E674D">
        <w:rPr>
          <w:lang w:val="sq-AL"/>
        </w:rPr>
        <w:t>Në këtë drejtim,</w:t>
      </w:r>
      <w:r w:rsidR="001D5E32" w:rsidRPr="009E674D">
        <w:rPr>
          <w:lang w:val="sq-AL"/>
        </w:rPr>
        <w:t xml:space="preserve"> është e nevojshme që komunat të kenë njësi për planifikim dhe zhvillim të politikave, si dhe të</w:t>
      </w:r>
      <w:r w:rsidRPr="009E674D">
        <w:rPr>
          <w:lang w:val="sq-AL"/>
        </w:rPr>
        <w:t xml:space="preserve"> ngritën kapacitetet profesionale. Procesi i hartimit të dokumenteve strategjike me rëndësi për ekonominë lokale k</w:t>
      </w:r>
      <w:r w:rsidR="00964C12" w:rsidRPr="009E674D">
        <w:rPr>
          <w:lang w:val="sq-AL"/>
        </w:rPr>
        <w:t>ë</w:t>
      </w:r>
      <w:r w:rsidRPr="009E674D">
        <w:rPr>
          <w:lang w:val="sq-AL"/>
        </w:rPr>
        <w:t>rkon q</w:t>
      </w:r>
      <w:r w:rsidR="00964C12" w:rsidRPr="009E674D">
        <w:rPr>
          <w:lang w:val="sq-AL"/>
        </w:rPr>
        <w:t>ë</w:t>
      </w:r>
      <w:r w:rsidRPr="009E674D">
        <w:rPr>
          <w:lang w:val="sq-AL"/>
        </w:rPr>
        <w:t xml:space="preserve"> hisedar</w:t>
      </w:r>
      <w:r w:rsidR="00964C12" w:rsidRPr="009E674D">
        <w:rPr>
          <w:lang w:val="sq-AL"/>
        </w:rPr>
        <w:t>ë</w:t>
      </w:r>
      <w:r w:rsidRPr="009E674D">
        <w:rPr>
          <w:lang w:val="sq-AL"/>
        </w:rPr>
        <w:t>t t</w:t>
      </w:r>
      <w:r w:rsidR="00964C12" w:rsidRPr="009E674D">
        <w:rPr>
          <w:lang w:val="sq-AL"/>
        </w:rPr>
        <w:t>ë</w:t>
      </w:r>
      <w:r w:rsidRPr="009E674D">
        <w:rPr>
          <w:lang w:val="sq-AL"/>
        </w:rPr>
        <w:t xml:space="preserve"> p</w:t>
      </w:r>
      <w:r w:rsidR="00964C12" w:rsidRPr="009E674D">
        <w:rPr>
          <w:lang w:val="sq-AL"/>
        </w:rPr>
        <w:t>ë</w:t>
      </w:r>
      <w:r w:rsidRPr="009E674D">
        <w:rPr>
          <w:lang w:val="sq-AL"/>
        </w:rPr>
        <w:t>rfshihen q</w:t>
      </w:r>
      <w:r w:rsidR="00964C12" w:rsidRPr="009E674D">
        <w:rPr>
          <w:lang w:val="sq-AL"/>
        </w:rPr>
        <w:t>ë</w:t>
      </w:r>
      <w:r w:rsidRPr="009E674D">
        <w:rPr>
          <w:lang w:val="sq-AL"/>
        </w:rPr>
        <w:t xml:space="preserve"> nga fillimi i procesit t</w:t>
      </w:r>
      <w:r w:rsidR="00964C12" w:rsidRPr="009E674D">
        <w:rPr>
          <w:lang w:val="sq-AL"/>
        </w:rPr>
        <w:t>ë</w:t>
      </w:r>
      <w:r w:rsidRPr="009E674D">
        <w:rPr>
          <w:lang w:val="sq-AL"/>
        </w:rPr>
        <w:t xml:space="preserve"> hartimit deri n</w:t>
      </w:r>
      <w:r w:rsidR="00964C12" w:rsidRPr="009E674D">
        <w:rPr>
          <w:lang w:val="sq-AL"/>
        </w:rPr>
        <w:t>ë</w:t>
      </w:r>
      <w:r w:rsidRPr="009E674D">
        <w:rPr>
          <w:lang w:val="sq-AL"/>
        </w:rPr>
        <w:t xml:space="preserve"> fund, jo vet</w:t>
      </w:r>
      <w:r w:rsidR="00964C12" w:rsidRPr="009E674D">
        <w:rPr>
          <w:lang w:val="sq-AL"/>
        </w:rPr>
        <w:t>ë</w:t>
      </w:r>
      <w:r w:rsidRPr="009E674D">
        <w:rPr>
          <w:lang w:val="sq-AL"/>
        </w:rPr>
        <w:t>m p</w:t>
      </w:r>
      <w:r w:rsidR="00964C12" w:rsidRPr="009E674D">
        <w:rPr>
          <w:lang w:val="sq-AL"/>
        </w:rPr>
        <w:t>ër “validim”</w:t>
      </w:r>
      <w:r w:rsidRPr="009E674D">
        <w:rPr>
          <w:lang w:val="sq-AL"/>
        </w:rPr>
        <w:t xml:space="preserve"> t</w:t>
      </w:r>
      <w:r w:rsidR="00964C12" w:rsidRPr="009E674D">
        <w:rPr>
          <w:lang w:val="sq-AL"/>
        </w:rPr>
        <w:t>ë</w:t>
      </w:r>
      <w:r w:rsidRPr="009E674D">
        <w:rPr>
          <w:lang w:val="sq-AL"/>
        </w:rPr>
        <w:t xml:space="preserve"> analiz</w:t>
      </w:r>
      <w:r w:rsidR="00964C12" w:rsidRPr="009E674D">
        <w:rPr>
          <w:lang w:val="sq-AL"/>
        </w:rPr>
        <w:t>ë</w:t>
      </w:r>
      <w:r w:rsidRPr="009E674D">
        <w:rPr>
          <w:lang w:val="sq-AL"/>
        </w:rPr>
        <w:t xml:space="preserve">s dhe </w:t>
      </w:r>
      <w:r w:rsidRPr="009E674D">
        <w:rPr>
          <w:lang w:val="sq-AL"/>
        </w:rPr>
        <w:lastRenderedPageBreak/>
        <w:t>objektivave.</w:t>
      </w:r>
      <w:r w:rsidR="00964C12" w:rsidRPr="009E674D">
        <w:rPr>
          <w:lang w:val="sq-AL"/>
        </w:rPr>
        <w:t xml:space="preserve"> </w:t>
      </w:r>
      <w:r w:rsidR="00B25024">
        <w:rPr>
          <w:lang w:val="sq-AL"/>
        </w:rPr>
        <w:t>G</w:t>
      </w:r>
      <w:r w:rsidR="00B25024" w:rsidRPr="009E674D">
        <w:rPr>
          <w:lang w:val="sq-AL"/>
        </w:rPr>
        <w:t>jithashtu</w:t>
      </w:r>
      <w:r w:rsidR="00B25024">
        <w:rPr>
          <w:lang w:val="sq-AL"/>
        </w:rPr>
        <w:t>,</w:t>
      </w:r>
      <w:r w:rsidR="00B25024" w:rsidRPr="009E674D">
        <w:rPr>
          <w:lang w:val="sq-AL"/>
        </w:rPr>
        <w:t xml:space="preserve"> </w:t>
      </w:r>
      <w:r w:rsidR="00B25024">
        <w:rPr>
          <w:lang w:val="sq-AL"/>
        </w:rPr>
        <w:t>ë</w:t>
      </w:r>
      <w:r w:rsidR="00B25024" w:rsidRPr="009E674D">
        <w:rPr>
          <w:lang w:val="sq-AL"/>
        </w:rPr>
        <w:t xml:space="preserve">shtë </w:t>
      </w:r>
      <w:r w:rsidR="00964C12" w:rsidRPr="009E674D">
        <w:rPr>
          <w:lang w:val="sq-AL"/>
        </w:rPr>
        <w:t xml:space="preserve">e nevojshme që të krijohet një kornizë standarde për monitorimin e zbatueshmërisë së dokumenteve strategjike, sidomos për ato që lidhen me ekonominë. Për më </w:t>
      </w:r>
      <w:r w:rsidR="00B25024">
        <w:rPr>
          <w:lang w:val="sq-AL"/>
        </w:rPr>
        <w:t>tepër</w:t>
      </w:r>
      <w:r w:rsidR="009E674D">
        <w:rPr>
          <w:lang w:val="sq-AL"/>
        </w:rPr>
        <w:t>, të gjitha strategjitë aktuale</w:t>
      </w:r>
      <w:r w:rsidR="00964C12" w:rsidRPr="009E674D">
        <w:rPr>
          <w:lang w:val="sq-AL"/>
        </w:rPr>
        <w:t xml:space="preserve"> duhet të rishikohen</w:t>
      </w:r>
      <w:r w:rsidR="00B25024">
        <w:rPr>
          <w:lang w:val="sq-AL"/>
        </w:rPr>
        <w:t>, ashtu</w:t>
      </w:r>
      <w:r w:rsidR="00964C12" w:rsidRPr="009E674D">
        <w:rPr>
          <w:lang w:val="sq-AL"/>
        </w:rPr>
        <w:t xml:space="preserve"> që të jenë në përputhje me dokumentet strategjike të nivelit qendror. Për të </w:t>
      </w:r>
      <w:r w:rsidR="00E702DA" w:rsidRPr="009E674D">
        <w:rPr>
          <w:lang w:val="sq-AL"/>
        </w:rPr>
        <w:t>krijuar mundësi të revidimit</w:t>
      </w:r>
      <w:r w:rsidR="00964C12" w:rsidRPr="009E674D">
        <w:rPr>
          <w:lang w:val="sq-AL"/>
        </w:rPr>
        <w:t xml:space="preserve">, do të krijohet mundësia që </w:t>
      </w:r>
      <w:r w:rsidR="00B25024" w:rsidRPr="009E674D">
        <w:rPr>
          <w:lang w:val="sq-AL"/>
        </w:rPr>
        <w:t xml:space="preserve">të rishikohen </w:t>
      </w:r>
      <w:r w:rsidR="00964C12" w:rsidRPr="009E674D">
        <w:rPr>
          <w:lang w:val="sq-AL"/>
        </w:rPr>
        <w:t xml:space="preserve">Planet Zhvillimore Komunale (për shembull: përmes votimit me shumicë të kualifikuar). Për fund, por jo me më pak rëndësi, do të intensifikohet puna për finalizimin e hartave zonale komunale. </w:t>
      </w:r>
      <w:r w:rsidR="00B25024">
        <w:rPr>
          <w:lang w:val="sq-AL"/>
        </w:rPr>
        <w:t xml:space="preserve"> </w:t>
      </w:r>
    </w:p>
    <w:p w14:paraId="5E513D4C" w14:textId="57AAD54B" w:rsidR="00964C12" w:rsidRPr="009E674D" w:rsidRDefault="009E674D" w:rsidP="00AA7817">
      <w:pPr>
        <w:jc w:val="both"/>
        <w:rPr>
          <w:lang w:val="sq-AL"/>
        </w:rPr>
      </w:pPr>
      <w:r w:rsidRPr="009E674D">
        <w:rPr>
          <w:lang w:val="sq-AL"/>
        </w:rPr>
        <w:t>Nuk ka ndonjë objektiv specifik</w:t>
      </w:r>
      <w:r w:rsidR="00964C12" w:rsidRPr="009E674D">
        <w:rPr>
          <w:lang w:val="sq-AL"/>
        </w:rPr>
        <w:t xml:space="preserve"> në SKZH</w:t>
      </w:r>
      <w:r>
        <w:rPr>
          <w:lang w:val="sq-AL"/>
        </w:rPr>
        <w:t>-s</w:t>
      </w:r>
      <w:r w:rsidRPr="009E674D">
        <w:rPr>
          <w:lang w:val="sq-AL"/>
        </w:rPr>
        <w:t>ë dhe PKZH</w:t>
      </w:r>
      <w:r>
        <w:rPr>
          <w:lang w:val="sq-AL"/>
        </w:rPr>
        <w:t>-s</w:t>
      </w:r>
      <w:r w:rsidRPr="009E674D">
        <w:rPr>
          <w:lang w:val="sq-AL"/>
        </w:rPr>
        <w:t>ë</w:t>
      </w:r>
      <w:r w:rsidR="00964C12" w:rsidRPr="009E674D">
        <w:rPr>
          <w:lang w:val="sq-AL"/>
        </w:rPr>
        <w:t xml:space="preserve"> që lidhet në mënyrë të drejtpërdrejt</w:t>
      </w:r>
      <w:r w:rsidR="00E702DA" w:rsidRPr="009E674D">
        <w:rPr>
          <w:lang w:val="sq-AL"/>
        </w:rPr>
        <w:t>ë</w:t>
      </w:r>
      <w:r w:rsidR="00964C12" w:rsidRPr="009E674D">
        <w:rPr>
          <w:lang w:val="sq-AL"/>
        </w:rPr>
        <w:t xml:space="preserve"> me këtë objektiv; e njëjta vlen edhe për SDG. </w:t>
      </w:r>
    </w:p>
    <w:p w14:paraId="4A8C4CDD" w14:textId="5B412261" w:rsidR="009E674D" w:rsidRDefault="009E674D" w:rsidP="00AA7817">
      <w:pPr>
        <w:jc w:val="both"/>
        <w:rPr>
          <w:lang w:val="sq-AL"/>
        </w:rPr>
      </w:pPr>
      <w:r w:rsidRPr="009E674D">
        <w:rPr>
          <w:noProof/>
        </w:rPr>
        <mc:AlternateContent>
          <mc:Choice Requires="wps">
            <w:drawing>
              <wp:anchor distT="0" distB="0" distL="114300" distR="114300" simplePos="0" relativeHeight="251770880" behindDoc="0" locked="0" layoutInCell="1" allowOverlap="1" wp14:anchorId="3E759F05" wp14:editId="62BE4968">
                <wp:simplePos x="0" y="0"/>
                <wp:positionH relativeFrom="margin">
                  <wp:posOffset>-44749</wp:posOffset>
                </wp:positionH>
                <wp:positionV relativeFrom="paragraph">
                  <wp:posOffset>14082</wp:posOffset>
                </wp:positionV>
                <wp:extent cx="5925185" cy="2286000"/>
                <wp:effectExtent l="0" t="0" r="18415" b="19050"/>
                <wp:wrapNone/>
                <wp:docPr id="56" name="Text Box 56"/>
                <wp:cNvGraphicFramePr/>
                <a:graphic xmlns:a="http://schemas.openxmlformats.org/drawingml/2006/main">
                  <a:graphicData uri="http://schemas.microsoft.com/office/word/2010/wordprocessingShape">
                    <wps:wsp>
                      <wps:cNvSpPr txBox="1"/>
                      <wps:spPr>
                        <a:xfrm>
                          <a:off x="0" y="0"/>
                          <a:ext cx="5925185" cy="228600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3B156F05" w14:textId="77777777" w:rsidR="00636E80" w:rsidRPr="00E702DA" w:rsidRDefault="00636E80" w:rsidP="003E10CD">
                            <w:pPr>
                              <w:rPr>
                                <w:b/>
                                <w:i/>
                                <w:lang w:val="sq-AL"/>
                              </w:rPr>
                            </w:pPr>
                            <w:r w:rsidRPr="00E702DA">
                              <w:rPr>
                                <w:b/>
                                <w:i/>
                                <w:lang w:val="sq-AL"/>
                              </w:rPr>
                              <w:t>Të bëhet:</w:t>
                            </w:r>
                          </w:p>
                          <w:p w14:paraId="4050EB28" w14:textId="146E7EE9" w:rsidR="00636E80" w:rsidRDefault="00636E80" w:rsidP="003E10CD">
                            <w:pPr>
                              <w:pStyle w:val="ListParagraph"/>
                              <w:numPr>
                                <w:ilvl w:val="0"/>
                                <w:numId w:val="10"/>
                              </w:numPr>
                              <w:rPr>
                                <w:i/>
                                <w:sz w:val="22"/>
                                <w:szCs w:val="22"/>
                                <w:lang w:val="sq-AL"/>
                              </w:rPr>
                            </w:pPr>
                            <w:r>
                              <w:rPr>
                                <w:i/>
                                <w:sz w:val="22"/>
                                <w:szCs w:val="22"/>
                                <w:lang w:val="sq-AL"/>
                              </w:rPr>
                              <w:t>Krijimi i njësive për planifikim dhe zhvillim të politikave</w:t>
                            </w:r>
                          </w:p>
                          <w:p w14:paraId="7B5A3D49" w14:textId="6E077055" w:rsidR="00636E80" w:rsidRPr="00E702DA" w:rsidRDefault="00636E80" w:rsidP="003E10CD">
                            <w:pPr>
                              <w:pStyle w:val="ListParagraph"/>
                              <w:numPr>
                                <w:ilvl w:val="0"/>
                                <w:numId w:val="10"/>
                              </w:numPr>
                              <w:rPr>
                                <w:i/>
                                <w:sz w:val="22"/>
                                <w:szCs w:val="22"/>
                                <w:lang w:val="sq-AL"/>
                              </w:rPr>
                            </w:pPr>
                            <w:r w:rsidRPr="00E702DA">
                              <w:rPr>
                                <w:i/>
                                <w:sz w:val="22"/>
                                <w:szCs w:val="22"/>
                                <w:lang w:val="sq-AL"/>
                              </w:rPr>
                              <w:t xml:space="preserve">Ngritja e kapaciteteve profesionale brenda komunave për hartimin e dokumenteve strategjike </w:t>
                            </w:r>
                          </w:p>
                          <w:p w14:paraId="4FEE1EF7" w14:textId="2E6D55DB" w:rsidR="00636E80" w:rsidRPr="00E702DA" w:rsidRDefault="00636E80" w:rsidP="003E10CD">
                            <w:pPr>
                              <w:pStyle w:val="ListParagraph"/>
                              <w:numPr>
                                <w:ilvl w:val="0"/>
                                <w:numId w:val="10"/>
                              </w:numPr>
                              <w:rPr>
                                <w:i/>
                                <w:sz w:val="22"/>
                                <w:szCs w:val="22"/>
                                <w:lang w:val="sq-AL"/>
                              </w:rPr>
                            </w:pPr>
                            <w:r w:rsidRPr="00E702DA">
                              <w:rPr>
                                <w:i/>
                                <w:sz w:val="22"/>
                                <w:szCs w:val="22"/>
                                <w:lang w:val="sq-AL"/>
                              </w:rPr>
                              <w:t>Krijimi i kornizës standarde për monitorimin e zbatueshmërisë së dokumenteve strategjike dhe ndikimit të tyre</w:t>
                            </w:r>
                          </w:p>
                          <w:p w14:paraId="7D26D6E6" w14:textId="33837878" w:rsidR="00636E80" w:rsidRPr="00E702DA" w:rsidRDefault="00636E80" w:rsidP="003E10CD">
                            <w:pPr>
                              <w:pStyle w:val="ListParagraph"/>
                              <w:numPr>
                                <w:ilvl w:val="0"/>
                                <w:numId w:val="10"/>
                              </w:numPr>
                              <w:rPr>
                                <w:i/>
                                <w:sz w:val="22"/>
                                <w:szCs w:val="22"/>
                                <w:lang w:val="sq-AL"/>
                              </w:rPr>
                            </w:pPr>
                            <w:r w:rsidRPr="00E702DA">
                              <w:rPr>
                                <w:i/>
                                <w:sz w:val="22"/>
                                <w:szCs w:val="22"/>
                                <w:lang w:val="sq-AL"/>
                              </w:rPr>
                              <w:t>Përfshirja e hisedarëve në hartimin e dokumenteve strategjike që nga fillimi i procesit</w:t>
                            </w:r>
                          </w:p>
                          <w:p w14:paraId="560F2858" w14:textId="55B15920" w:rsidR="00636E80" w:rsidRPr="00E702DA" w:rsidRDefault="00636E80" w:rsidP="00582CD9">
                            <w:pPr>
                              <w:pStyle w:val="ListParagraph"/>
                              <w:numPr>
                                <w:ilvl w:val="0"/>
                                <w:numId w:val="10"/>
                              </w:numPr>
                              <w:rPr>
                                <w:i/>
                                <w:sz w:val="22"/>
                                <w:szCs w:val="22"/>
                                <w:lang w:val="sq-AL"/>
                              </w:rPr>
                            </w:pPr>
                            <w:r w:rsidRPr="00E702DA">
                              <w:rPr>
                                <w:i/>
                                <w:sz w:val="22"/>
                                <w:szCs w:val="22"/>
                                <w:lang w:val="sq-AL"/>
                              </w:rPr>
                              <w:t xml:space="preserve">Krijimi i mundësisë që të rishikohen Planet Zhvillimore Komunale (psh. përmes votimit me shumicë të kualifikuar) </w:t>
                            </w:r>
                          </w:p>
                          <w:p w14:paraId="1E8B9C4D" w14:textId="0FB5100C" w:rsidR="00636E80" w:rsidRPr="00E702DA" w:rsidRDefault="00636E80" w:rsidP="00582CD9">
                            <w:pPr>
                              <w:pStyle w:val="ListParagraph"/>
                              <w:numPr>
                                <w:ilvl w:val="0"/>
                                <w:numId w:val="10"/>
                              </w:numPr>
                              <w:rPr>
                                <w:i/>
                                <w:sz w:val="22"/>
                                <w:szCs w:val="22"/>
                                <w:lang w:val="sq-AL"/>
                              </w:rPr>
                            </w:pPr>
                            <w:r w:rsidRPr="00E702DA">
                              <w:rPr>
                                <w:i/>
                                <w:sz w:val="22"/>
                                <w:szCs w:val="22"/>
                                <w:lang w:val="sq-AL"/>
                              </w:rPr>
                              <w:t xml:space="preserve">Finalizimi i hartave zonale komunale </w:t>
                            </w:r>
                          </w:p>
                          <w:p w14:paraId="6CF7F1C3" w14:textId="77777777" w:rsidR="00636E80" w:rsidRPr="00E702DA" w:rsidRDefault="00636E80" w:rsidP="00582CD9">
                            <w:pPr>
                              <w:pStyle w:val="ListParagraph"/>
                              <w:numPr>
                                <w:ilvl w:val="0"/>
                                <w:numId w:val="10"/>
                              </w:numPr>
                              <w:rPr>
                                <w:i/>
                                <w:sz w:val="22"/>
                                <w:szCs w:val="22"/>
                                <w:lang w:val="sq-AL"/>
                              </w:rPr>
                            </w:pPr>
                            <w:r w:rsidRPr="00E702DA">
                              <w:rPr>
                                <w:i/>
                                <w:sz w:val="22"/>
                                <w:szCs w:val="22"/>
                                <w:lang w:val="sq-AL"/>
                              </w:rPr>
                              <w:t>Harmonizimi i strategjive komunale me strategjitë nacionale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9F05" id="Text Box 56" o:spid="_x0000_s1055" type="#_x0000_t202" style="position:absolute;left:0;text-align:left;margin-left:-3.5pt;margin-top:1.1pt;width:466.55pt;height:180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" fillcolor="#deebf7" strokecolor="#deebf7" strokeweight="1pt">
                <v:textbox>
                  <w:txbxContent>
                    <w:p w14:paraId="3B156F05" w14:textId="77777777" w:rsidR="00636E80" w:rsidRPr="00E702DA" w:rsidRDefault="00636E80" w:rsidP="003E10CD">
                      <w:pPr>
                        <w:rPr>
                          <w:b/>
                          <w:i/>
                          <w:lang w:val="sq-AL"/>
                        </w:rPr>
                      </w:pPr>
                      <w:r w:rsidRPr="00E702DA">
                        <w:rPr>
                          <w:b/>
                          <w:i/>
                          <w:lang w:val="sq-AL"/>
                        </w:rPr>
                        <w:t>Të bëhet:</w:t>
                      </w:r>
                    </w:p>
                    <w:p w14:paraId="4050EB28" w14:textId="146E7EE9" w:rsidR="00636E80" w:rsidRDefault="00636E80" w:rsidP="003E10CD">
                      <w:pPr>
                        <w:pStyle w:val="ListParagraph"/>
                        <w:numPr>
                          <w:ilvl w:val="0"/>
                          <w:numId w:val="10"/>
                        </w:numPr>
                        <w:rPr>
                          <w:i/>
                          <w:sz w:val="22"/>
                          <w:szCs w:val="22"/>
                          <w:lang w:val="sq-AL"/>
                        </w:rPr>
                      </w:pPr>
                      <w:r>
                        <w:rPr>
                          <w:i/>
                          <w:sz w:val="22"/>
                          <w:szCs w:val="22"/>
                          <w:lang w:val="sq-AL"/>
                        </w:rPr>
                        <w:t>Krijimi i njësive për planifikim dhe zhvillim të politikave</w:t>
                      </w:r>
                    </w:p>
                    <w:p w14:paraId="7B5A3D49" w14:textId="6E077055" w:rsidR="00636E80" w:rsidRPr="00E702DA" w:rsidRDefault="00636E80" w:rsidP="003E10CD">
                      <w:pPr>
                        <w:pStyle w:val="ListParagraph"/>
                        <w:numPr>
                          <w:ilvl w:val="0"/>
                          <w:numId w:val="10"/>
                        </w:numPr>
                        <w:rPr>
                          <w:i/>
                          <w:sz w:val="22"/>
                          <w:szCs w:val="22"/>
                          <w:lang w:val="sq-AL"/>
                        </w:rPr>
                      </w:pPr>
                      <w:r w:rsidRPr="00E702DA">
                        <w:rPr>
                          <w:i/>
                          <w:sz w:val="22"/>
                          <w:szCs w:val="22"/>
                          <w:lang w:val="sq-AL"/>
                        </w:rPr>
                        <w:t xml:space="preserve">Ngritja e kapaciteteve profesionale brenda komunave për hartimin e dokumenteve strategjike </w:t>
                      </w:r>
                    </w:p>
                    <w:p w14:paraId="4FEE1EF7" w14:textId="2E6D55DB" w:rsidR="00636E80" w:rsidRPr="00E702DA" w:rsidRDefault="00636E80" w:rsidP="003E10CD">
                      <w:pPr>
                        <w:pStyle w:val="ListParagraph"/>
                        <w:numPr>
                          <w:ilvl w:val="0"/>
                          <w:numId w:val="10"/>
                        </w:numPr>
                        <w:rPr>
                          <w:i/>
                          <w:sz w:val="22"/>
                          <w:szCs w:val="22"/>
                          <w:lang w:val="sq-AL"/>
                        </w:rPr>
                      </w:pPr>
                      <w:r w:rsidRPr="00E702DA">
                        <w:rPr>
                          <w:i/>
                          <w:sz w:val="22"/>
                          <w:szCs w:val="22"/>
                          <w:lang w:val="sq-AL"/>
                        </w:rPr>
                        <w:t>Krijimi i kornizës standarde për monitorimin e zbatueshmërisë së dokumenteve strategjike dhe ndikimit të tyre</w:t>
                      </w:r>
                    </w:p>
                    <w:p w14:paraId="7D26D6E6" w14:textId="33837878" w:rsidR="00636E80" w:rsidRPr="00E702DA" w:rsidRDefault="00636E80" w:rsidP="003E10CD">
                      <w:pPr>
                        <w:pStyle w:val="ListParagraph"/>
                        <w:numPr>
                          <w:ilvl w:val="0"/>
                          <w:numId w:val="10"/>
                        </w:numPr>
                        <w:rPr>
                          <w:i/>
                          <w:sz w:val="22"/>
                          <w:szCs w:val="22"/>
                          <w:lang w:val="sq-AL"/>
                        </w:rPr>
                      </w:pPr>
                      <w:r w:rsidRPr="00E702DA">
                        <w:rPr>
                          <w:i/>
                          <w:sz w:val="22"/>
                          <w:szCs w:val="22"/>
                          <w:lang w:val="sq-AL"/>
                        </w:rPr>
                        <w:t>Përfshirja e hisedarëve në hartimin e dokumenteve strategjike që nga fillimi i procesit</w:t>
                      </w:r>
                    </w:p>
                    <w:p w14:paraId="560F2858" w14:textId="55B15920" w:rsidR="00636E80" w:rsidRPr="00E702DA" w:rsidRDefault="00636E80" w:rsidP="00582CD9">
                      <w:pPr>
                        <w:pStyle w:val="ListParagraph"/>
                        <w:numPr>
                          <w:ilvl w:val="0"/>
                          <w:numId w:val="10"/>
                        </w:numPr>
                        <w:rPr>
                          <w:i/>
                          <w:sz w:val="22"/>
                          <w:szCs w:val="22"/>
                          <w:lang w:val="sq-AL"/>
                        </w:rPr>
                      </w:pPr>
                      <w:r w:rsidRPr="00E702DA">
                        <w:rPr>
                          <w:i/>
                          <w:sz w:val="22"/>
                          <w:szCs w:val="22"/>
                          <w:lang w:val="sq-AL"/>
                        </w:rPr>
                        <w:t xml:space="preserve">Krijimi i mundësisë që të rishikohen Planet Zhvillimore Komunale (psh. përmes votimit me shumicë të kualifikuar) </w:t>
                      </w:r>
                    </w:p>
                    <w:p w14:paraId="1E8B9C4D" w14:textId="0FB5100C" w:rsidR="00636E80" w:rsidRPr="00E702DA" w:rsidRDefault="00636E80" w:rsidP="00582CD9">
                      <w:pPr>
                        <w:pStyle w:val="ListParagraph"/>
                        <w:numPr>
                          <w:ilvl w:val="0"/>
                          <w:numId w:val="10"/>
                        </w:numPr>
                        <w:rPr>
                          <w:i/>
                          <w:sz w:val="22"/>
                          <w:szCs w:val="22"/>
                          <w:lang w:val="sq-AL"/>
                        </w:rPr>
                      </w:pPr>
                      <w:r w:rsidRPr="00E702DA">
                        <w:rPr>
                          <w:i/>
                          <w:sz w:val="22"/>
                          <w:szCs w:val="22"/>
                          <w:lang w:val="sq-AL"/>
                        </w:rPr>
                        <w:t xml:space="preserve">Finalizimi i hartave zonale komunale </w:t>
                      </w:r>
                    </w:p>
                    <w:p w14:paraId="6CF7F1C3" w14:textId="77777777" w:rsidR="00636E80" w:rsidRPr="00E702DA" w:rsidRDefault="00636E80" w:rsidP="00582CD9">
                      <w:pPr>
                        <w:pStyle w:val="ListParagraph"/>
                        <w:numPr>
                          <w:ilvl w:val="0"/>
                          <w:numId w:val="10"/>
                        </w:numPr>
                        <w:rPr>
                          <w:i/>
                          <w:sz w:val="22"/>
                          <w:szCs w:val="22"/>
                          <w:lang w:val="sq-AL"/>
                        </w:rPr>
                      </w:pPr>
                      <w:r w:rsidRPr="00E702DA">
                        <w:rPr>
                          <w:i/>
                          <w:sz w:val="22"/>
                          <w:szCs w:val="22"/>
                          <w:lang w:val="sq-AL"/>
                        </w:rPr>
                        <w:t>Harmonizimi i strategjive komunale me strategjitë nacionale</w:t>
                      </w:r>
                    </w:p>
                  </w:txbxContent>
                </v:textbox>
                <w10:wrap anchorx="margin"/>
              </v:shape>
            </w:pict>
          </mc:Fallback>
        </mc:AlternateContent>
      </w:r>
    </w:p>
    <w:p w14:paraId="7AA794E7" w14:textId="2D281DC9" w:rsidR="009E674D" w:rsidRDefault="009E674D" w:rsidP="009E674D">
      <w:pPr>
        <w:rPr>
          <w:lang w:val="sq-AL"/>
        </w:rPr>
      </w:pPr>
    </w:p>
    <w:p w14:paraId="436899CD" w14:textId="6202C3A2" w:rsidR="009E674D" w:rsidRDefault="009E674D" w:rsidP="009E674D">
      <w:pPr>
        <w:rPr>
          <w:lang w:val="sq-AL"/>
        </w:rPr>
      </w:pPr>
    </w:p>
    <w:p w14:paraId="3D270B53" w14:textId="1DEA398F" w:rsidR="009E674D" w:rsidRDefault="009E674D" w:rsidP="009E674D">
      <w:pPr>
        <w:rPr>
          <w:lang w:val="sq-AL"/>
        </w:rPr>
      </w:pPr>
    </w:p>
    <w:p w14:paraId="3DAEE496" w14:textId="79842CD3" w:rsidR="009E674D" w:rsidRDefault="009E674D" w:rsidP="009E674D">
      <w:pPr>
        <w:rPr>
          <w:lang w:val="sq-AL"/>
        </w:rPr>
      </w:pPr>
    </w:p>
    <w:p w14:paraId="5EB88ECA" w14:textId="694ACA33" w:rsidR="009E674D" w:rsidRDefault="009E674D" w:rsidP="009E674D">
      <w:pPr>
        <w:rPr>
          <w:lang w:val="sq-AL"/>
        </w:rPr>
      </w:pPr>
    </w:p>
    <w:p w14:paraId="753BF92A" w14:textId="18D2BD04" w:rsidR="009E674D" w:rsidRDefault="009E674D" w:rsidP="009E674D">
      <w:pPr>
        <w:rPr>
          <w:lang w:val="sq-AL"/>
        </w:rPr>
      </w:pPr>
    </w:p>
    <w:p w14:paraId="67AA0690" w14:textId="067C1BA8" w:rsidR="009E674D" w:rsidRDefault="009E674D" w:rsidP="009E674D">
      <w:pPr>
        <w:rPr>
          <w:lang w:val="sq-AL"/>
        </w:rPr>
      </w:pPr>
    </w:p>
    <w:p w14:paraId="623DC1F0" w14:textId="77777777" w:rsidR="009E674D" w:rsidRPr="009E674D" w:rsidRDefault="009E674D" w:rsidP="009E674D">
      <w:pPr>
        <w:rPr>
          <w:lang w:val="sq-AL"/>
        </w:rPr>
      </w:pPr>
    </w:p>
    <w:p w14:paraId="77BF3AE4" w14:textId="4DAD8701" w:rsidR="00964C12" w:rsidRPr="009E674D" w:rsidRDefault="009E674D" w:rsidP="00CD2C12">
      <w:pPr>
        <w:pStyle w:val="Heading3"/>
        <w:rPr>
          <w:rFonts w:eastAsia="Times New Roman"/>
          <w:lang w:val="sq-AL"/>
        </w:rPr>
      </w:pPr>
      <w:bookmarkStart w:id="26" w:name="_Toc132188446"/>
      <w:r>
        <w:rPr>
          <w:rFonts w:eastAsia="Times New Roman"/>
          <w:lang w:val="sq-AL"/>
        </w:rPr>
        <w:t>Objektivi specifik</w:t>
      </w:r>
      <w:r w:rsidR="00964C12" w:rsidRPr="009E674D">
        <w:rPr>
          <w:rFonts w:eastAsia="Times New Roman"/>
          <w:lang w:val="sq-AL"/>
        </w:rPr>
        <w:t xml:space="preserve"> 4.3: </w:t>
      </w:r>
      <w:r w:rsidR="001D5E32" w:rsidRPr="009E674D">
        <w:rPr>
          <w:rFonts w:eastAsia="Times New Roman"/>
          <w:lang w:val="sq-AL"/>
        </w:rPr>
        <w:t>Përmirësimi i shërbimit</w:t>
      </w:r>
      <w:r w:rsidR="00964C12" w:rsidRPr="009E674D">
        <w:rPr>
          <w:rFonts w:eastAsia="Times New Roman"/>
          <w:lang w:val="sq-AL"/>
        </w:rPr>
        <w:t xml:space="preserve"> dhe </w:t>
      </w:r>
      <w:r w:rsidR="00CD2C12" w:rsidRPr="009E674D">
        <w:rPr>
          <w:rFonts w:eastAsia="Times New Roman"/>
          <w:lang w:val="sq-AL"/>
        </w:rPr>
        <w:t>p</w:t>
      </w:r>
      <w:r w:rsidR="00CD2C12" w:rsidRPr="009E674D">
        <w:rPr>
          <w:lang w:val="sq-AL"/>
        </w:rPr>
        <w:t>ërgjegjshmërisë komunale</w:t>
      </w:r>
      <w:bookmarkEnd w:id="26"/>
    </w:p>
    <w:p w14:paraId="7E43292C" w14:textId="7CA47DD5" w:rsidR="002F1E54" w:rsidRPr="009E674D" w:rsidRDefault="006C4C16" w:rsidP="002F1E54">
      <w:pPr>
        <w:jc w:val="both"/>
        <w:rPr>
          <w:lang w:val="sq-AL"/>
        </w:rPr>
      </w:pPr>
      <w:r w:rsidRPr="009E674D">
        <w:rPr>
          <w:lang w:val="sq-AL"/>
        </w:rPr>
        <w:br/>
        <w:t>Ngritja e cilësisë së shërbimeve publike dhe administrative, si dhe</w:t>
      </w:r>
      <w:r w:rsidR="002F1E54" w:rsidRPr="009E674D">
        <w:rPr>
          <w:lang w:val="sq-AL"/>
        </w:rPr>
        <w:t xml:space="preserve"> përmirësimi i</w:t>
      </w:r>
      <w:r w:rsidRPr="009E674D">
        <w:rPr>
          <w:lang w:val="sq-AL"/>
        </w:rPr>
        <w:t xml:space="preserve"> </w:t>
      </w:r>
      <w:r w:rsidR="002F1E54" w:rsidRPr="009E674D">
        <w:rPr>
          <w:lang w:val="sq-AL"/>
        </w:rPr>
        <w:t>llogari</w:t>
      </w:r>
      <w:r w:rsidRPr="009E674D">
        <w:rPr>
          <w:lang w:val="sq-AL"/>
        </w:rPr>
        <w:t>dhënies</w:t>
      </w:r>
      <w:r w:rsidR="00E702DA" w:rsidRPr="009E674D">
        <w:rPr>
          <w:lang w:val="sq-AL"/>
        </w:rPr>
        <w:t>,</w:t>
      </w:r>
      <w:r w:rsidRPr="009E674D">
        <w:rPr>
          <w:lang w:val="sq-AL"/>
        </w:rPr>
        <w:t xml:space="preserve"> </w:t>
      </w:r>
      <w:r w:rsidR="002F1E54" w:rsidRPr="009E674D">
        <w:rPr>
          <w:lang w:val="sq-AL"/>
        </w:rPr>
        <w:t xml:space="preserve">i kontribuojnë mirëqenies </w:t>
      </w:r>
      <w:r w:rsidR="00B25024" w:rsidRPr="009E674D">
        <w:rPr>
          <w:lang w:val="sq-AL"/>
        </w:rPr>
        <w:t>qytetar</w:t>
      </w:r>
      <w:r w:rsidR="00B25024">
        <w:rPr>
          <w:lang w:val="sq-AL"/>
        </w:rPr>
        <w:t>e</w:t>
      </w:r>
      <w:r w:rsidR="00B25024" w:rsidRPr="009E674D">
        <w:rPr>
          <w:lang w:val="sq-AL"/>
        </w:rPr>
        <w:t xml:space="preserve"> </w:t>
      </w:r>
      <w:r w:rsidR="002F1E54" w:rsidRPr="009E674D">
        <w:rPr>
          <w:lang w:val="sq-AL"/>
        </w:rPr>
        <w:t>dhe lehtësojnë veprimtarinë bizn</w:t>
      </w:r>
      <w:r w:rsidR="009E674D">
        <w:rPr>
          <w:lang w:val="sq-AL"/>
        </w:rPr>
        <w:t>esore. Për t’u arritur ky objektiv specifik</w:t>
      </w:r>
      <w:r w:rsidR="002F1E54" w:rsidRPr="009E674D">
        <w:rPr>
          <w:lang w:val="sq-AL"/>
        </w:rPr>
        <w:t>, do të punohet në digjitalizimin e shërbimeve komunale dhe shfaqjes së tyre për aplikim në E-Kosova. Për më shumë, do të inkurajohet themelimi</w:t>
      </w:r>
      <w:r w:rsidR="00E702DA" w:rsidRPr="009E674D">
        <w:rPr>
          <w:lang w:val="sq-AL"/>
        </w:rPr>
        <w:t xml:space="preserve"> i</w:t>
      </w:r>
      <w:r w:rsidR="002F1E54" w:rsidRPr="009E674D">
        <w:rPr>
          <w:lang w:val="sq-AL"/>
        </w:rPr>
        <w:t xml:space="preserve"> ndërmarrjeve komunale të reja për </w:t>
      </w:r>
      <w:r w:rsidR="00B25024" w:rsidRPr="009E674D">
        <w:rPr>
          <w:lang w:val="sq-AL"/>
        </w:rPr>
        <w:t>t</w:t>
      </w:r>
      <w:r w:rsidR="00B25024">
        <w:rPr>
          <w:lang w:val="sq-AL"/>
        </w:rPr>
        <w:t>a</w:t>
      </w:r>
      <w:r w:rsidR="00B25024" w:rsidRPr="009E674D">
        <w:rPr>
          <w:lang w:val="sq-AL"/>
        </w:rPr>
        <w:t xml:space="preserve"> </w:t>
      </w:r>
      <w:r w:rsidR="002F1E54" w:rsidRPr="009E674D">
        <w:rPr>
          <w:lang w:val="sq-AL"/>
        </w:rPr>
        <w:t>përmirësuar punë</w:t>
      </w:r>
      <w:r w:rsidR="007C54BD" w:rsidRPr="009E674D">
        <w:rPr>
          <w:lang w:val="sq-AL"/>
        </w:rPr>
        <w:t>n</w:t>
      </w:r>
      <w:r w:rsidR="002F1E54" w:rsidRPr="009E674D">
        <w:rPr>
          <w:lang w:val="sq-AL"/>
        </w:rPr>
        <w:t xml:space="preserve"> dhe cilësinë e shërbimeve komunale. Komunave do t’u </w:t>
      </w:r>
      <w:r w:rsidR="00B45AE2" w:rsidRPr="009E674D">
        <w:rPr>
          <w:lang w:val="sq-AL"/>
        </w:rPr>
        <w:t>ofrohet mbështetje për ta bër</w:t>
      </w:r>
      <w:r w:rsidR="002F1E54" w:rsidRPr="009E674D">
        <w:rPr>
          <w:lang w:val="sq-AL"/>
        </w:rPr>
        <w:t>ë vendosjen e tarifave konform kostove të shërbimeve dhe kë</w:t>
      </w:r>
      <w:r w:rsidR="007C54BD" w:rsidRPr="009E674D">
        <w:rPr>
          <w:lang w:val="sq-AL"/>
        </w:rPr>
        <w:t xml:space="preserve">sisoj të ndihmohet zvogëlimi i </w:t>
      </w:r>
      <w:r w:rsidR="002F1E54" w:rsidRPr="009E674D">
        <w:rPr>
          <w:lang w:val="sq-AL"/>
        </w:rPr>
        <w:t>barrë</w:t>
      </w:r>
      <w:r w:rsidR="007C54BD" w:rsidRPr="009E674D">
        <w:rPr>
          <w:lang w:val="sq-AL"/>
        </w:rPr>
        <w:t>s</w:t>
      </w:r>
      <w:r w:rsidR="002F1E54" w:rsidRPr="009E674D">
        <w:rPr>
          <w:lang w:val="sq-AL"/>
        </w:rPr>
        <w:t xml:space="preserve"> administrative. </w:t>
      </w:r>
      <w:r w:rsidR="007C54BD" w:rsidRPr="009E674D">
        <w:rPr>
          <w:lang w:val="sq-AL"/>
        </w:rPr>
        <w:t xml:space="preserve">Në fushën e inspektimeve, është e rëndësishme që të behet qartësimi i kompetencave në mes të nivelit lokal dhe qendror. </w:t>
      </w:r>
    </w:p>
    <w:p w14:paraId="1B850A15" w14:textId="4F23E697" w:rsidR="009E674D" w:rsidRPr="009E674D" w:rsidRDefault="009E674D" w:rsidP="002F1E54">
      <w:pPr>
        <w:jc w:val="both"/>
        <w:rPr>
          <w:lang w:val="sq-AL"/>
        </w:rPr>
      </w:pPr>
      <w:r w:rsidRPr="009E674D">
        <w:rPr>
          <w:lang w:val="sq-AL"/>
        </w:rPr>
        <w:t>Ky</w:t>
      </w:r>
      <w:r w:rsidR="00EF5611" w:rsidRPr="009E674D">
        <w:rPr>
          <w:lang w:val="sq-AL"/>
        </w:rPr>
        <w:t xml:space="preserve"> o</w:t>
      </w:r>
      <w:r w:rsidRPr="009E674D">
        <w:rPr>
          <w:lang w:val="sq-AL"/>
        </w:rPr>
        <w:t>bjektiv specifik</w:t>
      </w:r>
      <w:r w:rsidR="00AE4C40" w:rsidRPr="009E674D">
        <w:rPr>
          <w:lang w:val="sq-AL"/>
        </w:rPr>
        <w:t xml:space="preserve"> lidhet </w:t>
      </w:r>
      <w:r w:rsidR="00732F17" w:rsidRPr="009E674D">
        <w:rPr>
          <w:lang w:val="sq-AL"/>
        </w:rPr>
        <w:t xml:space="preserve">me </w:t>
      </w:r>
      <w:r w:rsidR="00AE4C40" w:rsidRPr="009E674D">
        <w:rPr>
          <w:lang w:val="sq-AL"/>
        </w:rPr>
        <w:t>O</w:t>
      </w:r>
      <w:r w:rsidRPr="009E674D">
        <w:rPr>
          <w:lang w:val="sq-AL"/>
        </w:rPr>
        <w:t>bjektivin</w:t>
      </w:r>
      <w:r w:rsidR="007C54BD" w:rsidRPr="009E674D">
        <w:rPr>
          <w:lang w:val="sq-AL"/>
        </w:rPr>
        <w:t xml:space="preserve"> 10.2 të SKZH-së</w:t>
      </w:r>
      <w:r w:rsidRPr="009E674D">
        <w:rPr>
          <w:lang w:val="sq-AL"/>
        </w:rPr>
        <w:t xml:space="preserve"> dhe PKZH-së</w:t>
      </w:r>
      <w:r w:rsidR="007C54BD" w:rsidRPr="009E674D">
        <w:rPr>
          <w:lang w:val="sq-AL"/>
        </w:rPr>
        <w:t>, që synon rritjen</w:t>
      </w:r>
      <w:r w:rsidR="00E702DA" w:rsidRPr="009E674D">
        <w:rPr>
          <w:lang w:val="sq-AL"/>
        </w:rPr>
        <w:t xml:space="preserve"> e efektivitetit të shërbimit</w:t>
      </w:r>
      <w:r w:rsidR="007C54BD" w:rsidRPr="009E674D">
        <w:rPr>
          <w:lang w:val="sq-AL"/>
        </w:rPr>
        <w:t xml:space="preserve"> publik dhe llogaridhënies në a</w:t>
      </w:r>
      <w:r w:rsidRPr="009E674D">
        <w:rPr>
          <w:lang w:val="sq-AL"/>
        </w:rPr>
        <w:t>dministratën publike. Edhe ky</w:t>
      </w:r>
      <w:r w:rsidR="00EF5611" w:rsidRPr="009E674D">
        <w:rPr>
          <w:lang w:val="sq-AL"/>
        </w:rPr>
        <w:t xml:space="preserve"> o</w:t>
      </w:r>
      <w:r w:rsidRPr="009E674D">
        <w:rPr>
          <w:lang w:val="sq-AL"/>
        </w:rPr>
        <w:t>bjektiv specifik</w:t>
      </w:r>
      <w:r w:rsidR="007C54BD" w:rsidRPr="009E674D">
        <w:rPr>
          <w:lang w:val="sq-AL"/>
        </w:rPr>
        <w:t xml:space="preserve"> i kontribuo</w:t>
      </w:r>
      <w:r w:rsidR="006A1D5A" w:rsidRPr="009E674D">
        <w:rPr>
          <w:lang w:val="sq-AL"/>
        </w:rPr>
        <w:t>n</w:t>
      </w:r>
      <w:r w:rsidR="007C54BD" w:rsidRPr="009E674D">
        <w:rPr>
          <w:lang w:val="sq-AL"/>
        </w:rPr>
        <w:t xml:space="preserve"> arritjes së SDG 16</w:t>
      </w:r>
      <w:r w:rsidR="00E702DA" w:rsidRPr="009E674D">
        <w:rPr>
          <w:lang w:val="sq-AL"/>
        </w:rPr>
        <w:t>,</w:t>
      </w:r>
      <w:r w:rsidR="007C54BD" w:rsidRPr="009E674D">
        <w:rPr>
          <w:lang w:val="sq-AL"/>
        </w:rPr>
        <w:t xml:space="preserve"> që ka të bëjë me institucionet e forta. </w:t>
      </w:r>
    </w:p>
    <w:p w14:paraId="26C882F3" w14:textId="77777777" w:rsidR="00582CD9" w:rsidRPr="009E674D" w:rsidRDefault="00582CD9" w:rsidP="002F1E54">
      <w:pPr>
        <w:jc w:val="both"/>
        <w:rPr>
          <w:lang w:val="sq-AL"/>
        </w:rPr>
      </w:pPr>
      <w:r w:rsidRPr="009E674D">
        <w:rPr>
          <w:noProof/>
        </w:rPr>
        <mc:AlternateContent>
          <mc:Choice Requires="wps">
            <w:drawing>
              <wp:anchor distT="0" distB="0" distL="114300" distR="114300" simplePos="0" relativeHeight="251772928" behindDoc="0" locked="0" layoutInCell="1" allowOverlap="1" wp14:anchorId="7613647E" wp14:editId="61032F88">
                <wp:simplePos x="0" y="0"/>
                <wp:positionH relativeFrom="margin">
                  <wp:posOffset>-7144</wp:posOffset>
                </wp:positionH>
                <wp:positionV relativeFrom="paragraph">
                  <wp:posOffset>8414</wp:posOffset>
                </wp:positionV>
                <wp:extent cx="5925185" cy="1693069"/>
                <wp:effectExtent l="0" t="0" r="18415" b="21590"/>
                <wp:wrapNone/>
                <wp:docPr id="57" name="Text Box 57"/>
                <wp:cNvGraphicFramePr/>
                <a:graphic xmlns:a="http://schemas.openxmlformats.org/drawingml/2006/main">
                  <a:graphicData uri="http://schemas.microsoft.com/office/word/2010/wordprocessingShape">
                    <wps:wsp>
                      <wps:cNvSpPr txBox="1"/>
                      <wps:spPr>
                        <a:xfrm>
                          <a:off x="0" y="0"/>
                          <a:ext cx="5925185" cy="1693069"/>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2829A91B" w14:textId="77777777" w:rsidR="00636E80" w:rsidRPr="00631A10" w:rsidRDefault="00636E80" w:rsidP="00582CD9">
                            <w:pPr>
                              <w:rPr>
                                <w:i/>
                              </w:rPr>
                            </w:pPr>
                            <w:r w:rsidRPr="00631A10">
                              <w:rPr>
                                <w:b/>
                                <w:i/>
                              </w:rPr>
                              <w:t>Të bëhet:</w:t>
                            </w:r>
                          </w:p>
                          <w:p w14:paraId="6149494C" w14:textId="08907A2D" w:rsidR="00636E80" w:rsidRPr="00E702DA" w:rsidRDefault="00636E80" w:rsidP="00582CD9">
                            <w:pPr>
                              <w:pStyle w:val="ListParagraph"/>
                              <w:numPr>
                                <w:ilvl w:val="0"/>
                                <w:numId w:val="10"/>
                              </w:numPr>
                              <w:rPr>
                                <w:i/>
                                <w:sz w:val="22"/>
                                <w:szCs w:val="22"/>
                                <w:lang w:val="sq-AL"/>
                              </w:rPr>
                            </w:pPr>
                            <w:r w:rsidRPr="00E702DA">
                              <w:rPr>
                                <w:i/>
                                <w:sz w:val="22"/>
                                <w:szCs w:val="22"/>
                                <w:lang w:val="sq-AL"/>
                              </w:rPr>
                              <w:t>Themelimi i ndërmarrjeve publike komunale të reja (sipas nevojës) për të përmirësuar cilësinë e punëve dhe shërbimeve komunale</w:t>
                            </w:r>
                          </w:p>
                          <w:p w14:paraId="538DD64E" w14:textId="30AD670F" w:rsidR="00636E80" w:rsidRPr="00E702DA" w:rsidRDefault="00636E80" w:rsidP="00582CD9">
                            <w:pPr>
                              <w:pStyle w:val="ListParagraph"/>
                              <w:numPr>
                                <w:ilvl w:val="0"/>
                                <w:numId w:val="10"/>
                              </w:numPr>
                              <w:rPr>
                                <w:i/>
                                <w:sz w:val="22"/>
                                <w:szCs w:val="22"/>
                                <w:lang w:val="sq-AL"/>
                              </w:rPr>
                            </w:pPr>
                            <w:r w:rsidRPr="00E702DA">
                              <w:rPr>
                                <w:i/>
                                <w:sz w:val="22"/>
                                <w:szCs w:val="22"/>
                                <w:lang w:val="sq-AL"/>
                              </w:rPr>
                              <w:t>Digjitalizimi i shërbimeve komunale dhe shfaqja e tyre për aplikim në E-Kosova</w:t>
                            </w:r>
                          </w:p>
                          <w:p w14:paraId="0363452F" w14:textId="6413CE6F" w:rsidR="00636E80" w:rsidRPr="00E702DA" w:rsidRDefault="00636E80" w:rsidP="00E702DA">
                            <w:pPr>
                              <w:pStyle w:val="ListParagraph"/>
                              <w:numPr>
                                <w:ilvl w:val="0"/>
                                <w:numId w:val="10"/>
                              </w:numPr>
                              <w:rPr>
                                <w:i/>
                                <w:sz w:val="22"/>
                                <w:szCs w:val="22"/>
                                <w:lang w:val="sq-AL"/>
                              </w:rPr>
                            </w:pPr>
                            <w:r w:rsidRPr="00E702DA">
                              <w:rPr>
                                <w:i/>
                                <w:sz w:val="22"/>
                                <w:szCs w:val="22"/>
                                <w:lang w:val="sq-AL"/>
                              </w:rPr>
                              <w:t>Ofrimi i mbështetjes për komuna që ta bëjnë vendosjen e tarifave konform kostove të shërbimeve</w:t>
                            </w:r>
                          </w:p>
                          <w:p w14:paraId="1261BD32" w14:textId="77777777" w:rsidR="00636E80" w:rsidRPr="00E702DA" w:rsidRDefault="00636E80" w:rsidP="00582CD9">
                            <w:pPr>
                              <w:pStyle w:val="ListParagraph"/>
                              <w:numPr>
                                <w:ilvl w:val="0"/>
                                <w:numId w:val="10"/>
                              </w:numPr>
                              <w:rPr>
                                <w:i/>
                                <w:sz w:val="22"/>
                                <w:szCs w:val="22"/>
                                <w:lang w:val="sq-AL"/>
                              </w:rPr>
                            </w:pPr>
                            <w:r w:rsidRPr="00E702DA">
                              <w:rPr>
                                <w:i/>
                                <w:sz w:val="22"/>
                                <w:szCs w:val="22"/>
                                <w:lang w:val="sq-AL"/>
                              </w:rPr>
                              <w:t>Qartësimi i kompetencave ne fushën e inspektimeve komunale</w:t>
                            </w:r>
                          </w:p>
                          <w:p w14:paraId="4AA3E594" w14:textId="77777777" w:rsidR="00636E80" w:rsidRPr="006045A3" w:rsidRDefault="00636E80" w:rsidP="00582CD9">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647E" id="Text Box 57" o:spid="_x0000_s1056" type="#_x0000_t202" style="position:absolute;left:0;text-align:left;margin-left:-.55pt;margin-top:.65pt;width:466.55pt;height:133.3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" fillcolor="#deebf7" strokecolor="#deebf7" strokeweight="1pt">
                <v:textbox>
                  <w:txbxContent>
                    <w:p w14:paraId="2829A91B" w14:textId="77777777" w:rsidR="00636E80" w:rsidRPr="00631A10" w:rsidRDefault="00636E80" w:rsidP="00582CD9">
                      <w:pPr>
                        <w:rPr>
                          <w:i/>
                        </w:rPr>
                      </w:pPr>
                      <w:r w:rsidRPr="00631A10">
                        <w:rPr>
                          <w:b/>
                          <w:i/>
                        </w:rPr>
                        <w:t>Të bëhet:</w:t>
                      </w:r>
                    </w:p>
                    <w:p w14:paraId="6149494C" w14:textId="08907A2D" w:rsidR="00636E80" w:rsidRPr="00E702DA" w:rsidRDefault="00636E80" w:rsidP="00582CD9">
                      <w:pPr>
                        <w:pStyle w:val="ListParagraph"/>
                        <w:numPr>
                          <w:ilvl w:val="0"/>
                          <w:numId w:val="10"/>
                        </w:numPr>
                        <w:rPr>
                          <w:i/>
                          <w:sz w:val="22"/>
                          <w:szCs w:val="22"/>
                          <w:lang w:val="sq-AL"/>
                        </w:rPr>
                      </w:pPr>
                      <w:r w:rsidRPr="00E702DA">
                        <w:rPr>
                          <w:i/>
                          <w:sz w:val="22"/>
                          <w:szCs w:val="22"/>
                          <w:lang w:val="sq-AL"/>
                        </w:rPr>
                        <w:t>Themelimi i ndërmarrjeve publike komunale të reja (sipas nevojës) për të përmirësuar cilësinë e punëve dhe shërbimeve komunale</w:t>
                      </w:r>
                    </w:p>
                    <w:p w14:paraId="538DD64E" w14:textId="30AD670F" w:rsidR="00636E80" w:rsidRPr="00E702DA" w:rsidRDefault="00636E80" w:rsidP="00582CD9">
                      <w:pPr>
                        <w:pStyle w:val="ListParagraph"/>
                        <w:numPr>
                          <w:ilvl w:val="0"/>
                          <w:numId w:val="10"/>
                        </w:numPr>
                        <w:rPr>
                          <w:i/>
                          <w:sz w:val="22"/>
                          <w:szCs w:val="22"/>
                          <w:lang w:val="sq-AL"/>
                        </w:rPr>
                      </w:pPr>
                      <w:r w:rsidRPr="00E702DA">
                        <w:rPr>
                          <w:i/>
                          <w:sz w:val="22"/>
                          <w:szCs w:val="22"/>
                          <w:lang w:val="sq-AL"/>
                        </w:rPr>
                        <w:t>Digjitalizimi i shërbimeve komunale dhe shfaqja e tyre për aplikim në E-Kosova</w:t>
                      </w:r>
                    </w:p>
                    <w:p w14:paraId="0363452F" w14:textId="6413CE6F" w:rsidR="00636E80" w:rsidRPr="00E702DA" w:rsidRDefault="00636E80" w:rsidP="00E702DA">
                      <w:pPr>
                        <w:pStyle w:val="ListParagraph"/>
                        <w:numPr>
                          <w:ilvl w:val="0"/>
                          <w:numId w:val="10"/>
                        </w:numPr>
                        <w:rPr>
                          <w:i/>
                          <w:sz w:val="22"/>
                          <w:szCs w:val="22"/>
                          <w:lang w:val="sq-AL"/>
                        </w:rPr>
                      </w:pPr>
                      <w:r w:rsidRPr="00E702DA">
                        <w:rPr>
                          <w:i/>
                          <w:sz w:val="22"/>
                          <w:szCs w:val="22"/>
                          <w:lang w:val="sq-AL"/>
                        </w:rPr>
                        <w:t>Ofrimi i mbështetjes për komuna që ta bëjnë vendosjen e tarifave konform kostove të shërbimeve</w:t>
                      </w:r>
                    </w:p>
                    <w:p w14:paraId="1261BD32" w14:textId="77777777" w:rsidR="00636E80" w:rsidRPr="00E702DA" w:rsidRDefault="00636E80" w:rsidP="00582CD9">
                      <w:pPr>
                        <w:pStyle w:val="ListParagraph"/>
                        <w:numPr>
                          <w:ilvl w:val="0"/>
                          <w:numId w:val="10"/>
                        </w:numPr>
                        <w:rPr>
                          <w:i/>
                          <w:sz w:val="22"/>
                          <w:szCs w:val="22"/>
                          <w:lang w:val="sq-AL"/>
                        </w:rPr>
                      </w:pPr>
                      <w:r w:rsidRPr="00E702DA">
                        <w:rPr>
                          <w:i/>
                          <w:sz w:val="22"/>
                          <w:szCs w:val="22"/>
                          <w:lang w:val="sq-AL"/>
                        </w:rPr>
                        <w:t>Qartësimi i kompetencave ne fushën e inspektimeve komunale</w:t>
                      </w:r>
                    </w:p>
                    <w:p w14:paraId="4AA3E594" w14:textId="77777777" w:rsidR="00636E80" w:rsidRPr="006045A3" w:rsidRDefault="00636E80" w:rsidP="00582CD9">
                      <w:pPr>
                        <w:pStyle w:val="ListParagraph"/>
                      </w:pPr>
                    </w:p>
                  </w:txbxContent>
                </v:textbox>
                <w10:wrap anchorx="margin"/>
              </v:shape>
            </w:pict>
          </mc:Fallback>
        </mc:AlternateContent>
      </w:r>
    </w:p>
    <w:p w14:paraId="75545ABF" w14:textId="77777777" w:rsidR="00582CD9" w:rsidRPr="009E674D" w:rsidRDefault="00582CD9" w:rsidP="002F1E54">
      <w:pPr>
        <w:jc w:val="both"/>
        <w:rPr>
          <w:lang w:val="sq-AL"/>
        </w:rPr>
      </w:pPr>
    </w:p>
    <w:p w14:paraId="402A539D" w14:textId="77777777" w:rsidR="00582CD9" w:rsidRPr="009E674D" w:rsidRDefault="00582CD9" w:rsidP="002F1E54">
      <w:pPr>
        <w:jc w:val="both"/>
        <w:rPr>
          <w:lang w:val="sq-AL"/>
        </w:rPr>
      </w:pPr>
    </w:p>
    <w:p w14:paraId="32D67C30" w14:textId="20F9C75B" w:rsidR="007C54BD" w:rsidRPr="009E674D" w:rsidRDefault="009E674D" w:rsidP="007C54BD">
      <w:pPr>
        <w:pStyle w:val="Heading3"/>
        <w:rPr>
          <w:rFonts w:eastAsia="Times New Roman"/>
          <w:lang w:val="sq-AL"/>
        </w:rPr>
      </w:pPr>
      <w:bookmarkStart w:id="27" w:name="_Toc132188447"/>
      <w:r>
        <w:rPr>
          <w:rFonts w:eastAsia="Times New Roman"/>
          <w:lang w:val="sq-AL"/>
        </w:rPr>
        <w:lastRenderedPageBreak/>
        <w:t>Objektivi specifik</w:t>
      </w:r>
      <w:r w:rsidR="007C54BD" w:rsidRPr="009E674D">
        <w:rPr>
          <w:rFonts w:eastAsia="Times New Roman"/>
          <w:lang w:val="sq-AL"/>
        </w:rPr>
        <w:t xml:space="preserve"> 4.4: </w:t>
      </w:r>
      <w:r w:rsidR="00334D5D" w:rsidRPr="009E674D">
        <w:rPr>
          <w:rFonts w:eastAsia="Times New Roman"/>
          <w:lang w:val="sq-AL"/>
        </w:rPr>
        <w:t>Forcimi i</w:t>
      </w:r>
      <w:r w:rsidR="00C0754B" w:rsidRPr="009E674D">
        <w:rPr>
          <w:rFonts w:eastAsia="Times New Roman"/>
          <w:lang w:val="sq-AL"/>
        </w:rPr>
        <w:t xml:space="preserve"> partneriteti</w:t>
      </w:r>
      <w:r w:rsidR="00334D5D" w:rsidRPr="009E674D">
        <w:rPr>
          <w:rFonts w:eastAsia="Times New Roman"/>
          <w:lang w:val="sq-AL"/>
        </w:rPr>
        <w:t>t</w:t>
      </w:r>
      <w:r w:rsidR="00C0754B" w:rsidRPr="009E674D">
        <w:rPr>
          <w:rFonts w:eastAsia="Times New Roman"/>
          <w:lang w:val="sq-AL"/>
        </w:rPr>
        <w:t xml:space="preserve"> për zhvillim ekonomik</w:t>
      </w:r>
      <w:r w:rsidR="00582CD9" w:rsidRPr="009E674D">
        <w:rPr>
          <w:rFonts w:eastAsia="Times New Roman"/>
          <w:lang w:val="sq-AL"/>
        </w:rPr>
        <w:t xml:space="preserve"> lokal</w:t>
      </w:r>
      <w:bookmarkEnd w:id="27"/>
    </w:p>
    <w:p w14:paraId="69670238" w14:textId="58963384" w:rsidR="00C0754B" w:rsidRPr="009E674D" w:rsidRDefault="007C54BD" w:rsidP="00C0754B">
      <w:pPr>
        <w:jc w:val="both"/>
        <w:rPr>
          <w:lang w:val="sq-AL"/>
        </w:rPr>
      </w:pPr>
      <w:r w:rsidRPr="009E674D">
        <w:rPr>
          <w:rFonts w:ascii="Calibri" w:eastAsia="Times New Roman" w:hAnsi="Calibri" w:cs="Calibri"/>
          <w:iCs/>
          <w:color w:val="000000"/>
          <w:sz w:val="20"/>
          <w:szCs w:val="20"/>
          <w:lang w:val="sq-AL"/>
        </w:rPr>
        <w:br/>
      </w:r>
      <w:r w:rsidR="00A65E6A" w:rsidRPr="009E674D">
        <w:rPr>
          <w:lang w:val="sq-AL"/>
        </w:rPr>
        <w:t>Dialogu me</w:t>
      </w:r>
      <w:r w:rsidRPr="009E674D">
        <w:rPr>
          <w:lang w:val="sq-AL"/>
        </w:rPr>
        <w:t xml:space="preserve"> komunitetin</w:t>
      </w:r>
      <w:r w:rsidR="00EF30E4" w:rsidRPr="009E674D">
        <w:rPr>
          <w:lang w:val="sq-AL"/>
        </w:rPr>
        <w:t xml:space="preserve"> e </w:t>
      </w:r>
      <w:r w:rsidR="006A1D5A" w:rsidRPr="009E674D">
        <w:rPr>
          <w:lang w:val="sq-AL"/>
        </w:rPr>
        <w:t>biznesit</w:t>
      </w:r>
      <w:r w:rsidRPr="009E674D">
        <w:rPr>
          <w:lang w:val="sq-AL"/>
        </w:rPr>
        <w:t xml:space="preserve">, </w:t>
      </w:r>
      <w:r w:rsidR="00481E2A" w:rsidRPr="009E674D">
        <w:rPr>
          <w:lang w:val="sq-AL"/>
        </w:rPr>
        <w:t>bashkëpunimi</w:t>
      </w:r>
      <w:r w:rsidR="006A1D5A" w:rsidRPr="009E674D">
        <w:rPr>
          <w:lang w:val="sq-AL"/>
        </w:rPr>
        <w:t xml:space="preserve"> me nivelin qendror</w:t>
      </w:r>
      <w:r w:rsidR="00A65E6A" w:rsidRPr="009E674D">
        <w:rPr>
          <w:lang w:val="sq-AL"/>
        </w:rPr>
        <w:t>, si</w:t>
      </w:r>
      <w:r w:rsidR="006A1D5A" w:rsidRPr="009E674D">
        <w:rPr>
          <w:lang w:val="sq-AL"/>
        </w:rPr>
        <w:t xml:space="preserve"> dhe </w:t>
      </w:r>
      <w:r w:rsidR="00A65E6A" w:rsidRPr="009E674D">
        <w:rPr>
          <w:lang w:val="sq-AL"/>
        </w:rPr>
        <w:t xml:space="preserve">krijimi i aleancave komunale përtej kufijve janë të rëndësishme për adresim më të mirë të sfidave ekonomike dhe krijim të mundësive </w:t>
      </w:r>
      <w:r w:rsidR="00481E2A" w:rsidRPr="009E674D">
        <w:rPr>
          <w:lang w:val="sq-AL"/>
        </w:rPr>
        <w:t xml:space="preserve">të </w:t>
      </w:r>
      <w:r w:rsidR="00A65E6A" w:rsidRPr="009E674D">
        <w:rPr>
          <w:lang w:val="sq-AL"/>
        </w:rPr>
        <w:t xml:space="preserve">përbashkëta për zhvillim. Për </w:t>
      </w:r>
      <w:r w:rsidR="002F201B" w:rsidRPr="009E674D">
        <w:rPr>
          <w:lang w:val="sq-AL"/>
        </w:rPr>
        <w:t>t</w:t>
      </w:r>
      <w:r w:rsidR="002F201B">
        <w:rPr>
          <w:lang w:val="sq-AL"/>
        </w:rPr>
        <w:t>a</w:t>
      </w:r>
      <w:r w:rsidR="002F201B" w:rsidRPr="009E674D">
        <w:rPr>
          <w:lang w:val="sq-AL"/>
        </w:rPr>
        <w:t xml:space="preserve"> </w:t>
      </w:r>
      <w:r w:rsidR="00A65E6A" w:rsidRPr="009E674D">
        <w:rPr>
          <w:lang w:val="sq-AL"/>
        </w:rPr>
        <w:t>përmirësuar dialogu</w:t>
      </w:r>
      <w:r w:rsidR="00481E2A" w:rsidRPr="009E674D">
        <w:rPr>
          <w:lang w:val="sq-AL"/>
        </w:rPr>
        <w:t>n</w:t>
      </w:r>
      <w:r w:rsidR="00A65E6A" w:rsidRPr="009E674D">
        <w:rPr>
          <w:lang w:val="sq-AL"/>
        </w:rPr>
        <w:t xml:space="preserve"> publiko-privat, është e nevojshme që të stimulohet krijimi i shoqatave lokale për përfaqësim të sektorit privat dhe të</w:t>
      </w:r>
      <w:r w:rsidR="00481E2A" w:rsidRPr="009E674D">
        <w:rPr>
          <w:lang w:val="sq-AL"/>
        </w:rPr>
        <w:t xml:space="preserve"> krijohen</w:t>
      </w:r>
      <w:r w:rsidR="00A65E6A" w:rsidRPr="009E674D">
        <w:rPr>
          <w:lang w:val="sq-AL"/>
        </w:rPr>
        <w:t xml:space="preserve"> mekanizma për bashkëpunim sistematik me shoqatat e krijuara. Gjithashtu, duhet të krijohen politikat stimulu</w:t>
      </w:r>
      <w:r w:rsidR="007C4EB3" w:rsidRPr="009E674D">
        <w:rPr>
          <w:lang w:val="sq-AL"/>
        </w:rPr>
        <w:t>e</w:t>
      </w:r>
      <w:r w:rsidR="00A65E6A" w:rsidRPr="009E674D">
        <w:rPr>
          <w:lang w:val="sq-AL"/>
        </w:rPr>
        <w:t>se për anëtarët e këshillave të fshatrave dhe lagjeve urbane</w:t>
      </w:r>
      <w:r w:rsidR="002F201B">
        <w:rPr>
          <w:lang w:val="sq-AL"/>
        </w:rPr>
        <w:t>, ashtu</w:t>
      </w:r>
      <w:r w:rsidR="00A65E6A" w:rsidRPr="009E674D">
        <w:rPr>
          <w:lang w:val="sq-AL"/>
        </w:rPr>
        <w:t xml:space="preserve"> që të angazhohen më shumë në artikulimin e </w:t>
      </w:r>
      <w:r w:rsidR="00481E2A" w:rsidRPr="009E674D">
        <w:rPr>
          <w:lang w:val="sq-AL"/>
        </w:rPr>
        <w:t>sfidave</w:t>
      </w:r>
      <w:r w:rsidR="00A65E6A" w:rsidRPr="009E674D">
        <w:rPr>
          <w:lang w:val="sq-AL"/>
        </w:rPr>
        <w:t xml:space="preserve"> dhe nevojave p</w:t>
      </w:r>
      <w:r w:rsidR="00C0754B" w:rsidRPr="009E674D">
        <w:rPr>
          <w:lang w:val="sq-AL"/>
        </w:rPr>
        <w:t>ë</w:t>
      </w:r>
      <w:r w:rsidR="00A65E6A" w:rsidRPr="009E674D">
        <w:rPr>
          <w:lang w:val="sq-AL"/>
        </w:rPr>
        <w:t>r zhvillim</w:t>
      </w:r>
      <w:r w:rsidR="00481E2A" w:rsidRPr="009E674D">
        <w:rPr>
          <w:lang w:val="sq-AL"/>
        </w:rPr>
        <w:t xml:space="preserve"> të</w:t>
      </w:r>
      <w:r w:rsidR="00A65E6A" w:rsidRPr="009E674D">
        <w:rPr>
          <w:lang w:val="sq-AL"/>
        </w:rPr>
        <w:t xml:space="preserve"> ekonomisë</w:t>
      </w:r>
      <w:r w:rsidR="00481E2A" w:rsidRPr="009E674D">
        <w:rPr>
          <w:lang w:val="sq-AL"/>
        </w:rPr>
        <w:t xml:space="preserve"> lokale</w:t>
      </w:r>
      <w:r w:rsidR="00A65E6A" w:rsidRPr="009E674D">
        <w:rPr>
          <w:lang w:val="sq-AL"/>
        </w:rPr>
        <w:t>. P</w:t>
      </w:r>
      <w:r w:rsidR="00C0754B" w:rsidRPr="009E674D">
        <w:rPr>
          <w:lang w:val="sq-AL"/>
        </w:rPr>
        <w:t>ë</w:t>
      </w:r>
      <w:r w:rsidR="00A65E6A" w:rsidRPr="009E674D">
        <w:rPr>
          <w:lang w:val="sq-AL"/>
        </w:rPr>
        <w:t>r bashk</w:t>
      </w:r>
      <w:r w:rsidR="00C0754B" w:rsidRPr="009E674D">
        <w:rPr>
          <w:lang w:val="sq-AL"/>
        </w:rPr>
        <w:t>ë</w:t>
      </w:r>
      <w:r w:rsidR="00A65E6A" w:rsidRPr="009E674D">
        <w:rPr>
          <w:lang w:val="sq-AL"/>
        </w:rPr>
        <w:t>punim nd</w:t>
      </w:r>
      <w:r w:rsidR="00C0754B" w:rsidRPr="009E674D">
        <w:rPr>
          <w:lang w:val="sq-AL"/>
        </w:rPr>
        <w:t>ë</w:t>
      </w:r>
      <w:r w:rsidR="00A65E6A" w:rsidRPr="009E674D">
        <w:rPr>
          <w:lang w:val="sq-AL"/>
        </w:rPr>
        <w:t xml:space="preserve">rkomunal, </w:t>
      </w:r>
      <w:r w:rsidR="00C0754B" w:rsidRPr="009E674D">
        <w:rPr>
          <w:lang w:val="sq-AL"/>
        </w:rPr>
        <w:t>duhet që të i</w:t>
      </w:r>
      <w:r w:rsidR="00481E2A" w:rsidRPr="009E674D">
        <w:rPr>
          <w:lang w:val="sq-AL"/>
        </w:rPr>
        <w:t>dentifikohen fushat e</w:t>
      </w:r>
      <w:r w:rsidR="00A65E6A" w:rsidRPr="009E674D">
        <w:rPr>
          <w:lang w:val="sq-AL"/>
        </w:rPr>
        <w:t xml:space="preserve"> përbashkëta me potencial zhvillimor </w:t>
      </w:r>
      <w:r w:rsidR="00C0754B" w:rsidRPr="009E674D">
        <w:rPr>
          <w:lang w:val="sq-AL"/>
        </w:rPr>
        <w:t>dhe të përkrahet zhvillimi i tyre. Ngjashëm edhe tek rasti i bashkëpunimit komunal ndërkufitar. Tek bashkëpunimi me nivelin qendror, do të krijohet mekanizmi i veçantë për koordinimin e procesit të financimit të investimeve nga niveli qendror në nivelin lokal.</w:t>
      </w:r>
    </w:p>
    <w:p w14:paraId="2FCD14CF" w14:textId="79300815" w:rsidR="00582CD9" w:rsidRPr="009E674D" w:rsidRDefault="009E674D" w:rsidP="00C0754B">
      <w:pPr>
        <w:jc w:val="both"/>
        <w:rPr>
          <w:lang w:val="sq-AL"/>
        </w:rPr>
      </w:pPr>
      <w:r>
        <w:rPr>
          <w:lang w:val="sq-AL"/>
        </w:rPr>
        <w:t>Në terma të gjerë, ky objektiv specifik</w:t>
      </w:r>
      <w:r w:rsidR="00481E2A" w:rsidRPr="009E674D">
        <w:rPr>
          <w:lang w:val="sq-AL"/>
        </w:rPr>
        <w:t xml:space="preserve"> lidhet me O</w:t>
      </w:r>
      <w:r w:rsidRPr="009E674D">
        <w:rPr>
          <w:lang w:val="sq-AL"/>
        </w:rPr>
        <w:t>bjektivin</w:t>
      </w:r>
      <w:r w:rsidR="00C0754B" w:rsidRPr="009E674D">
        <w:rPr>
          <w:lang w:val="sq-AL"/>
        </w:rPr>
        <w:t xml:space="preserve"> 10.3 të SKZH-së</w:t>
      </w:r>
      <w:r w:rsidRPr="009E674D">
        <w:rPr>
          <w:lang w:val="sq-AL"/>
        </w:rPr>
        <w:t xml:space="preserve"> dhe PKZH-së</w:t>
      </w:r>
      <w:r w:rsidR="00481E2A" w:rsidRPr="009E674D">
        <w:rPr>
          <w:lang w:val="sq-AL"/>
        </w:rPr>
        <w:t>,</w:t>
      </w:r>
      <w:r w:rsidR="00C0754B" w:rsidRPr="009E674D">
        <w:rPr>
          <w:lang w:val="sq-AL"/>
        </w:rPr>
        <w:t xml:space="preserve"> që ka për synim përmirësimin e performancës së komunave</w:t>
      </w:r>
      <w:r w:rsidR="00481E2A" w:rsidRPr="009E674D">
        <w:rPr>
          <w:lang w:val="sq-AL"/>
        </w:rPr>
        <w:t>, si</w:t>
      </w:r>
      <w:r w:rsidR="00C0754B" w:rsidRPr="009E674D">
        <w:rPr>
          <w:lang w:val="sq-AL"/>
        </w:rPr>
        <w:t xml:space="preserve"> dhe përmbush SDG </w:t>
      </w:r>
      <w:r w:rsidR="00582CD9" w:rsidRPr="009E674D">
        <w:rPr>
          <w:lang w:val="sq-AL"/>
        </w:rPr>
        <w:t>17 (Part</w:t>
      </w:r>
      <w:r w:rsidR="00481E2A" w:rsidRPr="009E674D">
        <w:rPr>
          <w:lang w:val="sq-AL"/>
        </w:rPr>
        <w:t>neritetet për q</w:t>
      </w:r>
      <w:r w:rsidR="00582CD9" w:rsidRPr="009E674D">
        <w:rPr>
          <w:lang w:val="sq-AL"/>
        </w:rPr>
        <w:t>ëllimet).</w:t>
      </w:r>
    </w:p>
    <w:p w14:paraId="69A40357" w14:textId="77777777" w:rsidR="002D7B48" w:rsidRPr="009E674D" w:rsidRDefault="00582CD9" w:rsidP="00582CD9">
      <w:pPr>
        <w:jc w:val="both"/>
        <w:rPr>
          <w:lang w:val="sq-AL"/>
        </w:rPr>
      </w:pPr>
      <w:r w:rsidRPr="009E674D">
        <w:rPr>
          <w:noProof/>
        </w:rPr>
        <mc:AlternateContent>
          <mc:Choice Requires="wps">
            <w:drawing>
              <wp:anchor distT="0" distB="0" distL="114300" distR="114300" simplePos="0" relativeHeight="251774976" behindDoc="0" locked="0" layoutInCell="1" allowOverlap="1" wp14:anchorId="524354B0" wp14:editId="7C14CD6F">
                <wp:simplePos x="0" y="0"/>
                <wp:positionH relativeFrom="margin">
                  <wp:posOffset>25225</wp:posOffset>
                </wp:positionH>
                <wp:positionV relativeFrom="paragraph">
                  <wp:posOffset>22926</wp:posOffset>
                </wp:positionV>
                <wp:extent cx="5981700" cy="220027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5981700" cy="220027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216AAFAE" w14:textId="77777777" w:rsidR="00636E80" w:rsidRPr="00481E2A" w:rsidRDefault="00636E80" w:rsidP="00582CD9">
                            <w:pPr>
                              <w:rPr>
                                <w:lang w:val="sq-AL"/>
                              </w:rPr>
                            </w:pPr>
                            <w:r w:rsidRPr="00481E2A">
                              <w:rPr>
                                <w:b/>
                                <w:i/>
                                <w:lang w:val="sq-AL"/>
                              </w:rPr>
                              <w:t>T</w:t>
                            </w:r>
                            <w:r w:rsidRPr="00481E2A">
                              <w:rPr>
                                <w:b/>
                                <w:lang w:val="sq-AL"/>
                              </w:rPr>
                              <w:t>ë</w:t>
                            </w:r>
                            <w:r w:rsidRPr="00481E2A">
                              <w:rPr>
                                <w:b/>
                                <w:i/>
                                <w:lang w:val="sq-AL"/>
                              </w:rPr>
                              <w:t xml:space="preserve"> b</w:t>
                            </w:r>
                            <w:r w:rsidRPr="00481E2A">
                              <w:rPr>
                                <w:b/>
                                <w:lang w:val="sq-AL"/>
                              </w:rPr>
                              <w:t>ë</w:t>
                            </w:r>
                            <w:r w:rsidRPr="00481E2A">
                              <w:rPr>
                                <w:b/>
                                <w:i/>
                                <w:lang w:val="sq-AL"/>
                              </w:rPr>
                              <w:t>het:</w:t>
                            </w:r>
                          </w:p>
                          <w:p w14:paraId="14E25E69" w14:textId="0A3E7A7A" w:rsidR="00636E80" w:rsidRPr="00481E2A" w:rsidRDefault="00636E80" w:rsidP="00481E2A">
                            <w:pPr>
                              <w:pStyle w:val="ListParagraph"/>
                              <w:numPr>
                                <w:ilvl w:val="0"/>
                                <w:numId w:val="11"/>
                              </w:numPr>
                              <w:rPr>
                                <w:i/>
                                <w:sz w:val="22"/>
                                <w:szCs w:val="22"/>
                                <w:lang w:val="sq-AL"/>
                              </w:rPr>
                            </w:pPr>
                            <w:r w:rsidRPr="00481E2A">
                              <w:rPr>
                                <w:i/>
                                <w:sz w:val="22"/>
                                <w:szCs w:val="22"/>
                                <w:lang w:val="sq-AL"/>
                              </w:rPr>
                              <w:t xml:space="preserve">Identifikimi i fushave të përbashkëta me potencial zhvillimor ne kuadër te bashkëpunimit ndërkomunal </w:t>
                            </w:r>
                          </w:p>
                          <w:p w14:paraId="4B4C9E76" w14:textId="7EE5375C" w:rsidR="00636E80" w:rsidRPr="00481E2A" w:rsidRDefault="00636E80" w:rsidP="00481E2A">
                            <w:pPr>
                              <w:pStyle w:val="ListParagraph"/>
                              <w:numPr>
                                <w:ilvl w:val="0"/>
                                <w:numId w:val="11"/>
                              </w:numPr>
                              <w:rPr>
                                <w:i/>
                                <w:sz w:val="22"/>
                                <w:szCs w:val="22"/>
                                <w:lang w:val="sq-AL"/>
                              </w:rPr>
                            </w:pPr>
                            <w:r w:rsidRPr="00481E2A">
                              <w:rPr>
                                <w:i/>
                                <w:sz w:val="22"/>
                                <w:szCs w:val="22"/>
                                <w:lang w:val="sq-AL"/>
                              </w:rPr>
                              <w:t>Stimulimi i krijimit të shoqatave lokale për përfaqësim të sektorit privat dhe krijimi i mekanizmave për bashkëpunim sistematik me shoqatat e krijuara</w:t>
                            </w:r>
                          </w:p>
                          <w:p w14:paraId="5567F72C" w14:textId="040874E9" w:rsidR="00636E80" w:rsidRPr="00481E2A" w:rsidRDefault="00636E80" w:rsidP="00481E2A">
                            <w:pPr>
                              <w:pStyle w:val="ListParagraph"/>
                              <w:numPr>
                                <w:ilvl w:val="0"/>
                                <w:numId w:val="11"/>
                              </w:numPr>
                              <w:rPr>
                                <w:i/>
                                <w:sz w:val="22"/>
                                <w:szCs w:val="22"/>
                                <w:lang w:val="sq-AL"/>
                              </w:rPr>
                            </w:pPr>
                            <w:r w:rsidRPr="00481E2A">
                              <w:rPr>
                                <w:i/>
                                <w:sz w:val="22"/>
                                <w:szCs w:val="22"/>
                                <w:lang w:val="sq-AL"/>
                              </w:rPr>
                              <w:t>Krijimi i politikave stimuluse për anëtarët e këshillave të fshatrave dhe lagjeve urbane</w:t>
                            </w:r>
                          </w:p>
                          <w:p w14:paraId="108238D1" w14:textId="3DFA1C1F" w:rsidR="00636E80" w:rsidRPr="00481E2A" w:rsidRDefault="00636E80" w:rsidP="00481E2A">
                            <w:pPr>
                              <w:pStyle w:val="ListParagraph"/>
                              <w:numPr>
                                <w:ilvl w:val="0"/>
                                <w:numId w:val="11"/>
                              </w:numPr>
                              <w:rPr>
                                <w:i/>
                                <w:sz w:val="22"/>
                                <w:szCs w:val="22"/>
                                <w:lang w:val="sq-AL"/>
                              </w:rPr>
                            </w:pPr>
                            <w:r w:rsidRPr="00481E2A">
                              <w:rPr>
                                <w:i/>
                                <w:sz w:val="22"/>
                                <w:szCs w:val="22"/>
                                <w:lang w:val="sq-AL"/>
                              </w:rPr>
                              <w:t>Fuqizimi i bashkëpunimit ndërkomunal ndërkombëtar</w:t>
                            </w:r>
                          </w:p>
                          <w:p w14:paraId="6ECA57A1" w14:textId="24BA669C" w:rsidR="00636E80" w:rsidRPr="00481E2A" w:rsidRDefault="00636E80" w:rsidP="00582CD9">
                            <w:pPr>
                              <w:pStyle w:val="ListParagraph"/>
                              <w:numPr>
                                <w:ilvl w:val="0"/>
                                <w:numId w:val="11"/>
                              </w:numPr>
                              <w:rPr>
                                <w:i/>
                                <w:sz w:val="22"/>
                                <w:szCs w:val="22"/>
                                <w:lang w:val="sq-AL"/>
                              </w:rPr>
                            </w:pPr>
                            <w:r w:rsidRPr="00481E2A">
                              <w:rPr>
                                <w:i/>
                                <w:sz w:val="22"/>
                                <w:szCs w:val="22"/>
                                <w:lang w:val="sq-AL"/>
                              </w:rPr>
                              <w:t>Krijimi i mekanizmit të veçantë për koordinimin e procesit të financimit të investimeve nga niveli qendror në nivelin lokal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54B0" id="Text Box 73" o:spid="_x0000_s1057" type="#_x0000_t202" style="position:absolute;left:0;text-align:left;margin-left:2pt;margin-top:1.8pt;width:471pt;height:173.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" fillcolor="#deebf7" strokecolor="#deebf7" strokeweight="1pt">
                <v:textbox>
                  <w:txbxContent>
                    <w:p w14:paraId="216AAFAE" w14:textId="77777777" w:rsidR="00636E80" w:rsidRPr="00481E2A" w:rsidRDefault="00636E80" w:rsidP="00582CD9">
                      <w:pPr>
                        <w:rPr>
                          <w:lang w:val="sq-AL"/>
                        </w:rPr>
                      </w:pPr>
                      <w:r w:rsidRPr="00481E2A">
                        <w:rPr>
                          <w:b/>
                          <w:i/>
                          <w:lang w:val="sq-AL"/>
                        </w:rPr>
                        <w:t>T</w:t>
                      </w:r>
                      <w:r w:rsidRPr="00481E2A">
                        <w:rPr>
                          <w:b/>
                          <w:lang w:val="sq-AL"/>
                        </w:rPr>
                        <w:t>ë</w:t>
                      </w:r>
                      <w:r w:rsidRPr="00481E2A">
                        <w:rPr>
                          <w:b/>
                          <w:i/>
                          <w:lang w:val="sq-AL"/>
                        </w:rPr>
                        <w:t xml:space="preserve"> b</w:t>
                      </w:r>
                      <w:r w:rsidRPr="00481E2A">
                        <w:rPr>
                          <w:b/>
                          <w:lang w:val="sq-AL"/>
                        </w:rPr>
                        <w:t>ë</w:t>
                      </w:r>
                      <w:r w:rsidRPr="00481E2A">
                        <w:rPr>
                          <w:b/>
                          <w:i/>
                          <w:lang w:val="sq-AL"/>
                        </w:rPr>
                        <w:t>het:</w:t>
                      </w:r>
                    </w:p>
                    <w:p w14:paraId="14E25E69" w14:textId="0A3E7A7A" w:rsidR="00636E80" w:rsidRPr="00481E2A" w:rsidRDefault="00636E80" w:rsidP="00481E2A">
                      <w:pPr>
                        <w:pStyle w:val="ListParagraph"/>
                        <w:numPr>
                          <w:ilvl w:val="0"/>
                          <w:numId w:val="11"/>
                        </w:numPr>
                        <w:rPr>
                          <w:i/>
                          <w:sz w:val="22"/>
                          <w:szCs w:val="22"/>
                          <w:lang w:val="sq-AL"/>
                        </w:rPr>
                      </w:pPr>
                      <w:r w:rsidRPr="00481E2A">
                        <w:rPr>
                          <w:i/>
                          <w:sz w:val="22"/>
                          <w:szCs w:val="22"/>
                          <w:lang w:val="sq-AL"/>
                        </w:rPr>
                        <w:t xml:space="preserve">Identifikimi i fushave të përbashkëta me potencial zhvillimor ne kuadër te bashkëpunimit ndërkomunal </w:t>
                      </w:r>
                    </w:p>
                    <w:p w14:paraId="4B4C9E76" w14:textId="7EE5375C" w:rsidR="00636E80" w:rsidRPr="00481E2A" w:rsidRDefault="00636E80" w:rsidP="00481E2A">
                      <w:pPr>
                        <w:pStyle w:val="ListParagraph"/>
                        <w:numPr>
                          <w:ilvl w:val="0"/>
                          <w:numId w:val="11"/>
                        </w:numPr>
                        <w:rPr>
                          <w:i/>
                          <w:sz w:val="22"/>
                          <w:szCs w:val="22"/>
                          <w:lang w:val="sq-AL"/>
                        </w:rPr>
                      </w:pPr>
                      <w:r w:rsidRPr="00481E2A">
                        <w:rPr>
                          <w:i/>
                          <w:sz w:val="22"/>
                          <w:szCs w:val="22"/>
                          <w:lang w:val="sq-AL"/>
                        </w:rPr>
                        <w:t>Stimulimi i krijimit të shoqatave lokale për përfaqësim të sektorit privat dhe krijimi i mekanizmave për bashkëpunim sistematik me shoqatat e krijuara</w:t>
                      </w:r>
                    </w:p>
                    <w:p w14:paraId="5567F72C" w14:textId="040874E9" w:rsidR="00636E80" w:rsidRPr="00481E2A" w:rsidRDefault="00636E80" w:rsidP="00481E2A">
                      <w:pPr>
                        <w:pStyle w:val="ListParagraph"/>
                        <w:numPr>
                          <w:ilvl w:val="0"/>
                          <w:numId w:val="11"/>
                        </w:numPr>
                        <w:rPr>
                          <w:i/>
                          <w:sz w:val="22"/>
                          <w:szCs w:val="22"/>
                          <w:lang w:val="sq-AL"/>
                        </w:rPr>
                      </w:pPr>
                      <w:r w:rsidRPr="00481E2A">
                        <w:rPr>
                          <w:i/>
                          <w:sz w:val="22"/>
                          <w:szCs w:val="22"/>
                          <w:lang w:val="sq-AL"/>
                        </w:rPr>
                        <w:t>Krijimi i politikave stimuluse për anëtarët e këshillave të fshatrave dhe lagjeve urbane</w:t>
                      </w:r>
                    </w:p>
                    <w:p w14:paraId="108238D1" w14:textId="3DFA1C1F" w:rsidR="00636E80" w:rsidRPr="00481E2A" w:rsidRDefault="00636E80" w:rsidP="00481E2A">
                      <w:pPr>
                        <w:pStyle w:val="ListParagraph"/>
                        <w:numPr>
                          <w:ilvl w:val="0"/>
                          <w:numId w:val="11"/>
                        </w:numPr>
                        <w:rPr>
                          <w:i/>
                          <w:sz w:val="22"/>
                          <w:szCs w:val="22"/>
                          <w:lang w:val="sq-AL"/>
                        </w:rPr>
                      </w:pPr>
                      <w:r w:rsidRPr="00481E2A">
                        <w:rPr>
                          <w:i/>
                          <w:sz w:val="22"/>
                          <w:szCs w:val="22"/>
                          <w:lang w:val="sq-AL"/>
                        </w:rPr>
                        <w:t>Fuqizimi i bashkëpunimit ndërkomunal ndërkombëtar</w:t>
                      </w:r>
                    </w:p>
                    <w:p w14:paraId="6ECA57A1" w14:textId="24BA669C" w:rsidR="00636E80" w:rsidRPr="00481E2A" w:rsidRDefault="00636E80" w:rsidP="00582CD9">
                      <w:pPr>
                        <w:pStyle w:val="ListParagraph"/>
                        <w:numPr>
                          <w:ilvl w:val="0"/>
                          <w:numId w:val="11"/>
                        </w:numPr>
                        <w:rPr>
                          <w:i/>
                          <w:sz w:val="22"/>
                          <w:szCs w:val="22"/>
                          <w:lang w:val="sq-AL"/>
                        </w:rPr>
                      </w:pPr>
                      <w:r w:rsidRPr="00481E2A">
                        <w:rPr>
                          <w:i/>
                          <w:sz w:val="22"/>
                          <w:szCs w:val="22"/>
                          <w:lang w:val="sq-AL"/>
                        </w:rPr>
                        <w:t>Krijimi i mekanizmit të veçantë për koordinimin e procesit të financimit të investimeve nga niveli qendror në nivelin lokal</w:t>
                      </w:r>
                    </w:p>
                  </w:txbxContent>
                </v:textbox>
                <w10:wrap anchorx="margin"/>
              </v:shape>
            </w:pict>
          </mc:Fallback>
        </mc:AlternateContent>
      </w:r>
      <w:r w:rsidR="006A1D5A" w:rsidRPr="009E674D">
        <w:rPr>
          <w:lang w:val="sq-AL"/>
        </w:rPr>
        <w:br w:type="page"/>
      </w:r>
    </w:p>
    <w:p w14:paraId="54211F02" w14:textId="77777777" w:rsidR="002D7B48" w:rsidRPr="009E674D" w:rsidRDefault="002D7B48" w:rsidP="002D7B48">
      <w:pPr>
        <w:pStyle w:val="Heading2"/>
        <w:rPr>
          <w:lang w:val="sq-AL"/>
        </w:rPr>
      </w:pPr>
      <w:bookmarkStart w:id="28" w:name="_Toc132188448"/>
      <w:r w:rsidRPr="009E674D">
        <w:rPr>
          <w:lang w:val="sq-AL"/>
        </w:rPr>
        <w:lastRenderedPageBreak/>
        <w:t>Treguesit</w:t>
      </w:r>
      <w:bookmarkEnd w:id="28"/>
      <w:r w:rsidRPr="009E674D">
        <w:rPr>
          <w:lang w:val="sq-AL"/>
        </w:rPr>
        <w:t xml:space="preserve"> </w:t>
      </w:r>
    </w:p>
    <w:p w14:paraId="15AF79FA" w14:textId="4358F520" w:rsidR="002D7B48" w:rsidRPr="009E674D" w:rsidRDefault="002D7B48" w:rsidP="00D32EAA">
      <w:pPr>
        <w:jc w:val="both"/>
        <w:rPr>
          <w:lang w:val="sq-AL"/>
        </w:rPr>
      </w:pPr>
      <w:r w:rsidRPr="009E674D">
        <w:rPr>
          <w:lang w:val="sq-AL"/>
        </w:rPr>
        <w:br/>
        <w:t xml:space="preserve">Tabela 3 dhe Tabela 4 </w:t>
      </w:r>
      <w:r w:rsidR="002F201B" w:rsidRPr="009E674D">
        <w:rPr>
          <w:lang w:val="sq-AL"/>
        </w:rPr>
        <w:t>paraqe</w:t>
      </w:r>
      <w:r w:rsidR="002F201B">
        <w:rPr>
          <w:lang w:val="sq-AL"/>
        </w:rPr>
        <w:t>sin</w:t>
      </w:r>
      <w:r w:rsidR="002F201B" w:rsidRPr="009E674D">
        <w:rPr>
          <w:lang w:val="sq-AL"/>
        </w:rPr>
        <w:t xml:space="preserve"> </w:t>
      </w:r>
      <w:r w:rsidRPr="009E674D">
        <w:rPr>
          <w:lang w:val="sq-AL"/>
        </w:rPr>
        <w:t>treguesit për dy nivelet e objektivave. Këta tregues janë nxjerrë nga SKZH-ja</w:t>
      </w:r>
      <w:r w:rsidR="009E674D">
        <w:rPr>
          <w:lang w:val="sq-AL"/>
        </w:rPr>
        <w:t xml:space="preserve"> dhe PKZH-ja, si</w:t>
      </w:r>
      <w:r w:rsidRPr="009E674D">
        <w:rPr>
          <w:lang w:val="sq-AL"/>
        </w:rPr>
        <w:t xml:space="preserve"> dhe </w:t>
      </w:r>
      <w:r w:rsidR="002F201B">
        <w:rPr>
          <w:lang w:val="sq-AL"/>
        </w:rPr>
        <w:t xml:space="preserve">nga </w:t>
      </w:r>
      <w:r w:rsidRPr="009E674D">
        <w:rPr>
          <w:lang w:val="sq-AL"/>
        </w:rPr>
        <w:t xml:space="preserve">burimet tjera që matin performancën e pushtetit lokal. Përderisa vlerat e këtyre treguesve janë paraqitur në nivel vendi, të njëjtat mund të zbërthehen edhe në nivel komunal, </w:t>
      </w:r>
      <w:r w:rsidR="002F201B" w:rsidRPr="009E674D">
        <w:rPr>
          <w:lang w:val="sq-AL"/>
        </w:rPr>
        <w:t>përjasht</w:t>
      </w:r>
      <w:r w:rsidR="002F201B">
        <w:rPr>
          <w:lang w:val="sq-AL"/>
        </w:rPr>
        <w:t>uar</w:t>
      </w:r>
      <w:r w:rsidR="002F201B" w:rsidRPr="009E674D">
        <w:rPr>
          <w:lang w:val="sq-AL"/>
        </w:rPr>
        <w:t xml:space="preserve"> </w:t>
      </w:r>
      <w:r w:rsidRPr="009E674D">
        <w:rPr>
          <w:lang w:val="sq-AL"/>
        </w:rPr>
        <w:t>disa raste ku zbërthimi (do të) mund të bëhet vetëm sipas regjionit. Synimet mund të përshtaten në strategjitë e komunave për zhvillim ekonomik lokal krahas gjendjes së tyre ekzistuese.</w:t>
      </w:r>
      <w:r w:rsidR="00FE1F96" w:rsidRPr="009E674D">
        <w:rPr>
          <w:lang w:val="sq-AL"/>
        </w:rPr>
        <w:t xml:space="preserve"> Në Shtojcë </w:t>
      </w:r>
      <w:r w:rsidR="002F201B" w:rsidRPr="009E674D">
        <w:rPr>
          <w:lang w:val="sq-AL"/>
        </w:rPr>
        <w:t>paraqite</w:t>
      </w:r>
      <w:r w:rsidR="002F201B">
        <w:rPr>
          <w:lang w:val="sq-AL"/>
        </w:rPr>
        <w:t>n</w:t>
      </w:r>
      <w:r w:rsidR="002F201B" w:rsidRPr="009E674D">
        <w:rPr>
          <w:lang w:val="sq-AL"/>
        </w:rPr>
        <w:t xml:space="preserve"> definicion</w:t>
      </w:r>
      <w:r w:rsidR="002F201B">
        <w:rPr>
          <w:lang w:val="sq-AL"/>
        </w:rPr>
        <w:t>et</w:t>
      </w:r>
      <w:r w:rsidR="002F201B" w:rsidRPr="009E674D">
        <w:rPr>
          <w:lang w:val="sq-AL"/>
        </w:rPr>
        <w:t xml:space="preserve"> </w:t>
      </w:r>
      <w:r w:rsidR="00FE1F96" w:rsidRPr="009E674D">
        <w:rPr>
          <w:lang w:val="sq-AL"/>
        </w:rPr>
        <w:t>për secilin tregues dhe ofrohen shënime metodologjike ku</w:t>
      </w:r>
      <w:r w:rsidR="002F201B">
        <w:rPr>
          <w:lang w:val="sq-AL"/>
        </w:rPr>
        <w:t>do që</w:t>
      </w:r>
      <w:r w:rsidR="00FE1F96" w:rsidRPr="009E674D">
        <w:rPr>
          <w:lang w:val="sq-AL"/>
        </w:rPr>
        <w:t xml:space="preserve"> është e nevojshme.  </w:t>
      </w:r>
    </w:p>
    <w:p w14:paraId="07E73507" w14:textId="77777777" w:rsidR="002D7B48" w:rsidRPr="009E674D" w:rsidRDefault="002D7B48" w:rsidP="002D7B48">
      <w:pPr>
        <w:pStyle w:val="Caption"/>
        <w:keepNext/>
        <w:jc w:val="center"/>
        <w:rPr>
          <w:lang w:val="sq-AL"/>
        </w:rPr>
      </w:pPr>
      <w:r w:rsidRPr="009E674D">
        <w:rPr>
          <w:lang w:val="sq-AL"/>
        </w:rPr>
        <w:t xml:space="preserve">Tabela </w:t>
      </w:r>
      <w:r w:rsidR="002C63B7" w:rsidRPr="009E674D">
        <w:rPr>
          <w:lang w:val="sq-AL"/>
        </w:rPr>
        <w:fldChar w:fldCharType="begin"/>
      </w:r>
      <w:r w:rsidR="002C63B7" w:rsidRPr="009E674D">
        <w:rPr>
          <w:lang w:val="sq-AL"/>
        </w:rPr>
        <w:instrText xml:space="preserve"> SEQ Tabela \* ARABIC </w:instrText>
      </w:r>
      <w:r w:rsidR="002C63B7" w:rsidRPr="009E674D">
        <w:rPr>
          <w:lang w:val="sq-AL"/>
        </w:rPr>
        <w:fldChar w:fldCharType="separate"/>
      </w:r>
      <w:r w:rsidRPr="009E674D">
        <w:rPr>
          <w:noProof/>
          <w:lang w:val="sq-AL"/>
        </w:rPr>
        <w:t>3</w:t>
      </w:r>
      <w:r w:rsidR="002C63B7" w:rsidRPr="009E674D">
        <w:rPr>
          <w:noProof/>
          <w:lang w:val="sq-AL"/>
        </w:rPr>
        <w:fldChar w:fldCharType="end"/>
      </w:r>
      <w:r w:rsidRPr="009E674D">
        <w:rPr>
          <w:lang w:val="sq-AL"/>
        </w:rPr>
        <w:t>: Treguesit e ndikimit</w:t>
      </w:r>
    </w:p>
    <w:tbl>
      <w:tblPr>
        <w:tblStyle w:val="TableGrid"/>
        <w:tblpPr w:leftFromText="187" w:rightFromText="187" w:vertAnchor="text" w:horzAnchor="margin" w:tblpY="1"/>
        <w:tblW w:w="0" w:type="auto"/>
        <w:tblLook w:val="04A0" w:firstRow="1" w:lastRow="0" w:firstColumn="1" w:lastColumn="0" w:noHBand="0" w:noVBand="1"/>
      </w:tblPr>
      <w:tblGrid>
        <w:gridCol w:w="2009"/>
        <w:gridCol w:w="1723"/>
        <w:gridCol w:w="952"/>
        <w:gridCol w:w="1952"/>
        <w:gridCol w:w="1357"/>
        <w:gridCol w:w="1357"/>
      </w:tblGrid>
      <w:tr w:rsidR="00BB2408" w:rsidRPr="009E674D" w14:paraId="32E8B6D2" w14:textId="77777777" w:rsidTr="001D5E32">
        <w:tc>
          <w:tcPr>
            <w:tcW w:w="2009" w:type="dxa"/>
            <w:shd w:val="clear" w:color="auto" w:fill="9CC2E5" w:themeFill="accent1" w:themeFillTint="99"/>
            <w:vAlign w:val="bottom"/>
          </w:tcPr>
          <w:p w14:paraId="4BEA12C7" w14:textId="202EE82D" w:rsidR="00BB2408" w:rsidRPr="009E674D" w:rsidRDefault="009E674D" w:rsidP="001D5E32">
            <w:pPr>
              <w:jc w:val="center"/>
              <w:rPr>
                <w:b/>
                <w:lang w:val="sq-AL"/>
              </w:rPr>
            </w:pPr>
            <w:r>
              <w:rPr>
                <w:b/>
                <w:lang w:val="sq-AL"/>
              </w:rPr>
              <w:t>Objektivi</w:t>
            </w:r>
          </w:p>
        </w:tc>
        <w:tc>
          <w:tcPr>
            <w:tcW w:w="1723" w:type="dxa"/>
            <w:shd w:val="clear" w:color="auto" w:fill="9CC2E5" w:themeFill="accent1" w:themeFillTint="99"/>
            <w:vAlign w:val="bottom"/>
          </w:tcPr>
          <w:p w14:paraId="6DDF2FD6" w14:textId="77777777" w:rsidR="00BB2408" w:rsidRPr="009E674D" w:rsidRDefault="00BB2408" w:rsidP="001D5E32">
            <w:pPr>
              <w:jc w:val="center"/>
              <w:rPr>
                <w:b/>
                <w:lang w:val="sq-AL"/>
              </w:rPr>
            </w:pPr>
            <w:r w:rsidRPr="009E674D">
              <w:rPr>
                <w:b/>
                <w:lang w:val="sq-AL"/>
              </w:rPr>
              <w:t>Treguesi</w:t>
            </w:r>
          </w:p>
        </w:tc>
        <w:tc>
          <w:tcPr>
            <w:tcW w:w="952" w:type="dxa"/>
            <w:shd w:val="clear" w:color="auto" w:fill="9CC2E5" w:themeFill="accent1" w:themeFillTint="99"/>
            <w:vAlign w:val="bottom"/>
          </w:tcPr>
          <w:p w14:paraId="263B12E4" w14:textId="77777777" w:rsidR="00BB2408" w:rsidRPr="009E674D" w:rsidRDefault="00BB2408" w:rsidP="001D5E32">
            <w:pPr>
              <w:jc w:val="center"/>
              <w:rPr>
                <w:b/>
                <w:lang w:val="sq-AL"/>
              </w:rPr>
            </w:pPr>
            <w:r w:rsidRPr="009E674D">
              <w:rPr>
                <w:b/>
                <w:lang w:val="sq-AL"/>
              </w:rPr>
              <w:t>Baza n</w:t>
            </w:r>
            <w:r w:rsidRPr="009E674D">
              <w:rPr>
                <w:rFonts w:ascii="Calibri" w:eastAsia="Times New Roman" w:hAnsi="Calibri" w:cs="Calibri"/>
                <w:b/>
                <w:bCs/>
                <w:color w:val="000000" w:themeColor="text1"/>
                <w:lang w:val="sq-AL"/>
              </w:rPr>
              <w:t xml:space="preserve">ë nivel vendi </w:t>
            </w:r>
          </w:p>
        </w:tc>
        <w:tc>
          <w:tcPr>
            <w:tcW w:w="1952" w:type="dxa"/>
            <w:shd w:val="clear" w:color="auto" w:fill="9CC2E5" w:themeFill="accent1" w:themeFillTint="99"/>
            <w:vAlign w:val="bottom"/>
          </w:tcPr>
          <w:p w14:paraId="435068E7" w14:textId="77777777" w:rsidR="00BB2408" w:rsidRPr="009E674D" w:rsidRDefault="00BB2408" w:rsidP="001D5E32">
            <w:pPr>
              <w:jc w:val="center"/>
              <w:rPr>
                <w:b/>
                <w:lang w:val="sq-AL"/>
              </w:rPr>
            </w:pPr>
            <w:r w:rsidRPr="009E674D">
              <w:rPr>
                <w:b/>
                <w:lang w:val="sq-AL"/>
              </w:rPr>
              <w:t>Burimi</w:t>
            </w:r>
          </w:p>
        </w:tc>
        <w:tc>
          <w:tcPr>
            <w:tcW w:w="1357" w:type="dxa"/>
            <w:shd w:val="clear" w:color="auto" w:fill="9CC2E5" w:themeFill="accent1" w:themeFillTint="99"/>
            <w:vAlign w:val="bottom"/>
          </w:tcPr>
          <w:p w14:paraId="7ED548F8" w14:textId="77777777" w:rsidR="00BB2408" w:rsidRPr="009E674D" w:rsidRDefault="00BB2408" w:rsidP="001D5E32">
            <w:pPr>
              <w:jc w:val="center"/>
              <w:rPr>
                <w:b/>
                <w:lang w:val="sq-AL"/>
              </w:rPr>
            </w:pPr>
            <w:r w:rsidRPr="009E674D">
              <w:rPr>
                <w:b/>
                <w:lang w:val="sq-AL"/>
              </w:rPr>
              <w:t>Propozim synimi 2026</w:t>
            </w:r>
          </w:p>
        </w:tc>
        <w:tc>
          <w:tcPr>
            <w:tcW w:w="1357" w:type="dxa"/>
            <w:shd w:val="clear" w:color="auto" w:fill="9CC2E5" w:themeFill="accent1" w:themeFillTint="99"/>
            <w:vAlign w:val="bottom"/>
          </w:tcPr>
          <w:p w14:paraId="575D573D" w14:textId="77777777" w:rsidR="00BB2408" w:rsidRPr="009E674D" w:rsidRDefault="00BB2408" w:rsidP="001D5E32">
            <w:pPr>
              <w:jc w:val="center"/>
              <w:rPr>
                <w:b/>
                <w:lang w:val="sq-AL"/>
              </w:rPr>
            </w:pPr>
            <w:r w:rsidRPr="009E674D">
              <w:rPr>
                <w:b/>
                <w:lang w:val="sq-AL"/>
              </w:rPr>
              <w:t>Propozim synimi 2030</w:t>
            </w:r>
          </w:p>
        </w:tc>
      </w:tr>
      <w:tr w:rsidR="00BB2408" w:rsidRPr="009E674D" w14:paraId="2DA64B87" w14:textId="77777777" w:rsidTr="001D5E32">
        <w:tc>
          <w:tcPr>
            <w:tcW w:w="2009" w:type="dxa"/>
            <w:vAlign w:val="center"/>
          </w:tcPr>
          <w:p w14:paraId="24BA7334" w14:textId="77777777" w:rsidR="00BB2408" w:rsidRPr="009E674D" w:rsidRDefault="00BB2408" w:rsidP="00BB2408">
            <w:pPr>
              <w:pStyle w:val="ListParagraph"/>
              <w:numPr>
                <w:ilvl w:val="0"/>
                <w:numId w:val="13"/>
              </w:numPr>
              <w:spacing w:line="240" w:lineRule="auto"/>
              <w:rPr>
                <w:rFonts w:ascii="Calibri" w:eastAsia="Times New Roman" w:hAnsi="Calibri" w:cs="Calibri"/>
                <w:b/>
                <w:bCs/>
                <w:i/>
                <w:color w:val="000000" w:themeColor="text1"/>
                <w:lang w:val="sq-AL"/>
              </w:rPr>
            </w:pPr>
            <w:r w:rsidRPr="009E674D">
              <w:rPr>
                <w:rFonts w:ascii="Calibri" w:eastAsia="Times New Roman" w:hAnsi="Calibri" w:cs="Calibri"/>
                <w:b/>
                <w:bCs/>
                <w:i/>
                <w:color w:val="000000" w:themeColor="text1"/>
                <w:lang w:val="sq-AL"/>
              </w:rPr>
              <w:t xml:space="preserve">Ekonomi lokale konkurruese </w:t>
            </w:r>
          </w:p>
          <w:p w14:paraId="1FE24E5C" w14:textId="77777777" w:rsidR="00BB2408" w:rsidRPr="009E674D" w:rsidRDefault="00BB2408" w:rsidP="001D5E32">
            <w:pPr>
              <w:rPr>
                <w:color w:val="000000" w:themeColor="text1"/>
                <w:lang w:val="sq-AL"/>
              </w:rPr>
            </w:pPr>
          </w:p>
        </w:tc>
        <w:tc>
          <w:tcPr>
            <w:tcW w:w="1723" w:type="dxa"/>
          </w:tcPr>
          <w:p w14:paraId="47E4E94D" w14:textId="77777777" w:rsidR="00BB2408" w:rsidRPr="009E674D" w:rsidRDefault="00BB2408" w:rsidP="001D5E32">
            <w:pPr>
              <w:rPr>
                <w:i/>
                <w:lang w:val="sq-AL"/>
              </w:rPr>
            </w:pPr>
            <w:r w:rsidRPr="009E674D">
              <w:rPr>
                <w:i/>
                <w:lang w:val="sq-AL"/>
              </w:rPr>
              <w:t>Produktiviteti (VShB/numri i pun</w:t>
            </w:r>
            <w:r w:rsidRPr="009E674D">
              <w:rPr>
                <w:rFonts w:ascii="Calibri" w:eastAsia="Times New Roman" w:hAnsi="Calibri" w:cs="Calibri"/>
                <w:bCs/>
                <w:i/>
                <w:color w:val="000000" w:themeColor="text1"/>
                <w:lang w:val="sq-AL"/>
              </w:rPr>
              <w:t>ëtorëve)</w:t>
            </w:r>
            <w:r w:rsidRPr="009E674D">
              <w:rPr>
                <w:rStyle w:val="FootnoteReference"/>
                <w:rFonts w:ascii="Calibri" w:eastAsia="Times New Roman" w:hAnsi="Calibri" w:cs="Calibri"/>
                <w:bCs/>
                <w:i/>
                <w:color w:val="000000" w:themeColor="text1"/>
                <w:lang w:val="sq-AL"/>
              </w:rPr>
              <w:footnoteReference w:id="16"/>
            </w:r>
            <w:r w:rsidRPr="009E674D">
              <w:rPr>
                <w:rFonts w:ascii="Calibri" w:eastAsia="Times New Roman" w:hAnsi="Calibri" w:cs="Calibri"/>
                <w:bCs/>
                <w:i/>
                <w:color w:val="000000" w:themeColor="text1"/>
                <w:lang w:val="sq-AL"/>
              </w:rPr>
              <w:t xml:space="preserve"> (EUR)</w:t>
            </w:r>
          </w:p>
        </w:tc>
        <w:tc>
          <w:tcPr>
            <w:tcW w:w="952" w:type="dxa"/>
            <w:vAlign w:val="center"/>
          </w:tcPr>
          <w:p w14:paraId="33D70C8F" w14:textId="77777777" w:rsidR="00BB2408" w:rsidRPr="009E674D" w:rsidRDefault="00BB2408" w:rsidP="001D5E32">
            <w:pPr>
              <w:jc w:val="center"/>
              <w:rPr>
                <w:lang w:val="sq-AL"/>
              </w:rPr>
            </w:pPr>
            <w:r w:rsidRPr="009E674D">
              <w:rPr>
                <w:lang w:val="sq-AL"/>
              </w:rPr>
              <w:t>24,126</w:t>
            </w:r>
          </w:p>
          <w:p w14:paraId="5C099EC4" w14:textId="77777777" w:rsidR="00BB2408" w:rsidRPr="009E674D" w:rsidRDefault="00BB2408" w:rsidP="001D5E32">
            <w:pPr>
              <w:jc w:val="center"/>
              <w:rPr>
                <w:lang w:val="sq-AL"/>
              </w:rPr>
            </w:pPr>
            <w:r w:rsidRPr="009E674D">
              <w:rPr>
                <w:lang w:val="sq-AL"/>
              </w:rPr>
              <w:t>EUR</w:t>
            </w:r>
          </w:p>
          <w:p w14:paraId="781CB6B7" w14:textId="77777777" w:rsidR="00BB2408" w:rsidRPr="009E674D" w:rsidRDefault="00BB2408" w:rsidP="001D5E32">
            <w:pPr>
              <w:jc w:val="center"/>
              <w:rPr>
                <w:lang w:val="sq-AL"/>
              </w:rPr>
            </w:pPr>
            <w:r w:rsidRPr="009E674D">
              <w:rPr>
                <w:lang w:val="sq-AL"/>
              </w:rPr>
              <w:t>(2021)</w:t>
            </w:r>
          </w:p>
        </w:tc>
        <w:tc>
          <w:tcPr>
            <w:tcW w:w="1952" w:type="dxa"/>
            <w:vAlign w:val="center"/>
          </w:tcPr>
          <w:p w14:paraId="009A91CE" w14:textId="77777777" w:rsidR="00BB2408" w:rsidRPr="009E674D" w:rsidRDefault="00BB2408" w:rsidP="001D5E32">
            <w:pPr>
              <w:jc w:val="center"/>
              <w:rPr>
                <w:lang w:val="sq-AL"/>
              </w:rPr>
            </w:pPr>
            <w:r w:rsidRPr="009E674D">
              <w:rPr>
                <w:lang w:val="sq-AL"/>
              </w:rPr>
              <w:t>ASK</w:t>
            </w:r>
          </w:p>
        </w:tc>
        <w:tc>
          <w:tcPr>
            <w:tcW w:w="1357" w:type="dxa"/>
            <w:vAlign w:val="center"/>
          </w:tcPr>
          <w:p w14:paraId="44D8411C" w14:textId="77777777" w:rsidR="00BB2408" w:rsidRPr="009E674D" w:rsidRDefault="00BB2408" w:rsidP="001D5E32">
            <w:pPr>
              <w:jc w:val="center"/>
              <w:rPr>
                <w:lang w:val="sq-AL"/>
              </w:rPr>
            </w:pPr>
            <w:r w:rsidRPr="009E674D">
              <w:rPr>
                <w:lang w:val="sq-AL"/>
              </w:rPr>
              <w:t>+30%</w:t>
            </w:r>
          </w:p>
        </w:tc>
        <w:tc>
          <w:tcPr>
            <w:tcW w:w="1357" w:type="dxa"/>
            <w:vAlign w:val="center"/>
          </w:tcPr>
          <w:p w14:paraId="3746AEA2" w14:textId="77777777" w:rsidR="00BB2408" w:rsidRPr="009E674D" w:rsidRDefault="00BB2408" w:rsidP="001D5E32">
            <w:pPr>
              <w:jc w:val="center"/>
              <w:rPr>
                <w:lang w:val="sq-AL"/>
              </w:rPr>
            </w:pPr>
            <w:r w:rsidRPr="009E674D">
              <w:rPr>
                <w:lang w:val="sq-AL"/>
              </w:rPr>
              <w:t>+50%</w:t>
            </w:r>
          </w:p>
        </w:tc>
      </w:tr>
      <w:tr w:rsidR="00BB2408" w:rsidRPr="009E674D" w14:paraId="2655CCAC" w14:textId="77777777" w:rsidTr="001D5E32">
        <w:tc>
          <w:tcPr>
            <w:tcW w:w="2009" w:type="dxa"/>
            <w:vAlign w:val="center"/>
          </w:tcPr>
          <w:p w14:paraId="5FAC493E" w14:textId="77777777" w:rsidR="00BB2408" w:rsidRPr="009E674D" w:rsidRDefault="00BB2408" w:rsidP="00BB2408">
            <w:pPr>
              <w:pStyle w:val="ListParagraph"/>
              <w:numPr>
                <w:ilvl w:val="0"/>
                <w:numId w:val="13"/>
              </w:numPr>
              <w:spacing w:line="240" w:lineRule="auto"/>
              <w:rPr>
                <w:rFonts w:ascii="Calibri" w:eastAsia="Times New Roman" w:hAnsi="Calibri" w:cs="Calibri"/>
                <w:b/>
                <w:bCs/>
                <w:color w:val="000000" w:themeColor="text1"/>
                <w:lang w:val="sq-AL"/>
              </w:rPr>
            </w:pPr>
            <w:r w:rsidRPr="009E674D">
              <w:rPr>
                <w:rFonts w:ascii="Calibri" w:eastAsia="Times New Roman" w:hAnsi="Calibri" w:cs="Calibri"/>
                <w:b/>
                <w:bCs/>
                <w:color w:val="000000" w:themeColor="text1"/>
                <w:lang w:val="sq-AL"/>
              </w:rPr>
              <w:t xml:space="preserve">Punësim gjithëpërfshirës </w:t>
            </w:r>
          </w:p>
          <w:p w14:paraId="6F82A923" w14:textId="77777777" w:rsidR="00BB2408" w:rsidRPr="009E674D" w:rsidRDefault="00BB2408" w:rsidP="001D5E32">
            <w:pPr>
              <w:rPr>
                <w:lang w:val="sq-AL"/>
              </w:rPr>
            </w:pPr>
          </w:p>
        </w:tc>
        <w:tc>
          <w:tcPr>
            <w:tcW w:w="1723" w:type="dxa"/>
          </w:tcPr>
          <w:p w14:paraId="029F86D9" w14:textId="77777777" w:rsidR="00BB2408" w:rsidRPr="009E674D" w:rsidRDefault="00BB2408" w:rsidP="001D5E32">
            <w:pPr>
              <w:rPr>
                <w:i/>
                <w:lang w:val="sq-AL"/>
              </w:rPr>
            </w:pPr>
            <w:r w:rsidRPr="009E674D">
              <w:rPr>
                <w:rFonts w:ascii="Calibri" w:eastAsia="Times New Roman" w:hAnsi="Calibri" w:cs="Calibri"/>
                <w:bCs/>
                <w:i/>
                <w:color w:val="000000" w:themeColor="text1"/>
                <w:lang w:val="sq-AL"/>
              </w:rPr>
              <w:t>Norma punësimit (%)</w:t>
            </w:r>
          </w:p>
        </w:tc>
        <w:tc>
          <w:tcPr>
            <w:tcW w:w="952" w:type="dxa"/>
            <w:vAlign w:val="center"/>
          </w:tcPr>
          <w:p w14:paraId="3D04F24C" w14:textId="77777777" w:rsidR="00BB2408" w:rsidRPr="009E674D" w:rsidRDefault="00BB2408" w:rsidP="001D5E32">
            <w:pPr>
              <w:jc w:val="center"/>
              <w:rPr>
                <w:lang w:val="sq-AL"/>
              </w:rPr>
            </w:pPr>
            <w:r w:rsidRPr="009E674D">
              <w:rPr>
                <w:lang w:val="sq-AL"/>
              </w:rPr>
              <w:t>20% (TM2 2021)</w:t>
            </w:r>
          </w:p>
        </w:tc>
        <w:tc>
          <w:tcPr>
            <w:tcW w:w="1952" w:type="dxa"/>
            <w:vAlign w:val="center"/>
          </w:tcPr>
          <w:p w14:paraId="01D021AF" w14:textId="77777777" w:rsidR="00BB2408" w:rsidRPr="009E674D" w:rsidRDefault="00BB2408" w:rsidP="001D5E32">
            <w:pPr>
              <w:jc w:val="center"/>
              <w:rPr>
                <w:lang w:val="sq-AL"/>
              </w:rPr>
            </w:pPr>
            <w:r w:rsidRPr="009E674D">
              <w:rPr>
                <w:lang w:val="sq-AL"/>
              </w:rPr>
              <w:t>ASK</w:t>
            </w:r>
          </w:p>
        </w:tc>
        <w:tc>
          <w:tcPr>
            <w:tcW w:w="1357" w:type="dxa"/>
            <w:vAlign w:val="center"/>
          </w:tcPr>
          <w:p w14:paraId="28A8F969" w14:textId="77777777" w:rsidR="00BB2408" w:rsidRPr="009E674D" w:rsidRDefault="00BB2408" w:rsidP="001D5E32">
            <w:pPr>
              <w:jc w:val="center"/>
              <w:rPr>
                <w:lang w:val="sq-AL"/>
              </w:rPr>
            </w:pPr>
            <w:r w:rsidRPr="009E674D">
              <w:rPr>
                <w:lang w:val="sq-AL"/>
              </w:rPr>
              <w:t>45%</w:t>
            </w:r>
          </w:p>
        </w:tc>
        <w:tc>
          <w:tcPr>
            <w:tcW w:w="1357" w:type="dxa"/>
            <w:vAlign w:val="center"/>
          </w:tcPr>
          <w:p w14:paraId="75750BE2" w14:textId="77777777" w:rsidR="00BB2408" w:rsidRPr="009E674D" w:rsidRDefault="00BB2408" w:rsidP="001D5E32">
            <w:pPr>
              <w:jc w:val="center"/>
              <w:rPr>
                <w:lang w:val="sq-AL"/>
              </w:rPr>
            </w:pPr>
            <w:r w:rsidRPr="009E674D">
              <w:rPr>
                <w:lang w:val="sq-AL"/>
              </w:rPr>
              <w:t>55%</w:t>
            </w:r>
          </w:p>
        </w:tc>
      </w:tr>
      <w:tr w:rsidR="00BB2408" w:rsidRPr="009E674D" w14:paraId="06C33209" w14:textId="77777777" w:rsidTr="001D5E32">
        <w:tc>
          <w:tcPr>
            <w:tcW w:w="2009" w:type="dxa"/>
            <w:vAlign w:val="center"/>
          </w:tcPr>
          <w:p w14:paraId="4499A7CB" w14:textId="77777777" w:rsidR="00BB2408" w:rsidRPr="009E674D" w:rsidRDefault="00BB2408" w:rsidP="00BB2408">
            <w:pPr>
              <w:pStyle w:val="ListParagraph"/>
              <w:numPr>
                <w:ilvl w:val="0"/>
                <w:numId w:val="13"/>
              </w:numPr>
              <w:spacing w:line="240" w:lineRule="auto"/>
              <w:rPr>
                <w:lang w:val="sq-AL"/>
              </w:rPr>
            </w:pPr>
            <w:r w:rsidRPr="009E674D">
              <w:rPr>
                <w:rFonts w:ascii="Calibri" w:eastAsia="Times New Roman" w:hAnsi="Calibri" w:cs="Calibri"/>
                <w:b/>
                <w:bCs/>
                <w:color w:val="000000" w:themeColor="text1"/>
                <w:lang w:val="sq-AL"/>
              </w:rPr>
              <w:t>Infrastrukturë lokale e përmirësuar</w:t>
            </w:r>
          </w:p>
        </w:tc>
        <w:tc>
          <w:tcPr>
            <w:tcW w:w="1723" w:type="dxa"/>
          </w:tcPr>
          <w:p w14:paraId="55C6F142" w14:textId="77777777" w:rsidR="00BB2408" w:rsidRPr="009E674D" w:rsidRDefault="00BB2408" w:rsidP="001D5E32">
            <w:pPr>
              <w:rPr>
                <w:i/>
                <w:lang w:val="sq-AL"/>
              </w:rPr>
            </w:pPr>
            <w:r w:rsidRPr="009E674D">
              <w:rPr>
                <w:rFonts w:ascii="Calibri" w:eastAsia="Times New Roman" w:hAnsi="Calibri" w:cs="Calibri"/>
                <w:bCs/>
                <w:i/>
                <w:color w:val="000000" w:themeColor="text1"/>
                <w:lang w:val="sq-AL"/>
              </w:rPr>
              <w:t>Përqindja e ndërmarrjeve “të kënaqura” me infrastrukturën lokale (%)</w:t>
            </w:r>
          </w:p>
        </w:tc>
        <w:tc>
          <w:tcPr>
            <w:tcW w:w="952" w:type="dxa"/>
            <w:vAlign w:val="center"/>
          </w:tcPr>
          <w:p w14:paraId="4C225B00" w14:textId="77777777" w:rsidR="00BB2408" w:rsidRPr="009E674D" w:rsidRDefault="00BB2408" w:rsidP="001D5E32">
            <w:pPr>
              <w:jc w:val="center"/>
              <w:rPr>
                <w:lang w:val="sq-AL"/>
              </w:rPr>
            </w:pPr>
            <w:r w:rsidRPr="009E674D">
              <w:rPr>
                <w:lang w:val="sq-AL"/>
              </w:rPr>
              <w:t>n/a</w:t>
            </w:r>
          </w:p>
        </w:tc>
        <w:tc>
          <w:tcPr>
            <w:tcW w:w="1952" w:type="dxa"/>
            <w:vAlign w:val="center"/>
          </w:tcPr>
          <w:p w14:paraId="5D09E9A9" w14:textId="77777777" w:rsidR="00BB2408" w:rsidRPr="009E674D" w:rsidRDefault="00BB2408" w:rsidP="001D5E32">
            <w:pPr>
              <w:jc w:val="center"/>
              <w:rPr>
                <w:lang w:val="sq-AL"/>
              </w:rPr>
            </w:pPr>
            <w:r w:rsidRPr="009E674D">
              <w:rPr>
                <w:lang w:val="sq-AL"/>
              </w:rPr>
              <w:t>Anketë</w:t>
            </w:r>
          </w:p>
        </w:tc>
        <w:tc>
          <w:tcPr>
            <w:tcW w:w="1357" w:type="dxa"/>
            <w:vAlign w:val="center"/>
          </w:tcPr>
          <w:p w14:paraId="6055F05A" w14:textId="77777777" w:rsidR="00BB2408" w:rsidRPr="009E674D" w:rsidRDefault="00BB2408" w:rsidP="001D5E32">
            <w:pPr>
              <w:jc w:val="center"/>
              <w:rPr>
                <w:lang w:val="sq-AL"/>
              </w:rPr>
            </w:pPr>
            <w:r w:rsidRPr="009E674D">
              <w:rPr>
                <w:lang w:val="sq-AL"/>
              </w:rPr>
              <w:t>Së paku 60% të kënaqur</w:t>
            </w:r>
          </w:p>
        </w:tc>
        <w:tc>
          <w:tcPr>
            <w:tcW w:w="1357" w:type="dxa"/>
            <w:vAlign w:val="center"/>
          </w:tcPr>
          <w:p w14:paraId="5BF2A57A" w14:textId="77777777" w:rsidR="00BB2408" w:rsidRPr="009E674D" w:rsidRDefault="00BB2408" w:rsidP="001D5E32">
            <w:pPr>
              <w:jc w:val="center"/>
              <w:rPr>
                <w:lang w:val="sq-AL"/>
              </w:rPr>
            </w:pPr>
            <w:r w:rsidRPr="009E674D">
              <w:rPr>
                <w:lang w:val="sq-AL"/>
              </w:rPr>
              <w:t>Së paku 70% të kënaqur</w:t>
            </w:r>
          </w:p>
        </w:tc>
      </w:tr>
      <w:tr w:rsidR="00BB2408" w:rsidRPr="009E674D" w14:paraId="0D94B317" w14:textId="77777777" w:rsidTr="001D5E32">
        <w:tc>
          <w:tcPr>
            <w:tcW w:w="2009" w:type="dxa"/>
            <w:vMerge w:val="restart"/>
            <w:vAlign w:val="center"/>
          </w:tcPr>
          <w:p w14:paraId="0963284A" w14:textId="77777777" w:rsidR="00BB2408" w:rsidRPr="009E674D" w:rsidRDefault="00BB2408" w:rsidP="00BB2408">
            <w:pPr>
              <w:pStyle w:val="ListParagraph"/>
              <w:numPr>
                <w:ilvl w:val="0"/>
                <w:numId w:val="13"/>
              </w:numPr>
              <w:spacing w:line="240" w:lineRule="auto"/>
              <w:rPr>
                <w:lang w:val="sq-AL"/>
              </w:rPr>
            </w:pPr>
            <w:r w:rsidRPr="009E674D">
              <w:rPr>
                <w:rFonts w:ascii="Calibri" w:eastAsia="Times New Roman" w:hAnsi="Calibri" w:cs="Calibri"/>
                <w:b/>
                <w:bCs/>
                <w:color w:val="000000" w:themeColor="text1"/>
                <w:lang w:val="sq-AL"/>
              </w:rPr>
              <w:t>Qeverisje ekonomike efektive dhe bashkëpunuese</w:t>
            </w:r>
          </w:p>
        </w:tc>
        <w:tc>
          <w:tcPr>
            <w:tcW w:w="1723" w:type="dxa"/>
          </w:tcPr>
          <w:p w14:paraId="3C0D4805" w14:textId="77777777" w:rsidR="00BB2408" w:rsidRPr="009E674D" w:rsidRDefault="00BB2408" w:rsidP="001D5E32">
            <w:pPr>
              <w:rPr>
                <w:lang w:val="sq-AL"/>
              </w:rPr>
            </w:pPr>
            <w:r w:rsidRPr="009E674D">
              <w:rPr>
                <w:rFonts w:ascii="Calibri" w:eastAsia="Times New Roman" w:hAnsi="Calibri" w:cs="Calibri"/>
                <w:bCs/>
                <w:i/>
                <w:color w:val="000000" w:themeColor="text1"/>
                <w:lang w:val="sq-AL"/>
              </w:rPr>
              <w:t>Indeksi i administratës lokale (1-10)</w:t>
            </w:r>
          </w:p>
        </w:tc>
        <w:tc>
          <w:tcPr>
            <w:tcW w:w="952" w:type="dxa"/>
            <w:vAlign w:val="center"/>
          </w:tcPr>
          <w:p w14:paraId="6490B6F0" w14:textId="77777777" w:rsidR="00BB2408" w:rsidRPr="009E674D" w:rsidRDefault="00BB2408" w:rsidP="001D5E32">
            <w:pPr>
              <w:jc w:val="center"/>
              <w:rPr>
                <w:lang w:val="sq-AL"/>
              </w:rPr>
            </w:pPr>
            <w:r w:rsidRPr="009E674D">
              <w:rPr>
                <w:lang w:val="sq-AL"/>
              </w:rPr>
              <w:t>3.9 (2020)</w:t>
            </w:r>
          </w:p>
        </w:tc>
        <w:tc>
          <w:tcPr>
            <w:tcW w:w="1952" w:type="dxa"/>
            <w:vAlign w:val="center"/>
          </w:tcPr>
          <w:p w14:paraId="1EC70E33" w14:textId="77777777" w:rsidR="00BB2408" w:rsidRPr="009E674D" w:rsidRDefault="00BB2408" w:rsidP="001D5E32">
            <w:pPr>
              <w:jc w:val="center"/>
              <w:rPr>
                <w:lang w:val="sq-AL"/>
              </w:rPr>
            </w:pPr>
            <w:r w:rsidRPr="009E674D">
              <w:rPr>
                <w:lang w:val="sq-AL"/>
              </w:rPr>
              <w:t>Indeksi i konkurrueshm</w:t>
            </w:r>
            <w:r w:rsidRPr="009E674D">
              <w:rPr>
                <w:rFonts w:ascii="Calibri" w:eastAsia="Times New Roman" w:hAnsi="Calibri" w:cs="Calibri"/>
                <w:bCs/>
                <w:color w:val="000000" w:themeColor="text1"/>
                <w:lang w:val="sq-AL"/>
              </w:rPr>
              <w:t>ë</w:t>
            </w:r>
            <w:r w:rsidRPr="009E674D">
              <w:rPr>
                <w:lang w:val="sq-AL"/>
              </w:rPr>
              <w:t>risë së komunave (USAID)</w:t>
            </w:r>
          </w:p>
        </w:tc>
        <w:tc>
          <w:tcPr>
            <w:tcW w:w="1357" w:type="dxa"/>
            <w:vAlign w:val="center"/>
          </w:tcPr>
          <w:p w14:paraId="55787B6A" w14:textId="77777777" w:rsidR="00BB2408" w:rsidRPr="009E674D" w:rsidRDefault="00BB2408" w:rsidP="001D5E32">
            <w:pPr>
              <w:jc w:val="center"/>
              <w:rPr>
                <w:lang w:val="sq-AL"/>
              </w:rPr>
            </w:pPr>
            <w:r w:rsidRPr="009E674D">
              <w:rPr>
                <w:lang w:val="sq-AL"/>
              </w:rPr>
              <w:t>6.0</w:t>
            </w:r>
          </w:p>
        </w:tc>
        <w:tc>
          <w:tcPr>
            <w:tcW w:w="1357" w:type="dxa"/>
            <w:vAlign w:val="center"/>
          </w:tcPr>
          <w:p w14:paraId="0A2376E4" w14:textId="77777777" w:rsidR="00BB2408" w:rsidRPr="009E674D" w:rsidRDefault="00BB2408" w:rsidP="001D5E32">
            <w:pPr>
              <w:jc w:val="center"/>
              <w:rPr>
                <w:lang w:val="sq-AL"/>
              </w:rPr>
            </w:pPr>
            <w:r w:rsidRPr="009E674D">
              <w:rPr>
                <w:lang w:val="sq-AL"/>
              </w:rPr>
              <w:t>8.0</w:t>
            </w:r>
          </w:p>
        </w:tc>
      </w:tr>
      <w:tr w:rsidR="00BB2408" w:rsidRPr="009E674D" w14:paraId="71B79C43" w14:textId="77777777" w:rsidTr="001D5E32">
        <w:tc>
          <w:tcPr>
            <w:tcW w:w="2009" w:type="dxa"/>
            <w:vMerge/>
            <w:vAlign w:val="center"/>
          </w:tcPr>
          <w:p w14:paraId="1CA73DEB" w14:textId="77777777" w:rsidR="00BB2408" w:rsidRPr="009E674D" w:rsidRDefault="00BB2408" w:rsidP="001D5E32">
            <w:pPr>
              <w:rPr>
                <w:rFonts w:ascii="Calibri" w:eastAsia="Times New Roman" w:hAnsi="Calibri" w:cs="Calibri"/>
                <w:b/>
                <w:bCs/>
                <w:color w:val="000000" w:themeColor="text1"/>
                <w:lang w:val="sq-AL"/>
              </w:rPr>
            </w:pPr>
          </w:p>
        </w:tc>
        <w:tc>
          <w:tcPr>
            <w:tcW w:w="1723" w:type="dxa"/>
          </w:tcPr>
          <w:p w14:paraId="56FF1B90" w14:textId="77777777" w:rsidR="00BB2408" w:rsidRPr="009E674D" w:rsidRDefault="00BB2408" w:rsidP="001D5E32">
            <w:pPr>
              <w:rPr>
                <w:rFonts w:ascii="Calibri" w:eastAsia="Times New Roman" w:hAnsi="Calibri" w:cs="Calibri"/>
                <w:bCs/>
                <w:i/>
                <w:lang w:val="sq-AL"/>
              </w:rPr>
            </w:pPr>
            <w:r w:rsidRPr="009E674D">
              <w:rPr>
                <w:rFonts w:ascii="Calibri" w:eastAsia="Times New Roman" w:hAnsi="Calibri" w:cs="Calibri"/>
                <w:bCs/>
                <w:i/>
                <w:lang w:val="sq-AL"/>
              </w:rPr>
              <w:t>Ndërlidhja e komunave me GG (për digjitalizim)</w:t>
            </w:r>
          </w:p>
        </w:tc>
        <w:tc>
          <w:tcPr>
            <w:tcW w:w="952" w:type="dxa"/>
            <w:vAlign w:val="center"/>
          </w:tcPr>
          <w:p w14:paraId="13D15030" w14:textId="77777777" w:rsidR="00BB2408" w:rsidRPr="009E674D" w:rsidRDefault="00BB2408" w:rsidP="001D5E32">
            <w:pPr>
              <w:jc w:val="center"/>
              <w:rPr>
                <w:rFonts w:cstheme="minorHAnsi"/>
                <w:lang w:val="sq-AL"/>
              </w:rPr>
            </w:pPr>
            <w:r w:rsidRPr="009E674D">
              <w:rPr>
                <w:rFonts w:cstheme="minorHAnsi"/>
                <w:lang w:val="sq-AL"/>
              </w:rPr>
              <w:t>n/a</w:t>
            </w:r>
          </w:p>
        </w:tc>
        <w:tc>
          <w:tcPr>
            <w:tcW w:w="1952" w:type="dxa"/>
            <w:vAlign w:val="center"/>
          </w:tcPr>
          <w:p w14:paraId="5FFDF1FD" w14:textId="77777777" w:rsidR="00BB2408" w:rsidRPr="009E674D" w:rsidRDefault="00BB2408" w:rsidP="001D5E32">
            <w:pPr>
              <w:jc w:val="center"/>
              <w:rPr>
                <w:rFonts w:cstheme="minorHAnsi"/>
                <w:lang w:val="sq-AL"/>
              </w:rPr>
            </w:pPr>
            <w:r w:rsidRPr="009E674D">
              <w:rPr>
                <w:rFonts w:cstheme="minorHAnsi"/>
                <w:lang w:val="sq-AL"/>
              </w:rPr>
              <w:t>n/a</w:t>
            </w:r>
          </w:p>
        </w:tc>
        <w:tc>
          <w:tcPr>
            <w:tcW w:w="1357" w:type="dxa"/>
            <w:vAlign w:val="center"/>
          </w:tcPr>
          <w:p w14:paraId="2C396BBA" w14:textId="77777777" w:rsidR="00BB2408" w:rsidRPr="009E674D" w:rsidRDefault="00BB2408" w:rsidP="001D5E32">
            <w:pPr>
              <w:jc w:val="center"/>
              <w:rPr>
                <w:rFonts w:cstheme="minorHAnsi"/>
                <w:lang w:val="sq-AL"/>
              </w:rPr>
            </w:pPr>
            <w:r w:rsidRPr="009E674D">
              <w:rPr>
                <w:rFonts w:cstheme="minorHAnsi"/>
                <w:lang w:val="sq-AL"/>
              </w:rPr>
              <w:t>n/a</w:t>
            </w:r>
          </w:p>
        </w:tc>
        <w:tc>
          <w:tcPr>
            <w:tcW w:w="1357" w:type="dxa"/>
            <w:vAlign w:val="center"/>
          </w:tcPr>
          <w:p w14:paraId="31E678DE" w14:textId="77777777" w:rsidR="00BB2408" w:rsidRPr="009E674D" w:rsidRDefault="00BB2408" w:rsidP="001D5E32">
            <w:pPr>
              <w:jc w:val="center"/>
              <w:rPr>
                <w:rFonts w:cstheme="minorHAnsi"/>
                <w:lang w:val="sq-AL"/>
              </w:rPr>
            </w:pPr>
            <w:r w:rsidRPr="009E674D">
              <w:rPr>
                <w:rFonts w:cstheme="minorHAnsi"/>
                <w:lang w:val="sq-AL"/>
              </w:rPr>
              <w:t>n/a</w:t>
            </w:r>
          </w:p>
        </w:tc>
      </w:tr>
    </w:tbl>
    <w:p w14:paraId="2BF29859" w14:textId="14AC68B0" w:rsidR="00631A10" w:rsidRDefault="00631A10" w:rsidP="002D7B48">
      <w:pPr>
        <w:jc w:val="both"/>
        <w:rPr>
          <w:lang w:val="sq-AL"/>
        </w:rPr>
      </w:pPr>
    </w:p>
    <w:p w14:paraId="6CEB29B8" w14:textId="0BEA7010" w:rsidR="002D7B48" w:rsidRDefault="002D7B48" w:rsidP="00631A10">
      <w:pPr>
        <w:rPr>
          <w:lang w:val="sq-AL"/>
        </w:rPr>
      </w:pPr>
    </w:p>
    <w:p w14:paraId="3BD9DC8C" w14:textId="1CDE81B9" w:rsidR="00631A10" w:rsidRDefault="00631A10" w:rsidP="00631A10">
      <w:pPr>
        <w:rPr>
          <w:lang w:val="sq-AL"/>
        </w:rPr>
      </w:pPr>
    </w:p>
    <w:p w14:paraId="1F23536D" w14:textId="77777777" w:rsidR="00631A10" w:rsidRPr="009E674D" w:rsidRDefault="00631A10" w:rsidP="00631A10">
      <w:pPr>
        <w:rPr>
          <w:lang w:val="sq-AL"/>
        </w:rPr>
      </w:pPr>
    </w:p>
    <w:p w14:paraId="14CB584A" w14:textId="77777777" w:rsidR="002D7B48" w:rsidRPr="009E674D" w:rsidRDefault="002D7B48" w:rsidP="002D7B48">
      <w:pPr>
        <w:pStyle w:val="Caption"/>
        <w:keepNext/>
        <w:jc w:val="center"/>
        <w:rPr>
          <w:lang w:val="sq-AL"/>
        </w:rPr>
      </w:pPr>
      <w:r w:rsidRPr="009E674D">
        <w:rPr>
          <w:lang w:val="sq-AL"/>
        </w:rPr>
        <w:lastRenderedPageBreak/>
        <w:t xml:space="preserve">Tabela </w:t>
      </w:r>
      <w:r w:rsidR="002C63B7" w:rsidRPr="009E674D">
        <w:rPr>
          <w:lang w:val="sq-AL"/>
        </w:rPr>
        <w:fldChar w:fldCharType="begin"/>
      </w:r>
      <w:r w:rsidR="002C63B7" w:rsidRPr="009E674D">
        <w:rPr>
          <w:lang w:val="sq-AL"/>
        </w:rPr>
        <w:instrText xml:space="preserve"> SEQ Tabela \* ARABIC </w:instrText>
      </w:r>
      <w:r w:rsidR="002C63B7" w:rsidRPr="009E674D">
        <w:rPr>
          <w:lang w:val="sq-AL"/>
        </w:rPr>
        <w:fldChar w:fldCharType="separate"/>
      </w:r>
      <w:r w:rsidRPr="009E674D">
        <w:rPr>
          <w:noProof/>
          <w:lang w:val="sq-AL"/>
        </w:rPr>
        <w:t>4</w:t>
      </w:r>
      <w:r w:rsidR="002C63B7" w:rsidRPr="009E674D">
        <w:rPr>
          <w:noProof/>
          <w:lang w:val="sq-AL"/>
        </w:rPr>
        <w:fldChar w:fldCharType="end"/>
      </w:r>
      <w:r w:rsidRPr="009E674D">
        <w:rPr>
          <w:lang w:val="sq-AL"/>
        </w:rPr>
        <w:t>: Treguesit e rezultatit</w:t>
      </w:r>
    </w:p>
    <w:tbl>
      <w:tblPr>
        <w:tblStyle w:val="TableGrid"/>
        <w:tblW w:w="0" w:type="auto"/>
        <w:tblLayout w:type="fixed"/>
        <w:tblLook w:val="04A0" w:firstRow="1" w:lastRow="0" w:firstColumn="1" w:lastColumn="0" w:noHBand="0" w:noVBand="1"/>
      </w:tblPr>
      <w:tblGrid>
        <w:gridCol w:w="779"/>
        <w:gridCol w:w="1646"/>
        <w:gridCol w:w="1980"/>
        <w:gridCol w:w="990"/>
        <w:gridCol w:w="1440"/>
        <w:gridCol w:w="1260"/>
        <w:gridCol w:w="1255"/>
      </w:tblGrid>
      <w:tr w:rsidR="00BB2408" w:rsidRPr="009E674D" w14:paraId="003A1AF6" w14:textId="77777777" w:rsidTr="001D5E32">
        <w:tc>
          <w:tcPr>
            <w:tcW w:w="779" w:type="dxa"/>
            <w:shd w:val="clear" w:color="auto" w:fill="9CC2E5" w:themeFill="accent1" w:themeFillTint="99"/>
            <w:vAlign w:val="bottom"/>
          </w:tcPr>
          <w:p w14:paraId="5806CD12" w14:textId="77777777" w:rsidR="00BB2408" w:rsidRPr="009E674D" w:rsidRDefault="00BB2408" w:rsidP="001D5E32">
            <w:pPr>
              <w:rPr>
                <w:b/>
                <w:lang w:val="sq-AL"/>
              </w:rPr>
            </w:pPr>
            <w:r w:rsidRPr="009E674D">
              <w:rPr>
                <w:b/>
                <w:lang w:val="sq-AL"/>
              </w:rPr>
              <w:t>Obj.</w:t>
            </w:r>
          </w:p>
        </w:tc>
        <w:tc>
          <w:tcPr>
            <w:tcW w:w="1646" w:type="dxa"/>
            <w:shd w:val="clear" w:color="auto" w:fill="9CC2E5" w:themeFill="accent1" w:themeFillTint="99"/>
            <w:vAlign w:val="bottom"/>
          </w:tcPr>
          <w:p w14:paraId="17F6229A" w14:textId="7C1142D9" w:rsidR="00BB2408" w:rsidRPr="009E674D" w:rsidRDefault="009E674D" w:rsidP="001D5E32">
            <w:pPr>
              <w:jc w:val="center"/>
              <w:rPr>
                <w:b/>
                <w:lang w:val="sq-AL"/>
              </w:rPr>
            </w:pPr>
            <w:r>
              <w:rPr>
                <w:b/>
                <w:lang w:val="sq-AL"/>
              </w:rPr>
              <w:t>Objektivi specifik</w:t>
            </w:r>
          </w:p>
        </w:tc>
        <w:tc>
          <w:tcPr>
            <w:tcW w:w="1980" w:type="dxa"/>
            <w:shd w:val="clear" w:color="auto" w:fill="9CC2E5" w:themeFill="accent1" w:themeFillTint="99"/>
            <w:vAlign w:val="bottom"/>
          </w:tcPr>
          <w:p w14:paraId="589A3979" w14:textId="77777777" w:rsidR="00BB2408" w:rsidRPr="009E674D" w:rsidRDefault="00BB2408" w:rsidP="001D5E32">
            <w:pPr>
              <w:jc w:val="center"/>
              <w:rPr>
                <w:b/>
                <w:lang w:val="sq-AL"/>
              </w:rPr>
            </w:pPr>
            <w:r w:rsidRPr="009E674D">
              <w:rPr>
                <w:b/>
                <w:lang w:val="sq-AL"/>
              </w:rPr>
              <w:t>Treguesi</w:t>
            </w:r>
          </w:p>
        </w:tc>
        <w:tc>
          <w:tcPr>
            <w:tcW w:w="990" w:type="dxa"/>
            <w:shd w:val="clear" w:color="auto" w:fill="9CC2E5" w:themeFill="accent1" w:themeFillTint="99"/>
            <w:vAlign w:val="bottom"/>
          </w:tcPr>
          <w:p w14:paraId="2F9BB465" w14:textId="77777777" w:rsidR="00BB2408" w:rsidRPr="009E674D" w:rsidRDefault="00BB2408" w:rsidP="001D5E32">
            <w:pPr>
              <w:jc w:val="center"/>
              <w:rPr>
                <w:b/>
                <w:lang w:val="sq-AL"/>
              </w:rPr>
            </w:pPr>
            <w:r w:rsidRPr="009E674D">
              <w:rPr>
                <w:b/>
                <w:lang w:val="sq-AL"/>
              </w:rPr>
              <w:t>Baza n</w:t>
            </w:r>
            <w:r w:rsidRPr="009E674D">
              <w:rPr>
                <w:rFonts w:ascii="Calibri" w:eastAsia="Times New Roman" w:hAnsi="Calibri" w:cs="Calibri"/>
                <w:b/>
                <w:bCs/>
                <w:color w:val="000000" w:themeColor="text1"/>
                <w:lang w:val="sq-AL"/>
              </w:rPr>
              <w:t xml:space="preserve">ë nivel vendi </w:t>
            </w:r>
          </w:p>
        </w:tc>
        <w:tc>
          <w:tcPr>
            <w:tcW w:w="1440" w:type="dxa"/>
            <w:shd w:val="clear" w:color="auto" w:fill="9CC2E5" w:themeFill="accent1" w:themeFillTint="99"/>
            <w:vAlign w:val="bottom"/>
          </w:tcPr>
          <w:p w14:paraId="03644D94" w14:textId="77777777" w:rsidR="00BB2408" w:rsidRPr="009E674D" w:rsidRDefault="00BB2408" w:rsidP="001D5E32">
            <w:pPr>
              <w:jc w:val="center"/>
              <w:rPr>
                <w:b/>
                <w:lang w:val="sq-AL"/>
              </w:rPr>
            </w:pPr>
            <w:r w:rsidRPr="009E674D">
              <w:rPr>
                <w:b/>
                <w:lang w:val="sq-AL"/>
              </w:rPr>
              <w:t>Burimi</w:t>
            </w:r>
          </w:p>
        </w:tc>
        <w:tc>
          <w:tcPr>
            <w:tcW w:w="1260" w:type="dxa"/>
            <w:shd w:val="clear" w:color="auto" w:fill="9CC2E5" w:themeFill="accent1" w:themeFillTint="99"/>
            <w:vAlign w:val="bottom"/>
          </w:tcPr>
          <w:p w14:paraId="3A00D3CC" w14:textId="0B357832" w:rsidR="00BB2408" w:rsidRPr="009E674D" w:rsidRDefault="00BB2408" w:rsidP="00631A10">
            <w:pPr>
              <w:jc w:val="center"/>
              <w:rPr>
                <w:b/>
                <w:lang w:val="sq-AL"/>
              </w:rPr>
            </w:pPr>
            <w:r w:rsidRPr="009E674D">
              <w:rPr>
                <w:b/>
                <w:lang w:val="sq-AL"/>
              </w:rPr>
              <w:t>Propozim synimi 2026</w:t>
            </w:r>
          </w:p>
        </w:tc>
        <w:tc>
          <w:tcPr>
            <w:tcW w:w="1255" w:type="dxa"/>
            <w:shd w:val="clear" w:color="auto" w:fill="9CC2E5" w:themeFill="accent1" w:themeFillTint="99"/>
            <w:vAlign w:val="bottom"/>
          </w:tcPr>
          <w:p w14:paraId="4CCA1951" w14:textId="77777777" w:rsidR="00BB2408" w:rsidRPr="009E674D" w:rsidRDefault="00BB2408" w:rsidP="001D5E32">
            <w:pPr>
              <w:jc w:val="center"/>
              <w:rPr>
                <w:b/>
                <w:lang w:val="sq-AL"/>
              </w:rPr>
            </w:pPr>
            <w:r w:rsidRPr="009E674D">
              <w:rPr>
                <w:b/>
                <w:lang w:val="sq-AL"/>
              </w:rPr>
              <w:t>Propozim synimi 2030</w:t>
            </w:r>
          </w:p>
        </w:tc>
      </w:tr>
      <w:tr w:rsidR="00BB2408" w:rsidRPr="009E674D" w14:paraId="663874F3" w14:textId="77777777" w:rsidTr="001D5E32">
        <w:tc>
          <w:tcPr>
            <w:tcW w:w="779" w:type="dxa"/>
            <w:vMerge w:val="restart"/>
            <w:vAlign w:val="center"/>
          </w:tcPr>
          <w:p w14:paraId="5028FD5F" w14:textId="77777777" w:rsidR="00BB2408" w:rsidRPr="009E674D" w:rsidRDefault="00BB2408" w:rsidP="001D5E32">
            <w:pPr>
              <w:rPr>
                <w:rFonts w:cstheme="minorHAnsi"/>
                <w:b/>
                <w:color w:val="000000" w:themeColor="text1"/>
                <w:lang w:val="sq-AL"/>
              </w:rPr>
            </w:pPr>
            <w:r w:rsidRPr="009E674D">
              <w:rPr>
                <w:rFonts w:cstheme="minorHAnsi"/>
                <w:b/>
                <w:color w:val="000000" w:themeColor="text1"/>
                <w:lang w:val="sq-AL"/>
              </w:rPr>
              <w:t>Obj. 1</w:t>
            </w:r>
          </w:p>
        </w:tc>
        <w:tc>
          <w:tcPr>
            <w:tcW w:w="1646" w:type="dxa"/>
            <w:vAlign w:val="center"/>
          </w:tcPr>
          <w:p w14:paraId="4F8D1395" w14:textId="77777777" w:rsidR="00BB2408" w:rsidRPr="009E674D" w:rsidRDefault="00BB2408" w:rsidP="001D5E32">
            <w:pPr>
              <w:rPr>
                <w:rFonts w:eastAsia="Times New Roman" w:cstheme="minorHAnsi"/>
                <w:b/>
                <w:i/>
                <w:color w:val="000000"/>
                <w:lang w:val="sq-AL"/>
              </w:rPr>
            </w:pPr>
            <w:r w:rsidRPr="009E674D">
              <w:rPr>
                <w:rFonts w:eastAsia="Times New Roman" w:cstheme="minorHAnsi"/>
                <w:b/>
                <w:i/>
                <w:color w:val="000000"/>
                <w:lang w:val="sq-AL"/>
              </w:rPr>
              <w:t>1.1. Rritja e investimeve në fushat me potencial për zhvillim ekonomik lokal</w:t>
            </w:r>
          </w:p>
        </w:tc>
        <w:tc>
          <w:tcPr>
            <w:tcW w:w="1980" w:type="dxa"/>
            <w:vAlign w:val="center"/>
          </w:tcPr>
          <w:p w14:paraId="72351CD5" w14:textId="77777777" w:rsidR="00BB2408" w:rsidRPr="009E674D" w:rsidRDefault="00BB2408" w:rsidP="001D5E32">
            <w:pPr>
              <w:rPr>
                <w:rFonts w:cstheme="minorHAnsi"/>
                <w:i/>
                <w:lang w:val="sq-AL"/>
              </w:rPr>
            </w:pPr>
            <w:r w:rsidRPr="009E674D">
              <w:rPr>
                <w:rFonts w:cstheme="minorHAnsi"/>
                <w:i/>
                <w:lang w:val="sq-AL"/>
              </w:rPr>
              <w:t>Investimet e Huaja Direkte (IHD) për kok</w:t>
            </w:r>
            <w:r w:rsidRPr="009E674D">
              <w:rPr>
                <w:rFonts w:eastAsia="Times New Roman" w:cstheme="minorHAnsi"/>
                <w:bCs/>
                <w:i/>
                <w:color w:val="000000" w:themeColor="text1"/>
                <w:lang w:val="sq-AL"/>
              </w:rPr>
              <w:t>ë</w:t>
            </w:r>
            <w:r w:rsidRPr="009E674D">
              <w:rPr>
                <w:rFonts w:cstheme="minorHAnsi"/>
                <w:i/>
                <w:lang w:val="sq-AL"/>
              </w:rPr>
              <w:t xml:space="preserve"> banori (EUR)</w:t>
            </w:r>
          </w:p>
        </w:tc>
        <w:tc>
          <w:tcPr>
            <w:tcW w:w="990" w:type="dxa"/>
            <w:vAlign w:val="center"/>
          </w:tcPr>
          <w:p w14:paraId="7AA0122F" w14:textId="77777777" w:rsidR="00BB2408" w:rsidRPr="009E674D" w:rsidRDefault="00BB2408" w:rsidP="001D5E32">
            <w:pPr>
              <w:jc w:val="center"/>
              <w:rPr>
                <w:rFonts w:cstheme="minorHAnsi"/>
                <w:lang w:val="sq-AL"/>
              </w:rPr>
            </w:pPr>
            <w:r w:rsidRPr="009E674D">
              <w:rPr>
                <w:rFonts w:cstheme="minorHAnsi"/>
                <w:lang w:val="sq-AL"/>
              </w:rPr>
              <w:t>236.8 EUR (2021)</w:t>
            </w:r>
          </w:p>
        </w:tc>
        <w:tc>
          <w:tcPr>
            <w:tcW w:w="1440" w:type="dxa"/>
            <w:vAlign w:val="center"/>
          </w:tcPr>
          <w:p w14:paraId="69E68A2F" w14:textId="77777777" w:rsidR="00BB2408" w:rsidRPr="009E674D" w:rsidRDefault="00BB2408" w:rsidP="001D5E32">
            <w:pPr>
              <w:jc w:val="center"/>
              <w:rPr>
                <w:rFonts w:cstheme="minorHAnsi"/>
                <w:lang w:val="sq-AL"/>
              </w:rPr>
            </w:pPr>
            <w:r w:rsidRPr="009E674D">
              <w:rPr>
                <w:rFonts w:cstheme="minorHAnsi"/>
                <w:lang w:val="sq-AL"/>
              </w:rPr>
              <w:t>BQK</w:t>
            </w:r>
          </w:p>
        </w:tc>
        <w:tc>
          <w:tcPr>
            <w:tcW w:w="1260" w:type="dxa"/>
            <w:vAlign w:val="center"/>
          </w:tcPr>
          <w:p w14:paraId="4C5029AE" w14:textId="77777777" w:rsidR="00BB2408" w:rsidRPr="009E674D" w:rsidRDefault="00BB2408" w:rsidP="001D5E32">
            <w:pPr>
              <w:jc w:val="center"/>
              <w:rPr>
                <w:rFonts w:cstheme="minorHAnsi"/>
                <w:lang w:val="sq-AL"/>
              </w:rPr>
            </w:pPr>
            <w:r w:rsidRPr="009E674D">
              <w:rPr>
                <w:rFonts w:cstheme="minorHAnsi"/>
                <w:lang w:val="sq-AL"/>
              </w:rPr>
              <w:t xml:space="preserve">350 </w:t>
            </w:r>
          </w:p>
          <w:p w14:paraId="3A5BD4AC" w14:textId="77777777" w:rsidR="00BB2408" w:rsidRPr="009E674D" w:rsidRDefault="00BB2408" w:rsidP="001D5E32">
            <w:pPr>
              <w:jc w:val="center"/>
              <w:rPr>
                <w:rFonts w:cstheme="minorHAnsi"/>
                <w:lang w:val="sq-AL"/>
              </w:rPr>
            </w:pPr>
            <w:r w:rsidRPr="009E674D">
              <w:rPr>
                <w:rFonts w:cstheme="minorHAnsi"/>
                <w:lang w:val="sq-AL"/>
              </w:rPr>
              <w:t>EUR</w:t>
            </w:r>
          </w:p>
        </w:tc>
        <w:tc>
          <w:tcPr>
            <w:tcW w:w="1255" w:type="dxa"/>
            <w:vAlign w:val="center"/>
          </w:tcPr>
          <w:p w14:paraId="6FFAA9DE" w14:textId="77777777" w:rsidR="00BB2408" w:rsidRPr="009E674D" w:rsidRDefault="00BB2408" w:rsidP="001D5E32">
            <w:pPr>
              <w:jc w:val="center"/>
              <w:rPr>
                <w:rFonts w:cstheme="minorHAnsi"/>
                <w:lang w:val="sq-AL"/>
              </w:rPr>
            </w:pPr>
            <w:r w:rsidRPr="009E674D">
              <w:rPr>
                <w:rFonts w:cstheme="minorHAnsi"/>
                <w:lang w:val="sq-AL"/>
              </w:rPr>
              <w:t xml:space="preserve">470 </w:t>
            </w:r>
          </w:p>
          <w:p w14:paraId="7E538C40" w14:textId="77777777" w:rsidR="00BB2408" w:rsidRPr="009E674D" w:rsidRDefault="00BB2408" w:rsidP="001D5E32">
            <w:pPr>
              <w:jc w:val="center"/>
              <w:rPr>
                <w:rFonts w:cstheme="minorHAnsi"/>
                <w:lang w:val="sq-AL"/>
              </w:rPr>
            </w:pPr>
            <w:r w:rsidRPr="009E674D">
              <w:rPr>
                <w:rFonts w:cstheme="minorHAnsi"/>
                <w:lang w:val="sq-AL"/>
              </w:rPr>
              <w:t>EUR</w:t>
            </w:r>
          </w:p>
        </w:tc>
      </w:tr>
      <w:tr w:rsidR="00BB2408" w:rsidRPr="009E674D" w14:paraId="56289277" w14:textId="77777777" w:rsidTr="001D5E32">
        <w:tc>
          <w:tcPr>
            <w:tcW w:w="779" w:type="dxa"/>
            <w:vMerge/>
            <w:vAlign w:val="center"/>
          </w:tcPr>
          <w:p w14:paraId="1EEB784E" w14:textId="77777777" w:rsidR="00BB2408" w:rsidRPr="009E674D" w:rsidRDefault="00BB2408" w:rsidP="001D5E32">
            <w:pPr>
              <w:rPr>
                <w:rFonts w:cstheme="minorHAnsi"/>
                <w:color w:val="000000" w:themeColor="text1"/>
                <w:lang w:val="sq-AL"/>
              </w:rPr>
            </w:pPr>
          </w:p>
        </w:tc>
        <w:tc>
          <w:tcPr>
            <w:tcW w:w="1646" w:type="dxa"/>
            <w:vMerge w:val="restart"/>
            <w:vAlign w:val="center"/>
          </w:tcPr>
          <w:p w14:paraId="4A72FCA3" w14:textId="77777777" w:rsidR="00BB2408" w:rsidRPr="009E674D" w:rsidRDefault="00BB2408" w:rsidP="001D5E32">
            <w:pPr>
              <w:rPr>
                <w:rFonts w:eastAsia="Times New Roman" w:cstheme="minorHAnsi"/>
                <w:b/>
                <w:i/>
                <w:color w:val="000000"/>
                <w:lang w:val="sq-AL"/>
              </w:rPr>
            </w:pPr>
            <w:r w:rsidRPr="009E674D">
              <w:rPr>
                <w:rFonts w:eastAsia="Times New Roman" w:cstheme="minorHAnsi"/>
                <w:b/>
                <w:i/>
                <w:color w:val="000000"/>
                <w:lang w:val="sq-AL"/>
              </w:rPr>
              <w:t>1.2. Rritja e produktivitetit në bujqësi dhe promovimi i turizmit lokal</w:t>
            </w:r>
          </w:p>
        </w:tc>
        <w:tc>
          <w:tcPr>
            <w:tcW w:w="1980" w:type="dxa"/>
            <w:vAlign w:val="center"/>
          </w:tcPr>
          <w:p w14:paraId="3852CAD0" w14:textId="77777777" w:rsidR="00BB2408" w:rsidRPr="009E674D" w:rsidRDefault="00BB2408" w:rsidP="001D5E32">
            <w:pPr>
              <w:rPr>
                <w:rFonts w:cstheme="minorHAnsi"/>
                <w:i/>
                <w:lang w:val="sq-AL"/>
              </w:rPr>
            </w:pPr>
            <w:r w:rsidRPr="009E674D">
              <w:rPr>
                <w:rFonts w:cstheme="minorHAnsi"/>
                <w:i/>
                <w:lang w:val="sq-AL"/>
              </w:rPr>
              <w:t>Vlera e Shtuar Bruto (VShB) për njësi pune vjetore (NJPV) në bujqësi (EUR)</w:t>
            </w:r>
          </w:p>
        </w:tc>
        <w:tc>
          <w:tcPr>
            <w:tcW w:w="990" w:type="dxa"/>
            <w:vAlign w:val="center"/>
          </w:tcPr>
          <w:p w14:paraId="5B3B5FFB" w14:textId="77777777" w:rsidR="00BB2408" w:rsidRPr="009E674D" w:rsidRDefault="00BB2408" w:rsidP="001D5E32">
            <w:pPr>
              <w:jc w:val="center"/>
              <w:rPr>
                <w:rFonts w:cstheme="minorHAnsi"/>
                <w:lang w:val="sq-AL"/>
              </w:rPr>
            </w:pPr>
            <w:r w:rsidRPr="009E674D">
              <w:rPr>
                <w:rFonts w:cstheme="minorHAnsi"/>
                <w:lang w:val="sq-AL"/>
              </w:rPr>
              <w:t>1428</w:t>
            </w:r>
          </w:p>
          <w:p w14:paraId="0FDE18E5" w14:textId="77777777" w:rsidR="00BB2408" w:rsidRPr="009E674D" w:rsidRDefault="00BB2408" w:rsidP="001D5E32">
            <w:pPr>
              <w:jc w:val="center"/>
              <w:rPr>
                <w:rFonts w:cstheme="minorHAnsi"/>
                <w:lang w:val="sq-AL"/>
              </w:rPr>
            </w:pPr>
            <w:r w:rsidRPr="009E674D">
              <w:rPr>
                <w:rFonts w:cstheme="minorHAnsi"/>
                <w:lang w:val="sq-AL"/>
              </w:rPr>
              <w:t>EUR (2019)</w:t>
            </w:r>
          </w:p>
        </w:tc>
        <w:tc>
          <w:tcPr>
            <w:tcW w:w="1440" w:type="dxa"/>
            <w:vAlign w:val="center"/>
          </w:tcPr>
          <w:p w14:paraId="566DD491" w14:textId="77777777" w:rsidR="00BB2408" w:rsidRPr="009E674D" w:rsidRDefault="00BB2408" w:rsidP="001D5E32">
            <w:pPr>
              <w:jc w:val="center"/>
              <w:rPr>
                <w:rFonts w:cstheme="minorHAnsi"/>
                <w:lang w:val="sq-AL"/>
              </w:rPr>
            </w:pPr>
            <w:r w:rsidRPr="009E674D">
              <w:rPr>
                <w:rFonts w:cstheme="minorHAnsi"/>
                <w:lang w:val="sq-AL"/>
              </w:rPr>
              <w:t>MBPZHR</w:t>
            </w:r>
          </w:p>
        </w:tc>
        <w:tc>
          <w:tcPr>
            <w:tcW w:w="1260" w:type="dxa"/>
            <w:vAlign w:val="center"/>
          </w:tcPr>
          <w:p w14:paraId="4E80B48A" w14:textId="77777777" w:rsidR="00BB2408" w:rsidRPr="009E674D" w:rsidRDefault="00BB2408" w:rsidP="001D5E32">
            <w:pPr>
              <w:jc w:val="center"/>
              <w:rPr>
                <w:rFonts w:cstheme="minorHAnsi"/>
                <w:lang w:val="sq-AL"/>
              </w:rPr>
            </w:pPr>
            <w:r w:rsidRPr="009E674D">
              <w:rPr>
                <w:rFonts w:cstheme="minorHAnsi"/>
                <w:lang w:val="sq-AL"/>
              </w:rPr>
              <w:t xml:space="preserve">1700 </w:t>
            </w:r>
          </w:p>
          <w:p w14:paraId="3A9AE142" w14:textId="77777777" w:rsidR="00BB2408" w:rsidRPr="009E674D" w:rsidRDefault="00BB2408" w:rsidP="001D5E32">
            <w:pPr>
              <w:jc w:val="center"/>
              <w:rPr>
                <w:rFonts w:cstheme="minorHAnsi"/>
                <w:lang w:val="sq-AL"/>
              </w:rPr>
            </w:pPr>
            <w:r w:rsidRPr="009E674D">
              <w:rPr>
                <w:rFonts w:cstheme="minorHAnsi"/>
                <w:lang w:val="sq-AL"/>
              </w:rPr>
              <w:t>EUR</w:t>
            </w:r>
          </w:p>
        </w:tc>
        <w:tc>
          <w:tcPr>
            <w:tcW w:w="1255" w:type="dxa"/>
            <w:vAlign w:val="center"/>
          </w:tcPr>
          <w:p w14:paraId="62C0739F" w14:textId="77777777" w:rsidR="00BB2408" w:rsidRPr="009E674D" w:rsidRDefault="00BB2408" w:rsidP="001D5E32">
            <w:pPr>
              <w:jc w:val="center"/>
              <w:rPr>
                <w:rFonts w:cstheme="minorHAnsi"/>
                <w:lang w:val="sq-AL"/>
              </w:rPr>
            </w:pPr>
            <w:r w:rsidRPr="009E674D">
              <w:rPr>
                <w:rFonts w:cstheme="minorHAnsi"/>
                <w:lang w:val="sq-AL"/>
              </w:rPr>
              <w:t xml:space="preserve">2000 </w:t>
            </w:r>
          </w:p>
          <w:p w14:paraId="0C208204" w14:textId="77777777" w:rsidR="00BB2408" w:rsidRPr="009E674D" w:rsidRDefault="00BB2408" w:rsidP="001D5E32">
            <w:pPr>
              <w:jc w:val="center"/>
              <w:rPr>
                <w:rFonts w:cstheme="minorHAnsi"/>
                <w:lang w:val="sq-AL"/>
              </w:rPr>
            </w:pPr>
            <w:r w:rsidRPr="009E674D">
              <w:rPr>
                <w:rFonts w:cstheme="minorHAnsi"/>
                <w:lang w:val="sq-AL"/>
              </w:rPr>
              <w:t>EUR</w:t>
            </w:r>
          </w:p>
        </w:tc>
      </w:tr>
      <w:tr w:rsidR="00BB2408" w:rsidRPr="009E674D" w14:paraId="5A0D4841" w14:textId="77777777" w:rsidTr="001D5E32">
        <w:tc>
          <w:tcPr>
            <w:tcW w:w="779" w:type="dxa"/>
            <w:vMerge/>
            <w:vAlign w:val="center"/>
          </w:tcPr>
          <w:p w14:paraId="6D87D637" w14:textId="77777777" w:rsidR="00BB2408" w:rsidRPr="009E674D" w:rsidRDefault="00BB2408" w:rsidP="001D5E32">
            <w:pPr>
              <w:rPr>
                <w:rFonts w:cstheme="minorHAnsi"/>
                <w:color w:val="000000" w:themeColor="text1"/>
                <w:lang w:val="sq-AL"/>
              </w:rPr>
            </w:pPr>
          </w:p>
        </w:tc>
        <w:tc>
          <w:tcPr>
            <w:tcW w:w="1646" w:type="dxa"/>
            <w:vMerge/>
            <w:vAlign w:val="center"/>
          </w:tcPr>
          <w:p w14:paraId="0F31E6E8" w14:textId="77777777" w:rsidR="00BB2408" w:rsidRPr="009E674D" w:rsidRDefault="00BB2408" w:rsidP="001D5E32">
            <w:pPr>
              <w:rPr>
                <w:rFonts w:eastAsia="Times New Roman" w:cstheme="minorHAnsi"/>
                <w:color w:val="000000"/>
                <w:lang w:val="sq-AL"/>
              </w:rPr>
            </w:pPr>
          </w:p>
        </w:tc>
        <w:tc>
          <w:tcPr>
            <w:tcW w:w="1980" w:type="dxa"/>
            <w:vAlign w:val="center"/>
          </w:tcPr>
          <w:p w14:paraId="08740D8E" w14:textId="77777777" w:rsidR="00BB2408" w:rsidRPr="009E674D" w:rsidRDefault="00BB2408" w:rsidP="001D5E32">
            <w:pPr>
              <w:rPr>
                <w:rFonts w:cstheme="minorHAnsi"/>
                <w:i/>
                <w:lang w:val="sq-AL"/>
              </w:rPr>
            </w:pPr>
            <w:r w:rsidRPr="009E674D">
              <w:rPr>
                <w:rFonts w:cstheme="minorHAnsi"/>
                <w:i/>
                <w:lang w:val="sq-AL"/>
              </w:rPr>
              <w:t xml:space="preserve">Vizitorët ndërkombëtarë për kokë banori </w:t>
            </w:r>
          </w:p>
          <w:p w14:paraId="6738A7B2" w14:textId="77777777" w:rsidR="00BB2408" w:rsidRPr="009E674D" w:rsidRDefault="00BB2408" w:rsidP="001D5E32">
            <w:pPr>
              <w:rPr>
                <w:rFonts w:cstheme="minorHAnsi"/>
                <w:i/>
                <w:lang w:val="sq-AL"/>
              </w:rPr>
            </w:pPr>
          </w:p>
        </w:tc>
        <w:tc>
          <w:tcPr>
            <w:tcW w:w="990" w:type="dxa"/>
            <w:vAlign w:val="center"/>
          </w:tcPr>
          <w:p w14:paraId="038650D4" w14:textId="77777777" w:rsidR="00BB2408" w:rsidRPr="009E674D" w:rsidRDefault="00BB2408" w:rsidP="001D5E32">
            <w:pPr>
              <w:jc w:val="center"/>
              <w:rPr>
                <w:rFonts w:cstheme="minorHAnsi"/>
                <w:lang w:val="sq-AL"/>
              </w:rPr>
            </w:pPr>
            <w:r w:rsidRPr="009E674D">
              <w:rPr>
                <w:rFonts w:cstheme="minorHAnsi"/>
                <w:lang w:val="sq-AL"/>
              </w:rPr>
              <w:t>3.2 (2021)</w:t>
            </w:r>
          </w:p>
        </w:tc>
        <w:tc>
          <w:tcPr>
            <w:tcW w:w="1440" w:type="dxa"/>
            <w:vAlign w:val="center"/>
          </w:tcPr>
          <w:p w14:paraId="52D77D7A" w14:textId="77777777" w:rsidR="00BB2408" w:rsidRPr="009E674D" w:rsidRDefault="00BB2408" w:rsidP="001D5E32">
            <w:pPr>
              <w:jc w:val="center"/>
              <w:rPr>
                <w:rFonts w:cstheme="minorHAnsi"/>
                <w:lang w:val="sq-AL"/>
              </w:rPr>
            </w:pPr>
            <w:r w:rsidRPr="009E674D">
              <w:rPr>
                <w:rFonts w:cstheme="minorHAnsi"/>
                <w:lang w:val="sq-AL"/>
              </w:rPr>
              <w:t>Hyrjet në pikat kufitare (ASK/Policia e Kosovës)</w:t>
            </w:r>
          </w:p>
        </w:tc>
        <w:tc>
          <w:tcPr>
            <w:tcW w:w="1260" w:type="dxa"/>
            <w:vAlign w:val="center"/>
          </w:tcPr>
          <w:p w14:paraId="2FF58E75" w14:textId="77777777" w:rsidR="00BB2408" w:rsidRPr="009E674D" w:rsidRDefault="00BB2408" w:rsidP="001D5E32">
            <w:pPr>
              <w:jc w:val="center"/>
              <w:rPr>
                <w:rFonts w:cstheme="minorHAnsi"/>
                <w:lang w:val="sq-AL"/>
              </w:rPr>
            </w:pPr>
            <w:r w:rsidRPr="009E674D">
              <w:rPr>
                <w:rFonts w:cstheme="minorHAnsi"/>
                <w:lang w:val="sq-AL"/>
              </w:rPr>
              <w:t>+30%</w:t>
            </w:r>
          </w:p>
        </w:tc>
        <w:tc>
          <w:tcPr>
            <w:tcW w:w="1255" w:type="dxa"/>
            <w:vAlign w:val="center"/>
          </w:tcPr>
          <w:p w14:paraId="7A66EFDF" w14:textId="77777777" w:rsidR="00BB2408" w:rsidRPr="009E674D" w:rsidRDefault="00BB2408" w:rsidP="001D5E32">
            <w:pPr>
              <w:jc w:val="center"/>
              <w:rPr>
                <w:rFonts w:cstheme="minorHAnsi"/>
                <w:lang w:val="sq-AL"/>
              </w:rPr>
            </w:pPr>
            <w:r w:rsidRPr="009E674D">
              <w:rPr>
                <w:rFonts w:cstheme="minorHAnsi"/>
                <w:lang w:val="sq-AL"/>
              </w:rPr>
              <w:t>+50%</w:t>
            </w:r>
          </w:p>
        </w:tc>
      </w:tr>
      <w:tr w:rsidR="00BB2408" w:rsidRPr="009E674D" w14:paraId="061B49FB" w14:textId="77777777" w:rsidTr="001D5E32">
        <w:tc>
          <w:tcPr>
            <w:tcW w:w="779" w:type="dxa"/>
            <w:vMerge/>
          </w:tcPr>
          <w:p w14:paraId="4A99C466" w14:textId="77777777" w:rsidR="00BB2408" w:rsidRPr="009E674D" w:rsidRDefault="00BB2408" w:rsidP="00BB2408">
            <w:pPr>
              <w:pStyle w:val="ListParagraph"/>
              <w:numPr>
                <w:ilvl w:val="0"/>
                <w:numId w:val="13"/>
              </w:numPr>
              <w:spacing w:line="240" w:lineRule="auto"/>
              <w:rPr>
                <w:lang w:val="sq-AL"/>
              </w:rPr>
            </w:pPr>
          </w:p>
        </w:tc>
        <w:tc>
          <w:tcPr>
            <w:tcW w:w="1646" w:type="dxa"/>
            <w:vMerge w:val="restart"/>
          </w:tcPr>
          <w:p w14:paraId="08104E48" w14:textId="77777777" w:rsidR="00BB2408" w:rsidRPr="009E674D" w:rsidRDefault="00BB2408" w:rsidP="001D5E32">
            <w:pPr>
              <w:rPr>
                <w:rFonts w:ascii="Calibri" w:eastAsia="Times New Roman" w:hAnsi="Calibri" w:cs="Calibri"/>
                <w:b/>
                <w:bCs/>
                <w:i/>
                <w:color w:val="000000" w:themeColor="text1"/>
                <w:lang w:val="sq-AL"/>
              </w:rPr>
            </w:pPr>
            <w:r w:rsidRPr="009E674D">
              <w:rPr>
                <w:rFonts w:ascii="Calibri" w:eastAsia="Times New Roman" w:hAnsi="Calibri" w:cs="Calibri"/>
                <w:b/>
                <w:bCs/>
                <w:i/>
                <w:color w:val="000000" w:themeColor="text1"/>
                <w:lang w:val="sq-AL"/>
              </w:rPr>
              <w:t>1.3. Përkrahja e ndërmarrësisë me fokus në digjitalizim dhe inovacion</w:t>
            </w:r>
          </w:p>
        </w:tc>
        <w:tc>
          <w:tcPr>
            <w:tcW w:w="1980" w:type="dxa"/>
          </w:tcPr>
          <w:p w14:paraId="7497CFBC" w14:textId="77777777" w:rsidR="00BB2408" w:rsidRPr="009E674D" w:rsidRDefault="00BB2408" w:rsidP="001D5E32">
            <w:pPr>
              <w:rPr>
                <w:i/>
                <w:lang w:val="sq-AL"/>
              </w:rPr>
            </w:pPr>
            <w:r w:rsidRPr="009E674D">
              <w:rPr>
                <w:i/>
                <w:lang w:val="sq-AL"/>
              </w:rPr>
              <w:t>Përdorimi i mjeteve të digjitalizimit në</w:t>
            </w:r>
          </w:p>
          <w:p w14:paraId="7F09463F" w14:textId="77777777" w:rsidR="00BB2408" w:rsidRPr="009E674D" w:rsidRDefault="00BB2408" w:rsidP="001D5E32">
            <w:pPr>
              <w:rPr>
                <w:i/>
                <w:lang w:val="sq-AL"/>
              </w:rPr>
            </w:pPr>
            <w:r w:rsidRPr="009E674D">
              <w:rPr>
                <w:i/>
                <w:lang w:val="sq-AL"/>
              </w:rPr>
              <w:t>procese të përgjithshme të prodhimit/punës (%)</w:t>
            </w:r>
          </w:p>
        </w:tc>
        <w:tc>
          <w:tcPr>
            <w:tcW w:w="990" w:type="dxa"/>
            <w:vAlign w:val="center"/>
          </w:tcPr>
          <w:p w14:paraId="21D8CEE8" w14:textId="77777777" w:rsidR="00BB2408" w:rsidRPr="009E674D" w:rsidRDefault="00BB2408" w:rsidP="001D5E32">
            <w:pPr>
              <w:jc w:val="center"/>
              <w:rPr>
                <w:lang w:val="sq-AL"/>
              </w:rPr>
            </w:pPr>
            <w:r w:rsidRPr="009E674D">
              <w:rPr>
                <w:lang w:val="sq-AL"/>
              </w:rPr>
              <w:t>25.02% (2021)</w:t>
            </w:r>
          </w:p>
        </w:tc>
        <w:tc>
          <w:tcPr>
            <w:tcW w:w="1440" w:type="dxa"/>
            <w:vAlign w:val="center"/>
          </w:tcPr>
          <w:p w14:paraId="1586630A" w14:textId="77777777" w:rsidR="00BB2408" w:rsidRPr="009E674D" w:rsidRDefault="00BB2408" w:rsidP="001D5E32">
            <w:pPr>
              <w:jc w:val="center"/>
              <w:rPr>
                <w:lang w:val="sq-AL"/>
              </w:rPr>
            </w:pPr>
            <w:r w:rsidRPr="009E674D">
              <w:rPr>
                <w:lang w:val="sq-AL"/>
              </w:rPr>
              <w:t>OEK</w:t>
            </w:r>
          </w:p>
        </w:tc>
        <w:tc>
          <w:tcPr>
            <w:tcW w:w="1260" w:type="dxa"/>
            <w:vAlign w:val="center"/>
          </w:tcPr>
          <w:p w14:paraId="5F92386B" w14:textId="77777777" w:rsidR="00BB2408" w:rsidRPr="009E674D" w:rsidRDefault="00BB2408" w:rsidP="001D5E32">
            <w:pPr>
              <w:jc w:val="center"/>
              <w:rPr>
                <w:lang w:val="sq-AL"/>
              </w:rPr>
            </w:pPr>
            <w:r w:rsidRPr="009E674D">
              <w:rPr>
                <w:lang w:val="sq-AL"/>
              </w:rPr>
              <w:t>35%</w:t>
            </w:r>
          </w:p>
        </w:tc>
        <w:tc>
          <w:tcPr>
            <w:tcW w:w="1255" w:type="dxa"/>
            <w:vAlign w:val="center"/>
          </w:tcPr>
          <w:p w14:paraId="078B4D25" w14:textId="77777777" w:rsidR="00BB2408" w:rsidRPr="009E674D" w:rsidRDefault="00BB2408" w:rsidP="001D5E32">
            <w:pPr>
              <w:jc w:val="center"/>
              <w:rPr>
                <w:lang w:val="sq-AL"/>
              </w:rPr>
            </w:pPr>
            <w:r w:rsidRPr="009E674D">
              <w:rPr>
                <w:lang w:val="sq-AL"/>
              </w:rPr>
              <w:t>45%</w:t>
            </w:r>
          </w:p>
        </w:tc>
      </w:tr>
      <w:tr w:rsidR="00BB2408" w:rsidRPr="009E674D" w14:paraId="117E8C7F" w14:textId="77777777" w:rsidTr="001D5E32">
        <w:tc>
          <w:tcPr>
            <w:tcW w:w="779" w:type="dxa"/>
            <w:vMerge/>
          </w:tcPr>
          <w:p w14:paraId="5FF1C4E0" w14:textId="77777777" w:rsidR="00BB2408" w:rsidRPr="009E674D" w:rsidRDefault="00BB2408" w:rsidP="00BB2408">
            <w:pPr>
              <w:pStyle w:val="ListParagraph"/>
              <w:numPr>
                <w:ilvl w:val="0"/>
                <w:numId w:val="13"/>
              </w:numPr>
              <w:spacing w:line="240" w:lineRule="auto"/>
              <w:rPr>
                <w:lang w:val="sq-AL"/>
              </w:rPr>
            </w:pPr>
          </w:p>
        </w:tc>
        <w:tc>
          <w:tcPr>
            <w:tcW w:w="1646" w:type="dxa"/>
            <w:vMerge/>
          </w:tcPr>
          <w:p w14:paraId="591AA309" w14:textId="77777777" w:rsidR="00BB2408" w:rsidRPr="009E674D" w:rsidRDefault="00BB2408" w:rsidP="001D5E32">
            <w:pPr>
              <w:rPr>
                <w:rFonts w:ascii="Calibri" w:eastAsia="Times New Roman" w:hAnsi="Calibri" w:cs="Calibri"/>
                <w:b/>
                <w:bCs/>
                <w:i/>
                <w:color w:val="000000" w:themeColor="text1"/>
                <w:lang w:val="sq-AL"/>
              </w:rPr>
            </w:pPr>
          </w:p>
        </w:tc>
        <w:tc>
          <w:tcPr>
            <w:tcW w:w="1980" w:type="dxa"/>
          </w:tcPr>
          <w:p w14:paraId="6DED6C0E" w14:textId="77777777" w:rsidR="00BB2408" w:rsidRPr="009E674D" w:rsidRDefault="00BB2408" w:rsidP="001D5E32">
            <w:pPr>
              <w:rPr>
                <w:rFonts w:cstheme="minorHAnsi"/>
                <w:i/>
                <w:lang w:val="sq-AL"/>
              </w:rPr>
            </w:pPr>
            <w:r w:rsidRPr="009E674D">
              <w:rPr>
                <w:rFonts w:eastAsia="Times New Roman" w:cstheme="minorHAnsi"/>
                <w:i/>
                <w:lang w:val="sq-AL"/>
              </w:rPr>
              <w:t>Firmat që prezantuan një produkt/shërbim të ri ose një inovacion në procese (%)</w:t>
            </w:r>
          </w:p>
        </w:tc>
        <w:tc>
          <w:tcPr>
            <w:tcW w:w="990" w:type="dxa"/>
            <w:vAlign w:val="center"/>
          </w:tcPr>
          <w:p w14:paraId="4857427B" w14:textId="77777777" w:rsidR="00BB2408" w:rsidRPr="009E674D" w:rsidRDefault="00BB2408" w:rsidP="001D5E32">
            <w:pPr>
              <w:jc w:val="center"/>
              <w:rPr>
                <w:rFonts w:cstheme="minorHAnsi"/>
                <w:lang w:val="sq-AL"/>
              </w:rPr>
            </w:pPr>
            <w:r w:rsidRPr="009E674D">
              <w:rPr>
                <w:rFonts w:cstheme="minorHAnsi"/>
                <w:lang w:val="sq-AL"/>
              </w:rPr>
              <w:t>36.6% (2019)</w:t>
            </w:r>
          </w:p>
        </w:tc>
        <w:tc>
          <w:tcPr>
            <w:tcW w:w="1440" w:type="dxa"/>
            <w:vAlign w:val="center"/>
          </w:tcPr>
          <w:p w14:paraId="569E4A04" w14:textId="77777777" w:rsidR="00BB2408" w:rsidRPr="009E674D" w:rsidRDefault="00BB2408" w:rsidP="001D5E32">
            <w:pPr>
              <w:jc w:val="center"/>
              <w:rPr>
                <w:rFonts w:cstheme="minorHAnsi"/>
                <w:lang w:val="sq-AL"/>
              </w:rPr>
            </w:pPr>
            <w:r w:rsidRPr="009E674D">
              <w:rPr>
                <w:rFonts w:cstheme="minorHAnsi"/>
                <w:lang w:val="sq-AL"/>
              </w:rPr>
              <w:t>Banka Botërore</w:t>
            </w:r>
          </w:p>
        </w:tc>
        <w:tc>
          <w:tcPr>
            <w:tcW w:w="1260" w:type="dxa"/>
            <w:vAlign w:val="center"/>
          </w:tcPr>
          <w:p w14:paraId="118A536C" w14:textId="77777777" w:rsidR="00BB2408" w:rsidRPr="009E674D" w:rsidRDefault="00BB2408" w:rsidP="001D5E32">
            <w:pPr>
              <w:jc w:val="center"/>
              <w:rPr>
                <w:rFonts w:cstheme="minorHAnsi"/>
                <w:lang w:val="sq-AL"/>
              </w:rPr>
            </w:pPr>
            <w:r w:rsidRPr="009E674D">
              <w:rPr>
                <w:rFonts w:cstheme="minorHAnsi"/>
                <w:lang w:val="sq-AL"/>
              </w:rPr>
              <w:t>50%</w:t>
            </w:r>
          </w:p>
        </w:tc>
        <w:tc>
          <w:tcPr>
            <w:tcW w:w="1255" w:type="dxa"/>
            <w:vAlign w:val="center"/>
          </w:tcPr>
          <w:p w14:paraId="02AF1328" w14:textId="77777777" w:rsidR="00BB2408" w:rsidRPr="009E674D" w:rsidRDefault="00BB2408" w:rsidP="001D5E32">
            <w:pPr>
              <w:jc w:val="center"/>
              <w:rPr>
                <w:rFonts w:cstheme="minorHAnsi"/>
                <w:lang w:val="sq-AL"/>
              </w:rPr>
            </w:pPr>
            <w:r w:rsidRPr="009E674D">
              <w:rPr>
                <w:rFonts w:cstheme="minorHAnsi"/>
                <w:lang w:val="sq-AL"/>
              </w:rPr>
              <w:t>60%</w:t>
            </w:r>
          </w:p>
        </w:tc>
      </w:tr>
      <w:tr w:rsidR="00BB2408" w:rsidRPr="009E674D" w14:paraId="20E57691" w14:textId="77777777" w:rsidTr="001D5E32">
        <w:tc>
          <w:tcPr>
            <w:tcW w:w="779" w:type="dxa"/>
            <w:vMerge w:val="restart"/>
          </w:tcPr>
          <w:p w14:paraId="3EE0A900" w14:textId="77777777" w:rsidR="00BB2408" w:rsidRPr="009E674D" w:rsidRDefault="00BB2408" w:rsidP="001D5E32">
            <w:pPr>
              <w:rPr>
                <w:rFonts w:cstheme="minorHAnsi"/>
                <w:b/>
                <w:lang w:val="sq-AL"/>
              </w:rPr>
            </w:pPr>
            <w:r w:rsidRPr="009E674D">
              <w:rPr>
                <w:rFonts w:cstheme="minorHAnsi"/>
                <w:b/>
                <w:lang w:val="sq-AL"/>
              </w:rPr>
              <w:t>Obj. 2</w:t>
            </w:r>
          </w:p>
          <w:p w14:paraId="4BC02CB5" w14:textId="77777777" w:rsidR="00BB2408" w:rsidRPr="009E674D" w:rsidRDefault="00BB2408" w:rsidP="001D5E32">
            <w:pPr>
              <w:rPr>
                <w:rFonts w:cstheme="minorHAnsi"/>
                <w:lang w:val="sq-AL"/>
              </w:rPr>
            </w:pPr>
          </w:p>
        </w:tc>
        <w:tc>
          <w:tcPr>
            <w:tcW w:w="1646" w:type="dxa"/>
            <w:vAlign w:val="center"/>
          </w:tcPr>
          <w:p w14:paraId="267FEF13" w14:textId="77777777" w:rsidR="00BB2408" w:rsidRPr="009E674D" w:rsidRDefault="00BB2408" w:rsidP="001D5E32">
            <w:pPr>
              <w:rPr>
                <w:rFonts w:eastAsia="Times New Roman" w:cstheme="minorHAnsi"/>
                <w:b/>
                <w:color w:val="000000"/>
                <w:lang w:val="sq-AL"/>
              </w:rPr>
            </w:pPr>
            <w:r w:rsidRPr="009E674D">
              <w:rPr>
                <w:rFonts w:eastAsia="Times New Roman" w:cstheme="minorHAnsi"/>
                <w:b/>
                <w:color w:val="000000"/>
                <w:lang w:val="sq-AL"/>
              </w:rPr>
              <w:t>2.1. Zvogëlimi i hendekut të shkathtësive në tregun e punës</w:t>
            </w:r>
          </w:p>
          <w:p w14:paraId="15038525" w14:textId="77777777" w:rsidR="00BB2408" w:rsidRPr="009E674D" w:rsidRDefault="00BB2408" w:rsidP="001D5E32">
            <w:pPr>
              <w:rPr>
                <w:rFonts w:eastAsia="Times New Roman" w:cstheme="minorHAnsi"/>
                <w:b/>
                <w:bCs/>
                <w:color w:val="000000" w:themeColor="text1"/>
                <w:lang w:val="sq-AL"/>
              </w:rPr>
            </w:pPr>
          </w:p>
        </w:tc>
        <w:tc>
          <w:tcPr>
            <w:tcW w:w="1980" w:type="dxa"/>
            <w:vAlign w:val="center"/>
          </w:tcPr>
          <w:p w14:paraId="43179CBB" w14:textId="77777777" w:rsidR="00BB2408" w:rsidRPr="009E674D" w:rsidRDefault="00BB2408" w:rsidP="001D5E32">
            <w:pPr>
              <w:rPr>
                <w:rFonts w:cstheme="minorHAnsi"/>
                <w:i/>
                <w:lang w:val="sq-AL"/>
              </w:rPr>
            </w:pPr>
            <w:r w:rsidRPr="009E674D">
              <w:rPr>
                <w:rFonts w:cstheme="minorHAnsi"/>
                <w:i/>
                <w:lang w:val="sq-AL"/>
              </w:rPr>
              <w:t>Cilësia e trajnimit profesional të punëtorëve që ofron tregu lokal (1-5)</w:t>
            </w:r>
          </w:p>
        </w:tc>
        <w:tc>
          <w:tcPr>
            <w:tcW w:w="990" w:type="dxa"/>
            <w:vAlign w:val="center"/>
          </w:tcPr>
          <w:p w14:paraId="7BE485ED" w14:textId="77777777" w:rsidR="00BB2408" w:rsidRPr="009E674D" w:rsidRDefault="00BB2408" w:rsidP="001D5E32">
            <w:pPr>
              <w:jc w:val="center"/>
              <w:rPr>
                <w:rFonts w:cstheme="minorHAnsi"/>
                <w:lang w:val="sq-AL"/>
              </w:rPr>
            </w:pPr>
            <w:r w:rsidRPr="009E674D">
              <w:rPr>
                <w:rFonts w:cstheme="minorHAnsi"/>
                <w:lang w:val="sq-AL"/>
              </w:rPr>
              <w:t>3.29</w:t>
            </w:r>
          </w:p>
        </w:tc>
        <w:tc>
          <w:tcPr>
            <w:tcW w:w="1440" w:type="dxa"/>
            <w:vAlign w:val="center"/>
          </w:tcPr>
          <w:p w14:paraId="08F2C6B1" w14:textId="77777777" w:rsidR="00BB2408" w:rsidRPr="009E674D" w:rsidRDefault="00BB2408" w:rsidP="001D5E32">
            <w:pPr>
              <w:jc w:val="center"/>
              <w:rPr>
                <w:rFonts w:cstheme="minorHAnsi"/>
                <w:lang w:val="sq-AL"/>
              </w:rPr>
            </w:pPr>
            <w:r w:rsidRPr="009E674D">
              <w:rPr>
                <w:lang w:val="sq-AL"/>
              </w:rPr>
              <w:t>Indeksi i konk. së komunave (USAID)</w:t>
            </w:r>
          </w:p>
        </w:tc>
        <w:tc>
          <w:tcPr>
            <w:tcW w:w="1260" w:type="dxa"/>
            <w:vAlign w:val="center"/>
          </w:tcPr>
          <w:p w14:paraId="64BD35DC" w14:textId="77777777" w:rsidR="00BB2408" w:rsidRPr="009E674D" w:rsidRDefault="00BB2408" w:rsidP="001D5E32">
            <w:pPr>
              <w:jc w:val="center"/>
              <w:rPr>
                <w:rFonts w:cstheme="minorHAnsi"/>
                <w:lang w:val="sq-AL"/>
              </w:rPr>
            </w:pPr>
            <w:r w:rsidRPr="009E674D">
              <w:rPr>
                <w:rFonts w:cstheme="minorHAnsi"/>
                <w:lang w:val="sq-AL"/>
              </w:rPr>
              <w:t>3.9</w:t>
            </w:r>
          </w:p>
        </w:tc>
        <w:tc>
          <w:tcPr>
            <w:tcW w:w="1255" w:type="dxa"/>
            <w:vAlign w:val="center"/>
          </w:tcPr>
          <w:p w14:paraId="49C836A7" w14:textId="77777777" w:rsidR="00BB2408" w:rsidRPr="009E674D" w:rsidRDefault="00BB2408" w:rsidP="001D5E32">
            <w:pPr>
              <w:jc w:val="center"/>
              <w:rPr>
                <w:rFonts w:cstheme="minorHAnsi"/>
                <w:lang w:val="sq-AL"/>
              </w:rPr>
            </w:pPr>
            <w:r w:rsidRPr="009E674D">
              <w:rPr>
                <w:rFonts w:cstheme="minorHAnsi"/>
                <w:lang w:val="sq-AL"/>
              </w:rPr>
              <w:t>4.3</w:t>
            </w:r>
          </w:p>
        </w:tc>
      </w:tr>
      <w:tr w:rsidR="00BB2408" w:rsidRPr="009E674D" w14:paraId="3FC77696" w14:textId="77777777" w:rsidTr="001D5E32">
        <w:trPr>
          <w:trHeight w:val="806"/>
        </w:trPr>
        <w:tc>
          <w:tcPr>
            <w:tcW w:w="779" w:type="dxa"/>
            <w:vMerge/>
          </w:tcPr>
          <w:p w14:paraId="1E02609C" w14:textId="77777777" w:rsidR="00BB2408" w:rsidRPr="009E674D" w:rsidRDefault="00BB2408" w:rsidP="001D5E32">
            <w:pPr>
              <w:rPr>
                <w:rFonts w:cstheme="minorHAnsi"/>
                <w:b/>
                <w:lang w:val="sq-AL"/>
              </w:rPr>
            </w:pPr>
          </w:p>
        </w:tc>
        <w:tc>
          <w:tcPr>
            <w:tcW w:w="1646" w:type="dxa"/>
            <w:vMerge w:val="restart"/>
            <w:vAlign w:val="center"/>
          </w:tcPr>
          <w:p w14:paraId="5C410288" w14:textId="77777777" w:rsidR="00BB2408" w:rsidRPr="009E674D" w:rsidRDefault="00BB2408" w:rsidP="001D5E32">
            <w:pPr>
              <w:rPr>
                <w:rFonts w:eastAsia="Times New Roman" w:cstheme="minorHAnsi"/>
                <w:b/>
                <w:color w:val="000000"/>
                <w:lang w:val="sq-AL"/>
              </w:rPr>
            </w:pPr>
            <w:r w:rsidRPr="009E674D">
              <w:rPr>
                <w:rFonts w:eastAsia="Times New Roman" w:cstheme="minorHAnsi"/>
                <w:b/>
                <w:color w:val="000000"/>
                <w:lang w:val="sq-AL"/>
              </w:rPr>
              <w:t>2.2.</w:t>
            </w:r>
            <w:r w:rsidRPr="009E674D">
              <w:rPr>
                <w:rFonts w:eastAsia="Times New Roman" w:cstheme="minorHAnsi"/>
                <w:b/>
                <w:bCs/>
                <w:color w:val="FFFFFF"/>
                <w:lang w:val="sq-AL"/>
              </w:rPr>
              <w:t xml:space="preserve"> </w:t>
            </w:r>
            <w:r w:rsidRPr="009E674D">
              <w:rPr>
                <w:rFonts w:eastAsia="Times New Roman" w:cstheme="minorHAnsi"/>
                <w:b/>
                <w:color w:val="000000"/>
                <w:lang w:val="sq-AL"/>
              </w:rPr>
              <w:t>Rritja e punësimit të dinjitetshëm për gra, të rinj dhe kategori të cenueshme</w:t>
            </w:r>
          </w:p>
          <w:p w14:paraId="450B0EA5" w14:textId="77777777" w:rsidR="00BB2408" w:rsidRPr="009E674D" w:rsidRDefault="00BB2408" w:rsidP="001D5E32">
            <w:pPr>
              <w:rPr>
                <w:rFonts w:eastAsia="Times New Roman" w:cstheme="minorHAnsi"/>
                <w:b/>
                <w:color w:val="000000"/>
                <w:lang w:val="sq-AL"/>
              </w:rPr>
            </w:pPr>
          </w:p>
        </w:tc>
        <w:tc>
          <w:tcPr>
            <w:tcW w:w="1980" w:type="dxa"/>
            <w:vAlign w:val="center"/>
          </w:tcPr>
          <w:p w14:paraId="543DB7B7" w14:textId="77777777" w:rsidR="00BB2408" w:rsidRPr="009E674D" w:rsidRDefault="00BB2408" w:rsidP="001D5E32">
            <w:pPr>
              <w:rPr>
                <w:rFonts w:cstheme="minorHAnsi"/>
                <w:i/>
                <w:lang w:val="sq-AL"/>
              </w:rPr>
            </w:pPr>
            <w:r w:rsidRPr="009E674D">
              <w:rPr>
                <w:rFonts w:cstheme="minorHAnsi"/>
                <w:i/>
                <w:lang w:val="sq-AL"/>
              </w:rPr>
              <w:t>Norma e punësimit të grave (%)</w:t>
            </w:r>
          </w:p>
        </w:tc>
        <w:tc>
          <w:tcPr>
            <w:tcW w:w="990" w:type="dxa"/>
            <w:vAlign w:val="center"/>
          </w:tcPr>
          <w:p w14:paraId="5EBDD746" w14:textId="77777777" w:rsidR="00BB2408" w:rsidRPr="009E674D" w:rsidRDefault="00BB2408" w:rsidP="001D5E32">
            <w:pPr>
              <w:jc w:val="center"/>
              <w:rPr>
                <w:rFonts w:cstheme="minorHAnsi"/>
                <w:lang w:val="sq-AL"/>
              </w:rPr>
            </w:pPr>
            <w:r w:rsidRPr="009E674D">
              <w:rPr>
                <w:rFonts w:cstheme="minorHAnsi"/>
                <w:lang w:val="sq-AL"/>
              </w:rPr>
              <w:t>16%</w:t>
            </w:r>
          </w:p>
          <w:p w14:paraId="33F87292" w14:textId="77777777" w:rsidR="00BB2408" w:rsidRPr="009E674D" w:rsidRDefault="00BB2408" w:rsidP="001D5E32">
            <w:pPr>
              <w:jc w:val="center"/>
              <w:rPr>
                <w:rFonts w:cstheme="minorHAnsi"/>
                <w:lang w:val="sq-AL"/>
              </w:rPr>
            </w:pPr>
            <w:r w:rsidRPr="009E674D">
              <w:rPr>
                <w:rFonts w:cstheme="minorHAnsi"/>
                <w:lang w:val="sq-AL"/>
              </w:rPr>
              <w:t>(TM2</w:t>
            </w:r>
          </w:p>
          <w:p w14:paraId="5D501238" w14:textId="77777777" w:rsidR="00BB2408" w:rsidRPr="009E674D" w:rsidRDefault="00BB2408" w:rsidP="001D5E32">
            <w:pPr>
              <w:jc w:val="center"/>
              <w:rPr>
                <w:rFonts w:cstheme="minorHAnsi"/>
                <w:lang w:val="sq-AL"/>
              </w:rPr>
            </w:pPr>
            <w:r w:rsidRPr="009E674D">
              <w:rPr>
                <w:rFonts w:cstheme="minorHAnsi"/>
                <w:lang w:val="sq-AL"/>
              </w:rPr>
              <w:t>2021)</w:t>
            </w:r>
          </w:p>
        </w:tc>
        <w:tc>
          <w:tcPr>
            <w:tcW w:w="1440" w:type="dxa"/>
            <w:vAlign w:val="center"/>
          </w:tcPr>
          <w:p w14:paraId="63D7DD9C" w14:textId="77777777" w:rsidR="00BB2408" w:rsidRPr="009E674D" w:rsidRDefault="00BB2408" w:rsidP="001D5E32">
            <w:pPr>
              <w:jc w:val="center"/>
              <w:rPr>
                <w:lang w:val="sq-AL"/>
              </w:rPr>
            </w:pPr>
            <w:r w:rsidRPr="009E674D">
              <w:rPr>
                <w:rFonts w:cstheme="minorHAnsi"/>
                <w:lang w:val="sq-AL"/>
              </w:rPr>
              <w:t>ASK</w:t>
            </w:r>
          </w:p>
        </w:tc>
        <w:tc>
          <w:tcPr>
            <w:tcW w:w="1260" w:type="dxa"/>
            <w:vAlign w:val="center"/>
          </w:tcPr>
          <w:p w14:paraId="6B5D9FC2" w14:textId="77777777" w:rsidR="00BB2408" w:rsidRPr="009E674D" w:rsidRDefault="00BB2408" w:rsidP="001D5E32">
            <w:pPr>
              <w:jc w:val="center"/>
              <w:rPr>
                <w:rFonts w:cstheme="minorHAnsi"/>
                <w:lang w:val="sq-AL"/>
              </w:rPr>
            </w:pPr>
            <w:r w:rsidRPr="009E674D">
              <w:rPr>
                <w:rFonts w:cstheme="minorHAnsi"/>
                <w:lang w:val="sq-AL"/>
              </w:rPr>
              <w:t>30%</w:t>
            </w:r>
          </w:p>
        </w:tc>
        <w:tc>
          <w:tcPr>
            <w:tcW w:w="1255" w:type="dxa"/>
            <w:vAlign w:val="center"/>
          </w:tcPr>
          <w:p w14:paraId="01C6B983" w14:textId="77777777" w:rsidR="00BB2408" w:rsidRPr="009E674D" w:rsidRDefault="00BB2408" w:rsidP="001D5E32">
            <w:pPr>
              <w:jc w:val="center"/>
              <w:rPr>
                <w:rFonts w:cstheme="minorHAnsi"/>
                <w:lang w:val="sq-AL"/>
              </w:rPr>
            </w:pPr>
            <w:r w:rsidRPr="009E674D">
              <w:rPr>
                <w:rFonts w:cstheme="minorHAnsi"/>
                <w:lang w:val="sq-AL"/>
              </w:rPr>
              <w:t>40%</w:t>
            </w:r>
          </w:p>
        </w:tc>
      </w:tr>
      <w:tr w:rsidR="00BB2408" w:rsidRPr="009E674D" w14:paraId="29928AC4" w14:textId="77777777" w:rsidTr="001D5E32">
        <w:tc>
          <w:tcPr>
            <w:tcW w:w="779" w:type="dxa"/>
            <w:vMerge/>
          </w:tcPr>
          <w:p w14:paraId="621D2179" w14:textId="77777777" w:rsidR="00BB2408" w:rsidRPr="009E674D" w:rsidRDefault="00BB2408" w:rsidP="001D5E32">
            <w:pPr>
              <w:rPr>
                <w:rFonts w:cstheme="minorHAnsi"/>
                <w:lang w:val="sq-AL"/>
              </w:rPr>
            </w:pPr>
          </w:p>
        </w:tc>
        <w:tc>
          <w:tcPr>
            <w:tcW w:w="1646" w:type="dxa"/>
            <w:vMerge/>
            <w:vAlign w:val="center"/>
          </w:tcPr>
          <w:p w14:paraId="129A0CA8" w14:textId="77777777" w:rsidR="00BB2408" w:rsidRPr="009E674D" w:rsidRDefault="00BB2408" w:rsidP="001D5E32">
            <w:pPr>
              <w:rPr>
                <w:rFonts w:eastAsia="Times New Roman" w:cstheme="minorHAnsi"/>
                <w:bCs/>
                <w:color w:val="000000" w:themeColor="text1"/>
                <w:lang w:val="sq-AL"/>
              </w:rPr>
            </w:pPr>
          </w:p>
        </w:tc>
        <w:tc>
          <w:tcPr>
            <w:tcW w:w="1980" w:type="dxa"/>
            <w:vAlign w:val="center"/>
          </w:tcPr>
          <w:p w14:paraId="3AE43983" w14:textId="77777777" w:rsidR="00BB2408" w:rsidRPr="009E674D" w:rsidRDefault="00BB2408" w:rsidP="001D5E32">
            <w:pPr>
              <w:rPr>
                <w:rFonts w:cstheme="minorHAnsi"/>
                <w:i/>
                <w:lang w:val="sq-AL"/>
              </w:rPr>
            </w:pPr>
            <w:r w:rsidRPr="009E674D">
              <w:rPr>
                <w:rFonts w:cstheme="minorHAnsi"/>
                <w:i/>
                <w:lang w:val="sq-AL"/>
              </w:rPr>
              <w:t>Të rinjtë që nuk janë në punësim, arsim apo trajnim (NEET) (%)</w:t>
            </w:r>
          </w:p>
        </w:tc>
        <w:tc>
          <w:tcPr>
            <w:tcW w:w="990" w:type="dxa"/>
            <w:vAlign w:val="center"/>
          </w:tcPr>
          <w:p w14:paraId="607F1E12" w14:textId="77777777" w:rsidR="00BB2408" w:rsidRPr="009E674D" w:rsidRDefault="00BB2408" w:rsidP="001D5E32">
            <w:pPr>
              <w:jc w:val="center"/>
              <w:rPr>
                <w:rFonts w:cstheme="minorHAnsi"/>
                <w:lang w:val="sq-AL"/>
              </w:rPr>
            </w:pPr>
            <w:r w:rsidRPr="009E674D">
              <w:rPr>
                <w:rFonts w:cstheme="minorHAnsi"/>
                <w:lang w:val="sq-AL"/>
              </w:rPr>
              <w:t>32.5</w:t>
            </w:r>
          </w:p>
          <w:p w14:paraId="07B17D52" w14:textId="77777777" w:rsidR="00BB2408" w:rsidRPr="009E674D" w:rsidRDefault="00BB2408" w:rsidP="001D5E32">
            <w:pPr>
              <w:jc w:val="center"/>
              <w:rPr>
                <w:rFonts w:cstheme="minorHAnsi"/>
                <w:lang w:val="sq-AL"/>
              </w:rPr>
            </w:pPr>
            <w:r w:rsidRPr="009E674D">
              <w:rPr>
                <w:rFonts w:cstheme="minorHAnsi"/>
                <w:lang w:val="sq-AL"/>
              </w:rPr>
              <w:t>(TM2 2021)</w:t>
            </w:r>
          </w:p>
        </w:tc>
        <w:tc>
          <w:tcPr>
            <w:tcW w:w="1440" w:type="dxa"/>
            <w:vAlign w:val="center"/>
          </w:tcPr>
          <w:p w14:paraId="3F217207" w14:textId="77777777" w:rsidR="00BB2408" w:rsidRPr="009E674D" w:rsidRDefault="00BB2408" w:rsidP="001D5E32">
            <w:pPr>
              <w:jc w:val="center"/>
              <w:rPr>
                <w:rFonts w:cstheme="minorHAnsi"/>
                <w:lang w:val="sq-AL"/>
              </w:rPr>
            </w:pPr>
            <w:r w:rsidRPr="009E674D">
              <w:rPr>
                <w:rFonts w:cstheme="minorHAnsi"/>
                <w:lang w:val="sq-AL"/>
              </w:rPr>
              <w:t>ASK</w:t>
            </w:r>
          </w:p>
        </w:tc>
        <w:tc>
          <w:tcPr>
            <w:tcW w:w="1260" w:type="dxa"/>
            <w:vAlign w:val="center"/>
          </w:tcPr>
          <w:p w14:paraId="01205C13" w14:textId="77777777" w:rsidR="00BB2408" w:rsidRPr="009E674D" w:rsidRDefault="00BB2408" w:rsidP="001D5E32">
            <w:pPr>
              <w:jc w:val="center"/>
              <w:rPr>
                <w:rFonts w:cstheme="minorHAnsi"/>
                <w:lang w:val="sq-AL"/>
              </w:rPr>
            </w:pPr>
            <w:r w:rsidRPr="009E674D">
              <w:rPr>
                <w:rFonts w:cstheme="minorHAnsi"/>
                <w:lang w:val="sq-AL"/>
              </w:rPr>
              <w:t>20%</w:t>
            </w:r>
          </w:p>
        </w:tc>
        <w:tc>
          <w:tcPr>
            <w:tcW w:w="1255" w:type="dxa"/>
            <w:vAlign w:val="center"/>
          </w:tcPr>
          <w:p w14:paraId="5178FD19" w14:textId="77777777" w:rsidR="00BB2408" w:rsidRPr="009E674D" w:rsidRDefault="00BB2408" w:rsidP="001D5E32">
            <w:pPr>
              <w:jc w:val="center"/>
              <w:rPr>
                <w:rFonts w:cstheme="minorHAnsi"/>
                <w:lang w:val="sq-AL"/>
              </w:rPr>
            </w:pPr>
            <w:r w:rsidRPr="009E674D">
              <w:rPr>
                <w:rFonts w:cstheme="minorHAnsi"/>
                <w:lang w:val="sq-AL"/>
              </w:rPr>
              <w:t>15%</w:t>
            </w:r>
          </w:p>
        </w:tc>
      </w:tr>
      <w:tr w:rsidR="00BB2408" w:rsidRPr="009E674D" w14:paraId="3B4B1D5E" w14:textId="77777777" w:rsidTr="001D5E32">
        <w:tc>
          <w:tcPr>
            <w:tcW w:w="779" w:type="dxa"/>
            <w:vMerge w:val="restart"/>
            <w:vAlign w:val="center"/>
          </w:tcPr>
          <w:p w14:paraId="75E2489B" w14:textId="77777777" w:rsidR="00BB2408" w:rsidRPr="009E674D" w:rsidRDefault="00BB2408" w:rsidP="001D5E32">
            <w:pPr>
              <w:rPr>
                <w:rFonts w:cstheme="minorHAnsi"/>
                <w:b/>
                <w:lang w:val="sq-AL"/>
              </w:rPr>
            </w:pPr>
            <w:r w:rsidRPr="009E674D">
              <w:rPr>
                <w:rFonts w:cstheme="minorHAnsi"/>
                <w:b/>
                <w:lang w:val="sq-AL"/>
              </w:rPr>
              <w:t>Obj. 3</w:t>
            </w:r>
          </w:p>
        </w:tc>
        <w:tc>
          <w:tcPr>
            <w:tcW w:w="1646" w:type="dxa"/>
            <w:vMerge w:val="restart"/>
            <w:vAlign w:val="center"/>
          </w:tcPr>
          <w:p w14:paraId="0508667C" w14:textId="77777777" w:rsidR="00BB2408" w:rsidRPr="009E674D" w:rsidRDefault="00BB2408" w:rsidP="001D5E32">
            <w:pPr>
              <w:rPr>
                <w:rFonts w:eastAsia="Times New Roman" w:cstheme="minorHAnsi"/>
                <w:b/>
                <w:color w:val="000000"/>
                <w:lang w:val="sq-AL"/>
              </w:rPr>
            </w:pPr>
            <w:r w:rsidRPr="009E674D">
              <w:rPr>
                <w:rFonts w:eastAsia="Times New Roman" w:cstheme="minorHAnsi"/>
                <w:b/>
                <w:color w:val="000000"/>
                <w:lang w:val="sq-AL"/>
              </w:rPr>
              <w:t xml:space="preserve">3.1. Përmirësimi infrastrukturës së transportit </w:t>
            </w:r>
            <w:r w:rsidRPr="009E674D">
              <w:rPr>
                <w:rFonts w:eastAsia="Times New Roman" w:cstheme="minorHAnsi"/>
                <w:b/>
                <w:color w:val="000000"/>
                <w:lang w:val="sq-AL"/>
              </w:rPr>
              <w:lastRenderedPageBreak/>
              <w:t xml:space="preserve">lokal dhe shërbimeve </w:t>
            </w:r>
          </w:p>
          <w:p w14:paraId="2E506669" w14:textId="77777777" w:rsidR="00BB2408" w:rsidRPr="009E674D" w:rsidRDefault="00BB2408" w:rsidP="001D5E32">
            <w:pPr>
              <w:rPr>
                <w:rFonts w:eastAsia="Times New Roman" w:cstheme="minorHAnsi"/>
                <w:b/>
                <w:color w:val="000000"/>
                <w:lang w:val="sq-AL"/>
              </w:rPr>
            </w:pPr>
          </w:p>
        </w:tc>
        <w:tc>
          <w:tcPr>
            <w:tcW w:w="1980" w:type="dxa"/>
            <w:vAlign w:val="center"/>
          </w:tcPr>
          <w:p w14:paraId="5D7588EF" w14:textId="77777777" w:rsidR="00BB2408" w:rsidRPr="009E674D" w:rsidRDefault="00BB2408" w:rsidP="001D5E32">
            <w:pPr>
              <w:rPr>
                <w:rFonts w:cstheme="minorHAnsi"/>
                <w:i/>
                <w:lang w:val="sq-AL"/>
              </w:rPr>
            </w:pPr>
            <w:r w:rsidRPr="009E674D">
              <w:rPr>
                <w:rFonts w:cstheme="minorHAnsi"/>
                <w:i/>
                <w:lang w:val="sq-AL"/>
              </w:rPr>
              <w:lastRenderedPageBreak/>
              <w:t>Infrastruktura rrugore (%)</w:t>
            </w:r>
          </w:p>
        </w:tc>
        <w:tc>
          <w:tcPr>
            <w:tcW w:w="990" w:type="dxa"/>
            <w:vAlign w:val="center"/>
          </w:tcPr>
          <w:p w14:paraId="01131AE9" w14:textId="77777777" w:rsidR="00BB2408" w:rsidRPr="009E674D" w:rsidRDefault="00BB2408" w:rsidP="001D5E32">
            <w:pPr>
              <w:jc w:val="center"/>
              <w:rPr>
                <w:rFonts w:cstheme="minorHAnsi"/>
                <w:lang w:val="sq-AL"/>
              </w:rPr>
            </w:pPr>
            <w:r w:rsidRPr="009E674D">
              <w:rPr>
                <w:rFonts w:cstheme="minorHAnsi"/>
                <w:lang w:val="sq-AL"/>
              </w:rPr>
              <w:t>52%</w:t>
            </w:r>
          </w:p>
          <w:p w14:paraId="54FC0734" w14:textId="77777777" w:rsidR="00BB2408" w:rsidRPr="009E674D" w:rsidRDefault="00BB2408" w:rsidP="001D5E32">
            <w:pPr>
              <w:jc w:val="center"/>
              <w:rPr>
                <w:rFonts w:cstheme="minorHAnsi"/>
                <w:lang w:val="sq-AL"/>
              </w:rPr>
            </w:pPr>
            <w:r w:rsidRPr="009E674D">
              <w:rPr>
                <w:rFonts w:cstheme="minorHAnsi"/>
                <w:lang w:val="sq-AL"/>
              </w:rPr>
              <w:t>(2021)</w:t>
            </w:r>
          </w:p>
        </w:tc>
        <w:tc>
          <w:tcPr>
            <w:tcW w:w="1440" w:type="dxa"/>
            <w:vAlign w:val="center"/>
          </w:tcPr>
          <w:p w14:paraId="63AD3653" w14:textId="77777777" w:rsidR="00BB2408" w:rsidRPr="009E674D" w:rsidRDefault="00BB2408" w:rsidP="001D5E32">
            <w:pPr>
              <w:jc w:val="center"/>
              <w:rPr>
                <w:rFonts w:cstheme="minorHAnsi"/>
                <w:lang w:val="sq-AL"/>
              </w:rPr>
            </w:pPr>
            <w:r w:rsidRPr="009E674D">
              <w:rPr>
                <w:rFonts w:cstheme="minorHAnsi"/>
                <w:lang w:val="sq-AL"/>
              </w:rPr>
              <w:t>MAPL</w:t>
            </w:r>
          </w:p>
        </w:tc>
        <w:tc>
          <w:tcPr>
            <w:tcW w:w="1260" w:type="dxa"/>
            <w:vAlign w:val="center"/>
          </w:tcPr>
          <w:p w14:paraId="0709EAB1" w14:textId="77777777" w:rsidR="00BB2408" w:rsidRPr="009E674D" w:rsidRDefault="00BB2408" w:rsidP="001D5E32">
            <w:pPr>
              <w:jc w:val="center"/>
              <w:rPr>
                <w:rFonts w:cstheme="minorHAnsi"/>
                <w:lang w:val="sq-AL"/>
              </w:rPr>
            </w:pPr>
            <w:r w:rsidRPr="009E674D">
              <w:rPr>
                <w:rFonts w:cstheme="minorHAnsi"/>
                <w:lang w:val="sq-AL"/>
              </w:rPr>
              <w:t>60%</w:t>
            </w:r>
          </w:p>
        </w:tc>
        <w:tc>
          <w:tcPr>
            <w:tcW w:w="1255" w:type="dxa"/>
            <w:vAlign w:val="center"/>
          </w:tcPr>
          <w:p w14:paraId="227D484B" w14:textId="77777777" w:rsidR="00BB2408" w:rsidRPr="009E674D" w:rsidRDefault="00BB2408" w:rsidP="001D5E32">
            <w:pPr>
              <w:jc w:val="center"/>
              <w:rPr>
                <w:rFonts w:cstheme="minorHAnsi"/>
                <w:lang w:val="sq-AL"/>
              </w:rPr>
            </w:pPr>
            <w:r w:rsidRPr="009E674D">
              <w:rPr>
                <w:rFonts w:cstheme="minorHAnsi"/>
                <w:lang w:val="sq-AL"/>
              </w:rPr>
              <w:t>70%</w:t>
            </w:r>
          </w:p>
        </w:tc>
      </w:tr>
      <w:tr w:rsidR="00BB2408" w:rsidRPr="009E674D" w14:paraId="39630CAC" w14:textId="77777777" w:rsidTr="001D5E32">
        <w:tc>
          <w:tcPr>
            <w:tcW w:w="779" w:type="dxa"/>
            <w:vMerge/>
            <w:vAlign w:val="center"/>
          </w:tcPr>
          <w:p w14:paraId="4BB27ADC" w14:textId="77777777" w:rsidR="00BB2408" w:rsidRPr="009E674D" w:rsidRDefault="00BB2408" w:rsidP="001D5E32">
            <w:pPr>
              <w:rPr>
                <w:rFonts w:cstheme="minorHAnsi"/>
                <w:b/>
                <w:lang w:val="sq-AL"/>
              </w:rPr>
            </w:pPr>
          </w:p>
        </w:tc>
        <w:tc>
          <w:tcPr>
            <w:tcW w:w="1646" w:type="dxa"/>
            <w:vMerge/>
            <w:vAlign w:val="center"/>
          </w:tcPr>
          <w:p w14:paraId="1920305A" w14:textId="77777777" w:rsidR="00BB2408" w:rsidRPr="009E674D" w:rsidRDefault="00BB2408" w:rsidP="001D5E32">
            <w:pPr>
              <w:rPr>
                <w:rFonts w:eastAsia="Times New Roman" w:cstheme="minorHAnsi"/>
                <w:b/>
                <w:color w:val="000000"/>
                <w:lang w:val="sq-AL"/>
              </w:rPr>
            </w:pPr>
          </w:p>
        </w:tc>
        <w:tc>
          <w:tcPr>
            <w:tcW w:w="1980" w:type="dxa"/>
            <w:vAlign w:val="center"/>
          </w:tcPr>
          <w:p w14:paraId="02EBABCA" w14:textId="77777777" w:rsidR="00BB2408" w:rsidRPr="009E674D" w:rsidRDefault="00BB2408" w:rsidP="001D5E32">
            <w:pPr>
              <w:rPr>
                <w:rFonts w:cstheme="minorHAnsi"/>
                <w:i/>
                <w:lang w:val="sq-AL"/>
              </w:rPr>
            </w:pPr>
            <w:r w:rsidRPr="009E674D">
              <w:rPr>
                <w:rFonts w:cstheme="minorHAnsi"/>
                <w:i/>
                <w:lang w:val="sq-AL"/>
              </w:rPr>
              <w:t>Parkingjet publike (%)</w:t>
            </w:r>
          </w:p>
        </w:tc>
        <w:tc>
          <w:tcPr>
            <w:tcW w:w="990" w:type="dxa"/>
            <w:vAlign w:val="center"/>
          </w:tcPr>
          <w:p w14:paraId="262A159D" w14:textId="77777777" w:rsidR="00BB2408" w:rsidRPr="009E674D" w:rsidRDefault="00BB2408" w:rsidP="001D5E32">
            <w:pPr>
              <w:jc w:val="center"/>
              <w:rPr>
                <w:rFonts w:cstheme="minorHAnsi"/>
                <w:lang w:val="sq-AL"/>
              </w:rPr>
            </w:pPr>
            <w:r w:rsidRPr="009E674D">
              <w:rPr>
                <w:rFonts w:cstheme="minorHAnsi"/>
                <w:lang w:val="sq-AL"/>
              </w:rPr>
              <w:t>47% (2021)</w:t>
            </w:r>
          </w:p>
        </w:tc>
        <w:tc>
          <w:tcPr>
            <w:tcW w:w="1440" w:type="dxa"/>
            <w:vAlign w:val="center"/>
          </w:tcPr>
          <w:p w14:paraId="378BE87A" w14:textId="77777777" w:rsidR="00BB2408" w:rsidRPr="009E674D" w:rsidRDefault="00BB2408" w:rsidP="001D5E32">
            <w:pPr>
              <w:jc w:val="center"/>
              <w:rPr>
                <w:rFonts w:cstheme="minorHAnsi"/>
                <w:lang w:val="sq-AL"/>
              </w:rPr>
            </w:pPr>
            <w:r w:rsidRPr="009E674D">
              <w:rPr>
                <w:rFonts w:cstheme="minorHAnsi"/>
                <w:lang w:val="sq-AL"/>
              </w:rPr>
              <w:t>MAPL</w:t>
            </w:r>
          </w:p>
        </w:tc>
        <w:tc>
          <w:tcPr>
            <w:tcW w:w="1260" w:type="dxa"/>
            <w:vAlign w:val="center"/>
          </w:tcPr>
          <w:p w14:paraId="0D6262E5" w14:textId="77777777" w:rsidR="00BB2408" w:rsidRPr="009E674D" w:rsidRDefault="00BB2408" w:rsidP="001D5E32">
            <w:pPr>
              <w:jc w:val="center"/>
              <w:rPr>
                <w:rFonts w:cstheme="minorHAnsi"/>
                <w:lang w:val="sq-AL"/>
              </w:rPr>
            </w:pPr>
            <w:r w:rsidRPr="009E674D">
              <w:rPr>
                <w:rFonts w:cstheme="minorHAnsi"/>
                <w:lang w:val="sq-AL"/>
              </w:rPr>
              <w:t xml:space="preserve">60% </w:t>
            </w:r>
          </w:p>
        </w:tc>
        <w:tc>
          <w:tcPr>
            <w:tcW w:w="1255" w:type="dxa"/>
            <w:vAlign w:val="center"/>
          </w:tcPr>
          <w:p w14:paraId="1278A51D" w14:textId="77777777" w:rsidR="00BB2408" w:rsidRPr="009E674D" w:rsidRDefault="00BB2408" w:rsidP="001D5E32">
            <w:pPr>
              <w:jc w:val="center"/>
              <w:rPr>
                <w:rFonts w:cstheme="minorHAnsi"/>
                <w:lang w:val="sq-AL"/>
              </w:rPr>
            </w:pPr>
            <w:r w:rsidRPr="009E674D">
              <w:rPr>
                <w:rFonts w:cstheme="minorHAnsi"/>
                <w:lang w:val="sq-AL"/>
              </w:rPr>
              <w:t>70%</w:t>
            </w:r>
          </w:p>
        </w:tc>
      </w:tr>
      <w:tr w:rsidR="00BB2408" w:rsidRPr="009E674D" w14:paraId="41A9070F" w14:textId="77777777" w:rsidTr="001D5E32">
        <w:tc>
          <w:tcPr>
            <w:tcW w:w="779" w:type="dxa"/>
            <w:vMerge/>
            <w:vAlign w:val="center"/>
          </w:tcPr>
          <w:p w14:paraId="27E9F2BC" w14:textId="77777777" w:rsidR="00BB2408" w:rsidRPr="009E674D" w:rsidRDefault="00BB2408" w:rsidP="001D5E32">
            <w:pPr>
              <w:rPr>
                <w:rFonts w:cstheme="minorHAnsi"/>
                <w:lang w:val="sq-AL"/>
              </w:rPr>
            </w:pPr>
          </w:p>
        </w:tc>
        <w:tc>
          <w:tcPr>
            <w:tcW w:w="1646" w:type="dxa"/>
            <w:vMerge/>
            <w:vAlign w:val="center"/>
          </w:tcPr>
          <w:p w14:paraId="5511DE60" w14:textId="77777777" w:rsidR="00BB2408" w:rsidRPr="009E674D" w:rsidRDefault="00BB2408" w:rsidP="001D5E32">
            <w:pPr>
              <w:rPr>
                <w:rFonts w:eastAsia="Times New Roman" w:cstheme="minorHAnsi"/>
                <w:b/>
                <w:bCs/>
                <w:color w:val="000000" w:themeColor="text1"/>
                <w:lang w:val="sq-AL"/>
              </w:rPr>
            </w:pPr>
          </w:p>
        </w:tc>
        <w:tc>
          <w:tcPr>
            <w:tcW w:w="1980" w:type="dxa"/>
            <w:vAlign w:val="center"/>
          </w:tcPr>
          <w:p w14:paraId="298CFF0A" w14:textId="77777777" w:rsidR="00BB2408" w:rsidRPr="009E674D" w:rsidRDefault="00BB2408" w:rsidP="001D5E32">
            <w:pPr>
              <w:rPr>
                <w:rFonts w:cstheme="minorHAnsi"/>
                <w:i/>
                <w:lang w:val="sq-AL"/>
              </w:rPr>
            </w:pPr>
            <w:r w:rsidRPr="009E674D">
              <w:rPr>
                <w:rFonts w:cstheme="minorHAnsi"/>
                <w:i/>
                <w:lang w:val="sq-AL"/>
              </w:rPr>
              <w:t>Transporti publik (%)</w:t>
            </w:r>
          </w:p>
        </w:tc>
        <w:tc>
          <w:tcPr>
            <w:tcW w:w="990" w:type="dxa"/>
            <w:vAlign w:val="center"/>
          </w:tcPr>
          <w:p w14:paraId="2120E745" w14:textId="77777777" w:rsidR="00BB2408" w:rsidRPr="009E674D" w:rsidRDefault="00BB2408" w:rsidP="001D5E32">
            <w:pPr>
              <w:jc w:val="center"/>
              <w:rPr>
                <w:rFonts w:cstheme="minorHAnsi"/>
                <w:lang w:val="sq-AL"/>
              </w:rPr>
            </w:pPr>
            <w:r w:rsidRPr="009E674D">
              <w:rPr>
                <w:rFonts w:cstheme="minorHAnsi"/>
                <w:lang w:val="sq-AL"/>
              </w:rPr>
              <w:t>56.6% (2021)</w:t>
            </w:r>
          </w:p>
        </w:tc>
        <w:tc>
          <w:tcPr>
            <w:tcW w:w="1440" w:type="dxa"/>
            <w:vAlign w:val="center"/>
          </w:tcPr>
          <w:p w14:paraId="0655043B" w14:textId="77777777" w:rsidR="00BB2408" w:rsidRPr="009E674D" w:rsidRDefault="00BB2408" w:rsidP="001D5E32">
            <w:pPr>
              <w:jc w:val="center"/>
              <w:rPr>
                <w:rFonts w:cstheme="minorHAnsi"/>
                <w:lang w:val="sq-AL"/>
              </w:rPr>
            </w:pPr>
            <w:r w:rsidRPr="009E674D">
              <w:rPr>
                <w:rFonts w:cstheme="minorHAnsi"/>
                <w:lang w:val="sq-AL"/>
              </w:rPr>
              <w:t>MAPL</w:t>
            </w:r>
          </w:p>
        </w:tc>
        <w:tc>
          <w:tcPr>
            <w:tcW w:w="1260" w:type="dxa"/>
            <w:vAlign w:val="center"/>
          </w:tcPr>
          <w:p w14:paraId="06900DD3" w14:textId="77777777" w:rsidR="00BB2408" w:rsidRPr="009E674D" w:rsidRDefault="00BB2408" w:rsidP="001D5E32">
            <w:pPr>
              <w:jc w:val="center"/>
              <w:rPr>
                <w:rFonts w:cstheme="minorHAnsi"/>
                <w:lang w:val="sq-AL"/>
              </w:rPr>
            </w:pPr>
            <w:r w:rsidRPr="009E674D">
              <w:rPr>
                <w:rFonts w:cstheme="minorHAnsi"/>
                <w:lang w:val="sq-AL"/>
              </w:rPr>
              <w:t>65%</w:t>
            </w:r>
          </w:p>
        </w:tc>
        <w:tc>
          <w:tcPr>
            <w:tcW w:w="1255" w:type="dxa"/>
            <w:vAlign w:val="center"/>
          </w:tcPr>
          <w:p w14:paraId="5F6F0894" w14:textId="77777777" w:rsidR="00BB2408" w:rsidRPr="009E674D" w:rsidRDefault="00BB2408" w:rsidP="001D5E32">
            <w:pPr>
              <w:jc w:val="center"/>
              <w:rPr>
                <w:rFonts w:cstheme="minorHAnsi"/>
                <w:lang w:val="sq-AL"/>
              </w:rPr>
            </w:pPr>
            <w:r w:rsidRPr="009E674D">
              <w:rPr>
                <w:rFonts w:cstheme="minorHAnsi"/>
                <w:lang w:val="sq-AL"/>
              </w:rPr>
              <w:t>75%</w:t>
            </w:r>
          </w:p>
        </w:tc>
      </w:tr>
      <w:tr w:rsidR="00BB2408" w:rsidRPr="009E674D" w14:paraId="1EF1F35E" w14:textId="77777777" w:rsidTr="001D5E32">
        <w:tc>
          <w:tcPr>
            <w:tcW w:w="779" w:type="dxa"/>
            <w:vMerge/>
            <w:vAlign w:val="center"/>
          </w:tcPr>
          <w:p w14:paraId="0C809681" w14:textId="77777777" w:rsidR="00BB2408" w:rsidRPr="009E674D" w:rsidRDefault="00BB2408" w:rsidP="001D5E32">
            <w:pPr>
              <w:rPr>
                <w:rFonts w:cstheme="minorHAnsi"/>
                <w:lang w:val="sq-AL"/>
              </w:rPr>
            </w:pPr>
          </w:p>
        </w:tc>
        <w:tc>
          <w:tcPr>
            <w:tcW w:w="1646" w:type="dxa"/>
            <w:vMerge w:val="restart"/>
            <w:vAlign w:val="center"/>
          </w:tcPr>
          <w:p w14:paraId="3C1A945A" w14:textId="77777777" w:rsidR="00BB2408" w:rsidRPr="009E674D" w:rsidRDefault="00BB2408" w:rsidP="001D5E32">
            <w:pPr>
              <w:rPr>
                <w:rFonts w:eastAsia="Times New Roman" w:cstheme="minorHAnsi"/>
                <w:b/>
                <w:color w:val="000000"/>
                <w:lang w:val="sq-AL"/>
              </w:rPr>
            </w:pPr>
            <w:r w:rsidRPr="009E674D">
              <w:rPr>
                <w:rFonts w:eastAsia="Times New Roman" w:cstheme="minorHAnsi"/>
                <w:b/>
                <w:color w:val="000000"/>
                <w:lang w:val="sq-AL"/>
              </w:rPr>
              <w:t>3.2. Sigurimi i qasjes në infrastrukturë përcjellëse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BA1117" w14:textId="77777777" w:rsidR="00BB2408" w:rsidRPr="009E674D" w:rsidRDefault="00BB2408" w:rsidP="001D5E32">
            <w:pPr>
              <w:rPr>
                <w:rFonts w:ascii="Calibri" w:hAnsi="Calibri" w:cs="Calibri"/>
                <w:i/>
                <w:lang w:val="sq-AL"/>
              </w:rPr>
            </w:pPr>
            <w:r w:rsidRPr="009E674D">
              <w:rPr>
                <w:rFonts w:ascii="Calibri" w:hAnsi="Calibri" w:cs="Calibri"/>
                <w:i/>
                <w:lang w:val="sq-AL"/>
              </w:rPr>
              <w:t>Popullsia me qasje në sistemet publike të ujësjellësit (%)</w:t>
            </w:r>
          </w:p>
        </w:tc>
        <w:tc>
          <w:tcPr>
            <w:tcW w:w="990" w:type="dxa"/>
            <w:vAlign w:val="center"/>
          </w:tcPr>
          <w:p w14:paraId="172E9BBD" w14:textId="77777777" w:rsidR="00BB2408" w:rsidRPr="009E674D" w:rsidRDefault="00BB2408" w:rsidP="001D5E32">
            <w:pPr>
              <w:jc w:val="center"/>
              <w:rPr>
                <w:rFonts w:cstheme="minorHAnsi"/>
                <w:lang w:val="sq-AL"/>
              </w:rPr>
            </w:pPr>
            <w:r w:rsidRPr="009E674D">
              <w:rPr>
                <w:rFonts w:cstheme="minorHAnsi"/>
                <w:lang w:val="sq-AL"/>
              </w:rPr>
              <w:t>78% (2020)</w:t>
            </w:r>
          </w:p>
        </w:tc>
        <w:tc>
          <w:tcPr>
            <w:tcW w:w="1440" w:type="dxa"/>
            <w:vAlign w:val="center"/>
          </w:tcPr>
          <w:p w14:paraId="72196937" w14:textId="77777777" w:rsidR="00BB2408" w:rsidRPr="009E674D" w:rsidRDefault="00BB2408" w:rsidP="001D5E32">
            <w:pPr>
              <w:jc w:val="center"/>
              <w:rPr>
                <w:rFonts w:cstheme="minorHAnsi"/>
                <w:lang w:val="sq-AL"/>
              </w:rPr>
            </w:pPr>
            <w:r w:rsidRPr="009E674D">
              <w:rPr>
                <w:rFonts w:ascii="Calibri" w:hAnsi="Calibri" w:cs="Calibri"/>
                <w:lang w:val="sq-AL"/>
              </w:rPr>
              <w:t>Autoriteti Rregullativ i Shërbimeve të Ujit</w:t>
            </w:r>
          </w:p>
        </w:tc>
        <w:tc>
          <w:tcPr>
            <w:tcW w:w="1260" w:type="dxa"/>
            <w:vAlign w:val="center"/>
          </w:tcPr>
          <w:p w14:paraId="53E64EBA" w14:textId="77777777" w:rsidR="00BB2408" w:rsidRPr="009E674D" w:rsidRDefault="00BB2408" w:rsidP="001D5E32">
            <w:pPr>
              <w:jc w:val="center"/>
              <w:rPr>
                <w:rFonts w:cstheme="minorHAnsi"/>
                <w:lang w:val="sq-AL"/>
              </w:rPr>
            </w:pPr>
            <w:r w:rsidRPr="009E674D">
              <w:rPr>
                <w:rFonts w:cstheme="minorHAnsi"/>
                <w:lang w:val="sq-AL"/>
              </w:rPr>
              <w:t>92%</w:t>
            </w:r>
          </w:p>
        </w:tc>
        <w:tc>
          <w:tcPr>
            <w:tcW w:w="1255" w:type="dxa"/>
            <w:vAlign w:val="center"/>
          </w:tcPr>
          <w:p w14:paraId="45671734" w14:textId="77777777" w:rsidR="00BB2408" w:rsidRPr="009E674D" w:rsidRDefault="00BB2408" w:rsidP="001D5E32">
            <w:pPr>
              <w:jc w:val="center"/>
              <w:rPr>
                <w:rFonts w:cstheme="minorHAnsi"/>
                <w:lang w:val="sq-AL"/>
              </w:rPr>
            </w:pPr>
            <w:r w:rsidRPr="009E674D">
              <w:rPr>
                <w:rFonts w:cstheme="minorHAnsi"/>
                <w:lang w:val="sq-AL"/>
              </w:rPr>
              <w:t>95%</w:t>
            </w:r>
          </w:p>
        </w:tc>
      </w:tr>
      <w:tr w:rsidR="00BB2408" w:rsidRPr="009E674D" w14:paraId="56FF1F47" w14:textId="77777777" w:rsidTr="001D5E32">
        <w:tc>
          <w:tcPr>
            <w:tcW w:w="779" w:type="dxa"/>
            <w:vMerge/>
            <w:vAlign w:val="center"/>
          </w:tcPr>
          <w:p w14:paraId="43122FF2" w14:textId="77777777" w:rsidR="00BB2408" w:rsidRPr="009E674D" w:rsidRDefault="00BB2408" w:rsidP="001D5E32">
            <w:pPr>
              <w:rPr>
                <w:rFonts w:cstheme="minorHAnsi"/>
                <w:lang w:val="sq-AL"/>
              </w:rPr>
            </w:pPr>
          </w:p>
        </w:tc>
        <w:tc>
          <w:tcPr>
            <w:tcW w:w="1646" w:type="dxa"/>
            <w:vMerge/>
            <w:vAlign w:val="center"/>
          </w:tcPr>
          <w:p w14:paraId="2BC625BD" w14:textId="77777777" w:rsidR="00BB2408" w:rsidRPr="009E674D" w:rsidRDefault="00BB2408" w:rsidP="001D5E32">
            <w:pPr>
              <w:rPr>
                <w:rFonts w:eastAsia="Times New Roman" w:cstheme="minorHAnsi"/>
                <w:b/>
                <w:bCs/>
                <w:color w:val="000000" w:themeColor="text1"/>
                <w:lang w:val="sq-AL"/>
              </w:rPr>
            </w:pPr>
          </w:p>
        </w:tc>
        <w:tc>
          <w:tcPr>
            <w:tcW w:w="1980" w:type="dxa"/>
            <w:tcBorders>
              <w:top w:val="nil"/>
              <w:left w:val="single" w:sz="4" w:space="0" w:color="auto"/>
              <w:bottom w:val="single" w:sz="4" w:space="0" w:color="auto"/>
              <w:right w:val="single" w:sz="4" w:space="0" w:color="auto"/>
            </w:tcBorders>
            <w:shd w:val="clear" w:color="auto" w:fill="auto"/>
            <w:vAlign w:val="center"/>
          </w:tcPr>
          <w:p w14:paraId="6BA2A0CB" w14:textId="77777777" w:rsidR="00BB2408" w:rsidRPr="009E674D" w:rsidRDefault="00BB2408" w:rsidP="001D5E32">
            <w:pPr>
              <w:rPr>
                <w:rFonts w:ascii="Calibri" w:hAnsi="Calibri" w:cs="Calibri"/>
                <w:i/>
                <w:lang w:val="sq-AL"/>
              </w:rPr>
            </w:pPr>
            <w:r w:rsidRPr="009E674D">
              <w:rPr>
                <w:rFonts w:ascii="Calibri" w:hAnsi="Calibri" w:cs="Calibri"/>
                <w:i/>
                <w:lang w:val="sq-AL"/>
              </w:rPr>
              <w:t>Popullsia me qasje në sistemet publike të kanalizimit (%)</w:t>
            </w:r>
          </w:p>
        </w:tc>
        <w:tc>
          <w:tcPr>
            <w:tcW w:w="990" w:type="dxa"/>
            <w:vAlign w:val="center"/>
          </w:tcPr>
          <w:p w14:paraId="58FF837B" w14:textId="77777777" w:rsidR="00BB2408" w:rsidRPr="009E674D" w:rsidRDefault="00BB2408" w:rsidP="001D5E32">
            <w:pPr>
              <w:jc w:val="center"/>
              <w:rPr>
                <w:rFonts w:cstheme="minorHAnsi"/>
                <w:lang w:val="sq-AL"/>
              </w:rPr>
            </w:pPr>
            <w:r w:rsidRPr="009E674D">
              <w:rPr>
                <w:rFonts w:cstheme="minorHAnsi"/>
                <w:lang w:val="sq-AL"/>
              </w:rPr>
              <w:t>65%</w:t>
            </w:r>
          </w:p>
          <w:p w14:paraId="5D63E9B6" w14:textId="77777777" w:rsidR="00BB2408" w:rsidRPr="009E674D" w:rsidRDefault="00BB2408" w:rsidP="001D5E32">
            <w:pPr>
              <w:jc w:val="center"/>
              <w:rPr>
                <w:rFonts w:cstheme="minorHAnsi"/>
                <w:lang w:val="sq-AL"/>
              </w:rPr>
            </w:pPr>
            <w:r w:rsidRPr="009E674D">
              <w:rPr>
                <w:rFonts w:cstheme="minorHAnsi"/>
                <w:lang w:val="sq-AL"/>
              </w:rPr>
              <w:t>(2020)</w:t>
            </w:r>
          </w:p>
        </w:tc>
        <w:tc>
          <w:tcPr>
            <w:tcW w:w="1440" w:type="dxa"/>
            <w:vAlign w:val="center"/>
          </w:tcPr>
          <w:p w14:paraId="5D09D7C3" w14:textId="77777777" w:rsidR="00BB2408" w:rsidRPr="009E674D" w:rsidRDefault="00BB2408" w:rsidP="001D5E32">
            <w:pPr>
              <w:jc w:val="center"/>
              <w:rPr>
                <w:rFonts w:cstheme="minorHAnsi"/>
                <w:lang w:val="sq-AL"/>
              </w:rPr>
            </w:pPr>
            <w:r w:rsidRPr="009E674D">
              <w:rPr>
                <w:rFonts w:ascii="Calibri" w:hAnsi="Calibri" w:cs="Calibri"/>
                <w:lang w:val="sq-AL"/>
              </w:rPr>
              <w:t>Autoriteti Rregullativ i Shërbimeve të Ujit</w:t>
            </w:r>
          </w:p>
        </w:tc>
        <w:tc>
          <w:tcPr>
            <w:tcW w:w="1260" w:type="dxa"/>
            <w:vAlign w:val="center"/>
          </w:tcPr>
          <w:p w14:paraId="5DA73C37" w14:textId="77777777" w:rsidR="00BB2408" w:rsidRPr="009E674D" w:rsidRDefault="00BB2408" w:rsidP="001D5E32">
            <w:pPr>
              <w:jc w:val="center"/>
              <w:rPr>
                <w:rFonts w:cstheme="minorHAnsi"/>
                <w:lang w:val="sq-AL"/>
              </w:rPr>
            </w:pPr>
            <w:r w:rsidRPr="009E674D">
              <w:rPr>
                <w:rFonts w:cstheme="minorHAnsi"/>
                <w:lang w:val="sq-AL"/>
              </w:rPr>
              <w:t>78%</w:t>
            </w:r>
          </w:p>
        </w:tc>
        <w:tc>
          <w:tcPr>
            <w:tcW w:w="1255" w:type="dxa"/>
            <w:vAlign w:val="center"/>
          </w:tcPr>
          <w:p w14:paraId="73BDE4CA" w14:textId="77777777" w:rsidR="00BB2408" w:rsidRPr="009E674D" w:rsidRDefault="00BB2408" w:rsidP="001D5E32">
            <w:pPr>
              <w:jc w:val="center"/>
              <w:rPr>
                <w:rFonts w:cstheme="minorHAnsi"/>
                <w:lang w:val="sq-AL"/>
              </w:rPr>
            </w:pPr>
            <w:r w:rsidRPr="009E674D">
              <w:rPr>
                <w:rFonts w:cstheme="minorHAnsi"/>
                <w:lang w:val="sq-AL"/>
              </w:rPr>
              <w:t>85%</w:t>
            </w:r>
          </w:p>
        </w:tc>
      </w:tr>
      <w:tr w:rsidR="00BB2408" w:rsidRPr="009E674D" w14:paraId="77DA5151" w14:textId="77777777" w:rsidTr="001D5E32">
        <w:tc>
          <w:tcPr>
            <w:tcW w:w="779" w:type="dxa"/>
            <w:vMerge/>
            <w:vAlign w:val="center"/>
          </w:tcPr>
          <w:p w14:paraId="145FD76A" w14:textId="77777777" w:rsidR="00BB2408" w:rsidRPr="009E674D" w:rsidRDefault="00BB2408" w:rsidP="001D5E32">
            <w:pPr>
              <w:rPr>
                <w:rFonts w:cstheme="minorHAnsi"/>
                <w:lang w:val="sq-AL"/>
              </w:rPr>
            </w:pPr>
          </w:p>
        </w:tc>
        <w:tc>
          <w:tcPr>
            <w:tcW w:w="1646" w:type="dxa"/>
            <w:vMerge/>
            <w:vAlign w:val="center"/>
          </w:tcPr>
          <w:p w14:paraId="3BD7B135" w14:textId="77777777" w:rsidR="00BB2408" w:rsidRPr="009E674D" w:rsidRDefault="00BB2408" w:rsidP="001D5E32">
            <w:pPr>
              <w:rPr>
                <w:rFonts w:eastAsia="Times New Roman" w:cstheme="minorHAnsi"/>
                <w:b/>
                <w:bCs/>
                <w:color w:val="000000" w:themeColor="text1"/>
                <w:lang w:val="sq-AL"/>
              </w:rPr>
            </w:pPr>
          </w:p>
        </w:tc>
        <w:tc>
          <w:tcPr>
            <w:tcW w:w="1980" w:type="dxa"/>
            <w:vAlign w:val="center"/>
          </w:tcPr>
          <w:p w14:paraId="5CB624D4" w14:textId="77777777" w:rsidR="00BB2408" w:rsidRPr="009E674D" w:rsidRDefault="00BB2408" w:rsidP="001D5E32">
            <w:pPr>
              <w:rPr>
                <w:rFonts w:cstheme="minorHAnsi"/>
                <w:i/>
                <w:lang w:val="sq-AL"/>
              </w:rPr>
            </w:pPr>
            <w:r w:rsidRPr="009E674D">
              <w:rPr>
                <w:rFonts w:cstheme="minorHAnsi"/>
                <w:i/>
                <w:lang w:val="sq-AL"/>
              </w:rPr>
              <w:t>Popullsia me qasje në impiantet e trajtimit të ujërave të zeza (%)</w:t>
            </w:r>
          </w:p>
        </w:tc>
        <w:tc>
          <w:tcPr>
            <w:tcW w:w="990" w:type="dxa"/>
            <w:vAlign w:val="center"/>
          </w:tcPr>
          <w:p w14:paraId="52AFCC68" w14:textId="77777777" w:rsidR="00BB2408" w:rsidRPr="009E674D" w:rsidRDefault="00BB2408" w:rsidP="001D5E32">
            <w:pPr>
              <w:jc w:val="center"/>
              <w:rPr>
                <w:rFonts w:cstheme="minorHAnsi"/>
                <w:lang w:val="sq-AL"/>
              </w:rPr>
            </w:pPr>
            <w:r w:rsidRPr="009E674D">
              <w:rPr>
                <w:rFonts w:cstheme="minorHAnsi"/>
                <w:lang w:val="sq-AL"/>
              </w:rPr>
              <w:t>3 (2020)</w:t>
            </w:r>
          </w:p>
        </w:tc>
        <w:tc>
          <w:tcPr>
            <w:tcW w:w="1440" w:type="dxa"/>
            <w:vAlign w:val="center"/>
          </w:tcPr>
          <w:p w14:paraId="3D418121" w14:textId="77777777" w:rsidR="00BB2408" w:rsidRPr="009E674D" w:rsidRDefault="00BB2408" w:rsidP="001D5E32">
            <w:pPr>
              <w:jc w:val="center"/>
              <w:rPr>
                <w:rFonts w:ascii="Calibri" w:hAnsi="Calibri" w:cs="Calibri"/>
                <w:lang w:val="sq-AL"/>
              </w:rPr>
            </w:pPr>
            <w:r w:rsidRPr="009E674D">
              <w:rPr>
                <w:rFonts w:ascii="Calibri" w:hAnsi="Calibri" w:cs="Calibri"/>
                <w:lang w:val="sq-AL"/>
              </w:rPr>
              <w:t>Autoriteti Rregullativ i Shërbimeve të Ujit</w:t>
            </w:r>
          </w:p>
        </w:tc>
        <w:tc>
          <w:tcPr>
            <w:tcW w:w="1260" w:type="dxa"/>
            <w:vAlign w:val="center"/>
          </w:tcPr>
          <w:p w14:paraId="1503B68B" w14:textId="77777777" w:rsidR="00BB2408" w:rsidRPr="009E674D" w:rsidRDefault="00BB2408" w:rsidP="001D5E32">
            <w:pPr>
              <w:jc w:val="center"/>
              <w:rPr>
                <w:rFonts w:cstheme="minorHAnsi"/>
                <w:lang w:val="sq-AL"/>
              </w:rPr>
            </w:pPr>
            <w:r w:rsidRPr="009E674D">
              <w:rPr>
                <w:rFonts w:cstheme="minorHAnsi"/>
                <w:lang w:val="sq-AL"/>
              </w:rPr>
              <w:t>45%</w:t>
            </w:r>
          </w:p>
        </w:tc>
        <w:tc>
          <w:tcPr>
            <w:tcW w:w="1255" w:type="dxa"/>
            <w:vAlign w:val="center"/>
          </w:tcPr>
          <w:p w14:paraId="4A7EA705" w14:textId="77777777" w:rsidR="00BB2408" w:rsidRPr="009E674D" w:rsidRDefault="00BB2408" w:rsidP="001D5E32">
            <w:pPr>
              <w:jc w:val="center"/>
              <w:rPr>
                <w:rFonts w:cstheme="minorHAnsi"/>
                <w:lang w:val="sq-AL"/>
              </w:rPr>
            </w:pPr>
            <w:r w:rsidRPr="009E674D">
              <w:rPr>
                <w:rFonts w:cstheme="minorHAnsi"/>
                <w:lang w:val="sq-AL"/>
              </w:rPr>
              <w:t>60%</w:t>
            </w:r>
          </w:p>
        </w:tc>
      </w:tr>
      <w:tr w:rsidR="00BB2408" w:rsidRPr="009E674D" w14:paraId="1CD743FA" w14:textId="77777777" w:rsidTr="001D5E32">
        <w:tc>
          <w:tcPr>
            <w:tcW w:w="779" w:type="dxa"/>
            <w:vMerge/>
            <w:vAlign w:val="center"/>
          </w:tcPr>
          <w:p w14:paraId="0D6E7CDA" w14:textId="77777777" w:rsidR="00BB2408" w:rsidRPr="009E674D" w:rsidRDefault="00BB2408" w:rsidP="001D5E32">
            <w:pPr>
              <w:rPr>
                <w:rFonts w:cstheme="minorHAnsi"/>
                <w:lang w:val="sq-AL"/>
              </w:rPr>
            </w:pPr>
          </w:p>
        </w:tc>
        <w:tc>
          <w:tcPr>
            <w:tcW w:w="1646" w:type="dxa"/>
            <w:vMerge w:val="restart"/>
            <w:vAlign w:val="center"/>
          </w:tcPr>
          <w:p w14:paraId="62B86460" w14:textId="77777777" w:rsidR="00BB2408" w:rsidRPr="009E674D" w:rsidRDefault="00BB2408" w:rsidP="001D5E32">
            <w:pPr>
              <w:rPr>
                <w:rFonts w:ascii="Arial Narrow" w:eastAsia="Times New Roman" w:hAnsi="Arial Narrow" w:cs="Calibri"/>
                <w:b/>
                <w:color w:val="000000"/>
                <w:lang w:val="sq-AL"/>
              </w:rPr>
            </w:pPr>
            <w:r w:rsidRPr="009E674D">
              <w:rPr>
                <w:rFonts w:ascii="Arial Narrow" w:eastAsia="Times New Roman" w:hAnsi="Arial Narrow" w:cs="Calibri"/>
                <w:b/>
                <w:color w:val="000000"/>
                <w:lang w:val="sq-AL"/>
              </w:rPr>
              <w:t>3.3. Menaxhimi i integruar i mbeturinave</w:t>
            </w:r>
          </w:p>
        </w:tc>
        <w:tc>
          <w:tcPr>
            <w:tcW w:w="1980" w:type="dxa"/>
            <w:vAlign w:val="center"/>
          </w:tcPr>
          <w:p w14:paraId="56EFA505" w14:textId="7AA2547E" w:rsidR="00BB2408" w:rsidRPr="009E674D" w:rsidRDefault="00BB2408" w:rsidP="001D5E32">
            <w:pPr>
              <w:rPr>
                <w:rFonts w:cstheme="minorHAnsi"/>
                <w:i/>
                <w:lang w:val="sq-AL"/>
              </w:rPr>
            </w:pPr>
            <w:r w:rsidRPr="009E674D">
              <w:rPr>
                <w:rFonts w:cstheme="minorHAnsi"/>
                <w:i/>
                <w:lang w:val="sq-AL"/>
              </w:rPr>
              <w:t xml:space="preserve">Mbetjet e ngurta komunale të grumbulluara dhe </w:t>
            </w:r>
            <w:r w:rsidR="002F201B">
              <w:rPr>
                <w:rFonts w:cstheme="minorHAnsi"/>
                <w:i/>
                <w:lang w:val="sq-AL"/>
              </w:rPr>
              <w:t xml:space="preserve">të </w:t>
            </w:r>
            <w:r w:rsidRPr="009E674D">
              <w:rPr>
                <w:rFonts w:cstheme="minorHAnsi"/>
                <w:i/>
                <w:lang w:val="sq-AL"/>
              </w:rPr>
              <w:t>menaxhuara në objekte të kontrolluara në totalin e mbetjeve komunale të krijuara (%)</w:t>
            </w:r>
          </w:p>
        </w:tc>
        <w:tc>
          <w:tcPr>
            <w:tcW w:w="990" w:type="dxa"/>
            <w:vAlign w:val="center"/>
          </w:tcPr>
          <w:p w14:paraId="429A8B1B" w14:textId="77777777" w:rsidR="00BB2408" w:rsidRPr="009E674D" w:rsidRDefault="00BB2408" w:rsidP="001D5E32">
            <w:pPr>
              <w:jc w:val="center"/>
              <w:rPr>
                <w:rFonts w:cstheme="minorHAnsi"/>
                <w:lang w:val="sq-AL"/>
              </w:rPr>
            </w:pPr>
            <w:r w:rsidRPr="009E674D">
              <w:rPr>
                <w:rFonts w:cstheme="minorHAnsi"/>
                <w:lang w:val="sq-AL"/>
              </w:rPr>
              <w:t>89.3%</w:t>
            </w:r>
            <w:r w:rsidRPr="009E674D">
              <w:rPr>
                <w:rFonts w:cstheme="minorHAnsi"/>
                <w:lang w:val="sq-AL"/>
              </w:rPr>
              <w:br/>
              <w:t>(2021)</w:t>
            </w:r>
          </w:p>
        </w:tc>
        <w:tc>
          <w:tcPr>
            <w:tcW w:w="1440" w:type="dxa"/>
            <w:vAlign w:val="center"/>
          </w:tcPr>
          <w:p w14:paraId="3DD75FED" w14:textId="77777777" w:rsidR="00BB2408" w:rsidRPr="009E674D" w:rsidRDefault="00BB2408" w:rsidP="001D5E32">
            <w:pPr>
              <w:jc w:val="center"/>
              <w:rPr>
                <w:rFonts w:ascii="Calibri" w:hAnsi="Calibri" w:cs="Calibri"/>
                <w:lang w:val="sq-AL"/>
              </w:rPr>
            </w:pPr>
            <w:r w:rsidRPr="009E674D">
              <w:rPr>
                <w:rFonts w:ascii="Calibri" w:hAnsi="Calibri" w:cs="Calibri"/>
                <w:lang w:val="sq-AL"/>
              </w:rPr>
              <w:t xml:space="preserve">Agjencia për Mbrojtjen e Mjedisit të Kosovës                                                                             </w:t>
            </w:r>
          </w:p>
          <w:p w14:paraId="0A87EE21" w14:textId="77777777" w:rsidR="00BB2408" w:rsidRPr="009E674D" w:rsidRDefault="00BB2408" w:rsidP="001D5E32">
            <w:pPr>
              <w:jc w:val="center"/>
              <w:rPr>
                <w:rFonts w:cstheme="minorHAnsi"/>
                <w:lang w:val="sq-AL"/>
              </w:rPr>
            </w:pPr>
          </w:p>
        </w:tc>
        <w:tc>
          <w:tcPr>
            <w:tcW w:w="1260" w:type="dxa"/>
            <w:vAlign w:val="center"/>
          </w:tcPr>
          <w:p w14:paraId="1BC7121A" w14:textId="77777777" w:rsidR="00BB2408" w:rsidRPr="009E674D" w:rsidRDefault="00BB2408" w:rsidP="001D5E32">
            <w:pPr>
              <w:jc w:val="center"/>
              <w:rPr>
                <w:rFonts w:cstheme="minorHAnsi"/>
                <w:lang w:val="sq-AL"/>
              </w:rPr>
            </w:pPr>
            <w:r w:rsidRPr="009E674D">
              <w:rPr>
                <w:rFonts w:cstheme="minorHAnsi"/>
                <w:lang w:val="sq-AL"/>
              </w:rPr>
              <w:t>90%</w:t>
            </w:r>
          </w:p>
        </w:tc>
        <w:tc>
          <w:tcPr>
            <w:tcW w:w="1255" w:type="dxa"/>
            <w:vAlign w:val="center"/>
          </w:tcPr>
          <w:p w14:paraId="3F0E2612" w14:textId="77777777" w:rsidR="00BB2408" w:rsidRPr="009E674D" w:rsidRDefault="00BB2408" w:rsidP="001D5E32">
            <w:pPr>
              <w:jc w:val="center"/>
              <w:rPr>
                <w:rFonts w:cstheme="minorHAnsi"/>
                <w:lang w:val="sq-AL"/>
              </w:rPr>
            </w:pPr>
            <w:r w:rsidRPr="009E674D">
              <w:rPr>
                <w:rFonts w:cstheme="minorHAnsi"/>
                <w:lang w:val="sq-AL"/>
              </w:rPr>
              <w:t>99%</w:t>
            </w:r>
          </w:p>
        </w:tc>
      </w:tr>
      <w:tr w:rsidR="00BB2408" w:rsidRPr="009E674D" w14:paraId="0295E540" w14:textId="77777777" w:rsidTr="001D5E32">
        <w:tc>
          <w:tcPr>
            <w:tcW w:w="779" w:type="dxa"/>
            <w:vMerge/>
            <w:vAlign w:val="center"/>
          </w:tcPr>
          <w:p w14:paraId="09579395" w14:textId="77777777" w:rsidR="00BB2408" w:rsidRPr="009E674D" w:rsidRDefault="00BB2408" w:rsidP="001D5E32">
            <w:pPr>
              <w:rPr>
                <w:rFonts w:cstheme="minorHAnsi"/>
                <w:lang w:val="sq-AL"/>
              </w:rPr>
            </w:pPr>
          </w:p>
        </w:tc>
        <w:tc>
          <w:tcPr>
            <w:tcW w:w="1646" w:type="dxa"/>
            <w:vMerge/>
            <w:vAlign w:val="center"/>
          </w:tcPr>
          <w:p w14:paraId="7FC572B9" w14:textId="77777777" w:rsidR="00BB2408" w:rsidRPr="009E674D" w:rsidRDefault="00BB2408" w:rsidP="001D5E32">
            <w:pPr>
              <w:rPr>
                <w:rFonts w:eastAsia="Times New Roman" w:cstheme="minorHAnsi"/>
                <w:bCs/>
                <w:color w:val="000000" w:themeColor="text1"/>
                <w:lang w:val="sq-AL"/>
              </w:rPr>
            </w:pPr>
          </w:p>
        </w:tc>
        <w:tc>
          <w:tcPr>
            <w:tcW w:w="1980" w:type="dxa"/>
            <w:vAlign w:val="center"/>
          </w:tcPr>
          <w:p w14:paraId="54CF1ADE" w14:textId="77777777" w:rsidR="00BB2408" w:rsidRPr="009E674D" w:rsidRDefault="00BB2408" w:rsidP="001D5E32">
            <w:pPr>
              <w:rPr>
                <w:rFonts w:cstheme="minorHAnsi"/>
                <w:i/>
                <w:lang w:val="sq-AL"/>
              </w:rPr>
            </w:pPr>
            <w:r w:rsidRPr="009E674D">
              <w:rPr>
                <w:rFonts w:cstheme="minorHAnsi"/>
                <w:i/>
                <w:lang w:val="sq-AL"/>
              </w:rPr>
              <w:t>Mbetjet e ngurta komunale të ricikluara në totalin e mbetjeve komunale të krijuara (%)</w:t>
            </w:r>
          </w:p>
        </w:tc>
        <w:tc>
          <w:tcPr>
            <w:tcW w:w="990" w:type="dxa"/>
            <w:vAlign w:val="center"/>
          </w:tcPr>
          <w:p w14:paraId="284693A3" w14:textId="77777777" w:rsidR="00BB2408" w:rsidRPr="009E674D" w:rsidRDefault="00BB2408" w:rsidP="001D5E32">
            <w:pPr>
              <w:jc w:val="center"/>
              <w:rPr>
                <w:rFonts w:cstheme="minorHAnsi"/>
                <w:i/>
                <w:lang w:val="sq-AL"/>
              </w:rPr>
            </w:pPr>
            <w:r w:rsidRPr="009E674D">
              <w:rPr>
                <w:rFonts w:cstheme="minorHAnsi"/>
                <w:i/>
                <w:lang w:val="sq-AL"/>
              </w:rPr>
              <w:t>2-5% (2020)</w:t>
            </w:r>
          </w:p>
        </w:tc>
        <w:tc>
          <w:tcPr>
            <w:tcW w:w="1440" w:type="dxa"/>
            <w:vAlign w:val="center"/>
          </w:tcPr>
          <w:p w14:paraId="369A97A7" w14:textId="77777777" w:rsidR="00BB2408" w:rsidRPr="009E674D" w:rsidRDefault="00BB2408" w:rsidP="001D5E32">
            <w:pPr>
              <w:jc w:val="center"/>
              <w:rPr>
                <w:rFonts w:cstheme="minorHAnsi"/>
                <w:lang w:val="sq-AL"/>
              </w:rPr>
            </w:pPr>
            <w:r w:rsidRPr="009E674D">
              <w:rPr>
                <w:rFonts w:cstheme="minorHAnsi"/>
                <w:lang w:val="sq-AL"/>
              </w:rPr>
              <w:t>GIZ</w:t>
            </w:r>
          </w:p>
        </w:tc>
        <w:tc>
          <w:tcPr>
            <w:tcW w:w="1260" w:type="dxa"/>
            <w:vAlign w:val="center"/>
          </w:tcPr>
          <w:p w14:paraId="63B8A76D" w14:textId="77777777" w:rsidR="00BB2408" w:rsidRPr="009E674D" w:rsidRDefault="00BB2408" w:rsidP="001D5E32">
            <w:pPr>
              <w:jc w:val="center"/>
              <w:rPr>
                <w:rFonts w:cstheme="minorHAnsi"/>
                <w:lang w:val="sq-AL"/>
              </w:rPr>
            </w:pPr>
            <w:r w:rsidRPr="009E674D">
              <w:rPr>
                <w:rFonts w:cstheme="minorHAnsi"/>
                <w:lang w:val="sq-AL"/>
              </w:rPr>
              <w:t>12%</w:t>
            </w:r>
          </w:p>
        </w:tc>
        <w:tc>
          <w:tcPr>
            <w:tcW w:w="1255" w:type="dxa"/>
            <w:vAlign w:val="center"/>
          </w:tcPr>
          <w:p w14:paraId="3DFBDE8F" w14:textId="77777777" w:rsidR="00BB2408" w:rsidRPr="009E674D" w:rsidRDefault="00BB2408" w:rsidP="001D5E32">
            <w:pPr>
              <w:jc w:val="center"/>
              <w:rPr>
                <w:rFonts w:cstheme="minorHAnsi"/>
                <w:lang w:val="sq-AL"/>
              </w:rPr>
            </w:pPr>
            <w:r w:rsidRPr="009E674D">
              <w:rPr>
                <w:rFonts w:cstheme="minorHAnsi"/>
                <w:lang w:val="sq-AL"/>
              </w:rPr>
              <w:t>30%</w:t>
            </w:r>
          </w:p>
        </w:tc>
      </w:tr>
      <w:tr w:rsidR="00BB2408" w:rsidRPr="009E674D" w14:paraId="549993A9" w14:textId="77777777" w:rsidTr="001D5E32">
        <w:tc>
          <w:tcPr>
            <w:tcW w:w="779" w:type="dxa"/>
          </w:tcPr>
          <w:p w14:paraId="4B887ECC" w14:textId="77777777" w:rsidR="00BB2408" w:rsidRPr="009E674D" w:rsidRDefault="00BB2408" w:rsidP="001D5E32">
            <w:pPr>
              <w:rPr>
                <w:rFonts w:cstheme="minorHAnsi"/>
                <w:lang w:val="sq-AL"/>
              </w:rPr>
            </w:pPr>
          </w:p>
        </w:tc>
        <w:tc>
          <w:tcPr>
            <w:tcW w:w="1646" w:type="dxa"/>
            <w:vAlign w:val="center"/>
          </w:tcPr>
          <w:p w14:paraId="4E753AF1" w14:textId="77777777" w:rsidR="00BB2408" w:rsidRPr="009E674D" w:rsidRDefault="00BB2408" w:rsidP="001D5E32">
            <w:pPr>
              <w:rPr>
                <w:rFonts w:eastAsia="Times New Roman" w:cstheme="minorHAnsi"/>
                <w:bCs/>
                <w:color w:val="000000" w:themeColor="text1"/>
                <w:lang w:val="sq-AL"/>
              </w:rPr>
            </w:pPr>
          </w:p>
          <w:p w14:paraId="02631070" w14:textId="77777777" w:rsidR="00BB2408" w:rsidRPr="009E674D" w:rsidRDefault="00BB2408" w:rsidP="001D5E32">
            <w:pPr>
              <w:rPr>
                <w:rFonts w:eastAsia="Times New Roman" w:cstheme="minorHAnsi"/>
                <w:b/>
                <w:color w:val="000000"/>
                <w:lang w:val="sq-AL"/>
              </w:rPr>
            </w:pPr>
            <w:r w:rsidRPr="009E674D">
              <w:rPr>
                <w:rFonts w:eastAsia="Times New Roman" w:cstheme="minorHAnsi"/>
                <w:b/>
                <w:color w:val="000000"/>
                <w:lang w:val="sq-AL"/>
              </w:rPr>
              <w:t>3.4. Përmirësimi i efiçencës së energjisë në infrastrukturë</w:t>
            </w:r>
          </w:p>
          <w:p w14:paraId="2D7A46D8" w14:textId="77777777" w:rsidR="00BB2408" w:rsidRPr="009E674D" w:rsidRDefault="00BB2408" w:rsidP="001D5E32">
            <w:pPr>
              <w:rPr>
                <w:rFonts w:eastAsia="Times New Roman" w:cstheme="minorHAnsi"/>
                <w:bCs/>
                <w:color w:val="000000" w:themeColor="text1"/>
                <w:lang w:val="sq-AL"/>
              </w:rPr>
            </w:pPr>
          </w:p>
        </w:tc>
        <w:tc>
          <w:tcPr>
            <w:tcW w:w="1980" w:type="dxa"/>
            <w:vAlign w:val="center"/>
          </w:tcPr>
          <w:p w14:paraId="46FCA21D" w14:textId="77777777" w:rsidR="00BB2408" w:rsidRPr="009E674D" w:rsidRDefault="00BB2408" w:rsidP="001D5E32">
            <w:pPr>
              <w:rPr>
                <w:rFonts w:cstheme="minorHAnsi"/>
                <w:i/>
                <w:lang w:val="sq-AL"/>
              </w:rPr>
            </w:pPr>
            <w:r w:rsidRPr="009E674D">
              <w:rPr>
                <w:rFonts w:cstheme="minorHAnsi"/>
                <w:i/>
                <w:lang w:val="sq-AL"/>
              </w:rPr>
              <w:t xml:space="preserve">Kursimet e </w:t>
            </w:r>
            <w:r w:rsidR="001D5E32" w:rsidRPr="009E674D">
              <w:rPr>
                <w:rFonts w:cstheme="minorHAnsi"/>
                <w:i/>
                <w:lang w:val="sq-AL"/>
              </w:rPr>
              <w:t>energjisë</w:t>
            </w:r>
            <w:r w:rsidRPr="009E674D">
              <w:rPr>
                <w:rFonts w:cstheme="minorHAnsi"/>
                <w:i/>
                <w:lang w:val="sq-AL"/>
              </w:rPr>
              <w:t xml:space="preserve"> në infrastrukturë  (%)</w:t>
            </w:r>
          </w:p>
        </w:tc>
        <w:tc>
          <w:tcPr>
            <w:tcW w:w="990" w:type="dxa"/>
            <w:vAlign w:val="center"/>
          </w:tcPr>
          <w:p w14:paraId="64E4149D" w14:textId="77777777" w:rsidR="00BB2408" w:rsidRPr="009E674D" w:rsidRDefault="00BB2408" w:rsidP="001D5E32">
            <w:pPr>
              <w:jc w:val="center"/>
              <w:rPr>
                <w:rFonts w:cstheme="minorHAnsi"/>
                <w:lang w:val="sq-AL"/>
              </w:rPr>
            </w:pPr>
            <w:r w:rsidRPr="009E674D">
              <w:rPr>
                <w:rFonts w:cstheme="minorHAnsi"/>
                <w:lang w:val="sq-AL"/>
              </w:rPr>
              <w:t>n/a</w:t>
            </w:r>
          </w:p>
        </w:tc>
        <w:tc>
          <w:tcPr>
            <w:tcW w:w="1440" w:type="dxa"/>
            <w:vAlign w:val="center"/>
          </w:tcPr>
          <w:p w14:paraId="1CF7C253" w14:textId="77777777" w:rsidR="00BB2408" w:rsidRPr="009E674D" w:rsidRDefault="00BB2408" w:rsidP="001D5E32">
            <w:pPr>
              <w:jc w:val="center"/>
              <w:rPr>
                <w:rFonts w:cstheme="minorHAnsi"/>
                <w:lang w:val="sq-AL"/>
              </w:rPr>
            </w:pPr>
            <w:r w:rsidRPr="009E674D">
              <w:rPr>
                <w:rFonts w:cstheme="minorHAnsi"/>
                <w:lang w:val="sq-AL"/>
              </w:rPr>
              <w:t xml:space="preserve">Komunat </w:t>
            </w:r>
          </w:p>
        </w:tc>
        <w:tc>
          <w:tcPr>
            <w:tcW w:w="1260" w:type="dxa"/>
            <w:vAlign w:val="center"/>
          </w:tcPr>
          <w:p w14:paraId="67E6A438" w14:textId="77777777" w:rsidR="00BB2408" w:rsidRPr="009E674D" w:rsidRDefault="00BB2408" w:rsidP="001D5E32">
            <w:pPr>
              <w:jc w:val="center"/>
              <w:rPr>
                <w:rFonts w:cstheme="minorHAnsi"/>
                <w:lang w:val="sq-AL"/>
              </w:rPr>
            </w:pPr>
            <w:r w:rsidRPr="009E674D">
              <w:rPr>
                <w:rFonts w:cstheme="minorHAnsi"/>
                <w:lang w:val="sq-AL"/>
              </w:rPr>
              <w:t>-30%</w:t>
            </w:r>
          </w:p>
        </w:tc>
        <w:tc>
          <w:tcPr>
            <w:tcW w:w="1255" w:type="dxa"/>
            <w:vAlign w:val="center"/>
          </w:tcPr>
          <w:p w14:paraId="1636EFC8" w14:textId="77777777" w:rsidR="00BB2408" w:rsidRPr="009E674D" w:rsidRDefault="00BB2408" w:rsidP="001D5E32">
            <w:pPr>
              <w:jc w:val="center"/>
              <w:rPr>
                <w:rFonts w:cstheme="minorHAnsi"/>
                <w:lang w:val="sq-AL"/>
              </w:rPr>
            </w:pPr>
            <w:r w:rsidRPr="009E674D">
              <w:rPr>
                <w:rFonts w:cstheme="minorHAnsi"/>
                <w:lang w:val="sq-AL"/>
              </w:rPr>
              <w:t>-60%</w:t>
            </w:r>
          </w:p>
        </w:tc>
      </w:tr>
      <w:tr w:rsidR="00BB2408" w:rsidRPr="009E674D" w14:paraId="05B760AA" w14:textId="77777777" w:rsidTr="001D5E32">
        <w:tc>
          <w:tcPr>
            <w:tcW w:w="779" w:type="dxa"/>
            <w:vMerge w:val="restart"/>
            <w:vAlign w:val="center"/>
          </w:tcPr>
          <w:p w14:paraId="22C2A997" w14:textId="77777777" w:rsidR="00BB2408" w:rsidRPr="009E674D" w:rsidRDefault="00BB2408" w:rsidP="001D5E32">
            <w:pPr>
              <w:rPr>
                <w:rFonts w:cstheme="minorHAnsi"/>
                <w:lang w:val="sq-AL"/>
              </w:rPr>
            </w:pPr>
          </w:p>
          <w:p w14:paraId="20F0CE9D" w14:textId="77777777" w:rsidR="00BB2408" w:rsidRPr="009E674D" w:rsidRDefault="00BB2408" w:rsidP="001D5E32">
            <w:pPr>
              <w:rPr>
                <w:rFonts w:cstheme="minorHAnsi"/>
                <w:b/>
                <w:lang w:val="sq-AL"/>
              </w:rPr>
            </w:pPr>
            <w:r w:rsidRPr="009E674D">
              <w:rPr>
                <w:rFonts w:cstheme="minorHAnsi"/>
                <w:b/>
                <w:lang w:val="sq-AL"/>
              </w:rPr>
              <w:t>Obj.4</w:t>
            </w:r>
          </w:p>
        </w:tc>
        <w:tc>
          <w:tcPr>
            <w:tcW w:w="1646" w:type="dxa"/>
            <w:vMerge w:val="restart"/>
            <w:vAlign w:val="center"/>
          </w:tcPr>
          <w:p w14:paraId="51331ED2" w14:textId="77777777" w:rsidR="00BB2408" w:rsidRPr="009E674D" w:rsidRDefault="00BB2408" w:rsidP="001D5E32">
            <w:pPr>
              <w:rPr>
                <w:rFonts w:ascii="Arial Narrow" w:eastAsia="Times New Roman" w:hAnsi="Arial Narrow" w:cs="Calibri"/>
                <w:b/>
                <w:color w:val="000000"/>
                <w:lang w:val="sq-AL"/>
              </w:rPr>
            </w:pPr>
            <w:r w:rsidRPr="009E674D">
              <w:rPr>
                <w:rFonts w:ascii="Arial Narrow" w:eastAsia="Times New Roman" w:hAnsi="Arial Narrow" w:cs="Calibri"/>
                <w:b/>
                <w:color w:val="000000"/>
                <w:lang w:val="sq-AL"/>
              </w:rPr>
              <w:t xml:space="preserve">4.1. Financa lokale te qëndrueshme dhe efektive  </w:t>
            </w:r>
          </w:p>
          <w:p w14:paraId="31324A90" w14:textId="77777777" w:rsidR="00BB2408" w:rsidRPr="009E674D" w:rsidRDefault="00BB2408" w:rsidP="001D5E32">
            <w:pPr>
              <w:rPr>
                <w:rFonts w:eastAsia="Times New Roman" w:cstheme="minorHAnsi"/>
                <w:b/>
                <w:bCs/>
                <w:color w:val="000000" w:themeColor="text1"/>
                <w:lang w:val="sq-AL"/>
              </w:rPr>
            </w:pPr>
          </w:p>
        </w:tc>
        <w:tc>
          <w:tcPr>
            <w:tcW w:w="1980" w:type="dxa"/>
            <w:vAlign w:val="center"/>
          </w:tcPr>
          <w:p w14:paraId="71633BD8" w14:textId="77777777" w:rsidR="00BB2408" w:rsidRPr="009E674D" w:rsidRDefault="00BB2408" w:rsidP="001D5E32">
            <w:pPr>
              <w:rPr>
                <w:rFonts w:cstheme="minorHAnsi"/>
                <w:i/>
                <w:lang w:val="sq-AL"/>
              </w:rPr>
            </w:pPr>
            <w:r w:rsidRPr="009E674D">
              <w:rPr>
                <w:rFonts w:cstheme="minorHAnsi"/>
                <w:i/>
                <w:lang w:val="sq-AL"/>
              </w:rPr>
              <w:t>Përqindja e realizueshmërisë së buxhetit (mesatarja)</w:t>
            </w:r>
          </w:p>
        </w:tc>
        <w:tc>
          <w:tcPr>
            <w:tcW w:w="990" w:type="dxa"/>
            <w:vAlign w:val="center"/>
          </w:tcPr>
          <w:p w14:paraId="06FBBCE4" w14:textId="77777777" w:rsidR="00BB2408" w:rsidRPr="009E674D" w:rsidRDefault="00BB2408" w:rsidP="001D5E32">
            <w:pPr>
              <w:jc w:val="center"/>
              <w:rPr>
                <w:rFonts w:cstheme="minorHAnsi"/>
                <w:lang w:val="sq-AL"/>
              </w:rPr>
            </w:pPr>
            <w:r w:rsidRPr="009E674D">
              <w:rPr>
                <w:rFonts w:cstheme="minorHAnsi"/>
                <w:lang w:val="sq-AL"/>
              </w:rPr>
              <w:t>n/a</w:t>
            </w:r>
          </w:p>
        </w:tc>
        <w:tc>
          <w:tcPr>
            <w:tcW w:w="1440" w:type="dxa"/>
            <w:vAlign w:val="center"/>
          </w:tcPr>
          <w:p w14:paraId="028A2E34" w14:textId="77777777" w:rsidR="00BB2408" w:rsidRPr="009E674D" w:rsidRDefault="00BB2408" w:rsidP="001D5E32">
            <w:pPr>
              <w:jc w:val="center"/>
              <w:rPr>
                <w:rFonts w:cstheme="minorHAnsi"/>
                <w:lang w:val="sq-AL"/>
              </w:rPr>
            </w:pPr>
            <w:r w:rsidRPr="009E674D">
              <w:rPr>
                <w:rFonts w:cstheme="minorHAnsi"/>
                <w:lang w:val="sq-AL"/>
              </w:rPr>
              <w:t>n/a</w:t>
            </w:r>
          </w:p>
        </w:tc>
        <w:tc>
          <w:tcPr>
            <w:tcW w:w="1260" w:type="dxa"/>
            <w:vAlign w:val="center"/>
          </w:tcPr>
          <w:p w14:paraId="0A1B3D49" w14:textId="77777777" w:rsidR="00BB2408" w:rsidRPr="009E674D" w:rsidRDefault="00BB2408" w:rsidP="001D5E32">
            <w:pPr>
              <w:jc w:val="center"/>
              <w:rPr>
                <w:rFonts w:cstheme="minorHAnsi"/>
                <w:lang w:val="sq-AL"/>
              </w:rPr>
            </w:pPr>
            <w:r w:rsidRPr="009E674D">
              <w:rPr>
                <w:rFonts w:cstheme="minorHAnsi"/>
                <w:lang w:val="sq-AL"/>
              </w:rPr>
              <w:t>n/a</w:t>
            </w:r>
          </w:p>
        </w:tc>
        <w:tc>
          <w:tcPr>
            <w:tcW w:w="1255" w:type="dxa"/>
            <w:vAlign w:val="center"/>
          </w:tcPr>
          <w:p w14:paraId="520ADC6F" w14:textId="77777777" w:rsidR="00BB2408" w:rsidRPr="009E674D" w:rsidRDefault="00BB2408" w:rsidP="001D5E32">
            <w:pPr>
              <w:jc w:val="center"/>
              <w:rPr>
                <w:rFonts w:cstheme="minorHAnsi"/>
                <w:lang w:val="sq-AL"/>
              </w:rPr>
            </w:pPr>
            <w:r w:rsidRPr="009E674D">
              <w:rPr>
                <w:rFonts w:cstheme="minorHAnsi"/>
                <w:lang w:val="sq-AL"/>
              </w:rPr>
              <w:t>n/a</w:t>
            </w:r>
          </w:p>
        </w:tc>
      </w:tr>
      <w:tr w:rsidR="00BB2408" w:rsidRPr="009E674D" w14:paraId="7F65757B" w14:textId="77777777" w:rsidTr="001D5E32">
        <w:tc>
          <w:tcPr>
            <w:tcW w:w="779" w:type="dxa"/>
            <w:vMerge/>
            <w:vAlign w:val="center"/>
          </w:tcPr>
          <w:p w14:paraId="670415D9" w14:textId="77777777" w:rsidR="00BB2408" w:rsidRPr="009E674D" w:rsidRDefault="00BB2408" w:rsidP="001D5E32">
            <w:pPr>
              <w:rPr>
                <w:rFonts w:cstheme="minorHAnsi"/>
                <w:lang w:val="sq-AL"/>
              </w:rPr>
            </w:pPr>
          </w:p>
        </w:tc>
        <w:tc>
          <w:tcPr>
            <w:tcW w:w="1646" w:type="dxa"/>
            <w:vMerge/>
            <w:vAlign w:val="center"/>
          </w:tcPr>
          <w:p w14:paraId="22C71999" w14:textId="77777777" w:rsidR="00BB2408" w:rsidRPr="009E674D" w:rsidRDefault="00BB2408" w:rsidP="001D5E32">
            <w:pPr>
              <w:rPr>
                <w:rFonts w:ascii="Arial Narrow" w:eastAsia="Times New Roman" w:hAnsi="Arial Narrow" w:cs="Calibri"/>
                <w:b/>
                <w:color w:val="000000"/>
                <w:lang w:val="sq-AL"/>
              </w:rPr>
            </w:pPr>
          </w:p>
        </w:tc>
        <w:tc>
          <w:tcPr>
            <w:tcW w:w="1980" w:type="dxa"/>
            <w:vAlign w:val="center"/>
          </w:tcPr>
          <w:p w14:paraId="4B2DCE69" w14:textId="77777777" w:rsidR="00BB2408" w:rsidRPr="009E674D" w:rsidRDefault="00BB2408" w:rsidP="001D5E32">
            <w:pPr>
              <w:rPr>
                <w:rFonts w:cstheme="minorHAnsi"/>
                <w:i/>
                <w:lang w:val="sq-AL"/>
              </w:rPr>
            </w:pPr>
            <w:r w:rsidRPr="009E674D">
              <w:rPr>
                <w:rFonts w:cstheme="minorHAnsi"/>
                <w:i/>
                <w:lang w:val="sq-AL"/>
              </w:rPr>
              <w:t>Borxhi komunal</w:t>
            </w:r>
          </w:p>
        </w:tc>
        <w:tc>
          <w:tcPr>
            <w:tcW w:w="990" w:type="dxa"/>
            <w:vAlign w:val="center"/>
          </w:tcPr>
          <w:p w14:paraId="37546517" w14:textId="77777777" w:rsidR="00BB2408" w:rsidRPr="009E674D" w:rsidRDefault="00BB2408" w:rsidP="001D5E32">
            <w:pPr>
              <w:jc w:val="center"/>
              <w:rPr>
                <w:rFonts w:cstheme="minorHAnsi"/>
                <w:lang w:val="sq-AL"/>
              </w:rPr>
            </w:pPr>
            <w:r w:rsidRPr="009E674D">
              <w:rPr>
                <w:rFonts w:cstheme="minorHAnsi"/>
                <w:lang w:val="sq-AL"/>
              </w:rPr>
              <w:t>n/a</w:t>
            </w:r>
          </w:p>
        </w:tc>
        <w:tc>
          <w:tcPr>
            <w:tcW w:w="1440" w:type="dxa"/>
            <w:vAlign w:val="center"/>
          </w:tcPr>
          <w:p w14:paraId="3BB7001E" w14:textId="77777777" w:rsidR="00BB2408" w:rsidRPr="009E674D" w:rsidRDefault="00BB2408" w:rsidP="001D5E32">
            <w:pPr>
              <w:jc w:val="center"/>
              <w:rPr>
                <w:rFonts w:cstheme="minorHAnsi"/>
                <w:lang w:val="sq-AL"/>
              </w:rPr>
            </w:pPr>
            <w:r w:rsidRPr="009E674D">
              <w:rPr>
                <w:rFonts w:cstheme="minorHAnsi"/>
                <w:lang w:val="sq-AL"/>
              </w:rPr>
              <w:t>n/a</w:t>
            </w:r>
          </w:p>
        </w:tc>
        <w:tc>
          <w:tcPr>
            <w:tcW w:w="1260" w:type="dxa"/>
            <w:vAlign w:val="center"/>
          </w:tcPr>
          <w:p w14:paraId="768C53CA" w14:textId="77777777" w:rsidR="00BB2408" w:rsidRPr="009E674D" w:rsidRDefault="00BB2408" w:rsidP="001D5E32">
            <w:pPr>
              <w:jc w:val="center"/>
              <w:rPr>
                <w:rFonts w:cstheme="minorHAnsi"/>
                <w:lang w:val="sq-AL"/>
              </w:rPr>
            </w:pPr>
            <w:r w:rsidRPr="009E674D">
              <w:rPr>
                <w:rFonts w:cstheme="minorHAnsi"/>
                <w:lang w:val="sq-AL"/>
              </w:rPr>
              <w:t>n/a</w:t>
            </w:r>
          </w:p>
        </w:tc>
        <w:tc>
          <w:tcPr>
            <w:tcW w:w="1255" w:type="dxa"/>
            <w:vAlign w:val="center"/>
          </w:tcPr>
          <w:p w14:paraId="007764DF" w14:textId="77777777" w:rsidR="00BB2408" w:rsidRPr="009E674D" w:rsidRDefault="00BB2408" w:rsidP="001D5E32">
            <w:pPr>
              <w:jc w:val="center"/>
              <w:rPr>
                <w:rFonts w:cstheme="minorHAnsi"/>
                <w:lang w:val="sq-AL"/>
              </w:rPr>
            </w:pPr>
            <w:r w:rsidRPr="009E674D">
              <w:rPr>
                <w:rFonts w:cstheme="minorHAnsi"/>
                <w:lang w:val="sq-AL"/>
              </w:rPr>
              <w:t>n/a</w:t>
            </w:r>
          </w:p>
        </w:tc>
      </w:tr>
      <w:tr w:rsidR="00BB2408" w:rsidRPr="009E674D" w14:paraId="2F9A721F" w14:textId="77777777" w:rsidTr="001D5E32">
        <w:tc>
          <w:tcPr>
            <w:tcW w:w="779" w:type="dxa"/>
            <w:vMerge/>
          </w:tcPr>
          <w:p w14:paraId="7258F1E8" w14:textId="77777777" w:rsidR="00BB2408" w:rsidRPr="009E674D" w:rsidRDefault="00BB2408" w:rsidP="001D5E32">
            <w:pPr>
              <w:rPr>
                <w:rFonts w:cstheme="minorHAnsi"/>
                <w:lang w:val="sq-AL"/>
              </w:rPr>
            </w:pPr>
          </w:p>
        </w:tc>
        <w:tc>
          <w:tcPr>
            <w:tcW w:w="1646" w:type="dxa"/>
            <w:vMerge w:val="restart"/>
            <w:vAlign w:val="center"/>
          </w:tcPr>
          <w:p w14:paraId="5945512F" w14:textId="77777777" w:rsidR="00BB2408" w:rsidRPr="009E674D" w:rsidRDefault="00BB2408" w:rsidP="001D5E32">
            <w:pPr>
              <w:rPr>
                <w:rFonts w:ascii="Arial Narrow" w:eastAsia="Times New Roman" w:hAnsi="Arial Narrow" w:cs="Calibri"/>
                <w:b/>
                <w:color w:val="000000"/>
                <w:lang w:val="sq-AL"/>
              </w:rPr>
            </w:pPr>
            <w:r w:rsidRPr="009E674D">
              <w:rPr>
                <w:rFonts w:ascii="Arial Narrow" w:eastAsia="Times New Roman" w:hAnsi="Arial Narrow" w:cs="Calibri"/>
                <w:b/>
                <w:color w:val="000000"/>
                <w:lang w:val="sq-AL"/>
              </w:rPr>
              <w:t xml:space="preserve">4.2. Avancimi i proceseve dhe resurseve në planifikimin dhe </w:t>
            </w:r>
            <w:r w:rsidRPr="009E674D">
              <w:rPr>
                <w:rFonts w:ascii="Arial Narrow" w:eastAsia="Times New Roman" w:hAnsi="Arial Narrow" w:cs="Calibri"/>
                <w:b/>
                <w:color w:val="000000"/>
                <w:lang w:val="sq-AL"/>
              </w:rPr>
              <w:lastRenderedPageBreak/>
              <w:t>zhvillimin e politikave lokale</w:t>
            </w:r>
          </w:p>
          <w:p w14:paraId="5348544F" w14:textId="77777777" w:rsidR="00BB2408" w:rsidRPr="009E674D" w:rsidRDefault="00BB2408" w:rsidP="001D5E32">
            <w:pPr>
              <w:rPr>
                <w:rFonts w:ascii="Arial Narrow" w:eastAsia="Times New Roman" w:hAnsi="Arial Narrow" w:cs="Calibri"/>
                <w:b/>
                <w:color w:val="000000"/>
                <w:lang w:val="sq-AL"/>
              </w:rPr>
            </w:pPr>
          </w:p>
        </w:tc>
        <w:tc>
          <w:tcPr>
            <w:tcW w:w="1980" w:type="dxa"/>
            <w:vAlign w:val="center"/>
          </w:tcPr>
          <w:p w14:paraId="18D74B8B" w14:textId="77777777" w:rsidR="00BB2408" w:rsidRPr="009E674D" w:rsidRDefault="00BB2408" w:rsidP="001D5E32">
            <w:pPr>
              <w:rPr>
                <w:i/>
                <w:lang w:val="sq-AL"/>
              </w:rPr>
            </w:pPr>
            <w:r w:rsidRPr="009E674D">
              <w:rPr>
                <w:i/>
                <w:lang w:val="sq-AL"/>
              </w:rPr>
              <w:lastRenderedPageBreak/>
              <w:t xml:space="preserve">Niveli profesional i zyrtarëve lokalë </w:t>
            </w:r>
          </w:p>
          <w:p w14:paraId="1679DC1B" w14:textId="77777777" w:rsidR="00BB2408" w:rsidRPr="009E674D" w:rsidRDefault="00BB2408" w:rsidP="001D5E32">
            <w:pPr>
              <w:rPr>
                <w:i/>
                <w:lang w:val="sq-AL"/>
              </w:rPr>
            </w:pPr>
            <w:r w:rsidRPr="009E674D">
              <w:rPr>
                <w:i/>
                <w:lang w:val="sq-AL"/>
              </w:rPr>
              <w:t>(1-5)</w:t>
            </w:r>
          </w:p>
          <w:p w14:paraId="5BFDABA8" w14:textId="77777777" w:rsidR="00BB2408" w:rsidRPr="009E674D" w:rsidRDefault="00BB2408" w:rsidP="001D5E32">
            <w:pPr>
              <w:rPr>
                <w:rFonts w:cstheme="minorHAnsi"/>
                <w:i/>
                <w:lang w:val="sq-AL"/>
              </w:rPr>
            </w:pPr>
          </w:p>
        </w:tc>
        <w:tc>
          <w:tcPr>
            <w:tcW w:w="990" w:type="dxa"/>
            <w:vAlign w:val="center"/>
          </w:tcPr>
          <w:p w14:paraId="2DAF408C" w14:textId="77777777" w:rsidR="00BB2408" w:rsidRPr="009E674D" w:rsidRDefault="00BB2408" w:rsidP="001D5E32">
            <w:pPr>
              <w:jc w:val="center"/>
              <w:rPr>
                <w:rFonts w:cstheme="minorHAnsi"/>
                <w:lang w:val="sq-AL"/>
              </w:rPr>
            </w:pPr>
            <w:r w:rsidRPr="009E674D">
              <w:rPr>
                <w:rFonts w:cstheme="minorHAnsi"/>
                <w:lang w:val="sq-AL"/>
              </w:rPr>
              <w:t>3.36 (2020)</w:t>
            </w:r>
          </w:p>
        </w:tc>
        <w:tc>
          <w:tcPr>
            <w:tcW w:w="1440" w:type="dxa"/>
            <w:vAlign w:val="center"/>
          </w:tcPr>
          <w:p w14:paraId="374BFFA5" w14:textId="77777777" w:rsidR="00BB2408" w:rsidRPr="009E674D" w:rsidRDefault="00BB2408" w:rsidP="001D5E32">
            <w:pPr>
              <w:jc w:val="center"/>
              <w:rPr>
                <w:rFonts w:cstheme="minorHAnsi"/>
                <w:lang w:val="sq-AL"/>
              </w:rPr>
            </w:pPr>
            <w:r w:rsidRPr="009E674D">
              <w:rPr>
                <w:lang w:val="sq-AL"/>
              </w:rPr>
              <w:t>Indeksi i konk. së komunave (USAID)</w:t>
            </w:r>
          </w:p>
        </w:tc>
        <w:tc>
          <w:tcPr>
            <w:tcW w:w="1260" w:type="dxa"/>
            <w:vAlign w:val="center"/>
          </w:tcPr>
          <w:p w14:paraId="799B2D09" w14:textId="77777777" w:rsidR="00BB2408" w:rsidRPr="009E674D" w:rsidRDefault="00BB2408" w:rsidP="001D5E32">
            <w:pPr>
              <w:jc w:val="center"/>
              <w:rPr>
                <w:rFonts w:cstheme="minorHAnsi"/>
                <w:lang w:val="sq-AL"/>
              </w:rPr>
            </w:pPr>
            <w:r w:rsidRPr="009E674D">
              <w:rPr>
                <w:rFonts w:cstheme="minorHAnsi"/>
                <w:lang w:val="sq-AL"/>
              </w:rPr>
              <w:t>3.8</w:t>
            </w:r>
          </w:p>
        </w:tc>
        <w:tc>
          <w:tcPr>
            <w:tcW w:w="1255" w:type="dxa"/>
            <w:vAlign w:val="center"/>
          </w:tcPr>
          <w:p w14:paraId="511BB924" w14:textId="77777777" w:rsidR="00BB2408" w:rsidRPr="009E674D" w:rsidRDefault="00BB2408" w:rsidP="001D5E32">
            <w:pPr>
              <w:jc w:val="center"/>
              <w:rPr>
                <w:rFonts w:cstheme="minorHAnsi"/>
                <w:lang w:val="sq-AL"/>
              </w:rPr>
            </w:pPr>
            <w:r w:rsidRPr="009E674D">
              <w:rPr>
                <w:rFonts w:cstheme="minorHAnsi"/>
                <w:lang w:val="sq-AL"/>
              </w:rPr>
              <w:t>4.2</w:t>
            </w:r>
          </w:p>
        </w:tc>
      </w:tr>
      <w:tr w:rsidR="00BB2408" w:rsidRPr="009E674D" w14:paraId="05863BDB" w14:textId="77777777" w:rsidTr="001D5E32">
        <w:tc>
          <w:tcPr>
            <w:tcW w:w="779" w:type="dxa"/>
            <w:vMerge/>
          </w:tcPr>
          <w:p w14:paraId="5318D325" w14:textId="77777777" w:rsidR="00BB2408" w:rsidRPr="009E674D" w:rsidRDefault="00BB2408" w:rsidP="001D5E32">
            <w:pPr>
              <w:rPr>
                <w:rFonts w:cstheme="minorHAnsi"/>
                <w:lang w:val="sq-AL"/>
              </w:rPr>
            </w:pPr>
          </w:p>
        </w:tc>
        <w:tc>
          <w:tcPr>
            <w:tcW w:w="1646" w:type="dxa"/>
            <w:vMerge/>
            <w:vAlign w:val="center"/>
          </w:tcPr>
          <w:p w14:paraId="7A692202" w14:textId="77777777" w:rsidR="00BB2408" w:rsidRPr="009E674D" w:rsidRDefault="00BB2408" w:rsidP="001D5E32">
            <w:pPr>
              <w:rPr>
                <w:rFonts w:ascii="Arial Narrow" w:eastAsia="Times New Roman" w:hAnsi="Arial Narrow" w:cs="Calibri"/>
                <w:b/>
                <w:color w:val="000000"/>
                <w:lang w:val="sq-AL"/>
              </w:rPr>
            </w:pPr>
          </w:p>
        </w:tc>
        <w:tc>
          <w:tcPr>
            <w:tcW w:w="1980" w:type="dxa"/>
            <w:vAlign w:val="center"/>
          </w:tcPr>
          <w:p w14:paraId="2E4A9253" w14:textId="77777777" w:rsidR="00BB2408" w:rsidRPr="009E674D" w:rsidRDefault="00BB2408" w:rsidP="001D5E32">
            <w:pPr>
              <w:rPr>
                <w:i/>
                <w:lang w:val="sq-AL"/>
              </w:rPr>
            </w:pPr>
            <w:r w:rsidRPr="009E674D">
              <w:rPr>
                <w:i/>
                <w:lang w:val="sq-AL"/>
              </w:rPr>
              <w:t>Numri i komunave me njësi për planifikim dhe zhvillim te politikave</w:t>
            </w:r>
          </w:p>
        </w:tc>
        <w:tc>
          <w:tcPr>
            <w:tcW w:w="990" w:type="dxa"/>
            <w:vAlign w:val="center"/>
          </w:tcPr>
          <w:p w14:paraId="7DDC4DB2" w14:textId="77777777" w:rsidR="00BB2408" w:rsidRPr="009E674D" w:rsidRDefault="001D5E32" w:rsidP="001D5E32">
            <w:pPr>
              <w:jc w:val="center"/>
              <w:rPr>
                <w:rFonts w:cstheme="minorHAnsi"/>
                <w:lang w:val="sq-AL"/>
              </w:rPr>
            </w:pPr>
            <w:r w:rsidRPr="009E674D">
              <w:rPr>
                <w:rFonts w:cstheme="minorHAnsi"/>
                <w:lang w:val="sq-AL"/>
              </w:rPr>
              <w:t>0 (2022)</w:t>
            </w:r>
          </w:p>
        </w:tc>
        <w:tc>
          <w:tcPr>
            <w:tcW w:w="1440" w:type="dxa"/>
            <w:vAlign w:val="center"/>
          </w:tcPr>
          <w:p w14:paraId="079D93D0" w14:textId="77777777" w:rsidR="00BB2408" w:rsidRPr="009E674D" w:rsidRDefault="001D5E32" w:rsidP="001D5E32">
            <w:pPr>
              <w:jc w:val="center"/>
              <w:rPr>
                <w:rFonts w:cstheme="minorHAnsi"/>
                <w:lang w:val="sq-AL"/>
              </w:rPr>
            </w:pPr>
            <w:r w:rsidRPr="009E674D">
              <w:rPr>
                <w:rFonts w:cstheme="minorHAnsi"/>
                <w:lang w:val="sq-AL"/>
              </w:rPr>
              <w:t>MAPL</w:t>
            </w:r>
          </w:p>
        </w:tc>
        <w:tc>
          <w:tcPr>
            <w:tcW w:w="1260" w:type="dxa"/>
            <w:vAlign w:val="center"/>
          </w:tcPr>
          <w:p w14:paraId="433C46A3" w14:textId="77777777" w:rsidR="00BB2408" w:rsidRPr="009E674D" w:rsidRDefault="001D5E32" w:rsidP="001D5E32">
            <w:pPr>
              <w:jc w:val="center"/>
              <w:rPr>
                <w:rFonts w:cstheme="minorHAnsi"/>
                <w:lang w:val="sq-AL"/>
              </w:rPr>
            </w:pPr>
            <w:r w:rsidRPr="009E674D">
              <w:rPr>
                <w:rFonts w:cstheme="minorHAnsi"/>
                <w:lang w:val="sq-AL"/>
              </w:rPr>
              <w:t>19</w:t>
            </w:r>
          </w:p>
        </w:tc>
        <w:tc>
          <w:tcPr>
            <w:tcW w:w="1255" w:type="dxa"/>
            <w:vAlign w:val="center"/>
          </w:tcPr>
          <w:p w14:paraId="7A6EBE44" w14:textId="77777777" w:rsidR="00BB2408" w:rsidRPr="009E674D" w:rsidRDefault="001D5E32" w:rsidP="001D5E32">
            <w:pPr>
              <w:jc w:val="center"/>
              <w:rPr>
                <w:rFonts w:cstheme="minorHAnsi"/>
                <w:lang w:val="sq-AL"/>
              </w:rPr>
            </w:pPr>
            <w:r w:rsidRPr="009E674D">
              <w:rPr>
                <w:rFonts w:cstheme="minorHAnsi"/>
                <w:lang w:val="sq-AL"/>
              </w:rPr>
              <w:t>38</w:t>
            </w:r>
          </w:p>
        </w:tc>
      </w:tr>
      <w:tr w:rsidR="00BB2408" w:rsidRPr="009E674D" w14:paraId="0BD33B3B" w14:textId="77777777" w:rsidTr="001D5E32">
        <w:tc>
          <w:tcPr>
            <w:tcW w:w="779" w:type="dxa"/>
            <w:vMerge/>
          </w:tcPr>
          <w:p w14:paraId="09B2EB7F" w14:textId="77777777" w:rsidR="00BB2408" w:rsidRPr="009E674D" w:rsidRDefault="00BB2408" w:rsidP="001D5E32">
            <w:pPr>
              <w:rPr>
                <w:rFonts w:cstheme="minorHAnsi"/>
                <w:lang w:val="sq-AL"/>
              </w:rPr>
            </w:pPr>
          </w:p>
        </w:tc>
        <w:tc>
          <w:tcPr>
            <w:tcW w:w="1646" w:type="dxa"/>
            <w:vMerge w:val="restart"/>
            <w:vAlign w:val="center"/>
          </w:tcPr>
          <w:p w14:paraId="30011DB0" w14:textId="77777777" w:rsidR="00BB2408" w:rsidRPr="009E674D" w:rsidRDefault="00BB2408" w:rsidP="001D5E32">
            <w:pPr>
              <w:rPr>
                <w:rFonts w:ascii="Arial Narrow" w:eastAsia="Times New Roman" w:hAnsi="Arial Narrow" w:cs="Calibri"/>
                <w:b/>
                <w:lang w:val="sq-AL"/>
              </w:rPr>
            </w:pPr>
            <w:r w:rsidRPr="009E674D">
              <w:rPr>
                <w:rFonts w:ascii="Arial Narrow" w:eastAsia="Times New Roman" w:hAnsi="Arial Narrow" w:cs="Calibri"/>
                <w:b/>
                <w:lang w:val="sq-AL"/>
              </w:rPr>
              <w:t>4.3. Përmirësimi i shërbimit dhe p</w:t>
            </w:r>
            <w:r w:rsidRPr="009E674D">
              <w:rPr>
                <w:rFonts w:cstheme="minorHAnsi"/>
                <w:b/>
                <w:lang w:val="sq-AL"/>
              </w:rPr>
              <w:t>ërgjegjësisë komunale</w:t>
            </w:r>
          </w:p>
          <w:p w14:paraId="35DCA568" w14:textId="77777777" w:rsidR="00BB2408" w:rsidRPr="009E674D" w:rsidRDefault="00BB2408" w:rsidP="001D5E32">
            <w:pPr>
              <w:rPr>
                <w:rFonts w:ascii="Arial Narrow" w:eastAsia="Times New Roman" w:hAnsi="Arial Narrow" w:cs="Calibri"/>
                <w:b/>
                <w:lang w:val="sq-AL"/>
              </w:rPr>
            </w:pPr>
          </w:p>
        </w:tc>
        <w:tc>
          <w:tcPr>
            <w:tcW w:w="1980" w:type="dxa"/>
            <w:vAlign w:val="center"/>
          </w:tcPr>
          <w:p w14:paraId="6CC250A8" w14:textId="77777777" w:rsidR="00BB2408" w:rsidRPr="009E674D" w:rsidRDefault="00BB2408" w:rsidP="001D5E32">
            <w:pPr>
              <w:rPr>
                <w:rFonts w:cstheme="minorHAnsi"/>
                <w:i/>
                <w:lang w:val="sq-AL"/>
              </w:rPr>
            </w:pPr>
            <w:r w:rsidRPr="009E674D">
              <w:rPr>
                <w:i/>
                <w:lang w:val="sq-AL"/>
              </w:rPr>
              <w:t>Shërbimet Publike Administrative</w:t>
            </w:r>
            <w:r w:rsidR="001D5E32" w:rsidRPr="009E674D">
              <w:rPr>
                <w:i/>
                <w:lang w:val="sq-AL"/>
              </w:rPr>
              <w:t xml:space="preserve"> (%)</w:t>
            </w:r>
          </w:p>
        </w:tc>
        <w:tc>
          <w:tcPr>
            <w:tcW w:w="990" w:type="dxa"/>
            <w:vAlign w:val="center"/>
          </w:tcPr>
          <w:p w14:paraId="759D40FA" w14:textId="77777777" w:rsidR="00BB2408" w:rsidRPr="009E674D" w:rsidRDefault="00BB2408" w:rsidP="001D5E32">
            <w:pPr>
              <w:jc w:val="center"/>
              <w:rPr>
                <w:rFonts w:cstheme="minorHAnsi"/>
                <w:lang w:val="sq-AL"/>
              </w:rPr>
            </w:pPr>
            <w:r w:rsidRPr="009E674D">
              <w:rPr>
                <w:rFonts w:cstheme="minorHAnsi"/>
                <w:lang w:val="sq-AL"/>
              </w:rPr>
              <w:t>81.7% (2021)</w:t>
            </w:r>
          </w:p>
        </w:tc>
        <w:tc>
          <w:tcPr>
            <w:tcW w:w="1440" w:type="dxa"/>
            <w:vAlign w:val="center"/>
          </w:tcPr>
          <w:p w14:paraId="2CD2B214" w14:textId="77777777" w:rsidR="00BB2408" w:rsidRPr="009E674D" w:rsidRDefault="00BB2408" w:rsidP="001D5E32">
            <w:pPr>
              <w:jc w:val="center"/>
              <w:rPr>
                <w:rFonts w:cstheme="minorHAnsi"/>
                <w:lang w:val="sq-AL"/>
              </w:rPr>
            </w:pPr>
            <w:r w:rsidRPr="009E674D">
              <w:rPr>
                <w:rFonts w:cstheme="minorHAnsi"/>
                <w:lang w:val="sq-AL"/>
              </w:rPr>
              <w:t>MAPL</w:t>
            </w:r>
          </w:p>
        </w:tc>
        <w:tc>
          <w:tcPr>
            <w:tcW w:w="1260" w:type="dxa"/>
            <w:vAlign w:val="center"/>
          </w:tcPr>
          <w:p w14:paraId="2A067B77" w14:textId="77777777" w:rsidR="00BB2408" w:rsidRPr="009E674D" w:rsidRDefault="00BB2408" w:rsidP="001D5E32">
            <w:pPr>
              <w:jc w:val="center"/>
              <w:rPr>
                <w:rFonts w:cstheme="minorHAnsi"/>
                <w:lang w:val="sq-AL"/>
              </w:rPr>
            </w:pPr>
            <w:r w:rsidRPr="009E674D">
              <w:rPr>
                <w:rFonts w:cstheme="minorHAnsi"/>
                <w:lang w:val="sq-AL"/>
              </w:rPr>
              <w:t>85%</w:t>
            </w:r>
          </w:p>
        </w:tc>
        <w:tc>
          <w:tcPr>
            <w:tcW w:w="1255" w:type="dxa"/>
            <w:vAlign w:val="center"/>
          </w:tcPr>
          <w:p w14:paraId="55BB41AC" w14:textId="77777777" w:rsidR="00BB2408" w:rsidRPr="009E674D" w:rsidRDefault="00BB2408" w:rsidP="001D5E32">
            <w:pPr>
              <w:jc w:val="center"/>
              <w:rPr>
                <w:rFonts w:cstheme="minorHAnsi"/>
                <w:lang w:val="sq-AL"/>
              </w:rPr>
            </w:pPr>
            <w:r w:rsidRPr="009E674D">
              <w:rPr>
                <w:rFonts w:cstheme="minorHAnsi"/>
                <w:lang w:val="sq-AL"/>
              </w:rPr>
              <w:t>95%</w:t>
            </w:r>
          </w:p>
        </w:tc>
      </w:tr>
      <w:tr w:rsidR="00BB2408" w:rsidRPr="009E674D" w14:paraId="3C34C477" w14:textId="77777777" w:rsidTr="001D5E32">
        <w:tc>
          <w:tcPr>
            <w:tcW w:w="779" w:type="dxa"/>
            <w:vMerge/>
          </w:tcPr>
          <w:p w14:paraId="4193EE72" w14:textId="77777777" w:rsidR="00BB2408" w:rsidRPr="009E674D" w:rsidRDefault="00BB2408" w:rsidP="001D5E32">
            <w:pPr>
              <w:rPr>
                <w:rFonts w:cstheme="minorHAnsi"/>
                <w:lang w:val="sq-AL"/>
              </w:rPr>
            </w:pPr>
          </w:p>
        </w:tc>
        <w:tc>
          <w:tcPr>
            <w:tcW w:w="1646" w:type="dxa"/>
            <w:vMerge/>
          </w:tcPr>
          <w:p w14:paraId="632F651A" w14:textId="77777777" w:rsidR="00BB2408" w:rsidRPr="009E674D" w:rsidRDefault="00BB2408" w:rsidP="001D5E32">
            <w:pPr>
              <w:rPr>
                <w:rFonts w:ascii="Arial Narrow" w:eastAsia="Times New Roman" w:hAnsi="Arial Narrow" w:cs="Calibri"/>
                <w:b/>
                <w:color w:val="000000"/>
                <w:lang w:val="sq-AL"/>
              </w:rPr>
            </w:pPr>
          </w:p>
        </w:tc>
        <w:tc>
          <w:tcPr>
            <w:tcW w:w="1980" w:type="dxa"/>
            <w:vAlign w:val="center"/>
          </w:tcPr>
          <w:p w14:paraId="2C46808C" w14:textId="77777777" w:rsidR="00BB2408" w:rsidRPr="009E674D" w:rsidRDefault="00BB2408" w:rsidP="001D5E32">
            <w:pPr>
              <w:rPr>
                <w:rFonts w:cstheme="minorHAnsi"/>
                <w:i/>
                <w:lang w:val="sq-AL"/>
              </w:rPr>
            </w:pPr>
            <w:r w:rsidRPr="009E674D">
              <w:rPr>
                <w:rFonts w:cstheme="minorHAnsi"/>
                <w:i/>
                <w:lang w:val="sq-AL"/>
              </w:rPr>
              <w:t>Treguesi i përgjegjshmërisë komunale (%)</w:t>
            </w:r>
          </w:p>
          <w:p w14:paraId="27BE3621" w14:textId="77777777" w:rsidR="00BB2408" w:rsidRPr="009E674D" w:rsidRDefault="00BB2408" w:rsidP="001D5E32">
            <w:pPr>
              <w:rPr>
                <w:rFonts w:cstheme="minorHAnsi"/>
                <w:i/>
                <w:lang w:val="sq-AL"/>
              </w:rPr>
            </w:pPr>
          </w:p>
          <w:p w14:paraId="472F5D77" w14:textId="77777777" w:rsidR="00BB2408" w:rsidRPr="009E674D" w:rsidRDefault="00BB2408" w:rsidP="001D5E32">
            <w:pPr>
              <w:rPr>
                <w:rFonts w:cstheme="minorHAnsi"/>
                <w:i/>
                <w:lang w:val="sq-AL"/>
              </w:rPr>
            </w:pPr>
          </w:p>
        </w:tc>
        <w:tc>
          <w:tcPr>
            <w:tcW w:w="990" w:type="dxa"/>
            <w:vAlign w:val="center"/>
          </w:tcPr>
          <w:p w14:paraId="7F217106" w14:textId="77777777" w:rsidR="00BB2408" w:rsidRPr="009E674D" w:rsidRDefault="00BB2408" w:rsidP="001D5E32">
            <w:pPr>
              <w:jc w:val="center"/>
              <w:rPr>
                <w:rFonts w:cstheme="minorHAnsi"/>
                <w:lang w:val="sq-AL"/>
              </w:rPr>
            </w:pPr>
            <w:r w:rsidRPr="009E674D">
              <w:rPr>
                <w:rFonts w:cstheme="minorHAnsi"/>
                <w:lang w:val="sq-AL"/>
              </w:rPr>
              <w:t>53.9%</w:t>
            </w:r>
          </w:p>
          <w:p w14:paraId="40F9E85E" w14:textId="77777777" w:rsidR="00BB2408" w:rsidRPr="009E674D" w:rsidRDefault="00BB2408" w:rsidP="001D5E32">
            <w:pPr>
              <w:jc w:val="center"/>
              <w:rPr>
                <w:rFonts w:cstheme="minorHAnsi"/>
                <w:lang w:val="sq-AL"/>
              </w:rPr>
            </w:pPr>
            <w:r w:rsidRPr="009E674D">
              <w:rPr>
                <w:rFonts w:cstheme="minorHAnsi"/>
                <w:lang w:val="sq-AL"/>
              </w:rPr>
              <w:t>(2021)</w:t>
            </w:r>
          </w:p>
        </w:tc>
        <w:tc>
          <w:tcPr>
            <w:tcW w:w="1440" w:type="dxa"/>
            <w:vAlign w:val="center"/>
          </w:tcPr>
          <w:p w14:paraId="4E543B49" w14:textId="77777777" w:rsidR="00BB2408" w:rsidRPr="009E674D" w:rsidRDefault="00BB2408" w:rsidP="001D5E32">
            <w:pPr>
              <w:jc w:val="center"/>
              <w:rPr>
                <w:rFonts w:cstheme="minorHAnsi"/>
                <w:lang w:val="sq-AL"/>
              </w:rPr>
            </w:pPr>
            <w:r w:rsidRPr="009E674D">
              <w:rPr>
                <w:rFonts w:cstheme="minorHAnsi"/>
                <w:lang w:val="sq-AL"/>
              </w:rPr>
              <w:t>MAPL</w:t>
            </w:r>
          </w:p>
        </w:tc>
        <w:tc>
          <w:tcPr>
            <w:tcW w:w="1260" w:type="dxa"/>
            <w:vAlign w:val="center"/>
          </w:tcPr>
          <w:p w14:paraId="107330E5" w14:textId="77777777" w:rsidR="00BB2408" w:rsidRPr="009E674D" w:rsidRDefault="00BB2408" w:rsidP="001D5E32">
            <w:pPr>
              <w:jc w:val="center"/>
              <w:rPr>
                <w:rFonts w:cstheme="minorHAnsi"/>
                <w:lang w:val="sq-AL"/>
              </w:rPr>
            </w:pPr>
            <w:r w:rsidRPr="009E674D">
              <w:rPr>
                <w:rFonts w:cstheme="minorHAnsi"/>
                <w:lang w:val="sq-AL"/>
              </w:rPr>
              <w:t>70%</w:t>
            </w:r>
          </w:p>
        </w:tc>
        <w:tc>
          <w:tcPr>
            <w:tcW w:w="1255" w:type="dxa"/>
            <w:vAlign w:val="center"/>
          </w:tcPr>
          <w:p w14:paraId="2E277EB5" w14:textId="77777777" w:rsidR="00BB2408" w:rsidRPr="009E674D" w:rsidRDefault="00BB2408" w:rsidP="001D5E32">
            <w:pPr>
              <w:jc w:val="center"/>
              <w:rPr>
                <w:rFonts w:cstheme="minorHAnsi"/>
                <w:lang w:val="sq-AL"/>
              </w:rPr>
            </w:pPr>
            <w:r w:rsidRPr="009E674D">
              <w:rPr>
                <w:rFonts w:cstheme="minorHAnsi"/>
                <w:lang w:val="sq-AL"/>
              </w:rPr>
              <w:t>80%</w:t>
            </w:r>
          </w:p>
        </w:tc>
      </w:tr>
      <w:tr w:rsidR="00BB2408" w:rsidRPr="009E674D" w14:paraId="06EEB340" w14:textId="77777777" w:rsidTr="001D5E32">
        <w:tc>
          <w:tcPr>
            <w:tcW w:w="779" w:type="dxa"/>
            <w:vMerge/>
          </w:tcPr>
          <w:p w14:paraId="4F61D37C" w14:textId="77777777" w:rsidR="00BB2408" w:rsidRPr="009E674D" w:rsidRDefault="00BB2408" w:rsidP="001D5E32">
            <w:pPr>
              <w:rPr>
                <w:rFonts w:cstheme="minorHAnsi"/>
                <w:lang w:val="sq-AL"/>
              </w:rPr>
            </w:pPr>
          </w:p>
        </w:tc>
        <w:tc>
          <w:tcPr>
            <w:tcW w:w="1646" w:type="dxa"/>
            <w:vMerge/>
          </w:tcPr>
          <w:p w14:paraId="76FB161C" w14:textId="77777777" w:rsidR="00BB2408" w:rsidRPr="009E674D" w:rsidRDefault="00BB2408" w:rsidP="001D5E32">
            <w:pPr>
              <w:rPr>
                <w:rFonts w:ascii="Arial Narrow" w:eastAsia="Times New Roman" w:hAnsi="Arial Narrow" w:cs="Calibri"/>
                <w:b/>
                <w:color w:val="000000"/>
                <w:lang w:val="sq-AL"/>
              </w:rPr>
            </w:pPr>
          </w:p>
        </w:tc>
        <w:tc>
          <w:tcPr>
            <w:tcW w:w="1980" w:type="dxa"/>
            <w:vAlign w:val="center"/>
          </w:tcPr>
          <w:p w14:paraId="198C16C0" w14:textId="77777777" w:rsidR="00BB2408" w:rsidRPr="009E674D" w:rsidRDefault="00BB2408" w:rsidP="001D5E32">
            <w:pPr>
              <w:rPr>
                <w:rFonts w:cstheme="minorHAnsi"/>
                <w:i/>
                <w:lang w:val="sq-AL"/>
              </w:rPr>
            </w:pPr>
            <w:r w:rsidRPr="009E674D">
              <w:rPr>
                <w:rFonts w:cstheme="minorHAnsi"/>
                <w:i/>
                <w:lang w:val="sq-AL"/>
              </w:rPr>
              <w:t>Shërbimet komunale në e-Kosova</w:t>
            </w:r>
          </w:p>
        </w:tc>
        <w:tc>
          <w:tcPr>
            <w:tcW w:w="990" w:type="dxa"/>
            <w:vAlign w:val="center"/>
          </w:tcPr>
          <w:p w14:paraId="2E5190DA" w14:textId="77777777" w:rsidR="00BB2408" w:rsidRPr="009E674D" w:rsidRDefault="00BB2408" w:rsidP="001D5E32">
            <w:pPr>
              <w:jc w:val="center"/>
              <w:rPr>
                <w:rFonts w:cstheme="minorHAnsi"/>
                <w:lang w:val="sq-AL"/>
              </w:rPr>
            </w:pPr>
            <w:r w:rsidRPr="009E674D">
              <w:rPr>
                <w:rFonts w:cstheme="minorHAnsi"/>
                <w:lang w:val="sq-AL"/>
              </w:rPr>
              <w:t>n/a</w:t>
            </w:r>
          </w:p>
        </w:tc>
        <w:tc>
          <w:tcPr>
            <w:tcW w:w="1440" w:type="dxa"/>
            <w:vAlign w:val="center"/>
          </w:tcPr>
          <w:p w14:paraId="0A2ED184" w14:textId="77777777" w:rsidR="00BB2408" w:rsidRPr="009E674D" w:rsidRDefault="00BB2408" w:rsidP="001D5E32">
            <w:pPr>
              <w:jc w:val="center"/>
              <w:rPr>
                <w:rFonts w:cstheme="minorHAnsi"/>
                <w:lang w:val="sq-AL"/>
              </w:rPr>
            </w:pPr>
            <w:r w:rsidRPr="009E674D">
              <w:rPr>
                <w:rFonts w:cstheme="minorHAnsi"/>
                <w:lang w:val="sq-AL"/>
              </w:rPr>
              <w:t>n/a</w:t>
            </w:r>
          </w:p>
        </w:tc>
        <w:tc>
          <w:tcPr>
            <w:tcW w:w="1260" w:type="dxa"/>
            <w:vAlign w:val="center"/>
          </w:tcPr>
          <w:p w14:paraId="41287205" w14:textId="77777777" w:rsidR="00BB2408" w:rsidRPr="009E674D" w:rsidRDefault="00BB2408" w:rsidP="001D5E32">
            <w:pPr>
              <w:jc w:val="center"/>
              <w:rPr>
                <w:rFonts w:cstheme="minorHAnsi"/>
                <w:lang w:val="sq-AL"/>
              </w:rPr>
            </w:pPr>
            <w:r w:rsidRPr="009E674D">
              <w:rPr>
                <w:rFonts w:cstheme="minorHAnsi"/>
                <w:lang w:val="sq-AL"/>
              </w:rPr>
              <w:t>n/a</w:t>
            </w:r>
          </w:p>
        </w:tc>
        <w:tc>
          <w:tcPr>
            <w:tcW w:w="1255" w:type="dxa"/>
            <w:vAlign w:val="center"/>
          </w:tcPr>
          <w:p w14:paraId="47AB0514" w14:textId="77777777" w:rsidR="00BB2408" w:rsidRPr="009E674D" w:rsidRDefault="00BB2408" w:rsidP="001D5E32">
            <w:pPr>
              <w:jc w:val="center"/>
              <w:rPr>
                <w:rFonts w:cstheme="minorHAnsi"/>
                <w:lang w:val="sq-AL"/>
              </w:rPr>
            </w:pPr>
            <w:r w:rsidRPr="009E674D">
              <w:rPr>
                <w:rFonts w:cstheme="minorHAnsi"/>
                <w:lang w:val="sq-AL"/>
              </w:rPr>
              <w:t>n/a</w:t>
            </w:r>
          </w:p>
        </w:tc>
      </w:tr>
      <w:tr w:rsidR="00BB2408" w:rsidRPr="009E674D" w14:paraId="5A3D3B0A" w14:textId="77777777" w:rsidTr="001D5E32">
        <w:tc>
          <w:tcPr>
            <w:tcW w:w="779" w:type="dxa"/>
            <w:vMerge/>
          </w:tcPr>
          <w:p w14:paraId="0E5F4FB5" w14:textId="77777777" w:rsidR="00BB2408" w:rsidRPr="009E674D" w:rsidRDefault="00BB2408" w:rsidP="001D5E32">
            <w:pPr>
              <w:rPr>
                <w:rFonts w:cstheme="minorHAnsi"/>
                <w:lang w:val="sq-AL"/>
              </w:rPr>
            </w:pPr>
          </w:p>
        </w:tc>
        <w:tc>
          <w:tcPr>
            <w:tcW w:w="1646" w:type="dxa"/>
            <w:vMerge w:val="restart"/>
          </w:tcPr>
          <w:p w14:paraId="798181BB" w14:textId="77777777" w:rsidR="00BB2408" w:rsidRPr="009E674D" w:rsidRDefault="00BB2408" w:rsidP="001D5E32">
            <w:pPr>
              <w:rPr>
                <w:rFonts w:ascii="Arial Narrow" w:eastAsia="Times New Roman" w:hAnsi="Arial Narrow" w:cs="Calibri"/>
                <w:b/>
                <w:color w:val="000000"/>
                <w:lang w:val="sq-AL"/>
              </w:rPr>
            </w:pPr>
            <w:r w:rsidRPr="009E674D">
              <w:rPr>
                <w:rFonts w:ascii="Arial Narrow" w:eastAsia="Times New Roman" w:hAnsi="Arial Narrow" w:cs="Calibri"/>
                <w:b/>
                <w:color w:val="000000"/>
                <w:lang w:val="sq-AL"/>
              </w:rPr>
              <w:t>4.4. Forcimi i partneritetit për zhvillim ekonomik lokal</w:t>
            </w:r>
          </w:p>
          <w:p w14:paraId="785ADEDD" w14:textId="77777777" w:rsidR="00BB2408" w:rsidRPr="009E674D" w:rsidRDefault="00BB2408" w:rsidP="001D5E32">
            <w:pPr>
              <w:jc w:val="center"/>
              <w:rPr>
                <w:rFonts w:ascii="Arial Narrow" w:eastAsia="Times New Roman" w:hAnsi="Arial Narrow" w:cs="Calibri"/>
                <w:b/>
                <w:color w:val="000000"/>
                <w:lang w:val="sq-AL"/>
              </w:rPr>
            </w:pPr>
          </w:p>
        </w:tc>
        <w:tc>
          <w:tcPr>
            <w:tcW w:w="1980" w:type="dxa"/>
            <w:vAlign w:val="center"/>
          </w:tcPr>
          <w:p w14:paraId="5124AEE8" w14:textId="77777777" w:rsidR="00BB2408" w:rsidRPr="009E674D" w:rsidRDefault="00BB2408" w:rsidP="001D5E32">
            <w:pPr>
              <w:rPr>
                <w:rFonts w:cstheme="minorHAnsi"/>
                <w:lang w:val="sq-AL"/>
              </w:rPr>
            </w:pPr>
            <w:r w:rsidRPr="009E674D">
              <w:rPr>
                <w:rFonts w:cstheme="minorHAnsi"/>
                <w:i/>
                <w:lang w:val="sq-AL"/>
              </w:rPr>
              <w:t>Numri  i projekteve me komunat tjera (brenda dhe jashtë kufirit)</w:t>
            </w:r>
            <w:r w:rsidRPr="009E674D">
              <w:rPr>
                <w:rFonts w:asciiTheme="majorHAnsi" w:hAnsiTheme="majorHAnsi" w:cstheme="majorHAnsi"/>
                <w:sz w:val="24"/>
                <w:lang w:val="sq-AL"/>
              </w:rPr>
              <w:t xml:space="preserve"> </w:t>
            </w:r>
          </w:p>
        </w:tc>
        <w:tc>
          <w:tcPr>
            <w:tcW w:w="990" w:type="dxa"/>
            <w:vAlign w:val="center"/>
          </w:tcPr>
          <w:p w14:paraId="0756E668" w14:textId="77777777" w:rsidR="00BB2408" w:rsidRPr="009E674D" w:rsidRDefault="001D5E32" w:rsidP="001D5E32">
            <w:pPr>
              <w:jc w:val="center"/>
              <w:rPr>
                <w:rFonts w:cstheme="minorHAnsi"/>
                <w:lang w:val="sq-AL"/>
              </w:rPr>
            </w:pPr>
            <w:r w:rsidRPr="009E674D">
              <w:rPr>
                <w:rFonts w:cstheme="minorHAnsi"/>
                <w:lang w:val="sq-AL"/>
              </w:rPr>
              <w:t>n/a</w:t>
            </w:r>
          </w:p>
        </w:tc>
        <w:tc>
          <w:tcPr>
            <w:tcW w:w="1440" w:type="dxa"/>
            <w:vAlign w:val="center"/>
          </w:tcPr>
          <w:p w14:paraId="2BD1DB61" w14:textId="77777777" w:rsidR="00BB2408" w:rsidRPr="009E674D" w:rsidRDefault="00BB2408" w:rsidP="001D5E32">
            <w:pPr>
              <w:jc w:val="center"/>
              <w:rPr>
                <w:rFonts w:cstheme="minorHAnsi"/>
                <w:lang w:val="sq-AL"/>
              </w:rPr>
            </w:pPr>
            <w:r w:rsidRPr="009E674D">
              <w:rPr>
                <w:rFonts w:cstheme="minorHAnsi"/>
                <w:lang w:val="sq-AL"/>
              </w:rPr>
              <w:t>MAPL</w:t>
            </w:r>
          </w:p>
        </w:tc>
        <w:tc>
          <w:tcPr>
            <w:tcW w:w="1260" w:type="dxa"/>
            <w:vAlign w:val="center"/>
          </w:tcPr>
          <w:p w14:paraId="2CD9E989" w14:textId="77777777" w:rsidR="00BB2408" w:rsidRPr="009E674D" w:rsidRDefault="00BB2408" w:rsidP="001D5E32">
            <w:pPr>
              <w:jc w:val="center"/>
              <w:rPr>
                <w:rFonts w:cstheme="minorHAnsi"/>
                <w:lang w:val="sq-AL"/>
              </w:rPr>
            </w:pPr>
            <w:r w:rsidRPr="009E674D">
              <w:rPr>
                <w:rFonts w:cstheme="minorHAnsi"/>
                <w:lang w:val="sq-AL"/>
              </w:rPr>
              <w:t>+40%</w:t>
            </w:r>
          </w:p>
        </w:tc>
        <w:tc>
          <w:tcPr>
            <w:tcW w:w="1255" w:type="dxa"/>
            <w:vAlign w:val="center"/>
          </w:tcPr>
          <w:p w14:paraId="3EE109AE" w14:textId="77777777" w:rsidR="00BB2408" w:rsidRPr="009E674D" w:rsidRDefault="00BB2408" w:rsidP="001D5E32">
            <w:pPr>
              <w:jc w:val="center"/>
              <w:rPr>
                <w:rFonts w:cstheme="minorHAnsi"/>
                <w:lang w:val="sq-AL"/>
              </w:rPr>
            </w:pPr>
            <w:r w:rsidRPr="009E674D">
              <w:rPr>
                <w:rFonts w:cstheme="minorHAnsi"/>
                <w:lang w:val="sq-AL"/>
              </w:rPr>
              <w:t>+80%</w:t>
            </w:r>
          </w:p>
        </w:tc>
      </w:tr>
      <w:tr w:rsidR="00BB2408" w:rsidRPr="009E674D" w14:paraId="7E39313E" w14:textId="77777777" w:rsidTr="001D5E32">
        <w:tc>
          <w:tcPr>
            <w:tcW w:w="779" w:type="dxa"/>
            <w:vMerge/>
          </w:tcPr>
          <w:p w14:paraId="7A0EDEDF" w14:textId="77777777" w:rsidR="00BB2408" w:rsidRPr="009E674D" w:rsidRDefault="00BB2408" w:rsidP="001D5E32">
            <w:pPr>
              <w:rPr>
                <w:rFonts w:cstheme="minorHAnsi"/>
                <w:lang w:val="sq-AL"/>
              </w:rPr>
            </w:pPr>
          </w:p>
        </w:tc>
        <w:tc>
          <w:tcPr>
            <w:tcW w:w="1646" w:type="dxa"/>
            <w:vMerge/>
          </w:tcPr>
          <w:p w14:paraId="278914F6" w14:textId="77777777" w:rsidR="00BB2408" w:rsidRPr="009E674D" w:rsidRDefault="00BB2408" w:rsidP="001D5E32">
            <w:pPr>
              <w:jc w:val="center"/>
              <w:rPr>
                <w:rFonts w:ascii="Arial Narrow" w:eastAsia="Times New Roman" w:hAnsi="Arial Narrow" w:cs="Calibri"/>
                <w:color w:val="000000"/>
                <w:lang w:val="sq-AL"/>
              </w:rPr>
            </w:pPr>
          </w:p>
        </w:tc>
        <w:tc>
          <w:tcPr>
            <w:tcW w:w="1980" w:type="dxa"/>
            <w:vAlign w:val="center"/>
          </w:tcPr>
          <w:p w14:paraId="50F5F643" w14:textId="77777777" w:rsidR="00BB2408" w:rsidRPr="009E674D" w:rsidRDefault="00BB2408" w:rsidP="001D5E32">
            <w:pPr>
              <w:rPr>
                <w:rFonts w:cstheme="minorHAnsi"/>
                <w:lang w:val="sq-AL"/>
              </w:rPr>
            </w:pPr>
            <w:r w:rsidRPr="009E674D">
              <w:rPr>
                <w:rFonts w:cstheme="minorHAnsi"/>
                <w:lang w:val="sq-AL"/>
              </w:rPr>
              <w:t>Pjesëmarrja dhe parashikueshmëria (1-10)</w:t>
            </w:r>
          </w:p>
        </w:tc>
        <w:tc>
          <w:tcPr>
            <w:tcW w:w="990" w:type="dxa"/>
            <w:vAlign w:val="center"/>
          </w:tcPr>
          <w:p w14:paraId="06F53A77" w14:textId="77777777" w:rsidR="00BB2408" w:rsidRPr="009E674D" w:rsidRDefault="00BB2408" w:rsidP="001D5E32">
            <w:pPr>
              <w:jc w:val="center"/>
              <w:rPr>
                <w:rFonts w:cstheme="minorHAnsi"/>
                <w:lang w:val="sq-AL"/>
              </w:rPr>
            </w:pPr>
            <w:r w:rsidRPr="009E674D">
              <w:rPr>
                <w:rFonts w:cstheme="minorHAnsi"/>
                <w:lang w:val="sq-AL"/>
              </w:rPr>
              <w:t>4.94 (2020)</w:t>
            </w:r>
          </w:p>
        </w:tc>
        <w:tc>
          <w:tcPr>
            <w:tcW w:w="1440" w:type="dxa"/>
            <w:vAlign w:val="center"/>
          </w:tcPr>
          <w:p w14:paraId="08D09DB5" w14:textId="77777777" w:rsidR="00BB2408" w:rsidRPr="009E674D" w:rsidRDefault="00BB2408" w:rsidP="001D5E32">
            <w:pPr>
              <w:jc w:val="center"/>
              <w:rPr>
                <w:rFonts w:cstheme="minorHAnsi"/>
                <w:lang w:val="sq-AL"/>
              </w:rPr>
            </w:pPr>
            <w:r w:rsidRPr="009E674D">
              <w:rPr>
                <w:lang w:val="sq-AL"/>
              </w:rPr>
              <w:t>Indeksi i konk. së komunave (USAID)</w:t>
            </w:r>
          </w:p>
        </w:tc>
        <w:tc>
          <w:tcPr>
            <w:tcW w:w="1260" w:type="dxa"/>
            <w:vAlign w:val="center"/>
          </w:tcPr>
          <w:p w14:paraId="463EDE41" w14:textId="77777777" w:rsidR="00BB2408" w:rsidRPr="009E674D" w:rsidRDefault="00BB2408" w:rsidP="001D5E32">
            <w:pPr>
              <w:jc w:val="center"/>
              <w:rPr>
                <w:rFonts w:cstheme="minorHAnsi"/>
                <w:lang w:val="sq-AL"/>
              </w:rPr>
            </w:pPr>
            <w:r w:rsidRPr="009E674D">
              <w:rPr>
                <w:rFonts w:cstheme="minorHAnsi"/>
                <w:lang w:val="sq-AL"/>
              </w:rPr>
              <w:t>6</w:t>
            </w:r>
          </w:p>
        </w:tc>
        <w:tc>
          <w:tcPr>
            <w:tcW w:w="1255" w:type="dxa"/>
            <w:vAlign w:val="center"/>
          </w:tcPr>
          <w:p w14:paraId="74E1319C" w14:textId="77777777" w:rsidR="00BB2408" w:rsidRPr="009E674D" w:rsidRDefault="00BB2408" w:rsidP="001D5E32">
            <w:pPr>
              <w:jc w:val="center"/>
              <w:rPr>
                <w:rFonts w:cstheme="minorHAnsi"/>
                <w:lang w:val="sq-AL"/>
              </w:rPr>
            </w:pPr>
            <w:r w:rsidRPr="009E674D">
              <w:rPr>
                <w:rFonts w:cstheme="minorHAnsi"/>
                <w:lang w:val="sq-AL"/>
              </w:rPr>
              <w:t>8</w:t>
            </w:r>
          </w:p>
        </w:tc>
      </w:tr>
    </w:tbl>
    <w:p w14:paraId="73231639" w14:textId="77777777" w:rsidR="00BB2408" w:rsidRPr="009E674D" w:rsidRDefault="00BB2408" w:rsidP="00BB2408">
      <w:pPr>
        <w:rPr>
          <w:lang w:val="sq-AL"/>
        </w:rPr>
      </w:pPr>
    </w:p>
    <w:p w14:paraId="24188EE8" w14:textId="77777777" w:rsidR="005E0430" w:rsidRPr="009E674D" w:rsidRDefault="005936E3" w:rsidP="005936E3">
      <w:pPr>
        <w:pStyle w:val="Heading1"/>
        <w:numPr>
          <w:ilvl w:val="0"/>
          <w:numId w:val="12"/>
        </w:numPr>
        <w:rPr>
          <w:b/>
          <w:lang w:val="sq-AL"/>
        </w:rPr>
      </w:pPr>
      <w:bookmarkStart w:id="29" w:name="_Toc107528710"/>
      <w:bookmarkStart w:id="30" w:name="_Toc109141122"/>
      <w:bookmarkStart w:id="31" w:name="_Toc132188449"/>
      <w:r w:rsidRPr="009E674D">
        <w:rPr>
          <w:b/>
          <w:lang w:val="sq-AL"/>
        </w:rPr>
        <w:t>Zbatimi, monitorimi, raportimi dhe vlerësimi</w:t>
      </w:r>
      <w:bookmarkEnd w:id="29"/>
      <w:bookmarkEnd w:id="30"/>
      <w:bookmarkEnd w:id="31"/>
      <w:r w:rsidRPr="009E674D">
        <w:rPr>
          <w:b/>
          <w:lang w:val="sq-AL"/>
        </w:rPr>
        <w:t xml:space="preserve"> </w:t>
      </w:r>
    </w:p>
    <w:p w14:paraId="5D2F1A0B" w14:textId="77777777" w:rsidR="005936E3" w:rsidRPr="009E674D" w:rsidRDefault="00D32EAA" w:rsidP="005936E3">
      <w:pPr>
        <w:jc w:val="both"/>
        <w:rPr>
          <w:lang w:val="sq-AL"/>
        </w:rPr>
      </w:pPr>
      <w:r w:rsidRPr="009E674D">
        <w:rPr>
          <w:lang w:val="sq-AL"/>
        </w:rPr>
        <w:br/>
      </w:r>
      <w:r w:rsidR="005936E3" w:rsidRPr="009E674D">
        <w:rPr>
          <w:lang w:val="sq-AL"/>
        </w:rPr>
        <w:t xml:space="preserve">Zbatimi i PNZHEL 2030 do të bëhet përmes strategjive të zhvillimit ekonomik lokal dhe planeve të tyre të veprimit të hartuara nga komunat, si dhe përmes planeve institucionalë të ministrive. Si mekanizëm për të nxitur komunat që të zhvillojnë strategjitë e tyre për zhvillim ekonomik lokal në harmoni me këtë program, do të shfrytëzohet granti i performancës. </w:t>
      </w:r>
    </w:p>
    <w:p w14:paraId="730707F0" w14:textId="35D98014" w:rsidR="005936E3" w:rsidRPr="009E674D" w:rsidRDefault="005936E3" w:rsidP="005936E3">
      <w:pPr>
        <w:jc w:val="both"/>
        <w:rPr>
          <w:lang w:val="sq-AL"/>
        </w:rPr>
      </w:pPr>
      <w:r w:rsidRPr="009E674D">
        <w:rPr>
          <w:lang w:val="sq-AL"/>
        </w:rPr>
        <w:t xml:space="preserve">MAPL-ja do të krijojë Komitetin Zbatues për PNZHEL 2030 për </w:t>
      </w:r>
      <w:r w:rsidR="005B49AD" w:rsidRPr="009E674D">
        <w:rPr>
          <w:lang w:val="sq-AL"/>
        </w:rPr>
        <w:t>t</w:t>
      </w:r>
      <w:r w:rsidR="005B49AD">
        <w:rPr>
          <w:lang w:val="sq-AL"/>
        </w:rPr>
        <w:t>a</w:t>
      </w:r>
      <w:r w:rsidR="005B49AD" w:rsidRPr="009E674D">
        <w:rPr>
          <w:lang w:val="sq-AL"/>
        </w:rPr>
        <w:t xml:space="preserve"> </w:t>
      </w:r>
      <w:r w:rsidRPr="009E674D">
        <w:rPr>
          <w:lang w:val="sq-AL"/>
        </w:rPr>
        <w:t xml:space="preserve">siguruar një koordinim të shëndoshë dhe efektiv </w:t>
      </w:r>
      <w:r w:rsidR="00844CE8">
        <w:rPr>
          <w:lang w:val="sq-AL"/>
        </w:rPr>
        <w:t>midis</w:t>
      </w:r>
      <w:r w:rsidR="00844CE8" w:rsidRPr="009E674D">
        <w:rPr>
          <w:lang w:val="sq-AL"/>
        </w:rPr>
        <w:t xml:space="preserve"> </w:t>
      </w:r>
      <w:r w:rsidRPr="009E674D">
        <w:rPr>
          <w:lang w:val="sq-AL"/>
        </w:rPr>
        <w:t>institucioneve gjatë zbatimit. Ky Komitet do të përbëhet nga institucionet që kanë marrë p</w:t>
      </w:r>
      <w:r w:rsidR="00F61FB7" w:rsidRPr="009E674D">
        <w:rPr>
          <w:lang w:val="sq-AL"/>
        </w:rPr>
        <w:t>jesë në grupin punues të programit</w:t>
      </w:r>
      <w:r w:rsidRPr="009E674D">
        <w:rPr>
          <w:lang w:val="sq-AL"/>
        </w:rPr>
        <w:t xml:space="preserve">. Komunat do të përfaqësohen përmes Kolegjiumit për Zhvillim Ekonomik Lokal në kuadër të Asociacionit të Komunave të Kosovës. </w:t>
      </w:r>
    </w:p>
    <w:p w14:paraId="6FC86A43" w14:textId="6E746DEB" w:rsidR="005936E3" w:rsidRPr="009E674D" w:rsidRDefault="005936E3" w:rsidP="005936E3">
      <w:pPr>
        <w:jc w:val="both"/>
        <w:rPr>
          <w:lang w:val="sq-AL"/>
        </w:rPr>
      </w:pPr>
      <w:r w:rsidRPr="009E674D">
        <w:rPr>
          <w:lang w:val="sq-AL"/>
        </w:rPr>
        <w:t>Të dhënat e monitorimit do të mblidhen në baza vjetore. Bazuar në këto të dhëna, do të hartohen raporte të rregullta të progresit për të pasqyruar nivelin e zbatueshmërisë së këtij dokumenti. MAPL-ja do të jetë institucioni përgjegjës për koordinimin e procesit të grumbullimit të të dhënave dhe për hartimin e raportit vjetor të progresit të PNZHEL 2030. Raporti vjetor i progresit do të publikohet në ueb faqe</w:t>
      </w:r>
      <w:r w:rsidR="005B49AD">
        <w:rPr>
          <w:lang w:val="sq-AL"/>
        </w:rPr>
        <w:t>n</w:t>
      </w:r>
      <w:r w:rsidRPr="009E674D">
        <w:rPr>
          <w:lang w:val="sq-AL"/>
        </w:rPr>
        <w:t xml:space="preserve"> zyrtare të MAPL-së. </w:t>
      </w:r>
    </w:p>
    <w:p w14:paraId="76A171B7" w14:textId="77777777" w:rsidR="005936E3" w:rsidRPr="009E674D" w:rsidRDefault="005936E3" w:rsidP="005936E3">
      <w:pPr>
        <w:jc w:val="both"/>
        <w:rPr>
          <w:lang w:val="sq-AL"/>
        </w:rPr>
      </w:pPr>
      <w:r w:rsidRPr="009E674D">
        <w:rPr>
          <w:lang w:val="sq-AL"/>
        </w:rPr>
        <w:t>Matja e zbatueshmërisë së PNZHEL 2030 do të bëhet</w:t>
      </w:r>
      <w:r w:rsidR="00F61FB7" w:rsidRPr="009E674D">
        <w:rPr>
          <w:lang w:val="sq-AL"/>
        </w:rPr>
        <w:t xml:space="preserve"> përmes treguesve</w:t>
      </w:r>
      <w:r w:rsidRPr="009E674D">
        <w:rPr>
          <w:lang w:val="sq-AL"/>
        </w:rPr>
        <w:t xml:space="preserve">, të cilët ndahen në tri nivele: tregues të ndikimit, për objektivat strategjike; tregues të rezultatit, për objektivat specifike; dhe tregues të produktit, për aktivitetet strategjike. Përderisa dy nivelet e para të treguesve janë paraqitur në </w:t>
      </w:r>
      <w:r w:rsidRPr="009E674D">
        <w:rPr>
          <w:lang w:val="sq-AL"/>
        </w:rPr>
        <w:lastRenderedPageBreak/>
        <w:t xml:space="preserve">seksionin më lartë, treguesit e produktit do të përcaktohen në strategjitë lokale të zhvillimit ekonomik dhe planet e veprimit të nivelit qendror.  Vlerësimi i ndikimit do të organizohet siç vijon: </w:t>
      </w:r>
    </w:p>
    <w:p w14:paraId="2A94708B" w14:textId="77777777" w:rsidR="005936E3" w:rsidRPr="009E674D" w:rsidRDefault="005936E3" w:rsidP="001D5E32">
      <w:pPr>
        <w:pStyle w:val="ListParagraph"/>
        <w:numPr>
          <w:ilvl w:val="0"/>
          <w:numId w:val="17"/>
        </w:numPr>
        <w:jc w:val="both"/>
        <w:rPr>
          <w:lang w:val="sq-AL"/>
        </w:rPr>
      </w:pPr>
      <w:r w:rsidRPr="009E674D">
        <w:rPr>
          <w:lang w:val="sq-AL"/>
        </w:rPr>
        <w:t>Vlerësimi i ndërmjetëm në vitin 2026;</w:t>
      </w:r>
    </w:p>
    <w:p w14:paraId="1BAE501A" w14:textId="25B4A02C" w:rsidR="005936E3" w:rsidRPr="009E674D" w:rsidRDefault="005936E3" w:rsidP="001D5E32">
      <w:pPr>
        <w:pStyle w:val="ListParagraph"/>
        <w:numPr>
          <w:ilvl w:val="0"/>
          <w:numId w:val="17"/>
        </w:numPr>
        <w:jc w:val="both"/>
        <w:rPr>
          <w:lang w:val="sq-AL"/>
        </w:rPr>
      </w:pPr>
      <w:r w:rsidRPr="009E674D">
        <w:rPr>
          <w:lang w:val="sq-AL"/>
        </w:rPr>
        <w:t>Vlerësimi i dytë në vitin 2029</w:t>
      </w:r>
      <w:r w:rsidR="005B49AD">
        <w:rPr>
          <w:lang w:val="sq-AL"/>
        </w:rPr>
        <w:t>,</w:t>
      </w:r>
      <w:r w:rsidRPr="009E674D">
        <w:rPr>
          <w:lang w:val="sq-AL"/>
        </w:rPr>
        <w:t xml:space="preserve"> për </w:t>
      </w:r>
      <w:r w:rsidR="005B49AD" w:rsidRPr="009E674D">
        <w:rPr>
          <w:lang w:val="sq-AL"/>
        </w:rPr>
        <w:t>t</w:t>
      </w:r>
      <w:r w:rsidR="005B49AD">
        <w:rPr>
          <w:lang w:val="sq-AL"/>
        </w:rPr>
        <w:t>a</w:t>
      </w:r>
      <w:r w:rsidR="005B49AD" w:rsidRPr="009E674D">
        <w:rPr>
          <w:lang w:val="sq-AL"/>
        </w:rPr>
        <w:t xml:space="preserve"> </w:t>
      </w:r>
      <w:r w:rsidRPr="009E674D">
        <w:rPr>
          <w:lang w:val="sq-AL"/>
        </w:rPr>
        <w:t xml:space="preserve">informuar procesin e përgatitjes së PNZHEL të ardhshëm; dhe </w:t>
      </w:r>
    </w:p>
    <w:p w14:paraId="0943B37D" w14:textId="77777777" w:rsidR="005936E3" w:rsidRPr="009E674D" w:rsidRDefault="005936E3" w:rsidP="001D5E32">
      <w:pPr>
        <w:pStyle w:val="ListParagraph"/>
        <w:numPr>
          <w:ilvl w:val="0"/>
          <w:numId w:val="17"/>
        </w:numPr>
        <w:jc w:val="both"/>
        <w:rPr>
          <w:lang w:val="sq-AL"/>
        </w:rPr>
      </w:pPr>
      <w:r w:rsidRPr="009E674D">
        <w:rPr>
          <w:lang w:val="sq-AL"/>
        </w:rPr>
        <w:t>Vlerësimi ex-post.</w:t>
      </w:r>
    </w:p>
    <w:p w14:paraId="0549852D" w14:textId="77777777" w:rsidR="005936E3" w:rsidRPr="009E674D" w:rsidRDefault="005936E3" w:rsidP="005936E3">
      <w:pPr>
        <w:jc w:val="both"/>
        <w:rPr>
          <w:lang w:val="sq-AL"/>
        </w:rPr>
      </w:pPr>
      <w:r w:rsidRPr="009E674D">
        <w:rPr>
          <w:lang w:val="sq-AL"/>
        </w:rPr>
        <w:t xml:space="preserve">Varësisht nga dinamikat në kontekstit social dhe ekonomik, mund të jetë e nevojshme që të ketë ndryshim të kohës së vlerësimit të parë dhe të dytë. Vlerësimet mund t’i nënshtrohen tërë PNZHEL apo vetëm një pjese të këtij dokumenti. </w:t>
      </w:r>
    </w:p>
    <w:p w14:paraId="7086BCC0" w14:textId="1F2365F2" w:rsidR="005936E3" w:rsidRPr="009E674D" w:rsidRDefault="005936E3" w:rsidP="005936E3">
      <w:pPr>
        <w:jc w:val="both"/>
        <w:rPr>
          <w:lang w:val="sq-AL"/>
        </w:rPr>
      </w:pPr>
      <w:r w:rsidRPr="009E674D">
        <w:rPr>
          <w:lang w:val="sq-AL"/>
        </w:rPr>
        <w:t xml:space="preserve">Për </w:t>
      </w:r>
      <w:r w:rsidR="005B49AD" w:rsidRPr="009E674D">
        <w:rPr>
          <w:lang w:val="sq-AL"/>
        </w:rPr>
        <w:t>t</w:t>
      </w:r>
      <w:r w:rsidR="005B49AD">
        <w:rPr>
          <w:lang w:val="sq-AL"/>
        </w:rPr>
        <w:t>a</w:t>
      </w:r>
      <w:r w:rsidR="005B49AD" w:rsidRPr="009E674D">
        <w:rPr>
          <w:lang w:val="sq-AL"/>
        </w:rPr>
        <w:t xml:space="preserve"> </w:t>
      </w:r>
      <w:r w:rsidRPr="009E674D">
        <w:rPr>
          <w:lang w:val="sq-AL"/>
        </w:rPr>
        <w:t xml:space="preserve">mundësuar </w:t>
      </w:r>
      <w:r w:rsidR="005B49AD">
        <w:rPr>
          <w:lang w:val="sq-AL"/>
        </w:rPr>
        <w:t>realizimin e suksesshëm të</w:t>
      </w:r>
      <w:r w:rsidRPr="009E674D">
        <w:rPr>
          <w:lang w:val="sq-AL"/>
        </w:rPr>
        <w:t xml:space="preserve"> monitorimi</w:t>
      </w:r>
      <w:r w:rsidR="005B49AD">
        <w:rPr>
          <w:lang w:val="sq-AL"/>
        </w:rPr>
        <w:t>t</w:t>
      </w:r>
      <w:r w:rsidRPr="009E674D">
        <w:rPr>
          <w:lang w:val="sq-AL"/>
        </w:rPr>
        <w:t>, mbledhja e të dhënave dhe publikimi i tyre duhet të bëhet në mënyrë sistematike. Duke qenë se treguesit pritet të zbërthehen në nivel të komunave (ose të paktën në nivel të regjioneve), është tejet e rëndësishme që mbledhja e të dhënave të jetë asisoj që të krijojë mundësinë e zbërthimit të mëtutjeshëm</w:t>
      </w:r>
      <w:r w:rsidR="005B49AD">
        <w:rPr>
          <w:lang w:val="sq-AL"/>
        </w:rPr>
        <w:t>,</w:t>
      </w:r>
      <w:r w:rsidRPr="009E674D">
        <w:rPr>
          <w:lang w:val="sq-AL"/>
        </w:rPr>
        <w:t xml:space="preserve"> pa cenuar saktësinë e tyre. </w:t>
      </w:r>
    </w:p>
    <w:p w14:paraId="7C0414CC" w14:textId="72A75F64" w:rsidR="005936E3" w:rsidRPr="009E674D" w:rsidRDefault="005936E3" w:rsidP="005936E3">
      <w:pPr>
        <w:jc w:val="both"/>
        <w:rPr>
          <w:lang w:val="sq-AL"/>
        </w:rPr>
      </w:pPr>
      <w:r w:rsidRPr="009E674D">
        <w:rPr>
          <w:lang w:val="sq-AL"/>
        </w:rPr>
        <w:t>Institucionet përgjegjëse për mbledhjen, analizimin dhe publikimin e të dhënave do të jenë pjesë e rëndësishme e procesit të monitorimit dhe vlerësimit të PNZHEL 2030. Për tre tregues, përkatësisht për infrastrukturën në përgjithësi, efiçencën e energjisë në infrastrukturë dhe për financat e qëndrueshme duhet të zhvillohen instrumente për mbledhje të të dhënave në ndërkohë</w:t>
      </w:r>
      <w:r w:rsidR="005B49AD">
        <w:rPr>
          <w:lang w:val="sq-AL"/>
        </w:rPr>
        <w:t>,</w:t>
      </w:r>
      <w:r w:rsidRPr="009E674D">
        <w:rPr>
          <w:lang w:val="sq-AL"/>
        </w:rPr>
        <w:t xml:space="preserve"> meqenëse aktualisht mungojnë. Gjithashtu, Indeksi i Konkurrueshmërisë së Komunave, i cili është burim i shumë treguesve për PNZHEL 2030, duhet të vazhdojë të prodhohet në baza vjetore. Herën e fundit kur ky indeks është prodhuar ka qenë viti 2021. </w:t>
      </w:r>
    </w:p>
    <w:p w14:paraId="439ECA79" w14:textId="77777777" w:rsidR="00481E2A" w:rsidRPr="009E674D" w:rsidRDefault="00481E2A" w:rsidP="005936E3">
      <w:pPr>
        <w:pStyle w:val="Heading1"/>
        <w:numPr>
          <w:ilvl w:val="0"/>
          <w:numId w:val="12"/>
        </w:numPr>
        <w:rPr>
          <w:b/>
          <w:lang w:val="sq-AL"/>
        </w:rPr>
      </w:pPr>
      <w:bookmarkStart w:id="32" w:name="_Toc132188450"/>
      <w:r w:rsidRPr="009E674D">
        <w:rPr>
          <w:b/>
          <w:lang w:val="sq-AL"/>
        </w:rPr>
        <w:t>Ndikimi financiar</w:t>
      </w:r>
      <w:bookmarkEnd w:id="32"/>
      <w:r w:rsidRPr="009E674D">
        <w:rPr>
          <w:b/>
          <w:lang w:val="sq-AL"/>
        </w:rPr>
        <w:t xml:space="preserve"> </w:t>
      </w:r>
    </w:p>
    <w:p w14:paraId="3DCA613E" w14:textId="77777777" w:rsidR="00467AC9" w:rsidRPr="009E674D" w:rsidRDefault="00007C41" w:rsidP="00334D5D">
      <w:pPr>
        <w:pStyle w:val="Heading1"/>
        <w:numPr>
          <w:ilvl w:val="0"/>
          <w:numId w:val="12"/>
        </w:numPr>
        <w:rPr>
          <w:b/>
          <w:lang w:val="sq-AL"/>
        </w:rPr>
      </w:pPr>
      <w:r w:rsidRPr="009E674D">
        <w:rPr>
          <w:b/>
          <w:lang w:val="sq-AL"/>
        </w:rPr>
        <w:br w:type="page"/>
      </w:r>
    </w:p>
    <w:p w14:paraId="180166D6" w14:textId="77777777" w:rsidR="00467AC9" w:rsidRPr="009E674D" w:rsidRDefault="00D21FE6" w:rsidP="00467AC9">
      <w:pPr>
        <w:pStyle w:val="Heading1"/>
        <w:rPr>
          <w:b/>
          <w:lang w:val="sq-AL"/>
        </w:rPr>
      </w:pPr>
      <w:bookmarkStart w:id="33" w:name="_Toc132188451"/>
      <w:r w:rsidRPr="009E674D">
        <w:rPr>
          <w:b/>
          <w:lang w:val="sq-AL"/>
        </w:rPr>
        <w:lastRenderedPageBreak/>
        <w:t xml:space="preserve">Shtojcat </w:t>
      </w:r>
      <w:r w:rsidRPr="009E674D">
        <w:rPr>
          <w:b/>
          <w:lang w:val="sq-AL"/>
        </w:rPr>
        <w:br/>
      </w:r>
      <w:r w:rsidR="00467AC9" w:rsidRPr="009E674D">
        <w:rPr>
          <w:lang w:val="sq-AL"/>
        </w:rPr>
        <w:br/>
        <w:t xml:space="preserve">Gjetjet kryesore </w:t>
      </w:r>
      <w:r w:rsidR="0095463F" w:rsidRPr="009E674D">
        <w:rPr>
          <w:lang w:val="sq-AL"/>
        </w:rPr>
        <w:t>të anketës me komuna</w:t>
      </w:r>
      <w:bookmarkEnd w:id="33"/>
      <w:r w:rsidR="0095463F" w:rsidRPr="009E674D">
        <w:rPr>
          <w:lang w:val="sq-AL"/>
        </w:rPr>
        <w:t xml:space="preserve"> </w:t>
      </w:r>
    </w:p>
    <w:p w14:paraId="08D2D505" w14:textId="3C6FAE96" w:rsidR="00467AC9" w:rsidRPr="009E674D" w:rsidRDefault="00467AC9" w:rsidP="00467AC9">
      <w:pPr>
        <w:jc w:val="both"/>
        <w:rPr>
          <w:lang w:val="sq-AL"/>
        </w:rPr>
      </w:pPr>
      <w:r w:rsidRPr="009E674D">
        <w:rPr>
          <w:lang w:val="sq-AL"/>
        </w:rPr>
        <w:br/>
        <w:t>Ky seksion përmbledh të dhënat e anketës së zhvilluar me drejtori të zhvillimit ekonomik në komuna</w:t>
      </w:r>
      <w:r w:rsidR="00D21FE6" w:rsidRPr="009E674D">
        <w:rPr>
          <w:lang w:val="sq-AL"/>
        </w:rPr>
        <w:t>t e</w:t>
      </w:r>
      <w:r w:rsidRPr="009E674D">
        <w:rPr>
          <w:lang w:val="sq-AL"/>
        </w:rPr>
        <w:t xml:space="preserve"> Kosovës. Pyetësorin e kanë plotësuar 31 komuna nga 38 sa janë gjithsej. Nga ata</w:t>
      </w:r>
      <w:r w:rsidR="00D21FE6" w:rsidRPr="009E674D">
        <w:rPr>
          <w:lang w:val="sq-AL"/>
        </w:rPr>
        <w:t>/ato</w:t>
      </w:r>
      <w:r w:rsidRPr="009E674D">
        <w:rPr>
          <w:lang w:val="sq-AL"/>
        </w:rPr>
        <w:t xml:space="preserve"> që e kanë plotësuar pyetësorin, 77.4% ishin drejtor</w:t>
      </w:r>
      <w:r w:rsidR="005B49AD">
        <w:rPr>
          <w:lang w:val="sq-AL"/>
        </w:rPr>
        <w:t>ë</w:t>
      </w:r>
      <w:r w:rsidRPr="009E674D">
        <w:rPr>
          <w:lang w:val="sq-AL"/>
        </w:rPr>
        <w:t xml:space="preserve"> në drejtorinë përkatëse të zhvillimit ekonomik, 12.9% udhëheqës sektori apo departamenti dhe të tjerët (9.7%) ishin zyrtar</w:t>
      </w:r>
      <w:r w:rsidR="005B49AD">
        <w:rPr>
          <w:lang w:val="sq-AL"/>
        </w:rPr>
        <w:t>ë</w:t>
      </w:r>
      <w:r w:rsidRPr="009E674D">
        <w:rPr>
          <w:lang w:val="sq-AL"/>
        </w:rPr>
        <w:t xml:space="preserve">. </w:t>
      </w:r>
    </w:p>
    <w:p w14:paraId="1B42D9EA" w14:textId="77777777" w:rsidR="00467AC9" w:rsidRPr="009E674D" w:rsidRDefault="00467AC9" w:rsidP="00467AC9">
      <w:pPr>
        <w:pStyle w:val="Caption"/>
        <w:keepNext/>
        <w:jc w:val="center"/>
        <w:rPr>
          <w:lang w:val="sq-AL"/>
        </w:rPr>
      </w:pPr>
      <w:r w:rsidRPr="009E674D">
        <w:rPr>
          <w:lang w:val="sq-AL"/>
        </w:rPr>
        <w:t xml:space="preserve">Figura </w:t>
      </w:r>
      <w:r w:rsidR="00154D4F" w:rsidRPr="009E674D">
        <w:rPr>
          <w:lang w:val="sq-AL"/>
        </w:rPr>
        <w:fldChar w:fldCharType="begin"/>
      </w:r>
      <w:r w:rsidR="00154D4F" w:rsidRPr="009E674D">
        <w:rPr>
          <w:lang w:val="sq-AL"/>
        </w:rPr>
        <w:instrText xml:space="preserve"> SEQ Figure \* ARABIC </w:instrText>
      </w:r>
      <w:r w:rsidR="00154D4F" w:rsidRPr="009E674D">
        <w:rPr>
          <w:lang w:val="sq-AL"/>
        </w:rPr>
        <w:fldChar w:fldCharType="separate"/>
      </w:r>
      <w:r w:rsidR="0071258E" w:rsidRPr="009E674D">
        <w:rPr>
          <w:noProof/>
          <w:lang w:val="sq-AL"/>
        </w:rPr>
        <w:t>1</w:t>
      </w:r>
      <w:r w:rsidR="00154D4F" w:rsidRPr="009E674D">
        <w:rPr>
          <w:lang w:val="sq-AL"/>
        </w:rPr>
        <w:fldChar w:fldCharType="end"/>
      </w:r>
      <w:r w:rsidRPr="009E674D">
        <w:rPr>
          <w:lang w:val="sq-AL"/>
        </w:rPr>
        <w:t>: Pozita e të anketuarve në drejtorinë përkatëse të zhvillimit ekonomik</w:t>
      </w:r>
    </w:p>
    <w:p w14:paraId="6EAEA937" w14:textId="77777777" w:rsidR="00467AC9" w:rsidRPr="009E674D" w:rsidRDefault="00467AC9" w:rsidP="00467AC9">
      <w:pPr>
        <w:jc w:val="center"/>
        <w:rPr>
          <w:lang w:val="sq-AL"/>
        </w:rPr>
      </w:pPr>
      <w:r w:rsidRPr="009E674D">
        <w:rPr>
          <w:noProof/>
        </w:rPr>
        <w:drawing>
          <wp:inline distT="0" distB="0" distL="0" distR="0" wp14:anchorId="451A11F0" wp14:editId="142EEC59">
            <wp:extent cx="4447540" cy="2654710"/>
            <wp:effectExtent l="0" t="0" r="10160" b="12700"/>
            <wp:docPr id="1" name="Chart 1">
              <a:extLst xmlns:a="http://schemas.openxmlformats.org/drawingml/2006/main">
                <a:ext uri="{FF2B5EF4-FFF2-40B4-BE49-F238E27FC236}">
                  <a16:creationId xmlns:a16="http://schemas.microsoft.com/office/drawing/2014/main" id="{88419F47-FA55-4B1B-99B1-116107B58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9EA090" w14:textId="169ABDB0" w:rsidR="00467AC9" w:rsidRPr="009E674D" w:rsidRDefault="00467AC9" w:rsidP="00467AC9">
      <w:pPr>
        <w:jc w:val="both"/>
        <w:rPr>
          <w:lang w:val="sq-AL"/>
        </w:rPr>
      </w:pPr>
      <w:r w:rsidRPr="009E674D">
        <w:rPr>
          <w:noProof/>
        </w:rPr>
        <w:drawing>
          <wp:anchor distT="0" distB="0" distL="114300" distR="114300" simplePos="0" relativeHeight="251664384" behindDoc="1" locked="0" layoutInCell="1" allowOverlap="1" wp14:anchorId="672DC2BC" wp14:editId="61948D2C">
            <wp:simplePos x="0" y="0"/>
            <wp:positionH relativeFrom="margin">
              <wp:align>left</wp:align>
            </wp:positionH>
            <wp:positionV relativeFrom="paragraph">
              <wp:posOffset>1175385</wp:posOffset>
            </wp:positionV>
            <wp:extent cx="2967990" cy="2171065"/>
            <wp:effectExtent l="0" t="0" r="3810" b="635"/>
            <wp:wrapTight wrapText="bothSides">
              <wp:wrapPolygon edited="0">
                <wp:start x="0" y="0"/>
                <wp:lineTo x="0" y="21417"/>
                <wp:lineTo x="21489" y="21417"/>
                <wp:lineTo x="21489" y="0"/>
                <wp:lineTo x="0" y="0"/>
              </wp:wrapPolygon>
            </wp:wrapTight>
            <wp:docPr id="3" name="Chart 3">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E674D">
        <w:rPr>
          <w:noProof/>
        </w:rPr>
        <mc:AlternateContent>
          <mc:Choice Requires="wps">
            <w:drawing>
              <wp:anchor distT="0" distB="0" distL="114300" distR="114300" simplePos="0" relativeHeight="251666432" behindDoc="0" locked="0" layoutInCell="1" allowOverlap="1" wp14:anchorId="1AF8B9E3" wp14:editId="52FFF854">
                <wp:simplePos x="0" y="0"/>
                <wp:positionH relativeFrom="column">
                  <wp:posOffset>3103086</wp:posOffset>
                </wp:positionH>
                <wp:positionV relativeFrom="paragraph">
                  <wp:posOffset>994251</wp:posOffset>
                </wp:positionV>
                <wp:extent cx="2856230" cy="161290"/>
                <wp:effectExtent l="0" t="0" r="1270" b="0"/>
                <wp:wrapTopAndBottom/>
                <wp:docPr id="7" name="Text Box 7"/>
                <wp:cNvGraphicFramePr/>
                <a:graphic xmlns:a="http://schemas.openxmlformats.org/drawingml/2006/main">
                  <a:graphicData uri="http://schemas.microsoft.com/office/word/2010/wordprocessingShape">
                    <wps:wsp>
                      <wps:cNvSpPr txBox="1"/>
                      <wps:spPr>
                        <a:xfrm>
                          <a:off x="0" y="0"/>
                          <a:ext cx="2856230" cy="161290"/>
                        </a:xfrm>
                        <a:prstGeom prst="rect">
                          <a:avLst/>
                        </a:prstGeom>
                        <a:solidFill>
                          <a:prstClr val="white"/>
                        </a:solidFill>
                        <a:ln>
                          <a:noFill/>
                        </a:ln>
                      </wps:spPr>
                      <wps:txbx>
                        <w:txbxContent>
                          <w:p w14:paraId="4158143D" w14:textId="77777777" w:rsidR="00636E80" w:rsidRPr="001A33DE"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Monitorimi i zbatimit te </w:t>
                            </w:r>
                            <w:r w:rsidRPr="00944498">
                              <w:rPr>
                                <w:lang w:val="sq-AL"/>
                              </w:rPr>
                              <w:t>strategji</w:t>
                            </w:r>
                            <w:r>
                              <w:rPr>
                                <w:lang w:val="sq-AL"/>
                              </w:rPr>
                              <w:t>ve ZhEL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8B9E3" id="Text Box 7" o:spid="_x0000_s1058" type="#_x0000_t202" style="position:absolute;left:0;text-align:left;margin-left:244.35pt;margin-top:78.3pt;width:224.9pt;height:1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" stroked="f">
                <v:textbox inset="0,0,0,0">
                  <w:txbxContent>
                    <w:p w14:paraId="4158143D" w14:textId="77777777" w:rsidR="00636E80" w:rsidRPr="001A33DE"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Monitorimi i zbatimit te </w:t>
                      </w:r>
                      <w:r w:rsidRPr="00944498">
                        <w:rPr>
                          <w:lang w:val="sq-AL"/>
                        </w:rPr>
                        <w:t>strategji</w:t>
                      </w:r>
                      <w:r>
                        <w:rPr>
                          <w:lang w:val="sq-AL"/>
                        </w:rPr>
                        <w:t>ve ZhEL</w:t>
                      </w:r>
                    </w:p>
                  </w:txbxContent>
                </v:textbox>
                <w10:wrap type="topAndBottom"/>
              </v:shape>
            </w:pict>
          </mc:Fallback>
        </mc:AlternateContent>
      </w:r>
      <w:r w:rsidRPr="009E674D">
        <w:rPr>
          <w:noProof/>
        </w:rPr>
        <mc:AlternateContent>
          <mc:Choice Requires="wps">
            <w:drawing>
              <wp:anchor distT="0" distB="0" distL="114300" distR="114300" simplePos="0" relativeHeight="251665408" behindDoc="1" locked="0" layoutInCell="1" allowOverlap="1" wp14:anchorId="40E69791" wp14:editId="6951627A">
                <wp:simplePos x="0" y="0"/>
                <wp:positionH relativeFrom="margin">
                  <wp:posOffset>188119</wp:posOffset>
                </wp:positionH>
                <wp:positionV relativeFrom="paragraph">
                  <wp:posOffset>931386</wp:posOffset>
                </wp:positionV>
                <wp:extent cx="2755265" cy="193675"/>
                <wp:effectExtent l="0" t="0" r="6985" b="0"/>
                <wp:wrapTight wrapText="bothSides">
                  <wp:wrapPolygon edited="0">
                    <wp:start x="0" y="0"/>
                    <wp:lineTo x="0" y="19121"/>
                    <wp:lineTo x="21505" y="19121"/>
                    <wp:lineTo x="2150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755265" cy="193675"/>
                        </a:xfrm>
                        <a:prstGeom prst="rect">
                          <a:avLst/>
                        </a:prstGeom>
                        <a:solidFill>
                          <a:prstClr val="white"/>
                        </a:solidFill>
                        <a:ln>
                          <a:noFill/>
                        </a:ln>
                      </wps:spPr>
                      <wps:txbx>
                        <w:txbxContent>
                          <w:p w14:paraId="7764A343" w14:textId="77777777" w:rsidR="00636E80" w:rsidRPr="001416EB"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944498">
                              <w:rPr>
                                <w:lang w:val="sq-AL"/>
                              </w:rPr>
                              <w:t xml:space="preserve">: Komunat me strategji të </w:t>
                            </w:r>
                            <w:r>
                              <w:rPr>
                                <w:lang w:val="sq-AL"/>
                              </w:rPr>
                              <w:t>ZhEL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9791" id="Text Box 5" o:spid="_x0000_s1059" type="#_x0000_t202" style="position:absolute;left:0;text-align:left;margin-left:14.8pt;margin-top:73.35pt;width:216.95pt;height:1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" stroked="f">
                <v:textbox inset="0,0,0,0">
                  <w:txbxContent>
                    <w:p w14:paraId="7764A343" w14:textId="77777777" w:rsidR="00636E80" w:rsidRPr="001416EB"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944498">
                        <w:rPr>
                          <w:lang w:val="sq-AL"/>
                        </w:rPr>
                        <w:t xml:space="preserve">: Komunat me strategji të </w:t>
                      </w:r>
                      <w:r>
                        <w:rPr>
                          <w:lang w:val="sq-AL"/>
                        </w:rPr>
                        <w:t>ZhEL</w:t>
                      </w:r>
                    </w:p>
                  </w:txbxContent>
                </v:textbox>
                <w10:wrap type="tight" anchorx="margin"/>
              </v:shape>
            </w:pict>
          </mc:Fallback>
        </mc:AlternateContent>
      </w:r>
      <w:r w:rsidRPr="009E674D">
        <w:rPr>
          <w:noProof/>
        </w:rPr>
        <w:drawing>
          <wp:anchor distT="0" distB="0" distL="114300" distR="114300" simplePos="0" relativeHeight="251663360" behindDoc="1" locked="0" layoutInCell="1" allowOverlap="1" wp14:anchorId="723BC320" wp14:editId="79B99689">
            <wp:simplePos x="0" y="0"/>
            <wp:positionH relativeFrom="margin">
              <wp:posOffset>3032760</wp:posOffset>
            </wp:positionH>
            <wp:positionV relativeFrom="paragraph">
              <wp:posOffset>1597025</wp:posOffset>
            </wp:positionV>
            <wp:extent cx="2940685" cy="2168525"/>
            <wp:effectExtent l="0" t="0" r="12065" b="3175"/>
            <wp:wrapTight wrapText="bothSides">
              <wp:wrapPolygon edited="0">
                <wp:start x="0" y="0"/>
                <wp:lineTo x="0" y="21442"/>
                <wp:lineTo x="21549" y="21442"/>
                <wp:lineTo x="21549" y="0"/>
                <wp:lineTo x="0" y="0"/>
              </wp:wrapPolygon>
            </wp:wrapTight>
            <wp:docPr id="4" name="Chart 4">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9E674D">
        <w:rPr>
          <w:lang w:val="sq-AL"/>
        </w:rPr>
        <w:t xml:space="preserve">Sipas të anketuarve, 48.8% e komunave kanë strategji për zhvillimin ekonomik lokal dhe 86.7% e atyre strategjive monitorohen në baza të rregullta. Në përgjigjen e dhënë për strategji, nuk është e qartë nëse të anketuarit i kanë konsideruar edhe planet zhvillimore komunale (PZHK-të) si strategji të zhvillimit ekonomik lokal, duke e pasur parasysh faktin se të njëjtat e trajtojnë edhe temën e ekonomisë. Aktualisht, 12 komuna kanë PZHK në fuqi. Gjithashtu, ndonëse përqindja e monitorimit është e mjaftë e lartë, në </w:t>
      </w:r>
      <w:r w:rsidRPr="009E674D">
        <w:rPr>
          <w:lang w:val="sq-AL"/>
        </w:rPr>
        <w:lastRenderedPageBreak/>
        <w:t>shumicën</w:t>
      </w:r>
      <w:r w:rsidR="000E7872" w:rsidRPr="009E674D">
        <w:rPr>
          <w:lang w:val="sq-AL"/>
        </w:rPr>
        <w:t xml:space="preserve"> e</w:t>
      </w:r>
      <w:r w:rsidRPr="009E674D">
        <w:rPr>
          <w:lang w:val="sq-AL"/>
        </w:rPr>
        <w:t xml:space="preserve"> uebstajteve nuk janë gjet</w:t>
      </w:r>
      <w:r w:rsidR="00631A10">
        <w:rPr>
          <w:lang w:val="sq-AL"/>
        </w:rPr>
        <w:t>ur</w:t>
      </w:r>
      <w:r w:rsidRPr="009E674D">
        <w:rPr>
          <w:lang w:val="sq-AL"/>
        </w:rPr>
        <w:t xml:space="preserve"> raporte të monitorimit për zbatueshmerinë e strategjive të deklaruara. </w:t>
      </w:r>
    </w:p>
    <w:p w14:paraId="09827847" w14:textId="55AD9D33" w:rsidR="00467AC9" w:rsidRPr="009E674D" w:rsidRDefault="00467AC9" w:rsidP="00467AC9">
      <w:pPr>
        <w:jc w:val="both"/>
        <w:rPr>
          <w:lang w:val="sq-AL"/>
        </w:rPr>
      </w:pPr>
      <w:r w:rsidRPr="009E674D">
        <w:rPr>
          <w:noProof/>
        </w:rPr>
        <w:drawing>
          <wp:anchor distT="0" distB="0" distL="114300" distR="114300" simplePos="0" relativeHeight="251668480" behindDoc="1" locked="0" layoutInCell="1" allowOverlap="1" wp14:anchorId="5FD105F8" wp14:editId="70DEF333">
            <wp:simplePos x="0" y="0"/>
            <wp:positionH relativeFrom="margin">
              <wp:posOffset>3052445</wp:posOffset>
            </wp:positionH>
            <wp:positionV relativeFrom="paragraph">
              <wp:posOffset>1713865</wp:posOffset>
            </wp:positionV>
            <wp:extent cx="2967990" cy="2103120"/>
            <wp:effectExtent l="0" t="0" r="3810" b="0"/>
            <wp:wrapTight wrapText="bothSides">
              <wp:wrapPolygon edited="0">
                <wp:start x="0" y="0"/>
                <wp:lineTo x="0" y="21326"/>
                <wp:lineTo x="21489" y="21326"/>
                <wp:lineTo x="2148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7990" cy="2103120"/>
                    </a:xfrm>
                    <a:prstGeom prst="rect">
                      <a:avLst/>
                    </a:prstGeom>
                    <a:noFill/>
                  </pic:spPr>
                </pic:pic>
              </a:graphicData>
            </a:graphic>
            <wp14:sizeRelH relativeFrom="margin">
              <wp14:pctWidth>0</wp14:pctWidth>
            </wp14:sizeRelH>
            <wp14:sizeRelV relativeFrom="margin">
              <wp14:pctHeight>0</wp14:pctHeight>
            </wp14:sizeRelV>
          </wp:anchor>
        </w:drawing>
      </w:r>
      <w:r w:rsidRPr="009E674D">
        <w:rPr>
          <w:noProof/>
        </w:rPr>
        <w:drawing>
          <wp:anchor distT="0" distB="0" distL="114300" distR="114300" simplePos="0" relativeHeight="251667456" behindDoc="1" locked="0" layoutInCell="1" allowOverlap="1" wp14:anchorId="3424F240" wp14:editId="086E4B82">
            <wp:simplePos x="0" y="0"/>
            <wp:positionH relativeFrom="margin">
              <wp:align>left</wp:align>
            </wp:positionH>
            <wp:positionV relativeFrom="paragraph">
              <wp:posOffset>1697990</wp:posOffset>
            </wp:positionV>
            <wp:extent cx="2987675" cy="2107565"/>
            <wp:effectExtent l="0" t="0" r="3175" b="6985"/>
            <wp:wrapTight wrapText="bothSides">
              <wp:wrapPolygon edited="0">
                <wp:start x="0" y="0"/>
                <wp:lineTo x="0" y="21476"/>
                <wp:lineTo x="21485" y="21476"/>
                <wp:lineTo x="21485" y="0"/>
                <wp:lineTo x="0" y="0"/>
              </wp:wrapPolygon>
            </wp:wrapTight>
            <wp:docPr id="8" name="Chart 8">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9E674D">
        <w:rPr>
          <w:noProof/>
        </w:rPr>
        <mc:AlternateContent>
          <mc:Choice Requires="wps">
            <w:drawing>
              <wp:anchor distT="0" distB="0" distL="114300" distR="114300" simplePos="0" relativeHeight="251670528" behindDoc="1" locked="0" layoutInCell="1" allowOverlap="1" wp14:anchorId="0A536DEE" wp14:editId="3DAD03AD">
                <wp:simplePos x="0" y="0"/>
                <wp:positionH relativeFrom="column">
                  <wp:posOffset>3022298</wp:posOffset>
                </wp:positionH>
                <wp:positionV relativeFrom="paragraph">
                  <wp:posOffset>1462707</wp:posOffset>
                </wp:positionV>
                <wp:extent cx="2967990" cy="154305"/>
                <wp:effectExtent l="0" t="0" r="3810" b="0"/>
                <wp:wrapTight wrapText="bothSides">
                  <wp:wrapPolygon edited="0">
                    <wp:start x="0" y="0"/>
                    <wp:lineTo x="0" y="18667"/>
                    <wp:lineTo x="21489" y="18667"/>
                    <wp:lineTo x="21489"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967990" cy="154305"/>
                        </a:xfrm>
                        <a:prstGeom prst="rect">
                          <a:avLst/>
                        </a:prstGeom>
                        <a:solidFill>
                          <a:prstClr val="white"/>
                        </a:solidFill>
                        <a:ln>
                          <a:noFill/>
                        </a:ln>
                      </wps:spPr>
                      <wps:txbx>
                        <w:txbxContent>
                          <w:p w14:paraId="0562C2BB" w14:textId="77777777" w:rsidR="00636E80" w:rsidRPr="00940307" w:rsidRDefault="00636E80" w:rsidP="00467AC9">
                            <w:pPr>
                              <w:pStyle w:val="Caption"/>
                              <w:jc w:val="center"/>
                              <w:rPr>
                                <w:noProof/>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Sektorët me potencial të lartë ekonomik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36DEE" id="Text Box 18" o:spid="_x0000_s1060" type="#_x0000_t202" style="position:absolute;left:0;text-align:left;margin-left:238pt;margin-top:115.15pt;width:233.7pt;height:12.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" stroked="f">
                <v:textbox inset="0,0,0,0">
                  <w:txbxContent>
                    <w:p w14:paraId="0562C2BB" w14:textId="77777777" w:rsidR="00636E80" w:rsidRPr="00940307" w:rsidRDefault="00636E80" w:rsidP="00467AC9">
                      <w:pPr>
                        <w:pStyle w:val="Caption"/>
                        <w:jc w:val="center"/>
                        <w:rPr>
                          <w:noProof/>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Sektorët me potencial të lartë ekonomik</w:t>
                      </w:r>
                    </w:p>
                  </w:txbxContent>
                </v:textbox>
                <w10:wrap type="tight"/>
              </v:shape>
            </w:pict>
          </mc:Fallback>
        </mc:AlternateContent>
      </w:r>
      <w:r w:rsidRPr="009E674D">
        <w:rPr>
          <w:lang w:val="sq-AL"/>
        </w:rPr>
        <w:t>Një pyetje tjetër që u është parashtruar përfaqësuesve të komunave ka qenë se a i kanë të definuar sektorët/fushat me potencial të lartë të zhvillimit ekonomik. Sipas përgjigjeve të pranuara, 80.6% e komunave i kanë të definuar sektorët apo fushat me potencial të lartë ekonomik, për dallim prej 16.1% që nuk i kanë të definuar këta sektorë. Një përqindje e neglizhuese (3.2%) e të anketuarve nuk kishin informata në lidhje me këtë pyetje. Bujqësia me 67.7%, turizmi me 58.1% dhe industria përpunuese/prodhuese me 29% janë sektorët që dominojnë në përcaktimet</w:t>
      </w:r>
      <w:r w:rsidR="000E7872" w:rsidRPr="009E674D">
        <w:rPr>
          <w:lang w:val="sq-AL"/>
        </w:rPr>
        <w:t xml:space="preserve"> e</w:t>
      </w:r>
      <w:r w:rsidRPr="009E674D">
        <w:rPr>
          <w:lang w:val="sq-AL"/>
        </w:rPr>
        <w:t xml:space="preserve"> komunave rreth sektorëve me prioritet ekonomik.  </w:t>
      </w:r>
    </w:p>
    <w:p w14:paraId="6D4CE59A" w14:textId="2E7A8E15" w:rsidR="00467AC9" w:rsidRPr="009E674D" w:rsidRDefault="00467AC9" w:rsidP="00467AC9">
      <w:pPr>
        <w:jc w:val="both"/>
        <w:rPr>
          <w:lang w:val="sq-AL"/>
        </w:rPr>
      </w:pPr>
      <w:r w:rsidRPr="009E674D">
        <w:rPr>
          <w:noProof/>
        </w:rPr>
        <mc:AlternateContent>
          <mc:Choice Requires="wps">
            <w:drawing>
              <wp:anchor distT="0" distB="0" distL="114300" distR="114300" simplePos="0" relativeHeight="251669504" behindDoc="1" locked="0" layoutInCell="1" allowOverlap="1" wp14:anchorId="3172D0E0" wp14:editId="1CC3F0BA">
                <wp:simplePos x="0" y="0"/>
                <wp:positionH relativeFrom="margin">
                  <wp:align>left</wp:align>
                </wp:positionH>
                <wp:positionV relativeFrom="paragraph">
                  <wp:posOffset>47292</wp:posOffset>
                </wp:positionV>
                <wp:extent cx="2987675" cy="179705"/>
                <wp:effectExtent l="0" t="0" r="3175" b="0"/>
                <wp:wrapTight wrapText="bothSides">
                  <wp:wrapPolygon edited="0">
                    <wp:start x="0" y="0"/>
                    <wp:lineTo x="0" y="18318"/>
                    <wp:lineTo x="21485" y="18318"/>
                    <wp:lineTo x="214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987675" cy="179705"/>
                        </a:xfrm>
                        <a:prstGeom prst="rect">
                          <a:avLst/>
                        </a:prstGeom>
                        <a:solidFill>
                          <a:prstClr val="white"/>
                        </a:solidFill>
                        <a:ln>
                          <a:noFill/>
                        </a:ln>
                      </wps:spPr>
                      <wps:txbx>
                        <w:txbxContent>
                          <w:p w14:paraId="64A6A5E3" w14:textId="77777777" w:rsidR="00636E80" w:rsidRDefault="00636E80" w:rsidP="00467AC9">
                            <w:pPr>
                              <w:pStyle w:val="Caption"/>
                              <w:keepNext/>
                              <w:jc w:val="center"/>
                            </w:pPr>
                            <w:r>
                              <w:t xml:space="preserve">Figura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t>: Komunat me sektorë ekonomik të definuar</w:t>
                            </w:r>
                          </w:p>
                          <w:p w14:paraId="6836D5BF" w14:textId="77777777" w:rsidR="00636E80" w:rsidRPr="00635DAA" w:rsidRDefault="00636E80" w:rsidP="00467AC9">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2D0E0" id="Text Box 17" o:spid="_x0000_s1061" type="#_x0000_t202" style="position:absolute;left:0;text-align:left;margin-left:0;margin-top:3.7pt;width:235.25pt;height:14.15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" stroked="f">
                <v:textbox inset="0,0,0,0">
                  <w:txbxContent>
                    <w:p w14:paraId="64A6A5E3" w14:textId="77777777" w:rsidR="00636E80" w:rsidRDefault="00636E80" w:rsidP="00467AC9">
                      <w:pPr>
                        <w:pStyle w:val="Caption"/>
                        <w:keepNext/>
                        <w:jc w:val="center"/>
                      </w:pPr>
                      <w:r>
                        <w:t xml:space="preserve">Figura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t>: Komunat me sektorë ekonomik të definuar</w:t>
                      </w:r>
                    </w:p>
                    <w:p w14:paraId="6836D5BF" w14:textId="77777777" w:rsidR="00636E80" w:rsidRPr="00635DAA" w:rsidRDefault="00636E80" w:rsidP="00467AC9">
                      <w:pPr>
                        <w:pStyle w:val="Caption"/>
                        <w:rPr>
                          <w:noProof/>
                        </w:rPr>
                      </w:pPr>
                    </w:p>
                  </w:txbxContent>
                </v:textbox>
                <w10:wrap type="tight" anchorx="margin"/>
              </v:shape>
            </w:pict>
          </mc:Fallback>
        </mc:AlternateContent>
      </w:r>
      <w:r w:rsidRPr="009E674D">
        <w:rPr>
          <w:lang w:val="sq-AL"/>
        </w:rPr>
        <w:t>51.6% përfaqësuesve komunal të anketuar deklaruan se komunat e tyre kanë projekte me komuna tjera që lidhen me zhvillimin ekonomik. Projektet e përbashkëta janë kryesisht të natyrës infrastrukturore, si për shembull</w:t>
      </w:r>
      <w:r w:rsidR="00D21FE6" w:rsidRPr="009E674D">
        <w:rPr>
          <w:lang w:val="sq-AL"/>
        </w:rPr>
        <w:t>:</w:t>
      </w:r>
      <w:r w:rsidRPr="009E674D">
        <w:rPr>
          <w:lang w:val="sq-AL"/>
        </w:rPr>
        <w:t xml:space="preserve"> asfaltim i rrugëve, hapje dhe definim</w:t>
      </w:r>
      <w:r w:rsidR="000E7872" w:rsidRPr="009E674D">
        <w:rPr>
          <w:lang w:val="sq-AL"/>
        </w:rPr>
        <w:t xml:space="preserve"> i</w:t>
      </w:r>
      <w:r w:rsidRPr="009E674D">
        <w:rPr>
          <w:lang w:val="sq-AL"/>
        </w:rPr>
        <w:t xml:space="preserve"> shtigjeve për qëllime tu</w:t>
      </w:r>
      <w:r w:rsidR="00F84DDB">
        <w:rPr>
          <w:lang w:val="sq-AL"/>
        </w:rPr>
        <w:t>ristike, rregullim i shtratit t</w:t>
      </w:r>
      <w:r w:rsidR="00F84DDB" w:rsidRPr="009E674D">
        <w:rPr>
          <w:lang w:val="sq-AL"/>
        </w:rPr>
        <w:t>ë</w:t>
      </w:r>
      <w:r w:rsidRPr="009E674D">
        <w:rPr>
          <w:lang w:val="sq-AL"/>
        </w:rPr>
        <w:t xml:space="preserve"> lumit. </w:t>
      </w:r>
    </w:p>
    <w:p w14:paraId="3A112C6C" w14:textId="77777777" w:rsidR="00467AC9" w:rsidRPr="009E674D" w:rsidRDefault="00467AC9" w:rsidP="00467AC9">
      <w:pPr>
        <w:pStyle w:val="Caption"/>
        <w:keepNext/>
        <w:jc w:val="center"/>
        <w:rPr>
          <w:lang w:val="sq-AL"/>
        </w:rPr>
      </w:pPr>
      <w:r w:rsidRPr="009E674D">
        <w:rPr>
          <w:lang w:val="sq-AL"/>
        </w:rPr>
        <w:t xml:space="preserve">Figura </w:t>
      </w:r>
      <w:r w:rsidR="00154D4F" w:rsidRPr="009E674D">
        <w:rPr>
          <w:lang w:val="sq-AL"/>
        </w:rPr>
        <w:fldChar w:fldCharType="begin"/>
      </w:r>
      <w:r w:rsidR="00154D4F" w:rsidRPr="009E674D">
        <w:rPr>
          <w:lang w:val="sq-AL"/>
        </w:rPr>
        <w:instrText xml:space="preserve"> SEQ Figure \* ARABIC </w:instrText>
      </w:r>
      <w:r w:rsidR="00154D4F" w:rsidRPr="009E674D">
        <w:rPr>
          <w:lang w:val="sq-AL"/>
        </w:rPr>
        <w:fldChar w:fldCharType="separate"/>
      </w:r>
      <w:r w:rsidR="0071258E" w:rsidRPr="009E674D">
        <w:rPr>
          <w:noProof/>
          <w:lang w:val="sq-AL"/>
        </w:rPr>
        <w:t>6</w:t>
      </w:r>
      <w:r w:rsidR="00154D4F" w:rsidRPr="009E674D">
        <w:rPr>
          <w:lang w:val="sq-AL"/>
        </w:rPr>
        <w:fldChar w:fldCharType="end"/>
      </w:r>
      <w:r w:rsidRPr="009E674D">
        <w:rPr>
          <w:lang w:val="sq-AL"/>
        </w:rPr>
        <w:t>: Komunat me projekte ndër</w:t>
      </w:r>
      <w:r w:rsidR="00D21FE6" w:rsidRPr="009E674D">
        <w:rPr>
          <w:lang w:val="sq-AL"/>
        </w:rPr>
        <w:t>-</w:t>
      </w:r>
      <w:r w:rsidRPr="009E674D">
        <w:rPr>
          <w:lang w:val="sq-AL"/>
        </w:rPr>
        <w:t>komunale</w:t>
      </w:r>
    </w:p>
    <w:p w14:paraId="3FE1FF3B" w14:textId="77777777" w:rsidR="00467AC9" w:rsidRPr="009E674D" w:rsidRDefault="00467AC9" w:rsidP="00467AC9">
      <w:pPr>
        <w:jc w:val="center"/>
        <w:rPr>
          <w:lang w:val="sq-AL"/>
        </w:rPr>
      </w:pPr>
      <w:r w:rsidRPr="009E674D">
        <w:rPr>
          <w:noProof/>
        </w:rPr>
        <w:drawing>
          <wp:inline distT="0" distB="0" distL="0" distR="0" wp14:anchorId="23F6D0C3" wp14:editId="4EB37D5D">
            <wp:extent cx="3261360" cy="2179320"/>
            <wp:effectExtent l="0" t="0" r="15240" b="11430"/>
            <wp:docPr id="19" name="Chart 19">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0945A9" w14:textId="6879D568" w:rsidR="00467AC9" w:rsidRPr="009E674D" w:rsidRDefault="00467AC9" w:rsidP="00467AC9">
      <w:pPr>
        <w:jc w:val="both"/>
        <w:rPr>
          <w:lang w:val="sq-AL"/>
        </w:rPr>
      </w:pPr>
      <w:r w:rsidRPr="009E674D">
        <w:rPr>
          <w:lang w:val="sq-AL"/>
        </w:rPr>
        <w:t xml:space="preserve">Në pyetjen se a ka pasur komuna përkatëse investime me efekt të konsiderueshëm ne zhvillim dhe krijim të vendeve të punës në tri vitet e fundit, 61.3% janë të anketuarve janë përgjigjur me po, ndërsa 32.2% </w:t>
      </w:r>
      <w:r w:rsidRPr="009E674D">
        <w:rPr>
          <w:lang w:val="sq-AL"/>
        </w:rPr>
        <w:lastRenderedPageBreak/>
        <w:t>me jo; pjesa e mbetur (6.5%) nuk kishin informacion për këtë. Ndonëse në pyetjen e parashtruar nuk ishte e përcaktuar se a është fjala për investime publike apo private, shumica e të anketuarve si duket kanë menduar që është fjala vetëm për investime publike. Kjo</w:t>
      </w:r>
      <w:r w:rsidR="00AE067C">
        <w:rPr>
          <w:lang w:val="sq-AL"/>
        </w:rPr>
        <w:t>,</w:t>
      </w:r>
      <w:r w:rsidRPr="009E674D">
        <w:rPr>
          <w:lang w:val="sq-AL"/>
        </w:rPr>
        <w:t xml:space="preserve"> meqë shumica e investimeve që përmenden janë investime infrastrukturore (p.sh. Infrastrukturë të zona ekonomike/industriale). </w:t>
      </w:r>
    </w:p>
    <w:p w14:paraId="6AC24C51" w14:textId="77777777" w:rsidR="00467AC9" w:rsidRPr="009E674D" w:rsidRDefault="00467AC9" w:rsidP="00467AC9">
      <w:pPr>
        <w:pStyle w:val="Caption"/>
        <w:keepNext/>
        <w:jc w:val="center"/>
        <w:rPr>
          <w:lang w:val="sq-AL"/>
        </w:rPr>
      </w:pPr>
      <w:r w:rsidRPr="009E674D">
        <w:rPr>
          <w:lang w:val="sq-AL"/>
        </w:rPr>
        <w:t xml:space="preserve">Figure </w:t>
      </w:r>
      <w:r w:rsidR="00154D4F" w:rsidRPr="009E674D">
        <w:rPr>
          <w:lang w:val="sq-AL"/>
        </w:rPr>
        <w:fldChar w:fldCharType="begin"/>
      </w:r>
      <w:r w:rsidR="00154D4F" w:rsidRPr="009E674D">
        <w:rPr>
          <w:lang w:val="sq-AL"/>
        </w:rPr>
        <w:instrText xml:space="preserve"> SEQ Figure \* ARABIC </w:instrText>
      </w:r>
      <w:r w:rsidR="00154D4F" w:rsidRPr="009E674D">
        <w:rPr>
          <w:lang w:val="sq-AL"/>
        </w:rPr>
        <w:fldChar w:fldCharType="separate"/>
      </w:r>
      <w:r w:rsidR="0071258E" w:rsidRPr="009E674D">
        <w:rPr>
          <w:noProof/>
          <w:lang w:val="sq-AL"/>
        </w:rPr>
        <w:t>7</w:t>
      </w:r>
      <w:r w:rsidR="00154D4F" w:rsidRPr="009E674D">
        <w:rPr>
          <w:lang w:val="sq-AL"/>
        </w:rPr>
        <w:fldChar w:fldCharType="end"/>
      </w:r>
      <w:r w:rsidRPr="009E674D">
        <w:rPr>
          <w:lang w:val="sq-AL"/>
        </w:rPr>
        <w:t>: P</w:t>
      </w:r>
      <w:r w:rsidR="00D21FE6" w:rsidRPr="009E674D">
        <w:rPr>
          <w:lang w:val="sq-AL"/>
        </w:rPr>
        <w:t>ë</w:t>
      </w:r>
      <w:r w:rsidRPr="009E674D">
        <w:rPr>
          <w:lang w:val="sq-AL"/>
        </w:rPr>
        <w:t>rqindja e komunave q</w:t>
      </w:r>
      <w:r w:rsidR="00D21FE6" w:rsidRPr="009E674D">
        <w:rPr>
          <w:lang w:val="sq-AL"/>
        </w:rPr>
        <w:t>ë</w:t>
      </w:r>
      <w:r w:rsidRPr="009E674D">
        <w:rPr>
          <w:lang w:val="sq-AL"/>
        </w:rPr>
        <w:t xml:space="preserve"> kan</w:t>
      </w:r>
      <w:r w:rsidR="00D21FE6" w:rsidRPr="009E674D">
        <w:rPr>
          <w:lang w:val="sq-AL"/>
        </w:rPr>
        <w:t>ë</w:t>
      </w:r>
      <w:r w:rsidRPr="009E674D">
        <w:rPr>
          <w:lang w:val="sq-AL"/>
        </w:rPr>
        <w:t xml:space="preserve"> pasur investime me efekt t</w:t>
      </w:r>
      <w:r w:rsidR="00D21FE6" w:rsidRPr="009E674D">
        <w:rPr>
          <w:lang w:val="sq-AL"/>
        </w:rPr>
        <w:t>ë</w:t>
      </w:r>
      <w:r w:rsidRPr="009E674D">
        <w:rPr>
          <w:lang w:val="sq-AL"/>
        </w:rPr>
        <w:t xml:space="preserve"> konsideruesh</w:t>
      </w:r>
      <w:r w:rsidR="00D21FE6" w:rsidRPr="009E674D">
        <w:rPr>
          <w:lang w:val="sq-AL"/>
        </w:rPr>
        <w:t>ë</w:t>
      </w:r>
      <w:r w:rsidRPr="009E674D">
        <w:rPr>
          <w:lang w:val="sq-AL"/>
        </w:rPr>
        <w:t>m n</w:t>
      </w:r>
      <w:r w:rsidR="00D21FE6" w:rsidRPr="009E674D">
        <w:rPr>
          <w:lang w:val="sq-AL"/>
        </w:rPr>
        <w:t>ë</w:t>
      </w:r>
      <w:r w:rsidRPr="009E674D">
        <w:rPr>
          <w:lang w:val="sq-AL"/>
        </w:rPr>
        <w:t xml:space="preserve"> ekonomi n</w:t>
      </w:r>
      <w:r w:rsidR="00D21FE6" w:rsidRPr="009E674D">
        <w:rPr>
          <w:lang w:val="sq-AL"/>
        </w:rPr>
        <w:t>ë</w:t>
      </w:r>
      <w:r w:rsidRPr="009E674D">
        <w:rPr>
          <w:lang w:val="sq-AL"/>
        </w:rPr>
        <w:t xml:space="preserve"> tri vitet e fundit</w:t>
      </w:r>
    </w:p>
    <w:p w14:paraId="3AF6BD28" w14:textId="77777777" w:rsidR="00467AC9" w:rsidRPr="009E674D" w:rsidRDefault="00467AC9" w:rsidP="00467AC9">
      <w:pPr>
        <w:jc w:val="center"/>
        <w:rPr>
          <w:lang w:val="sq-AL"/>
        </w:rPr>
      </w:pPr>
      <w:r w:rsidRPr="009E674D">
        <w:rPr>
          <w:noProof/>
        </w:rPr>
        <w:drawing>
          <wp:inline distT="0" distB="0" distL="0" distR="0" wp14:anchorId="56DD3F49" wp14:editId="00D1BFF2">
            <wp:extent cx="3592354" cy="2035969"/>
            <wp:effectExtent l="0" t="0" r="8255" b="2540"/>
            <wp:docPr id="2" name="Chart 2">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C3796E" w14:textId="24FCEE38" w:rsidR="00467AC9" w:rsidRPr="009E674D" w:rsidRDefault="00467AC9" w:rsidP="00467AC9">
      <w:pPr>
        <w:jc w:val="both"/>
        <w:rPr>
          <w:lang w:val="sq-AL"/>
        </w:rPr>
      </w:pPr>
      <w:r w:rsidRPr="009E674D">
        <w:rPr>
          <w:lang w:val="sq-AL"/>
        </w:rPr>
        <w:t>Të dhënat tregojnë se 67.7% e të anketuarve konsiderojnë se kapacitet e komunës për hartimin e projekteve për tërheqje të fondeve nga donatorët janë të kënaqshme, 19.4% të kënaqshme dhe 12.9% të dobëta. Kjo e dhënë duhet të interpretohet me kujdes, duke qenë se përfaqësuesit e komunave mund të kenë qenë subjektiv</w:t>
      </w:r>
      <w:r w:rsidR="00AE067C">
        <w:rPr>
          <w:lang w:val="sq-AL"/>
        </w:rPr>
        <w:t>ë</w:t>
      </w:r>
      <w:r w:rsidRPr="009E674D">
        <w:rPr>
          <w:lang w:val="sq-AL"/>
        </w:rPr>
        <w:t xml:space="preserve"> për vlerësimin e kapaciteteve të tyre. </w:t>
      </w:r>
    </w:p>
    <w:p w14:paraId="341638E5" w14:textId="77777777" w:rsidR="00467AC9" w:rsidRPr="009E674D" w:rsidRDefault="00467AC9" w:rsidP="00467AC9">
      <w:pPr>
        <w:pStyle w:val="Caption"/>
        <w:keepNext/>
        <w:jc w:val="center"/>
        <w:rPr>
          <w:lang w:val="sq-AL"/>
        </w:rPr>
      </w:pPr>
      <w:r w:rsidRPr="009E674D">
        <w:rPr>
          <w:lang w:val="sq-AL"/>
        </w:rPr>
        <w:t xml:space="preserve">Figure </w:t>
      </w:r>
      <w:r w:rsidR="00154D4F" w:rsidRPr="009E674D">
        <w:rPr>
          <w:lang w:val="sq-AL"/>
        </w:rPr>
        <w:fldChar w:fldCharType="begin"/>
      </w:r>
      <w:r w:rsidR="00154D4F" w:rsidRPr="009E674D">
        <w:rPr>
          <w:lang w:val="sq-AL"/>
        </w:rPr>
        <w:instrText xml:space="preserve"> SEQ Figure \* ARABIC </w:instrText>
      </w:r>
      <w:r w:rsidR="00154D4F" w:rsidRPr="009E674D">
        <w:rPr>
          <w:lang w:val="sq-AL"/>
        </w:rPr>
        <w:fldChar w:fldCharType="separate"/>
      </w:r>
      <w:r w:rsidR="0071258E" w:rsidRPr="009E674D">
        <w:rPr>
          <w:noProof/>
          <w:lang w:val="sq-AL"/>
        </w:rPr>
        <w:t>8</w:t>
      </w:r>
      <w:r w:rsidR="00154D4F" w:rsidRPr="009E674D">
        <w:rPr>
          <w:lang w:val="sq-AL"/>
        </w:rPr>
        <w:fldChar w:fldCharType="end"/>
      </w:r>
      <w:r w:rsidRPr="009E674D">
        <w:rPr>
          <w:lang w:val="sq-AL"/>
        </w:rPr>
        <w:t>: Vlerësimi për kapacitetet e komunave për të hartuar projekte për tërheqje të fondeve nga donatorët</w:t>
      </w:r>
    </w:p>
    <w:p w14:paraId="53916B0D" w14:textId="77777777" w:rsidR="00467AC9" w:rsidRPr="009E674D" w:rsidRDefault="00467AC9" w:rsidP="00467AC9">
      <w:pPr>
        <w:jc w:val="center"/>
        <w:rPr>
          <w:lang w:val="sq-AL"/>
        </w:rPr>
      </w:pPr>
      <w:r w:rsidRPr="009E674D">
        <w:rPr>
          <w:noProof/>
        </w:rPr>
        <w:drawing>
          <wp:inline distT="0" distB="0" distL="0" distR="0" wp14:anchorId="09BD5406" wp14:editId="3F4D2AFF">
            <wp:extent cx="3596640" cy="2185852"/>
            <wp:effectExtent l="0" t="0" r="3810" b="5080"/>
            <wp:docPr id="9" name="Chart 9">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C4C4F7" w14:textId="164BA25A" w:rsidR="00467AC9" w:rsidRPr="009E674D" w:rsidRDefault="00467AC9" w:rsidP="00467AC9">
      <w:pPr>
        <w:jc w:val="both"/>
        <w:rPr>
          <w:lang w:val="sq-AL"/>
        </w:rPr>
      </w:pPr>
      <w:r w:rsidRPr="009E674D">
        <w:rPr>
          <w:lang w:val="sq-AL"/>
        </w:rPr>
        <w:t>Sipas përfaqësuesve komunal të anketuar, 90.2% e komunave e kanë bërë inventarizimin e pronës komunale, ndërsa 6.5% nuk e kanë bërë këtë. Përqindja e mbetur është e papërcaktu</w:t>
      </w:r>
      <w:r w:rsidR="000E7872" w:rsidRPr="009E674D">
        <w:rPr>
          <w:lang w:val="sq-AL"/>
        </w:rPr>
        <w:t>ar</w:t>
      </w:r>
      <w:r w:rsidR="00AE067C">
        <w:rPr>
          <w:lang w:val="sq-AL"/>
        </w:rPr>
        <w:t>,</w:t>
      </w:r>
      <w:r w:rsidR="000E7872" w:rsidRPr="009E674D">
        <w:rPr>
          <w:lang w:val="sq-AL"/>
        </w:rPr>
        <w:t xml:space="preserve"> sepse i anketuari/e anketuar</w:t>
      </w:r>
      <w:r w:rsidRPr="009E674D">
        <w:rPr>
          <w:lang w:val="sq-AL"/>
        </w:rPr>
        <w:t>a nuk ishte në dijeni. Në 75% të rasteve, bazuar në të anketuarit, lista e pronave komunale është e qasshme për publikun, ndërsa në 10.7%  nuk është e qasshme. Pjesa e mbetur është e papërcaktuar, sepse i anke</w:t>
      </w:r>
      <w:r w:rsidR="000E7872" w:rsidRPr="009E674D">
        <w:rPr>
          <w:lang w:val="sq-AL"/>
        </w:rPr>
        <w:t xml:space="preserve">tuari/e anketuara nuk e dinte. </w:t>
      </w:r>
      <w:r w:rsidRPr="009E674D">
        <w:rPr>
          <w:lang w:val="sq-AL"/>
        </w:rPr>
        <w:t>Përgjigjet rreth kësaj teme janë dukshëm më pozitive krahasuar me indikatorin e dhënë në raportin e performancës së komunave, ku tregohet se vetëm 44.2%  komunave e kanë përgatitur dhe publikuar listën e pronave publike të planifikuara për dhënie në shfrytëzim.</w:t>
      </w:r>
    </w:p>
    <w:p w14:paraId="73C4F924" w14:textId="265C8631" w:rsidR="00467AC9" w:rsidRPr="009E674D" w:rsidRDefault="00467AC9" w:rsidP="00467AC9">
      <w:pPr>
        <w:jc w:val="both"/>
        <w:rPr>
          <w:lang w:val="sq-AL"/>
        </w:rPr>
      </w:pPr>
      <w:r w:rsidRPr="009E674D">
        <w:rPr>
          <w:noProof/>
        </w:rPr>
        <w:lastRenderedPageBreak/>
        <w:drawing>
          <wp:anchor distT="0" distB="0" distL="114300" distR="114300" simplePos="0" relativeHeight="251671552" behindDoc="1" locked="0" layoutInCell="1" allowOverlap="1" wp14:anchorId="0E773C30" wp14:editId="0F4CBA6F">
            <wp:simplePos x="0" y="0"/>
            <wp:positionH relativeFrom="column">
              <wp:posOffset>46990</wp:posOffset>
            </wp:positionH>
            <wp:positionV relativeFrom="paragraph">
              <wp:posOffset>372745</wp:posOffset>
            </wp:positionV>
            <wp:extent cx="2907030" cy="2407920"/>
            <wp:effectExtent l="0" t="0" r="7620" b="11430"/>
            <wp:wrapTight wrapText="bothSides">
              <wp:wrapPolygon edited="0">
                <wp:start x="0" y="0"/>
                <wp:lineTo x="0" y="21532"/>
                <wp:lineTo x="21515" y="21532"/>
                <wp:lineTo x="21515" y="0"/>
                <wp:lineTo x="0" y="0"/>
              </wp:wrapPolygon>
            </wp:wrapTight>
            <wp:docPr id="10" name="Chart 10">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9E674D">
        <w:rPr>
          <w:noProof/>
        </w:rPr>
        <w:drawing>
          <wp:anchor distT="0" distB="0" distL="114300" distR="114300" simplePos="0" relativeHeight="251672576" behindDoc="1" locked="0" layoutInCell="1" allowOverlap="1" wp14:anchorId="0D98E242" wp14:editId="3D2CBEB7">
            <wp:simplePos x="0" y="0"/>
            <wp:positionH relativeFrom="margin">
              <wp:posOffset>3048000</wp:posOffset>
            </wp:positionH>
            <wp:positionV relativeFrom="paragraph">
              <wp:posOffset>410845</wp:posOffset>
            </wp:positionV>
            <wp:extent cx="2799715" cy="2390775"/>
            <wp:effectExtent l="0" t="0" r="635" b="9525"/>
            <wp:wrapTight wrapText="bothSides">
              <wp:wrapPolygon edited="0">
                <wp:start x="0" y="0"/>
                <wp:lineTo x="0" y="21514"/>
                <wp:lineTo x="21458" y="21514"/>
                <wp:lineTo x="21458" y="0"/>
                <wp:lineTo x="0" y="0"/>
              </wp:wrapPolygon>
            </wp:wrapTight>
            <wp:docPr id="11" name="Chart 11">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9E674D">
        <w:rPr>
          <w:noProof/>
        </w:rPr>
        <mc:AlternateContent>
          <mc:Choice Requires="wps">
            <w:drawing>
              <wp:anchor distT="0" distB="0" distL="114300" distR="114300" simplePos="0" relativeHeight="251674624" behindDoc="1" locked="0" layoutInCell="1" allowOverlap="1" wp14:anchorId="789D49EB" wp14:editId="4529BB99">
                <wp:simplePos x="0" y="0"/>
                <wp:positionH relativeFrom="column">
                  <wp:posOffset>2987040</wp:posOffset>
                </wp:positionH>
                <wp:positionV relativeFrom="paragraph">
                  <wp:posOffset>104140</wp:posOffset>
                </wp:positionV>
                <wp:extent cx="2799715" cy="266700"/>
                <wp:effectExtent l="0" t="0" r="635" b="0"/>
                <wp:wrapTight wrapText="bothSides">
                  <wp:wrapPolygon edited="0">
                    <wp:start x="0" y="0"/>
                    <wp:lineTo x="0" y="20057"/>
                    <wp:lineTo x="21458" y="20057"/>
                    <wp:lineTo x="2145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799715" cy="266700"/>
                        </a:xfrm>
                        <a:prstGeom prst="rect">
                          <a:avLst/>
                        </a:prstGeom>
                        <a:solidFill>
                          <a:prstClr val="white"/>
                        </a:solidFill>
                        <a:ln>
                          <a:noFill/>
                        </a:ln>
                      </wps:spPr>
                      <wps:txbx>
                        <w:txbxContent>
                          <w:p w14:paraId="5CC379B6" w14:textId="77777777" w:rsidR="00636E80" w:rsidRPr="00464A6E"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9</w:t>
                            </w:r>
                            <w:r>
                              <w:rPr>
                                <w:noProof/>
                              </w:rPr>
                              <w:fldChar w:fldCharType="end"/>
                            </w:r>
                            <w:r>
                              <w:t xml:space="preserve">: Komunat me regjistër të pronës komunale të publikuar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D49EB" id="Text Box 16" o:spid="_x0000_s1062" type="#_x0000_t202" style="position:absolute;left:0;text-align:left;margin-left:235.2pt;margin-top:8.2pt;width:220.45pt;height:21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" stroked="f">
                <v:textbox inset="0,0,0,0">
                  <w:txbxContent>
                    <w:p w14:paraId="5CC379B6" w14:textId="77777777" w:rsidR="00636E80" w:rsidRPr="00464A6E"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9</w:t>
                      </w:r>
                      <w:r>
                        <w:rPr>
                          <w:noProof/>
                        </w:rPr>
                        <w:fldChar w:fldCharType="end"/>
                      </w:r>
                      <w:r>
                        <w:t xml:space="preserve">: Komunat me regjistër të pronës komunale të publikuar </w:t>
                      </w:r>
                    </w:p>
                  </w:txbxContent>
                </v:textbox>
                <w10:wrap type="tight"/>
              </v:shape>
            </w:pict>
          </mc:Fallback>
        </mc:AlternateContent>
      </w:r>
      <w:r w:rsidRPr="009E674D">
        <w:rPr>
          <w:noProof/>
        </w:rPr>
        <mc:AlternateContent>
          <mc:Choice Requires="wps">
            <w:drawing>
              <wp:anchor distT="0" distB="0" distL="114300" distR="114300" simplePos="0" relativeHeight="251673600" behindDoc="1" locked="0" layoutInCell="1" allowOverlap="1" wp14:anchorId="6D0EC6E7" wp14:editId="6AF18274">
                <wp:simplePos x="0" y="0"/>
                <wp:positionH relativeFrom="margin">
                  <wp:posOffset>29210</wp:posOffset>
                </wp:positionH>
                <wp:positionV relativeFrom="paragraph">
                  <wp:posOffset>145415</wp:posOffset>
                </wp:positionV>
                <wp:extent cx="2873375" cy="195580"/>
                <wp:effectExtent l="0" t="0" r="3175" b="0"/>
                <wp:wrapTight wrapText="bothSides">
                  <wp:wrapPolygon edited="0">
                    <wp:start x="0" y="0"/>
                    <wp:lineTo x="0" y="18935"/>
                    <wp:lineTo x="21481" y="18935"/>
                    <wp:lineTo x="21481"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873375" cy="195580"/>
                        </a:xfrm>
                        <a:prstGeom prst="rect">
                          <a:avLst/>
                        </a:prstGeom>
                        <a:solidFill>
                          <a:prstClr val="white"/>
                        </a:solidFill>
                        <a:ln>
                          <a:noFill/>
                        </a:ln>
                      </wps:spPr>
                      <wps:txbx>
                        <w:txbxContent>
                          <w:p w14:paraId="5D44491C" w14:textId="77777777" w:rsidR="00636E80" w:rsidRPr="00E96418"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10</w:t>
                            </w:r>
                            <w:r>
                              <w:rPr>
                                <w:noProof/>
                              </w:rPr>
                              <w:fldChar w:fldCharType="end"/>
                            </w:r>
                            <w:r>
                              <w:t>: Komunat me regjistër të pronës komunale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EC6E7" id="Text Box 12" o:spid="_x0000_s1063" type="#_x0000_t202" style="position:absolute;left:0;text-align:left;margin-left:2.3pt;margin-top:11.45pt;width:226.25pt;height:15.4pt;z-index:-251642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" stroked="f">
                <v:textbox inset="0,0,0,0">
                  <w:txbxContent>
                    <w:p w14:paraId="5D44491C" w14:textId="77777777" w:rsidR="00636E80" w:rsidRPr="00E96418" w:rsidRDefault="00636E80" w:rsidP="00467AC9">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10</w:t>
                      </w:r>
                      <w:r>
                        <w:rPr>
                          <w:noProof/>
                        </w:rPr>
                        <w:fldChar w:fldCharType="end"/>
                      </w:r>
                      <w:r>
                        <w:t>: Komunat me regjistër të pronës komunale</w:t>
                      </w:r>
                    </w:p>
                  </w:txbxContent>
                </v:textbox>
                <w10:wrap type="tight" anchorx="margin"/>
              </v:shape>
            </w:pict>
          </mc:Fallback>
        </mc:AlternateContent>
      </w:r>
      <w:r w:rsidRPr="009E674D">
        <w:rPr>
          <w:lang w:val="sq-AL"/>
        </w:rPr>
        <w:t xml:space="preserve">Të anketuarit nga komuna janë ftuar që t’i tregojnë pengesat kryesore që pengojnë zhvillimin ekonomik lokal. Vështirësitë në gjetjen e punëtoreve (39%), niveli i ulët i investimeve (32%) dhe buxheti i pamjaftueshëm komunal (32%) janë pengesat më të përmendura nga të anketuarit dhe kësisoj i prijnë listës. Të tjera pengesa që kanë frekuencë relativisht të lartë janë ndihma e pamjaftueshme nga niveli qendror (26%), përkrahja e kufizuar e bujqësisë, industrisë dhe NVM-ve (19%) dhe problemet që lidhen me shfrytëzimin e pronës (16%). Për më shumë, shihni Figurën 11. </w:t>
      </w:r>
    </w:p>
    <w:p w14:paraId="6696C9DE" w14:textId="77777777" w:rsidR="00467AC9" w:rsidRPr="009E674D" w:rsidRDefault="00467AC9" w:rsidP="00802F2E">
      <w:pPr>
        <w:pStyle w:val="Caption"/>
        <w:keepNext/>
        <w:jc w:val="center"/>
        <w:rPr>
          <w:lang w:val="sq-AL"/>
        </w:rPr>
      </w:pPr>
      <w:r w:rsidRPr="009E674D">
        <w:rPr>
          <w:lang w:val="sq-AL"/>
        </w:rPr>
        <w:t xml:space="preserve">Figura </w:t>
      </w:r>
      <w:r w:rsidR="00154D4F" w:rsidRPr="009E674D">
        <w:rPr>
          <w:lang w:val="sq-AL"/>
        </w:rPr>
        <w:fldChar w:fldCharType="begin"/>
      </w:r>
      <w:r w:rsidR="00154D4F" w:rsidRPr="009E674D">
        <w:rPr>
          <w:lang w:val="sq-AL"/>
        </w:rPr>
        <w:instrText xml:space="preserve"> SEQ Figure \* ARABIC </w:instrText>
      </w:r>
      <w:r w:rsidR="00154D4F" w:rsidRPr="009E674D">
        <w:rPr>
          <w:lang w:val="sq-AL"/>
        </w:rPr>
        <w:fldChar w:fldCharType="separate"/>
      </w:r>
      <w:r w:rsidR="0071258E" w:rsidRPr="009E674D">
        <w:rPr>
          <w:noProof/>
          <w:lang w:val="sq-AL"/>
        </w:rPr>
        <w:t>11</w:t>
      </w:r>
      <w:r w:rsidR="00154D4F" w:rsidRPr="009E674D">
        <w:rPr>
          <w:lang w:val="sq-AL"/>
        </w:rPr>
        <w:fldChar w:fldCharType="end"/>
      </w:r>
      <w:r w:rsidRPr="009E674D">
        <w:rPr>
          <w:lang w:val="sq-AL"/>
        </w:rPr>
        <w:t>: Pengesat kryesore të identifikuara për zhvillim ekonomik lokal</w:t>
      </w:r>
    </w:p>
    <w:p w14:paraId="41CB4A27" w14:textId="77777777" w:rsidR="00467AC9" w:rsidRPr="009E674D" w:rsidRDefault="00467AC9" w:rsidP="00467AC9">
      <w:pPr>
        <w:jc w:val="center"/>
        <w:rPr>
          <w:lang w:val="sq-AL"/>
        </w:rPr>
      </w:pPr>
      <w:r w:rsidRPr="009E674D">
        <w:rPr>
          <w:noProof/>
        </w:rPr>
        <w:drawing>
          <wp:inline distT="0" distB="0" distL="0" distR="0" wp14:anchorId="4E2683C4" wp14:editId="3699D823">
            <wp:extent cx="5909310" cy="2761861"/>
            <wp:effectExtent l="0" t="0" r="15240" b="63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E8815A" w14:textId="28F04A6E" w:rsidR="00467AC9" w:rsidRPr="009E674D" w:rsidRDefault="00467AC9" w:rsidP="00467AC9">
      <w:pPr>
        <w:jc w:val="both"/>
        <w:rPr>
          <w:lang w:val="sq-AL"/>
        </w:rPr>
      </w:pPr>
      <w:r w:rsidRPr="009E674D">
        <w:rPr>
          <w:lang w:val="sq-AL"/>
        </w:rPr>
        <w:t xml:space="preserve">Tutje, një listë e barrierave potenciale të identifikuara paraprakisht është ndare me të anketuarit dhe të njëjtit janë ftuar që ta bëjnë një vlerësim për secilën prej tyre nga 1 deri në 5, ku 1 nënkupton që nuk është fare barrierë, ndërsa 5 barrierë shumë e madhe. Sipas mesatareve të gjeneruara, paqartësia në mes të kompetencave të nivelit qendror dhe atij lokal dhe qasja e kufizuar në financa me nga 3.06 secila, </w:t>
      </w:r>
      <w:r w:rsidRPr="009E674D">
        <w:rPr>
          <w:lang w:val="sq-AL"/>
        </w:rPr>
        <w:lastRenderedPageBreak/>
        <w:t>mungesa e përkrahjes për sektorët me potencial të rritjes me 3.03, qëndru</w:t>
      </w:r>
      <w:r w:rsidR="00D21FE6" w:rsidRPr="009E674D">
        <w:rPr>
          <w:lang w:val="sq-AL"/>
        </w:rPr>
        <w:t>eshmëria financiare e komunave me 2.94</w:t>
      </w:r>
      <w:r w:rsidRPr="009E674D">
        <w:rPr>
          <w:lang w:val="sq-AL"/>
        </w:rPr>
        <w:t xml:space="preserve"> dolën të jenë barrierat më serioze. Barrierat tjera janë të paraqitura në Figurën 12. </w:t>
      </w:r>
    </w:p>
    <w:p w14:paraId="28B7229A" w14:textId="77777777" w:rsidR="00467AC9" w:rsidRPr="009E674D" w:rsidRDefault="00467AC9" w:rsidP="00467AC9">
      <w:pPr>
        <w:pStyle w:val="Caption"/>
        <w:keepNext/>
        <w:jc w:val="center"/>
        <w:rPr>
          <w:lang w:val="sq-AL"/>
        </w:rPr>
      </w:pPr>
      <w:r w:rsidRPr="009E674D">
        <w:rPr>
          <w:lang w:val="sq-AL"/>
        </w:rPr>
        <w:t xml:space="preserve">Figura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12</w:t>
      </w:r>
      <w:r w:rsidR="00010B8B" w:rsidRPr="009E674D">
        <w:rPr>
          <w:noProof/>
          <w:lang w:val="sq-AL"/>
        </w:rPr>
        <w:fldChar w:fldCharType="end"/>
      </w:r>
      <w:r w:rsidRPr="009E674D">
        <w:rPr>
          <w:lang w:val="sq-AL"/>
        </w:rPr>
        <w:t>: Vlerësimi dhe rangimi i barrierave potenciale</w:t>
      </w:r>
    </w:p>
    <w:p w14:paraId="14B73DAC" w14:textId="77777777" w:rsidR="00467AC9" w:rsidRPr="009E674D" w:rsidRDefault="00467AC9" w:rsidP="00467AC9">
      <w:pPr>
        <w:jc w:val="center"/>
        <w:rPr>
          <w:lang w:val="sq-AL"/>
        </w:rPr>
      </w:pPr>
      <w:r w:rsidRPr="009E674D">
        <w:rPr>
          <w:noProof/>
        </w:rPr>
        <w:drawing>
          <wp:inline distT="0" distB="0" distL="0" distR="0" wp14:anchorId="470579B3" wp14:editId="381AB0B4">
            <wp:extent cx="5921375" cy="2761861"/>
            <wp:effectExtent l="0" t="0" r="3175" b="6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C5AD26" w14:textId="77777777" w:rsidR="00467AC9" w:rsidRPr="009E674D" w:rsidRDefault="00467AC9" w:rsidP="00467AC9">
      <w:pPr>
        <w:jc w:val="both"/>
        <w:rPr>
          <w:lang w:val="sq-AL"/>
        </w:rPr>
      </w:pPr>
      <w:r w:rsidRPr="009E674D">
        <w:rPr>
          <w:lang w:val="sq-AL"/>
        </w:rPr>
        <w:t xml:space="preserve">Përgjigjet e dhëna nga të anketuarit në lidhje me atë se çka duhet të bëjnë komunat për ta përshpejtuar zhvillimin ekonomik lokal deri në 2030-ën, janë grupuar në mënyrë që të identifikohen propozimet më të rëndësishme. Sipas përpunimit të bërë, krijimi dhe funksionalizimi i zonave ekonomike (39%), rregullimi i infrastrukturës së përgjithshme (29%), mbështetja teknike dhe financiare e NVM-ve (29%), dhe ngritja e shkathtësive tek fuqia punëtore (26%) janë propozimet kryesore nga të anketuarit. Propozimet tjera janë të renditura në Figurën 13. </w:t>
      </w:r>
    </w:p>
    <w:p w14:paraId="3E907773" w14:textId="77777777" w:rsidR="00467AC9" w:rsidRPr="009E674D" w:rsidRDefault="00467AC9" w:rsidP="00467AC9">
      <w:pPr>
        <w:pStyle w:val="Caption"/>
        <w:keepNext/>
        <w:jc w:val="center"/>
        <w:rPr>
          <w:lang w:val="sq-AL"/>
        </w:rPr>
      </w:pPr>
      <w:r w:rsidRPr="009E674D">
        <w:rPr>
          <w:lang w:val="sq-AL"/>
        </w:rPr>
        <w:t xml:space="preserve">Figura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13</w:t>
      </w:r>
      <w:r w:rsidR="00010B8B" w:rsidRPr="009E674D">
        <w:rPr>
          <w:noProof/>
          <w:lang w:val="sq-AL"/>
        </w:rPr>
        <w:fldChar w:fldCharType="end"/>
      </w:r>
      <w:r w:rsidRPr="009E674D">
        <w:rPr>
          <w:lang w:val="sq-AL"/>
        </w:rPr>
        <w:t>: Propozimet për nivelin komunal për ta përshpejtuar zhvillimin ekonomik nëpër komuna deri në 2030-ën</w:t>
      </w:r>
    </w:p>
    <w:p w14:paraId="47435F27" w14:textId="77777777" w:rsidR="00467AC9" w:rsidRPr="009E674D" w:rsidRDefault="00467AC9" w:rsidP="00467AC9">
      <w:pPr>
        <w:jc w:val="center"/>
        <w:rPr>
          <w:lang w:val="sq-AL"/>
        </w:rPr>
      </w:pPr>
      <w:r w:rsidRPr="009E674D">
        <w:rPr>
          <w:noProof/>
        </w:rPr>
        <w:drawing>
          <wp:inline distT="0" distB="0" distL="0" distR="0" wp14:anchorId="72F9B9B6" wp14:editId="71567087">
            <wp:extent cx="5847080" cy="3066662"/>
            <wp:effectExtent l="0" t="0" r="1270" b="6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A635FA" w14:textId="77777777" w:rsidR="00467AC9" w:rsidRPr="009E674D" w:rsidRDefault="00467AC9" w:rsidP="00467AC9">
      <w:pPr>
        <w:jc w:val="both"/>
        <w:rPr>
          <w:lang w:val="sq-AL"/>
        </w:rPr>
      </w:pPr>
      <w:r w:rsidRPr="009E674D">
        <w:rPr>
          <w:lang w:val="sq-AL"/>
        </w:rPr>
        <w:lastRenderedPageBreak/>
        <w:t>Në lidhje me atë se çka duket të bëjë niveli qendror për ta përshpejtuar zhvillimin ekonomik lokal deri në 2030-ën, gjithashtu janë nxjerrë propozimet kryesore dhe janë paraqitur në Figurën 14. Rritja e buxhetit komunal (26%) dhe ofrimi i kushteve të favorshme për tërheqje të investitorëve (23%) janë dy propozimet më të shpeshta.</w:t>
      </w:r>
    </w:p>
    <w:p w14:paraId="4971BDB8" w14:textId="77777777" w:rsidR="00467AC9" w:rsidRPr="009E674D" w:rsidRDefault="00467AC9" w:rsidP="00467AC9">
      <w:pPr>
        <w:pStyle w:val="Caption"/>
        <w:keepNext/>
        <w:jc w:val="center"/>
        <w:rPr>
          <w:lang w:val="sq-AL"/>
        </w:rPr>
      </w:pPr>
      <w:r w:rsidRPr="009E674D">
        <w:rPr>
          <w:lang w:val="sq-AL"/>
        </w:rPr>
        <w:t xml:space="preserve">Figure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14</w:t>
      </w:r>
      <w:r w:rsidR="00010B8B" w:rsidRPr="009E674D">
        <w:rPr>
          <w:noProof/>
          <w:lang w:val="sq-AL"/>
        </w:rPr>
        <w:fldChar w:fldCharType="end"/>
      </w:r>
      <w:r w:rsidRPr="009E674D">
        <w:rPr>
          <w:lang w:val="sq-AL"/>
        </w:rPr>
        <w:t>: Propozimet për nivelin qendror për ta përshpejtuar zhvillimin ekonomik nëpër komuna deri në 2030-ën</w:t>
      </w:r>
    </w:p>
    <w:p w14:paraId="2B880619" w14:textId="77777777" w:rsidR="00467AC9" w:rsidRPr="009E674D" w:rsidRDefault="00467AC9" w:rsidP="00467AC9">
      <w:pPr>
        <w:jc w:val="center"/>
        <w:rPr>
          <w:lang w:val="sq-AL"/>
        </w:rPr>
      </w:pPr>
      <w:r w:rsidRPr="009E674D">
        <w:rPr>
          <w:noProof/>
        </w:rPr>
        <w:drawing>
          <wp:inline distT="0" distB="0" distL="0" distR="0" wp14:anchorId="1C27DD29" wp14:editId="405C39F2">
            <wp:extent cx="5883910" cy="3271934"/>
            <wp:effectExtent l="0" t="0" r="2540" b="508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5EC726" w14:textId="316B46E1" w:rsidR="00467AC9" w:rsidRPr="009E674D" w:rsidRDefault="00467AC9" w:rsidP="00467AC9">
      <w:pPr>
        <w:jc w:val="both"/>
        <w:rPr>
          <w:i/>
          <w:lang w:val="sq-AL"/>
        </w:rPr>
      </w:pPr>
      <w:r w:rsidRPr="009E674D">
        <w:rPr>
          <w:lang w:val="sq-AL"/>
        </w:rPr>
        <w:t xml:space="preserve">Të dhënat e anketës tregojnë se fushat me </w:t>
      </w:r>
      <w:r w:rsidR="00476B4C">
        <w:rPr>
          <w:lang w:val="sq-AL"/>
        </w:rPr>
        <w:t xml:space="preserve">më </w:t>
      </w:r>
      <w:r w:rsidRPr="009E674D">
        <w:rPr>
          <w:lang w:val="sq-AL"/>
        </w:rPr>
        <w:t xml:space="preserve">së shumti interes të përbashkët ekonomik për komunat janë turizmi (61.3%) dhe bujqësia (58.1%); pas këtyre dy fushave vjen industria me një përqindje pak me të ulët (25.8%). </w:t>
      </w:r>
      <w:r w:rsidR="00476B4C">
        <w:rPr>
          <w:lang w:val="sq-AL"/>
        </w:rPr>
        <w:t>Fushat tjera</w:t>
      </w:r>
      <w:r w:rsidRPr="009E674D">
        <w:rPr>
          <w:lang w:val="sq-AL"/>
        </w:rPr>
        <w:t xml:space="preserve"> janë të paraqitura në Figurën 15.</w:t>
      </w:r>
    </w:p>
    <w:p w14:paraId="7B0ABD04" w14:textId="77777777" w:rsidR="00467AC9" w:rsidRPr="009E674D" w:rsidRDefault="00467AC9" w:rsidP="00467AC9">
      <w:pPr>
        <w:pStyle w:val="Caption"/>
        <w:keepNext/>
        <w:jc w:val="center"/>
        <w:rPr>
          <w:lang w:val="sq-AL"/>
        </w:rPr>
      </w:pPr>
      <w:r w:rsidRPr="009E674D">
        <w:rPr>
          <w:lang w:val="sq-AL"/>
        </w:rPr>
        <w:t xml:space="preserve">Figura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15</w:t>
      </w:r>
      <w:r w:rsidR="00010B8B" w:rsidRPr="009E674D">
        <w:rPr>
          <w:noProof/>
          <w:lang w:val="sq-AL"/>
        </w:rPr>
        <w:fldChar w:fldCharType="end"/>
      </w:r>
      <w:r w:rsidRPr="009E674D">
        <w:rPr>
          <w:lang w:val="sq-AL"/>
        </w:rPr>
        <w:t>: Fushat me interes të përbashkët ekonomik për komunat</w:t>
      </w:r>
    </w:p>
    <w:p w14:paraId="660235D7" w14:textId="77777777" w:rsidR="00467AC9" w:rsidRPr="009E674D" w:rsidRDefault="00467AC9" w:rsidP="00467AC9">
      <w:pPr>
        <w:jc w:val="center"/>
        <w:rPr>
          <w:lang w:val="sq-AL"/>
        </w:rPr>
      </w:pPr>
      <w:r w:rsidRPr="009E674D">
        <w:rPr>
          <w:noProof/>
        </w:rPr>
        <w:drawing>
          <wp:inline distT="0" distB="0" distL="0" distR="0" wp14:anchorId="2D27E0C4" wp14:editId="6DE68F99">
            <wp:extent cx="5224780" cy="2450840"/>
            <wp:effectExtent l="0" t="0" r="13970" b="698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9E674D">
        <w:rPr>
          <w:lang w:val="sq-AL"/>
        </w:rPr>
        <w:br/>
      </w:r>
    </w:p>
    <w:p w14:paraId="7DD86ED0" w14:textId="77777777" w:rsidR="00467AC9" w:rsidRPr="009E674D" w:rsidRDefault="00467AC9" w:rsidP="00467AC9">
      <w:pPr>
        <w:jc w:val="both"/>
        <w:rPr>
          <w:lang w:val="sq-AL"/>
        </w:rPr>
      </w:pPr>
      <w:r w:rsidRPr="009E674D">
        <w:rPr>
          <w:lang w:val="sq-AL"/>
        </w:rPr>
        <w:lastRenderedPageBreak/>
        <w:t xml:space="preserve">Duke qenë se strategjia synon të jetë gjithëpërfshirëse, synimi ishte që përmes anketës gjithashtu të kuptoheshin grupet e cenueshme ekonomikisht nëpër komuna. Kategoritë kryesore sipas të anketuarve përfshijnë: gratë te cilat jetojnë ne zona rurale, personat me aftësi të kufizuara, të rinjtë, pensionistët, bizneset artizanale, shitësit me pakicë dhe të ngjashmet. </w:t>
      </w:r>
    </w:p>
    <w:p w14:paraId="73202F79" w14:textId="2DBBB61F" w:rsidR="00467AC9" w:rsidRPr="009E674D" w:rsidRDefault="000E7872" w:rsidP="00467AC9">
      <w:pPr>
        <w:jc w:val="both"/>
        <w:rPr>
          <w:lang w:val="sq-AL"/>
        </w:rPr>
      </w:pPr>
      <w:r w:rsidRPr="009E674D">
        <w:rPr>
          <w:noProof/>
        </w:rPr>
        <w:drawing>
          <wp:anchor distT="0" distB="0" distL="114300" distR="114300" simplePos="0" relativeHeight="251676672" behindDoc="1" locked="0" layoutInCell="1" allowOverlap="1" wp14:anchorId="411FDCF7" wp14:editId="7E6CB749">
            <wp:simplePos x="0" y="0"/>
            <wp:positionH relativeFrom="margin">
              <wp:posOffset>3082290</wp:posOffset>
            </wp:positionH>
            <wp:positionV relativeFrom="paragraph">
              <wp:posOffset>1212215</wp:posOffset>
            </wp:positionV>
            <wp:extent cx="2854960" cy="2444115"/>
            <wp:effectExtent l="0" t="0" r="2540" b="13335"/>
            <wp:wrapTight wrapText="bothSides">
              <wp:wrapPolygon edited="0">
                <wp:start x="0" y="0"/>
                <wp:lineTo x="0" y="21549"/>
                <wp:lineTo x="21475" y="21549"/>
                <wp:lineTo x="21475" y="0"/>
                <wp:lineTo x="0" y="0"/>
              </wp:wrapPolygon>
            </wp:wrapTight>
            <wp:docPr id="37" name="Chart 37">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9E674D">
        <w:rPr>
          <w:noProof/>
        </w:rPr>
        <w:drawing>
          <wp:anchor distT="0" distB="0" distL="114300" distR="114300" simplePos="0" relativeHeight="251675648" behindDoc="1" locked="0" layoutInCell="1" allowOverlap="1" wp14:anchorId="2BC05745" wp14:editId="0CE0AD57">
            <wp:simplePos x="0" y="0"/>
            <wp:positionH relativeFrom="margin">
              <wp:align>left</wp:align>
            </wp:positionH>
            <wp:positionV relativeFrom="paragraph">
              <wp:posOffset>1234440</wp:posOffset>
            </wp:positionV>
            <wp:extent cx="3060065" cy="2438400"/>
            <wp:effectExtent l="0" t="0" r="6985" b="0"/>
            <wp:wrapTight wrapText="bothSides">
              <wp:wrapPolygon edited="0">
                <wp:start x="0" y="0"/>
                <wp:lineTo x="0" y="21431"/>
                <wp:lineTo x="21515" y="21431"/>
                <wp:lineTo x="21515" y="0"/>
                <wp:lineTo x="0" y="0"/>
              </wp:wrapPolygon>
            </wp:wrapTight>
            <wp:docPr id="36" name="Chart 36">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467AC9" w:rsidRPr="009E674D">
        <w:rPr>
          <w:noProof/>
        </w:rPr>
        <mc:AlternateContent>
          <mc:Choice Requires="wps">
            <w:drawing>
              <wp:anchor distT="0" distB="0" distL="114300" distR="114300" simplePos="0" relativeHeight="251678720" behindDoc="1" locked="0" layoutInCell="1" allowOverlap="1" wp14:anchorId="226689B8" wp14:editId="52BE2AA4">
                <wp:simplePos x="0" y="0"/>
                <wp:positionH relativeFrom="margin">
                  <wp:align>right</wp:align>
                </wp:positionH>
                <wp:positionV relativeFrom="paragraph">
                  <wp:posOffset>885320</wp:posOffset>
                </wp:positionV>
                <wp:extent cx="2759710" cy="298450"/>
                <wp:effectExtent l="0" t="0" r="2540" b="6350"/>
                <wp:wrapTight wrapText="bothSides">
                  <wp:wrapPolygon edited="0">
                    <wp:start x="0" y="0"/>
                    <wp:lineTo x="0" y="20681"/>
                    <wp:lineTo x="21471" y="20681"/>
                    <wp:lineTo x="21471"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2759710" cy="298450"/>
                        </a:xfrm>
                        <a:prstGeom prst="rect">
                          <a:avLst/>
                        </a:prstGeom>
                        <a:solidFill>
                          <a:prstClr val="white"/>
                        </a:solidFill>
                        <a:ln>
                          <a:noFill/>
                        </a:ln>
                      </wps:spPr>
                      <wps:txbx>
                        <w:txbxContent>
                          <w:p w14:paraId="161B3426" w14:textId="77777777" w:rsidR="00636E80" w:rsidRPr="00311BB4" w:rsidRDefault="00636E80" w:rsidP="00467AC9">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16</w:t>
                            </w:r>
                            <w:r>
                              <w:rPr>
                                <w:noProof/>
                              </w:rPr>
                              <w:fldChar w:fldCharType="end"/>
                            </w:r>
                            <w:r>
                              <w:t xml:space="preserve">: Komunat me </w:t>
                            </w:r>
                            <w:r w:rsidRPr="00311BB4">
                              <w:t>asociacione (oda) të biznesit apo të organizata të ngjashme</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689B8" id="Text Box 41" o:spid="_x0000_s1064" type="#_x0000_t202" style="position:absolute;left:0;text-align:left;margin-left:166.1pt;margin-top:69.7pt;width:217.3pt;height:23.5pt;z-index:-2516377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" stroked="f">
                <v:textbox inset="0,0,0,0">
                  <w:txbxContent>
                    <w:p w14:paraId="161B3426" w14:textId="77777777" w:rsidR="00636E80" w:rsidRPr="00311BB4" w:rsidRDefault="00636E80" w:rsidP="00467AC9">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16</w:t>
                      </w:r>
                      <w:r>
                        <w:rPr>
                          <w:noProof/>
                        </w:rPr>
                        <w:fldChar w:fldCharType="end"/>
                      </w:r>
                      <w:r>
                        <w:t xml:space="preserve">: Komunat me </w:t>
                      </w:r>
                      <w:r w:rsidRPr="00311BB4">
                        <w:t>asociacione (oda) të biznesit apo të organizata të ngjashme</w:t>
                      </w:r>
                      <w:r>
                        <w:t xml:space="preserve"> (%)</w:t>
                      </w:r>
                    </w:p>
                  </w:txbxContent>
                </v:textbox>
                <w10:wrap type="tight" anchorx="margin"/>
              </v:shape>
            </w:pict>
          </mc:Fallback>
        </mc:AlternateContent>
      </w:r>
      <w:r w:rsidR="00467AC9" w:rsidRPr="009E674D">
        <w:rPr>
          <w:noProof/>
        </w:rPr>
        <mc:AlternateContent>
          <mc:Choice Requires="wps">
            <w:drawing>
              <wp:anchor distT="0" distB="0" distL="114300" distR="114300" simplePos="0" relativeHeight="251677696" behindDoc="1" locked="0" layoutInCell="1" allowOverlap="1" wp14:anchorId="6476A467" wp14:editId="368DE08E">
                <wp:simplePos x="0" y="0"/>
                <wp:positionH relativeFrom="margin">
                  <wp:align>left</wp:align>
                </wp:positionH>
                <wp:positionV relativeFrom="paragraph">
                  <wp:posOffset>983991</wp:posOffset>
                </wp:positionV>
                <wp:extent cx="3109595" cy="161290"/>
                <wp:effectExtent l="0" t="0" r="0" b="0"/>
                <wp:wrapTight wrapText="bothSides">
                  <wp:wrapPolygon edited="0">
                    <wp:start x="0" y="0"/>
                    <wp:lineTo x="0" y="17858"/>
                    <wp:lineTo x="21437" y="17858"/>
                    <wp:lineTo x="21437"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3109595" cy="161290"/>
                        </a:xfrm>
                        <a:prstGeom prst="rect">
                          <a:avLst/>
                        </a:prstGeom>
                        <a:solidFill>
                          <a:prstClr val="white"/>
                        </a:solidFill>
                        <a:ln>
                          <a:noFill/>
                        </a:ln>
                      </wps:spPr>
                      <wps:txbx>
                        <w:txbxContent>
                          <w:p w14:paraId="6AC02717" w14:textId="77777777" w:rsidR="00636E80" w:rsidRPr="007A390A" w:rsidRDefault="00636E80" w:rsidP="00467AC9">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17</w:t>
                            </w:r>
                            <w:r>
                              <w:rPr>
                                <w:noProof/>
                              </w:rPr>
                              <w:fldChar w:fldCharType="end"/>
                            </w:r>
                            <w:r>
                              <w:t>: Vlerësimi i migrimit si problem për nivelin komunal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6A467" id="Text Box 38" o:spid="_x0000_s1065" type="#_x0000_t202" style="position:absolute;left:0;text-align:left;margin-left:0;margin-top:77.5pt;width:244.85pt;height:12.7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" stroked="f">
                <v:textbox inset="0,0,0,0">
                  <w:txbxContent>
                    <w:p w14:paraId="6AC02717" w14:textId="77777777" w:rsidR="00636E80" w:rsidRPr="007A390A" w:rsidRDefault="00636E80" w:rsidP="00467AC9">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17</w:t>
                      </w:r>
                      <w:r>
                        <w:rPr>
                          <w:noProof/>
                        </w:rPr>
                        <w:fldChar w:fldCharType="end"/>
                      </w:r>
                      <w:r>
                        <w:t>: Vlerësimi i migrimit si problem për nivelin komunal</w:t>
                      </w:r>
                    </w:p>
                  </w:txbxContent>
                </v:textbox>
                <w10:wrap type="tight" anchorx="margin"/>
              </v:shape>
            </w:pict>
          </mc:Fallback>
        </mc:AlternateContent>
      </w:r>
      <w:r w:rsidR="00467AC9" w:rsidRPr="009E674D">
        <w:rPr>
          <w:lang w:val="sq-AL"/>
        </w:rPr>
        <w:t>Për shumicën dër</w:t>
      </w:r>
      <w:r w:rsidR="00700949">
        <w:rPr>
          <w:lang w:val="sq-AL"/>
        </w:rPr>
        <w:t>r</w:t>
      </w:r>
      <w:r w:rsidR="00467AC9" w:rsidRPr="009E674D">
        <w:rPr>
          <w:lang w:val="sq-AL"/>
        </w:rPr>
        <w:t>muese të anketuarve (83.9%) migrimi i popullatës është “problem shumë i madh” ose “problem i madh”. Ky problem duket të jetë më i theksuar në komuna më të vogla. Në anën tjet</w:t>
      </w:r>
      <w:r w:rsidR="00D21FE6" w:rsidRPr="009E674D">
        <w:rPr>
          <w:lang w:val="sq-AL"/>
        </w:rPr>
        <w:t>ër, sipas të anketuarve, 41.9% e komunave</w:t>
      </w:r>
      <w:r w:rsidR="00631A10">
        <w:rPr>
          <w:lang w:val="sq-AL"/>
        </w:rPr>
        <w:t xml:space="preserve"> kanë</w:t>
      </w:r>
      <w:r w:rsidR="00467AC9" w:rsidRPr="009E674D">
        <w:rPr>
          <w:lang w:val="sq-AL"/>
        </w:rPr>
        <w:t xml:space="preserve"> shoqata të biznesit apo organizata të ngjashme që i përfaqësojnë interesat e sektorit privat.  </w:t>
      </w:r>
    </w:p>
    <w:p w14:paraId="34CA365C" w14:textId="77777777" w:rsidR="0095463F" w:rsidRPr="009E674D" w:rsidRDefault="0095463F">
      <w:pPr>
        <w:rPr>
          <w:rFonts w:asciiTheme="majorHAnsi" w:eastAsiaTheme="majorEastAsia" w:hAnsiTheme="majorHAnsi" w:cstheme="majorBidi"/>
          <w:color w:val="2E74B5" w:themeColor="accent1" w:themeShade="BF"/>
          <w:sz w:val="32"/>
          <w:szCs w:val="32"/>
          <w:lang w:val="sq-AL"/>
        </w:rPr>
      </w:pPr>
      <w:r w:rsidRPr="009E674D">
        <w:rPr>
          <w:lang w:val="sq-AL"/>
        </w:rPr>
        <w:br w:type="page"/>
      </w:r>
    </w:p>
    <w:p w14:paraId="4C943592" w14:textId="77777777" w:rsidR="00467AC9" w:rsidRPr="009E674D" w:rsidRDefault="0095463F" w:rsidP="00686232">
      <w:pPr>
        <w:pStyle w:val="Heading2"/>
        <w:rPr>
          <w:lang w:val="sq-AL"/>
        </w:rPr>
      </w:pPr>
      <w:bookmarkStart w:id="34" w:name="_Toc118750291"/>
      <w:bookmarkStart w:id="35" w:name="_Toc118753645"/>
      <w:bookmarkStart w:id="36" w:name="_Toc118754861"/>
      <w:bookmarkStart w:id="37" w:name="_Toc126840909"/>
      <w:bookmarkStart w:id="38" w:name="_Toc127436051"/>
      <w:bookmarkStart w:id="39" w:name="_Toc132188452"/>
      <w:r w:rsidRPr="009E674D">
        <w:rPr>
          <w:lang w:val="sq-AL"/>
        </w:rPr>
        <w:lastRenderedPageBreak/>
        <w:t>Gjetjet kryesore të anketës me biznese</w:t>
      </w:r>
      <w:bookmarkEnd w:id="34"/>
      <w:bookmarkEnd w:id="35"/>
      <w:bookmarkEnd w:id="36"/>
      <w:bookmarkEnd w:id="37"/>
      <w:bookmarkEnd w:id="38"/>
      <w:bookmarkEnd w:id="39"/>
    </w:p>
    <w:p w14:paraId="6CD80D2F" w14:textId="00595479" w:rsidR="004C7D0A" w:rsidRPr="009E674D" w:rsidRDefault="0095463F" w:rsidP="00227238">
      <w:pPr>
        <w:jc w:val="both"/>
        <w:rPr>
          <w:lang w:val="sq-AL"/>
        </w:rPr>
      </w:pPr>
      <w:r w:rsidRPr="009E674D">
        <w:rPr>
          <w:lang w:val="sq-AL"/>
        </w:rPr>
        <w:br/>
        <w:t>Ky seksion bën përmbledhjen e gjetjeve kryesore nga anketa e zhvilluar me biznese. Pyet</w:t>
      </w:r>
      <w:r w:rsidR="00227238" w:rsidRPr="009E674D">
        <w:rPr>
          <w:lang w:val="sq-AL"/>
        </w:rPr>
        <w:t>ë</w:t>
      </w:r>
      <w:r w:rsidRPr="009E674D">
        <w:rPr>
          <w:lang w:val="sq-AL"/>
        </w:rPr>
        <w:t>sori i p</w:t>
      </w:r>
      <w:r w:rsidR="00227238" w:rsidRPr="009E674D">
        <w:rPr>
          <w:lang w:val="sq-AL"/>
        </w:rPr>
        <w:t>ë</w:t>
      </w:r>
      <w:r w:rsidRPr="009E674D">
        <w:rPr>
          <w:lang w:val="sq-AL"/>
        </w:rPr>
        <w:t>rpiluar p</w:t>
      </w:r>
      <w:r w:rsidR="00227238" w:rsidRPr="009E674D">
        <w:rPr>
          <w:lang w:val="sq-AL"/>
        </w:rPr>
        <w:t>ë</w:t>
      </w:r>
      <w:r w:rsidRPr="009E674D">
        <w:rPr>
          <w:lang w:val="sq-AL"/>
        </w:rPr>
        <w:t>r nevoja t</w:t>
      </w:r>
      <w:r w:rsidR="00227238" w:rsidRPr="009E674D">
        <w:rPr>
          <w:lang w:val="sq-AL"/>
        </w:rPr>
        <w:t>ë</w:t>
      </w:r>
      <w:r w:rsidRPr="009E674D">
        <w:rPr>
          <w:lang w:val="sq-AL"/>
        </w:rPr>
        <w:t xml:space="preserve"> k</w:t>
      </w:r>
      <w:r w:rsidR="00227238" w:rsidRPr="009E674D">
        <w:rPr>
          <w:lang w:val="sq-AL"/>
        </w:rPr>
        <w:t>ë</w:t>
      </w:r>
      <w:r w:rsidRPr="009E674D">
        <w:rPr>
          <w:lang w:val="sq-AL"/>
        </w:rPr>
        <w:t xml:space="preserve">saj ankete </w:t>
      </w:r>
      <w:r w:rsidR="00227238" w:rsidRPr="009E674D">
        <w:rPr>
          <w:lang w:val="sq-AL"/>
        </w:rPr>
        <w:t>ë</w:t>
      </w:r>
      <w:r w:rsidRPr="009E674D">
        <w:rPr>
          <w:lang w:val="sq-AL"/>
        </w:rPr>
        <w:t>sht</w:t>
      </w:r>
      <w:r w:rsidR="00227238" w:rsidRPr="009E674D">
        <w:rPr>
          <w:lang w:val="sq-AL"/>
        </w:rPr>
        <w:t>ë</w:t>
      </w:r>
      <w:r w:rsidRPr="009E674D">
        <w:rPr>
          <w:lang w:val="sq-AL"/>
        </w:rPr>
        <w:t xml:space="preserve"> </w:t>
      </w:r>
      <w:r w:rsidR="00631A10">
        <w:rPr>
          <w:lang w:val="sq-AL"/>
        </w:rPr>
        <w:t>shpër</w:t>
      </w:r>
      <w:r w:rsidRPr="009E674D">
        <w:rPr>
          <w:lang w:val="sq-AL"/>
        </w:rPr>
        <w:t>ndar</w:t>
      </w:r>
      <w:r w:rsidR="00227238" w:rsidRPr="009E674D">
        <w:rPr>
          <w:lang w:val="sq-AL"/>
        </w:rPr>
        <w:t>ë</w:t>
      </w:r>
      <w:r w:rsidRPr="009E674D">
        <w:rPr>
          <w:lang w:val="sq-AL"/>
        </w:rPr>
        <w:t xml:space="preserve"> </w:t>
      </w:r>
      <w:r w:rsidR="00631A10">
        <w:rPr>
          <w:lang w:val="sq-AL"/>
        </w:rPr>
        <w:t xml:space="preserve">tek </w:t>
      </w:r>
      <w:r w:rsidR="00227238" w:rsidRPr="009E674D">
        <w:rPr>
          <w:lang w:val="sq-AL"/>
        </w:rPr>
        <w:t xml:space="preserve">5,000 biznese të përzgjedhura nga baza e të dhënave </w:t>
      </w:r>
      <w:r w:rsidR="002F793E">
        <w:rPr>
          <w:lang w:val="sq-AL"/>
        </w:rPr>
        <w:t>të</w:t>
      </w:r>
      <w:r w:rsidR="002F793E" w:rsidRPr="009E674D">
        <w:rPr>
          <w:lang w:val="sq-AL"/>
        </w:rPr>
        <w:t xml:space="preserve"> </w:t>
      </w:r>
      <w:r w:rsidR="00227238" w:rsidRPr="009E674D">
        <w:rPr>
          <w:lang w:val="sq-AL"/>
        </w:rPr>
        <w:t>ARBK-së</w:t>
      </w:r>
      <w:r w:rsidR="002F793E">
        <w:rPr>
          <w:lang w:val="sq-AL"/>
        </w:rPr>
        <w:t>,</w:t>
      </w:r>
      <w:r w:rsidR="00227238" w:rsidRPr="009E674D">
        <w:rPr>
          <w:lang w:val="sq-AL"/>
        </w:rPr>
        <w:t xml:space="preserve"> sipas metodës së rastësisë. Për </w:t>
      </w:r>
      <w:r w:rsidR="002F793E" w:rsidRPr="009E674D">
        <w:rPr>
          <w:lang w:val="sq-AL"/>
        </w:rPr>
        <w:t>t</w:t>
      </w:r>
      <w:r w:rsidR="002F793E">
        <w:rPr>
          <w:lang w:val="sq-AL"/>
        </w:rPr>
        <w:t>a</w:t>
      </w:r>
      <w:r w:rsidR="002F793E" w:rsidRPr="009E674D">
        <w:rPr>
          <w:lang w:val="sq-AL"/>
        </w:rPr>
        <w:t xml:space="preserve"> </w:t>
      </w:r>
      <w:r w:rsidR="00227238" w:rsidRPr="009E674D">
        <w:rPr>
          <w:lang w:val="sq-AL"/>
        </w:rPr>
        <w:t>rritur madhësinë e mostrës, gjithashtu është bashkëpunuar me Oden Ekonomike të Kosovës (OEK)</w:t>
      </w:r>
      <w:r w:rsidR="002F793E">
        <w:rPr>
          <w:lang w:val="sq-AL"/>
        </w:rPr>
        <w:t>, ashtu</w:t>
      </w:r>
      <w:r w:rsidR="00227238" w:rsidRPr="009E674D">
        <w:rPr>
          <w:lang w:val="sq-AL"/>
        </w:rPr>
        <w:t xml:space="preserve"> që pyetësori të ndahet me anëtarët e saj. Në fund, nga të gjitha bizneset e kontaktuara, janë pranuar 57 pyetësorë të kompletuar dhe në bazë të tyre janë nxjerrë rezultatet. Përkundër mostrës relativisht të vogël, megjithatë janë pranuar përgjigje të vlefshme </w:t>
      </w:r>
      <w:r w:rsidR="00154D4F" w:rsidRPr="009E674D">
        <w:rPr>
          <w:lang w:val="sq-AL"/>
        </w:rPr>
        <w:t>që do të merren</w:t>
      </w:r>
      <w:r w:rsidR="00227238" w:rsidRPr="009E674D">
        <w:rPr>
          <w:lang w:val="sq-AL"/>
        </w:rPr>
        <w:t xml:space="preserve"> në konsideratë gjatë përpilimit të Programit. </w:t>
      </w:r>
      <w:r w:rsidR="00154D4F" w:rsidRPr="009E674D">
        <w:rPr>
          <w:lang w:val="sq-AL"/>
        </w:rPr>
        <w:t xml:space="preserve">Sidoqoftë, për shkak të madhësisë së mostrës, rezultatet, sidomos ato të natyrës sasiore, duhet të interpretohen me kujdes. </w:t>
      </w:r>
      <w:r w:rsidR="004C7D0A" w:rsidRPr="009E674D">
        <w:rPr>
          <w:lang w:val="sq-AL"/>
        </w:rPr>
        <w:t>Prej atyre që e kanë plotësuar pyetësorin, shumica dërrmuese (98%) ishin pronar</w:t>
      </w:r>
      <w:r w:rsidR="002F793E">
        <w:rPr>
          <w:lang w:val="sq-AL"/>
        </w:rPr>
        <w:t>ë</w:t>
      </w:r>
      <w:r w:rsidR="004C7D0A" w:rsidRPr="009E674D">
        <w:rPr>
          <w:lang w:val="sq-AL"/>
        </w:rPr>
        <w:t xml:space="preserve"> apo menaxher</w:t>
      </w:r>
      <w:r w:rsidR="002F793E">
        <w:rPr>
          <w:lang w:val="sq-AL"/>
        </w:rPr>
        <w:t>ë,</w:t>
      </w:r>
      <w:r w:rsidR="004C7D0A" w:rsidRPr="009E674D">
        <w:rPr>
          <w:lang w:val="sq-AL"/>
        </w:rPr>
        <w:t xml:space="preserve"> ose mbanin të dy pozitat. </w:t>
      </w:r>
    </w:p>
    <w:p w14:paraId="377EBA89" w14:textId="61D2FF16" w:rsidR="0095463F" w:rsidRPr="009E674D" w:rsidRDefault="00241D05" w:rsidP="00227238">
      <w:pPr>
        <w:jc w:val="both"/>
        <w:rPr>
          <w:b/>
          <w:lang w:val="sq-AL"/>
        </w:rPr>
      </w:pPr>
      <w:r w:rsidRPr="009E674D">
        <w:rPr>
          <w:noProof/>
        </w:rPr>
        <w:drawing>
          <wp:anchor distT="0" distB="0" distL="114300" distR="114300" simplePos="0" relativeHeight="251680768" behindDoc="1" locked="0" layoutInCell="1" allowOverlap="1" wp14:anchorId="7BEC78F4" wp14:editId="39E932E2">
            <wp:simplePos x="0" y="0"/>
            <wp:positionH relativeFrom="margin">
              <wp:posOffset>2865755</wp:posOffset>
            </wp:positionH>
            <wp:positionV relativeFrom="paragraph">
              <wp:posOffset>1278255</wp:posOffset>
            </wp:positionV>
            <wp:extent cx="3181350" cy="1896110"/>
            <wp:effectExtent l="0" t="0" r="0" b="8890"/>
            <wp:wrapTight wrapText="bothSides">
              <wp:wrapPolygon edited="0">
                <wp:start x="0" y="0"/>
                <wp:lineTo x="0" y="21484"/>
                <wp:lineTo x="21471" y="21484"/>
                <wp:lineTo x="21471"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C7D0A" w:rsidRPr="009E674D">
        <w:rPr>
          <w:noProof/>
        </w:rPr>
        <w:drawing>
          <wp:anchor distT="0" distB="0" distL="114300" distR="114300" simplePos="0" relativeHeight="251679744" behindDoc="1" locked="0" layoutInCell="1" allowOverlap="1" wp14:anchorId="4251E6E3" wp14:editId="5B1363B0">
            <wp:simplePos x="0" y="0"/>
            <wp:positionH relativeFrom="margin">
              <wp:posOffset>-10795</wp:posOffset>
            </wp:positionH>
            <wp:positionV relativeFrom="paragraph">
              <wp:posOffset>1278890</wp:posOffset>
            </wp:positionV>
            <wp:extent cx="2837815" cy="1886585"/>
            <wp:effectExtent l="0" t="0" r="635" b="18415"/>
            <wp:wrapTight wrapText="bothSides">
              <wp:wrapPolygon edited="0">
                <wp:start x="0" y="0"/>
                <wp:lineTo x="0" y="21593"/>
                <wp:lineTo x="21460" y="21593"/>
                <wp:lineTo x="21460" y="0"/>
                <wp:lineTo x="0" y="0"/>
              </wp:wrapPolygon>
            </wp:wrapTight>
            <wp:docPr id="21" name="Chart 21">
              <a:extLst xmlns:a="http://schemas.openxmlformats.org/drawingml/2006/main">
                <a:ext uri="{FF2B5EF4-FFF2-40B4-BE49-F238E27FC236}">
                  <a16:creationId xmlns:a16="http://schemas.microsoft.com/office/drawing/2014/main" id="{88419F47-FA55-4B1B-99B1-116107B58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4C7D0A" w:rsidRPr="009E674D">
        <w:rPr>
          <w:noProof/>
        </w:rPr>
        <mc:AlternateContent>
          <mc:Choice Requires="wps">
            <w:drawing>
              <wp:anchor distT="0" distB="0" distL="114300" distR="114300" simplePos="0" relativeHeight="251684864" behindDoc="1" locked="0" layoutInCell="1" allowOverlap="1" wp14:anchorId="11E42CE2" wp14:editId="799A9AB0">
                <wp:simplePos x="0" y="0"/>
                <wp:positionH relativeFrom="column">
                  <wp:posOffset>2847769</wp:posOffset>
                </wp:positionH>
                <wp:positionV relativeFrom="paragraph">
                  <wp:posOffset>1068647</wp:posOffset>
                </wp:positionV>
                <wp:extent cx="3181350" cy="158115"/>
                <wp:effectExtent l="0" t="0" r="0" b="0"/>
                <wp:wrapTight wrapText="bothSides">
                  <wp:wrapPolygon edited="0">
                    <wp:start x="0" y="0"/>
                    <wp:lineTo x="0" y="18217"/>
                    <wp:lineTo x="21471" y="18217"/>
                    <wp:lineTo x="21471"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3181350" cy="158115"/>
                        </a:xfrm>
                        <a:prstGeom prst="rect">
                          <a:avLst/>
                        </a:prstGeom>
                        <a:solidFill>
                          <a:prstClr val="white"/>
                        </a:solidFill>
                        <a:ln>
                          <a:noFill/>
                        </a:ln>
                      </wps:spPr>
                      <wps:txbx>
                        <w:txbxContent>
                          <w:p w14:paraId="2575425C" w14:textId="77777777" w:rsidR="00636E80" w:rsidRPr="00075B85" w:rsidRDefault="00636E80" w:rsidP="00154D4F">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18</w:t>
                            </w:r>
                            <w:r>
                              <w:rPr>
                                <w:noProof/>
                              </w:rPr>
                              <w:fldChar w:fldCharType="end"/>
                            </w:r>
                            <w:r>
                              <w:t>: Veprimtaria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42CE2" id="Text Box 25" o:spid="_x0000_s1066" type="#_x0000_t202" style="position:absolute;left:0;text-align:left;margin-left:224.25pt;margin-top:84.15pt;width:250.5pt;height:12.4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" stroked="f">
                <v:textbox inset="0,0,0,0">
                  <w:txbxContent>
                    <w:p w14:paraId="2575425C" w14:textId="77777777" w:rsidR="00636E80" w:rsidRPr="00075B85" w:rsidRDefault="00636E80" w:rsidP="00154D4F">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18</w:t>
                      </w:r>
                      <w:r>
                        <w:rPr>
                          <w:noProof/>
                        </w:rPr>
                        <w:fldChar w:fldCharType="end"/>
                      </w:r>
                      <w:r>
                        <w:t>: Veprimtaria</w:t>
                      </w:r>
                    </w:p>
                  </w:txbxContent>
                </v:textbox>
                <w10:wrap type="tight"/>
              </v:shape>
            </w:pict>
          </mc:Fallback>
        </mc:AlternateContent>
      </w:r>
      <w:r w:rsidR="004C7D0A" w:rsidRPr="009E674D">
        <w:rPr>
          <w:lang w:val="sq-AL"/>
        </w:rPr>
        <w:t xml:space="preserve">Për më </w:t>
      </w:r>
      <w:r w:rsidR="002F793E">
        <w:rPr>
          <w:lang w:val="sq-AL"/>
        </w:rPr>
        <w:t>tepër</w:t>
      </w:r>
      <w:r w:rsidR="004C7D0A" w:rsidRPr="009E674D">
        <w:rPr>
          <w:lang w:val="sq-AL"/>
        </w:rPr>
        <w:t>, s</w:t>
      </w:r>
      <w:r w:rsidR="00154D4F" w:rsidRPr="009E674D">
        <w:rPr>
          <w:lang w:val="sq-AL"/>
        </w:rPr>
        <w:t xml:space="preserve">humica e të anketuarve (49.1%), ashtu siç </w:t>
      </w:r>
      <w:r w:rsidR="002F793E">
        <w:rPr>
          <w:lang w:val="sq-AL"/>
        </w:rPr>
        <w:t xml:space="preserve">është </w:t>
      </w:r>
      <w:r w:rsidR="00154D4F" w:rsidRPr="009E674D">
        <w:rPr>
          <w:lang w:val="sq-AL"/>
        </w:rPr>
        <w:t>demografia e përgjithshme</w:t>
      </w:r>
      <w:r w:rsidR="002F793E">
        <w:rPr>
          <w:lang w:val="sq-AL"/>
        </w:rPr>
        <w:t xml:space="preserve"> në Kosovë</w:t>
      </w:r>
      <w:r w:rsidR="00154D4F" w:rsidRPr="009E674D">
        <w:rPr>
          <w:lang w:val="sq-AL"/>
        </w:rPr>
        <w:t>,</w:t>
      </w:r>
      <w:r w:rsidR="004C7D0A" w:rsidRPr="009E674D">
        <w:rPr>
          <w:lang w:val="sq-AL"/>
        </w:rPr>
        <w:t xml:space="preserve"> ishin</w:t>
      </w:r>
      <w:r w:rsidR="00154D4F" w:rsidRPr="009E674D">
        <w:rPr>
          <w:lang w:val="sq-AL"/>
        </w:rPr>
        <w:t xml:space="preserve"> nga Prishtina. Nga rajonet tjera dominon</w:t>
      </w:r>
      <w:r w:rsidR="004C7D0A" w:rsidRPr="009E674D">
        <w:rPr>
          <w:lang w:val="sq-AL"/>
        </w:rPr>
        <w:t>te</w:t>
      </w:r>
      <w:r w:rsidR="00154D4F" w:rsidRPr="009E674D">
        <w:rPr>
          <w:lang w:val="sq-AL"/>
        </w:rPr>
        <w:t xml:space="preserve"> lehtë</w:t>
      </w:r>
      <w:r w:rsidR="00902F3D" w:rsidRPr="009E674D">
        <w:rPr>
          <w:lang w:val="sq-AL"/>
        </w:rPr>
        <w:t xml:space="preserve"> Ferizaji (17.5%) (për</w:t>
      </w:r>
      <w:r w:rsidR="00154D4F" w:rsidRPr="009E674D">
        <w:rPr>
          <w:lang w:val="sq-AL"/>
        </w:rPr>
        <w:t xml:space="preserve"> më shumë, </w:t>
      </w:r>
      <w:r w:rsidR="00902F3D" w:rsidRPr="009E674D">
        <w:rPr>
          <w:lang w:val="sq-AL"/>
        </w:rPr>
        <w:t xml:space="preserve">shih </w:t>
      </w:r>
      <w:r w:rsidR="00154D4F" w:rsidRPr="009E674D">
        <w:rPr>
          <w:lang w:val="sq-AL"/>
        </w:rPr>
        <w:t>Figurën 18</w:t>
      </w:r>
      <w:r w:rsidR="00902F3D" w:rsidRPr="009E674D">
        <w:rPr>
          <w:lang w:val="sq-AL"/>
        </w:rPr>
        <w:t>)</w:t>
      </w:r>
      <w:r w:rsidR="00154D4F" w:rsidRPr="009E674D">
        <w:rPr>
          <w:lang w:val="sq-AL"/>
        </w:rPr>
        <w:t>. Sa i përket veprimtarisë, dominon tregtia me shumicë</w:t>
      </w:r>
      <w:r w:rsidR="00902F3D" w:rsidRPr="009E674D">
        <w:rPr>
          <w:lang w:val="sq-AL"/>
        </w:rPr>
        <w:t xml:space="preserve"> dhe pakicë me 17.5%, industria përpunuese me 14%, ndërtimtaria dhe financat me 12.3% secila dhe TIK me 10.5%. Pjesa e mbetur janë shërbime dhe veprimtari tjera (shih Figurën 19).</w:t>
      </w:r>
    </w:p>
    <w:p w14:paraId="13C6FA5B" w14:textId="08FD4749" w:rsidR="0095463F" w:rsidRPr="009E674D" w:rsidRDefault="00824EB2" w:rsidP="004C7D0A">
      <w:pPr>
        <w:jc w:val="both"/>
        <w:rPr>
          <w:noProof/>
          <w:lang w:val="sq-AL"/>
        </w:rPr>
      </w:pPr>
      <w:r w:rsidRPr="009E674D">
        <w:rPr>
          <w:noProof/>
        </w:rPr>
        <w:drawing>
          <wp:anchor distT="0" distB="0" distL="114300" distR="114300" simplePos="0" relativeHeight="251685888" behindDoc="1" locked="0" layoutInCell="1" allowOverlap="1" wp14:anchorId="3B2D41CE" wp14:editId="52425D04">
            <wp:simplePos x="0" y="0"/>
            <wp:positionH relativeFrom="margin">
              <wp:posOffset>-47625</wp:posOffset>
            </wp:positionH>
            <wp:positionV relativeFrom="paragraph">
              <wp:posOffset>3318756</wp:posOffset>
            </wp:positionV>
            <wp:extent cx="2927985" cy="1676400"/>
            <wp:effectExtent l="0" t="0" r="5715" b="0"/>
            <wp:wrapTight wrapText="bothSides">
              <wp:wrapPolygon edited="0">
                <wp:start x="0" y="0"/>
                <wp:lineTo x="0" y="21355"/>
                <wp:lineTo x="21502" y="21355"/>
                <wp:lineTo x="21502"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9E674D">
        <w:rPr>
          <w:noProof/>
        </w:rPr>
        <w:drawing>
          <wp:anchor distT="0" distB="0" distL="114300" distR="114300" simplePos="0" relativeHeight="251686912" behindDoc="1" locked="0" layoutInCell="1" allowOverlap="1" wp14:anchorId="56F752D8" wp14:editId="693213FD">
            <wp:simplePos x="0" y="0"/>
            <wp:positionH relativeFrom="margin">
              <wp:posOffset>2927985</wp:posOffset>
            </wp:positionH>
            <wp:positionV relativeFrom="paragraph">
              <wp:posOffset>3337560</wp:posOffset>
            </wp:positionV>
            <wp:extent cx="3058160" cy="1648460"/>
            <wp:effectExtent l="0" t="0" r="8890" b="8890"/>
            <wp:wrapTight wrapText="bothSides">
              <wp:wrapPolygon edited="0">
                <wp:start x="0" y="0"/>
                <wp:lineTo x="0" y="21467"/>
                <wp:lineTo x="21528" y="21467"/>
                <wp:lineTo x="21528" y="0"/>
                <wp:lineTo x="0" y="0"/>
              </wp:wrapPolygon>
            </wp:wrapTight>
            <wp:docPr id="34" name="Chart 34">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241D05" w:rsidRPr="009E674D">
        <w:rPr>
          <w:noProof/>
        </w:rPr>
        <mc:AlternateContent>
          <mc:Choice Requires="wps">
            <w:drawing>
              <wp:anchor distT="0" distB="0" distL="114300" distR="114300" simplePos="0" relativeHeight="251691008" behindDoc="1" locked="0" layoutInCell="1" allowOverlap="1" wp14:anchorId="4135C3DA" wp14:editId="46A74E19">
                <wp:simplePos x="0" y="0"/>
                <wp:positionH relativeFrom="margin">
                  <wp:posOffset>-195580</wp:posOffset>
                </wp:positionH>
                <wp:positionV relativeFrom="paragraph">
                  <wp:posOffset>3136265</wp:posOffset>
                </wp:positionV>
                <wp:extent cx="2915285" cy="188595"/>
                <wp:effectExtent l="0" t="0" r="0" b="1905"/>
                <wp:wrapTight wrapText="bothSides">
                  <wp:wrapPolygon edited="0">
                    <wp:start x="0" y="0"/>
                    <wp:lineTo x="0" y="19636"/>
                    <wp:lineTo x="21454" y="19636"/>
                    <wp:lineTo x="21454"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2915285" cy="188595"/>
                        </a:xfrm>
                        <a:prstGeom prst="rect">
                          <a:avLst/>
                        </a:prstGeom>
                        <a:solidFill>
                          <a:prstClr val="white"/>
                        </a:solidFill>
                        <a:ln>
                          <a:noFill/>
                        </a:ln>
                      </wps:spPr>
                      <wps:txbx>
                        <w:txbxContent>
                          <w:p w14:paraId="1D1AAF0C" w14:textId="77777777" w:rsidR="00636E80" w:rsidRPr="00241D05" w:rsidRDefault="00636E80" w:rsidP="004C7D0A">
                            <w:pPr>
                              <w:pStyle w:val="Caption"/>
                              <w:jc w:val="center"/>
                              <w:rPr>
                                <w:noProof/>
                                <w:lang w:val="sq-AL"/>
                              </w:rPr>
                            </w:pPr>
                            <w:r w:rsidRPr="00241D05">
                              <w:rPr>
                                <w:noProof/>
                                <w:lang w:val="sq-AL"/>
                              </w:rPr>
                              <w:t xml:space="preserve">Figure </w:t>
                            </w:r>
                            <w:r w:rsidRPr="00241D05">
                              <w:rPr>
                                <w:noProof/>
                                <w:lang w:val="sq-AL"/>
                              </w:rPr>
                              <w:fldChar w:fldCharType="begin"/>
                            </w:r>
                            <w:r w:rsidRPr="00241D05">
                              <w:rPr>
                                <w:noProof/>
                                <w:lang w:val="sq-AL"/>
                              </w:rPr>
                              <w:instrText xml:space="preserve"> SEQ Figure \* ARABIC </w:instrText>
                            </w:r>
                            <w:r w:rsidRPr="00241D05">
                              <w:rPr>
                                <w:noProof/>
                                <w:lang w:val="sq-AL"/>
                              </w:rPr>
                              <w:fldChar w:fldCharType="separate"/>
                            </w:r>
                            <w:r>
                              <w:rPr>
                                <w:noProof/>
                                <w:lang w:val="sq-AL"/>
                              </w:rPr>
                              <w:t>19</w:t>
                            </w:r>
                            <w:r w:rsidRPr="00241D05">
                              <w:rPr>
                                <w:noProof/>
                                <w:lang w:val="sq-AL"/>
                              </w:rPr>
                              <w:fldChar w:fldCharType="end"/>
                            </w:r>
                            <w:r w:rsidRPr="00241D05">
                              <w:rPr>
                                <w:noProof/>
                                <w:lang w:val="sq-AL"/>
                              </w:rPr>
                              <w:t xml:space="preserve">: Numri </w:t>
                            </w:r>
                            <w:r>
                              <w:rPr>
                                <w:noProof/>
                                <w:lang w:val="sq-AL"/>
                              </w:rPr>
                              <w:t>i pun</w:t>
                            </w:r>
                            <w:r w:rsidRPr="00241D05">
                              <w:rPr>
                                <w:noProof/>
                                <w:lang w:val="sq-AL"/>
                              </w:rPr>
                              <w:t>ëtorëve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C3DA" id="Text Box 40" o:spid="_x0000_s1067" type="#_x0000_t202" style="position:absolute;left:0;text-align:left;margin-left:-15.4pt;margin-top:246.95pt;width:229.55pt;height:14.8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" stroked="f">
                <v:textbox inset="0,0,0,0">
                  <w:txbxContent>
                    <w:p w14:paraId="1D1AAF0C" w14:textId="77777777" w:rsidR="00636E80" w:rsidRPr="00241D05" w:rsidRDefault="00636E80" w:rsidP="004C7D0A">
                      <w:pPr>
                        <w:pStyle w:val="Caption"/>
                        <w:jc w:val="center"/>
                        <w:rPr>
                          <w:noProof/>
                          <w:lang w:val="sq-AL"/>
                        </w:rPr>
                      </w:pPr>
                      <w:r w:rsidRPr="00241D05">
                        <w:rPr>
                          <w:noProof/>
                          <w:lang w:val="sq-AL"/>
                        </w:rPr>
                        <w:t xml:space="preserve">Figure </w:t>
                      </w:r>
                      <w:r w:rsidRPr="00241D05">
                        <w:rPr>
                          <w:noProof/>
                          <w:lang w:val="sq-AL"/>
                        </w:rPr>
                        <w:fldChar w:fldCharType="begin"/>
                      </w:r>
                      <w:r w:rsidRPr="00241D05">
                        <w:rPr>
                          <w:noProof/>
                          <w:lang w:val="sq-AL"/>
                        </w:rPr>
                        <w:instrText xml:space="preserve"> SEQ Figure \* ARABIC </w:instrText>
                      </w:r>
                      <w:r w:rsidRPr="00241D05">
                        <w:rPr>
                          <w:noProof/>
                          <w:lang w:val="sq-AL"/>
                        </w:rPr>
                        <w:fldChar w:fldCharType="separate"/>
                      </w:r>
                      <w:r>
                        <w:rPr>
                          <w:noProof/>
                          <w:lang w:val="sq-AL"/>
                        </w:rPr>
                        <w:t>19</w:t>
                      </w:r>
                      <w:r w:rsidRPr="00241D05">
                        <w:rPr>
                          <w:noProof/>
                          <w:lang w:val="sq-AL"/>
                        </w:rPr>
                        <w:fldChar w:fldCharType="end"/>
                      </w:r>
                      <w:r w:rsidRPr="00241D05">
                        <w:rPr>
                          <w:noProof/>
                          <w:lang w:val="sq-AL"/>
                        </w:rPr>
                        <w:t xml:space="preserve">: Numri </w:t>
                      </w:r>
                      <w:r>
                        <w:rPr>
                          <w:noProof/>
                          <w:lang w:val="sq-AL"/>
                        </w:rPr>
                        <w:t>i pun</w:t>
                      </w:r>
                      <w:r w:rsidRPr="00241D05">
                        <w:rPr>
                          <w:noProof/>
                          <w:lang w:val="sq-AL"/>
                        </w:rPr>
                        <w:t>ëtorëve</w:t>
                      </w:r>
                    </w:p>
                  </w:txbxContent>
                </v:textbox>
                <w10:wrap type="tight" anchorx="margin"/>
              </v:shape>
            </w:pict>
          </mc:Fallback>
        </mc:AlternateContent>
      </w:r>
      <w:r w:rsidR="00241D05" w:rsidRPr="009E674D">
        <w:rPr>
          <w:noProof/>
        </w:rPr>
        <mc:AlternateContent>
          <mc:Choice Requires="wps">
            <w:drawing>
              <wp:anchor distT="0" distB="0" distL="114300" distR="114300" simplePos="0" relativeHeight="251693056" behindDoc="1" locked="0" layoutInCell="1" allowOverlap="1" wp14:anchorId="1B6BEF00" wp14:editId="16BC8548">
                <wp:simplePos x="0" y="0"/>
                <wp:positionH relativeFrom="margin">
                  <wp:posOffset>3067050</wp:posOffset>
                </wp:positionH>
                <wp:positionV relativeFrom="paragraph">
                  <wp:posOffset>3159125</wp:posOffset>
                </wp:positionV>
                <wp:extent cx="2870200" cy="137795"/>
                <wp:effectExtent l="0" t="0" r="6350" b="0"/>
                <wp:wrapTight wrapText="bothSides">
                  <wp:wrapPolygon edited="0">
                    <wp:start x="0" y="0"/>
                    <wp:lineTo x="0" y="17917"/>
                    <wp:lineTo x="21504" y="17917"/>
                    <wp:lineTo x="21504"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2870200" cy="137795"/>
                        </a:xfrm>
                        <a:prstGeom prst="rect">
                          <a:avLst/>
                        </a:prstGeom>
                        <a:solidFill>
                          <a:prstClr val="white"/>
                        </a:solidFill>
                        <a:ln>
                          <a:noFill/>
                        </a:ln>
                      </wps:spPr>
                      <wps:txbx>
                        <w:txbxContent>
                          <w:p w14:paraId="33DED403" w14:textId="77777777" w:rsidR="00636E80" w:rsidRPr="00241D05" w:rsidRDefault="00636E80" w:rsidP="004C7D0A">
                            <w:pPr>
                              <w:pStyle w:val="Caption"/>
                              <w:jc w:val="center"/>
                              <w:rPr>
                                <w:noProof/>
                                <w:lang w:val="sq-AL"/>
                              </w:rPr>
                            </w:pPr>
                            <w:r w:rsidRPr="00241D05">
                              <w:rPr>
                                <w:lang w:val="sq-AL"/>
                              </w:rPr>
                              <w:t xml:space="preserve">Figure </w:t>
                            </w:r>
                            <w:r w:rsidRPr="00241D05">
                              <w:rPr>
                                <w:lang w:val="sq-AL"/>
                              </w:rPr>
                              <w:fldChar w:fldCharType="begin"/>
                            </w:r>
                            <w:r w:rsidRPr="00241D05">
                              <w:rPr>
                                <w:lang w:val="sq-AL"/>
                              </w:rPr>
                              <w:instrText xml:space="preserve"> SEQ Figure \* ARABIC </w:instrText>
                            </w:r>
                            <w:r w:rsidRPr="00241D05">
                              <w:rPr>
                                <w:lang w:val="sq-AL"/>
                              </w:rPr>
                              <w:fldChar w:fldCharType="separate"/>
                            </w:r>
                            <w:r>
                              <w:rPr>
                                <w:noProof/>
                                <w:lang w:val="sq-AL"/>
                              </w:rPr>
                              <w:t>20</w:t>
                            </w:r>
                            <w:r w:rsidRPr="00241D05">
                              <w:rPr>
                                <w:lang w:val="sq-AL"/>
                              </w:rPr>
                              <w:fldChar w:fldCharType="end"/>
                            </w:r>
                            <w:r w:rsidRPr="00241D05">
                              <w:rPr>
                                <w:lang w:val="sq-AL"/>
                              </w:rPr>
                              <w:t>: Qarkullimi në krahasim me vitin e kaluar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BEF00" id="Text Box 42" o:spid="_x0000_s1068" type="#_x0000_t202" style="position:absolute;left:0;text-align:left;margin-left:241.5pt;margin-top:248.75pt;width:226pt;height:10.85pt;z-index:-251623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" stroked="f">
                <v:textbox inset="0,0,0,0">
                  <w:txbxContent>
                    <w:p w14:paraId="33DED403" w14:textId="77777777" w:rsidR="00636E80" w:rsidRPr="00241D05" w:rsidRDefault="00636E80" w:rsidP="004C7D0A">
                      <w:pPr>
                        <w:pStyle w:val="Caption"/>
                        <w:jc w:val="center"/>
                        <w:rPr>
                          <w:noProof/>
                          <w:lang w:val="sq-AL"/>
                        </w:rPr>
                      </w:pPr>
                      <w:r w:rsidRPr="00241D05">
                        <w:rPr>
                          <w:lang w:val="sq-AL"/>
                        </w:rPr>
                        <w:t xml:space="preserve">Figure </w:t>
                      </w:r>
                      <w:r w:rsidRPr="00241D05">
                        <w:rPr>
                          <w:lang w:val="sq-AL"/>
                        </w:rPr>
                        <w:fldChar w:fldCharType="begin"/>
                      </w:r>
                      <w:r w:rsidRPr="00241D05">
                        <w:rPr>
                          <w:lang w:val="sq-AL"/>
                        </w:rPr>
                        <w:instrText xml:space="preserve"> SEQ Figure \* ARABIC </w:instrText>
                      </w:r>
                      <w:r w:rsidRPr="00241D05">
                        <w:rPr>
                          <w:lang w:val="sq-AL"/>
                        </w:rPr>
                        <w:fldChar w:fldCharType="separate"/>
                      </w:r>
                      <w:r>
                        <w:rPr>
                          <w:noProof/>
                          <w:lang w:val="sq-AL"/>
                        </w:rPr>
                        <w:t>20</w:t>
                      </w:r>
                      <w:r w:rsidRPr="00241D05">
                        <w:rPr>
                          <w:lang w:val="sq-AL"/>
                        </w:rPr>
                        <w:fldChar w:fldCharType="end"/>
                      </w:r>
                      <w:r w:rsidRPr="00241D05">
                        <w:rPr>
                          <w:lang w:val="sq-AL"/>
                        </w:rPr>
                        <w:t>: Qarkullimi në krahasim me vitin e kaluar</w:t>
                      </w:r>
                    </w:p>
                  </w:txbxContent>
                </v:textbox>
                <w10:wrap type="tight" anchorx="margin"/>
              </v:shape>
            </w:pict>
          </mc:Fallback>
        </mc:AlternateContent>
      </w:r>
      <w:r w:rsidR="004C7D0A" w:rsidRPr="009E674D">
        <w:rPr>
          <w:noProof/>
        </w:rPr>
        <mc:AlternateContent>
          <mc:Choice Requires="wps">
            <w:drawing>
              <wp:anchor distT="0" distB="0" distL="114300" distR="114300" simplePos="0" relativeHeight="251682816" behindDoc="1" locked="0" layoutInCell="1" allowOverlap="1" wp14:anchorId="5951CA0F" wp14:editId="31C1966A">
                <wp:simplePos x="0" y="0"/>
                <wp:positionH relativeFrom="margin">
                  <wp:posOffset>-10179</wp:posOffset>
                </wp:positionH>
                <wp:positionV relativeFrom="paragraph">
                  <wp:posOffset>35501</wp:posOffset>
                </wp:positionV>
                <wp:extent cx="2837815" cy="179705"/>
                <wp:effectExtent l="0" t="0" r="635" b="0"/>
                <wp:wrapTight wrapText="bothSides">
                  <wp:wrapPolygon edited="0">
                    <wp:start x="0" y="0"/>
                    <wp:lineTo x="0" y="18318"/>
                    <wp:lineTo x="21460" y="18318"/>
                    <wp:lineTo x="21460"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2837815" cy="179705"/>
                        </a:xfrm>
                        <a:prstGeom prst="rect">
                          <a:avLst/>
                        </a:prstGeom>
                        <a:solidFill>
                          <a:prstClr val="white"/>
                        </a:solidFill>
                        <a:ln>
                          <a:noFill/>
                        </a:ln>
                      </wps:spPr>
                      <wps:txbx>
                        <w:txbxContent>
                          <w:p w14:paraId="4DB4CF70" w14:textId="77777777" w:rsidR="00636E80" w:rsidRPr="006C1A95" w:rsidRDefault="00636E80" w:rsidP="00154D4F">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21</w:t>
                            </w:r>
                            <w:r>
                              <w:rPr>
                                <w:noProof/>
                              </w:rPr>
                              <w:fldChar w:fldCharType="end"/>
                            </w:r>
                            <w:r>
                              <w:t>: Regjioni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1CA0F" id="Text Box 24" o:spid="_x0000_s1069" type="#_x0000_t202" style="position:absolute;left:0;text-align:left;margin-left:-.8pt;margin-top:2.8pt;width:223.45pt;height:14.15pt;z-index:-251633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" stroked="f">
                <v:textbox inset="0,0,0,0">
                  <w:txbxContent>
                    <w:p w14:paraId="4DB4CF70" w14:textId="77777777" w:rsidR="00636E80" w:rsidRPr="006C1A95" w:rsidRDefault="00636E80" w:rsidP="00154D4F">
                      <w:pPr>
                        <w:pStyle w:val="Caption"/>
                        <w:jc w:val="center"/>
                        <w:rPr>
                          <w:noProof/>
                        </w:rPr>
                      </w:pPr>
                      <w:r>
                        <w:t xml:space="preserve">Figura </w:t>
                      </w:r>
                      <w:r>
                        <w:rPr>
                          <w:noProof/>
                        </w:rPr>
                        <w:fldChar w:fldCharType="begin"/>
                      </w:r>
                      <w:r>
                        <w:rPr>
                          <w:noProof/>
                        </w:rPr>
                        <w:instrText xml:space="preserve"> SEQ Figure \* ARABIC </w:instrText>
                      </w:r>
                      <w:r>
                        <w:rPr>
                          <w:noProof/>
                        </w:rPr>
                        <w:fldChar w:fldCharType="separate"/>
                      </w:r>
                      <w:r>
                        <w:rPr>
                          <w:noProof/>
                        </w:rPr>
                        <w:t>21</w:t>
                      </w:r>
                      <w:r>
                        <w:rPr>
                          <w:noProof/>
                        </w:rPr>
                        <w:fldChar w:fldCharType="end"/>
                      </w:r>
                      <w:r>
                        <w:t>: Regjioni</w:t>
                      </w:r>
                    </w:p>
                  </w:txbxContent>
                </v:textbox>
                <w10:wrap type="tight" anchorx="margin"/>
              </v:shape>
            </w:pict>
          </mc:Fallback>
        </mc:AlternateContent>
      </w:r>
      <w:r w:rsidR="00241D05" w:rsidRPr="009E674D">
        <w:rPr>
          <w:lang w:val="sq-AL"/>
        </w:rPr>
        <w:t xml:space="preserve">Rreth e 63% e bizneseve të anketuara deklaruan se kanë 1 deri në 5 punëtorë, 14% </w:t>
      </w:r>
      <w:r w:rsidR="002F793E">
        <w:rPr>
          <w:lang w:val="sq-AL"/>
        </w:rPr>
        <w:t xml:space="preserve">kanë </w:t>
      </w:r>
      <w:r w:rsidR="00241D05" w:rsidRPr="009E674D">
        <w:rPr>
          <w:lang w:val="sq-AL"/>
        </w:rPr>
        <w:t xml:space="preserve">6 deri në 10 punëtorë, 10.5% </w:t>
      </w:r>
      <w:r w:rsidR="002F793E">
        <w:rPr>
          <w:lang w:val="sq-AL"/>
        </w:rPr>
        <w:t xml:space="preserve">kanë </w:t>
      </w:r>
      <w:r w:rsidR="00241D05" w:rsidRPr="009E674D">
        <w:rPr>
          <w:lang w:val="sq-AL"/>
        </w:rPr>
        <w:t>11 deri në 50</w:t>
      </w:r>
      <w:r w:rsidR="002F793E">
        <w:rPr>
          <w:lang w:val="sq-AL"/>
        </w:rPr>
        <w:t xml:space="preserve"> punëtorë</w:t>
      </w:r>
      <w:r w:rsidR="00241D05" w:rsidRPr="009E674D">
        <w:rPr>
          <w:lang w:val="sq-AL"/>
        </w:rPr>
        <w:t>, ndërsa pjesa e mbetur deklaruan se kanë më shumë se 50 punëtorë. Në pyetjen rreth qarkullimit në krahasim me vitin e kaluar, 38.6% e firmave raportuan se kanë performuar shum</w:t>
      </w:r>
      <w:r w:rsidR="00241D05" w:rsidRPr="009E674D">
        <w:rPr>
          <w:noProof/>
          <w:lang w:val="sq-AL"/>
        </w:rPr>
        <w:t xml:space="preserve">ë më mirë ose më mirë, 45% deklaruan se kanë perfomuar më keq ose shumë më keq; pjesa e mbetur (15.8) raportuan se performanca ka qenë e njejtë. </w:t>
      </w:r>
    </w:p>
    <w:p w14:paraId="537F2DB4" w14:textId="18C22A70" w:rsidR="00824EB2" w:rsidRPr="009E674D" w:rsidRDefault="00824EB2" w:rsidP="004C7D0A">
      <w:pPr>
        <w:jc w:val="both"/>
        <w:rPr>
          <w:lang w:val="sq-AL"/>
        </w:rPr>
      </w:pPr>
      <w:r w:rsidRPr="009E674D">
        <w:rPr>
          <w:lang w:val="sq-AL"/>
        </w:rPr>
        <w:lastRenderedPageBreak/>
        <w:t>Ngjashëm si te rasti i komunave, bizneset e anketuara janë ftuar që t’i tregojnë pengesat kryesore që pengojnë zhvillimin ekonomik lokal. Inflacioni/rritja e kostove me 55%, vështirësitë në gjetjen e punëtorëve (mungesa e kualifikimit dhe migrimi) me 39% dhe konkurrenca e padrejtë</w:t>
      </w:r>
      <w:r w:rsidR="00F55F39" w:rsidRPr="009E674D">
        <w:rPr>
          <w:lang w:val="sq-AL"/>
        </w:rPr>
        <w:t xml:space="preserve"> me </w:t>
      </w:r>
      <w:r w:rsidRPr="009E674D">
        <w:rPr>
          <w:lang w:val="sq-AL"/>
        </w:rPr>
        <w:t>32% janë pengesat më të përmendura nga të anketuarit. Për t’i parë pengesat tjera të identifikuara dhe përqindjen e tyre, shih Figurën 22.</w:t>
      </w:r>
    </w:p>
    <w:p w14:paraId="51093884" w14:textId="77777777" w:rsidR="00824EB2" w:rsidRPr="009E674D" w:rsidRDefault="00824EB2" w:rsidP="00824EB2">
      <w:pPr>
        <w:pStyle w:val="Caption"/>
        <w:keepNext/>
        <w:jc w:val="center"/>
        <w:rPr>
          <w:lang w:val="sq-AL"/>
        </w:rPr>
      </w:pPr>
      <w:r w:rsidRPr="009E674D">
        <w:rPr>
          <w:lang w:val="sq-AL"/>
        </w:rPr>
        <w:t xml:space="preserve">Figura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22</w:t>
      </w:r>
      <w:r w:rsidR="00010B8B" w:rsidRPr="009E674D">
        <w:rPr>
          <w:noProof/>
          <w:lang w:val="sq-AL"/>
        </w:rPr>
        <w:fldChar w:fldCharType="end"/>
      </w:r>
      <w:r w:rsidRPr="009E674D">
        <w:rPr>
          <w:lang w:val="sq-AL"/>
        </w:rPr>
        <w:t>: Pengesat kryesore t</w:t>
      </w:r>
      <w:r w:rsidRPr="009E674D">
        <w:rPr>
          <w:noProof/>
          <w:lang w:val="sq-AL"/>
        </w:rPr>
        <w:t xml:space="preserve">ë identifikuara nga bizneset </w:t>
      </w:r>
    </w:p>
    <w:p w14:paraId="69CA0FE5" w14:textId="77777777" w:rsidR="0095463F" w:rsidRPr="009E674D" w:rsidRDefault="00824EB2" w:rsidP="00824EB2">
      <w:pPr>
        <w:jc w:val="center"/>
        <w:rPr>
          <w:lang w:val="sq-AL"/>
        </w:rPr>
      </w:pPr>
      <w:r w:rsidRPr="009E674D">
        <w:rPr>
          <w:noProof/>
        </w:rPr>
        <w:drawing>
          <wp:inline distT="0" distB="0" distL="0" distR="0" wp14:anchorId="6AB428BD" wp14:editId="1C8BB866">
            <wp:extent cx="5684520" cy="2676832"/>
            <wp:effectExtent l="0" t="0" r="11430"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7D0AC45" w14:textId="56CF34E6" w:rsidR="00802F2E" w:rsidRPr="009E674D" w:rsidRDefault="00802F2E" w:rsidP="00387EC8">
      <w:pPr>
        <w:jc w:val="both"/>
        <w:rPr>
          <w:lang w:val="sq-AL"/>
        </w:rPr>
      </w:pPr>
      <w:r w:rsidRPr="009E674D">
        <w:rPr>
          <w:lang w:val="sq-AL"/>
        </w:rPr>
        <w:t>Sikurse te anketa me komuna, një listë e barrierave potenciale të identifikuara paraprakisht</w:t>
      </w:r>
      <w:r w:rsidR="002F793E">
        <w:rPr>
          <w:lang w:val="sq-AL"/>
        </w:rPr>
        <w:t>,</w:t>
      </w:r>
      <w:r w:rsidRPr="009E674D">
        <w:rPr>
          <w:lang w:val="sq-AL"/>
        </w:rPr>
        <w:t xml:space="preserve"> është </w:t>
      </w:r>
      <w:r w:rsidR="002F793E" w:rsidRPr="009E674D">
        <w:rPr>
          <w:lang w:val="sq-AL"/>
        </w:rPr>
        <w:t>ndar</w:t>
      </w:r>
      <w:r w:rsidR="002F793E">
        <w:rPr>
          <w:lang w:val="sq-AL"/>
        </w:rPr>
        <w:t>ë</w:t>
      </w:r>
      <w:r w:rsidR="002F793E" w:rsidRPr="009E674D">
        <w:rPr>
          <w:lang w:val="sq-AL"/>
        </w:rPr>
        <w:t xml:space="preserve"> </w:t>
      </w:r>
      <w:r w:rsidRPr="009E674D">
        <w:rPr>
          <w:lang w:val="sq-AL"/>
        </w:rPr>
        <w:t>edhe me bizneset dhe të njëjtat janë ftuar që ta bëjnë një vlerësim për secilën prej tyre nga 1 deri në 5, ku 1</w:t>
      </w:r>
      <w:r w:rsidR="002F793E">
        <w:rPr>
          <w:lang w:val="sq-AL"/>
        </w:rPr>
        <w:t>-shi</w:t>
      </w:r>
      <w:r w:rsidRPr="009E674D">
        <w:rPr>
          <w:lang w:val="sq-AL"/>
        </w:rPr>
        <w:t xml:space="preserve"> nënkupton që nuk është fare barrierë, ndërsa 5</w:t>
      </w:r>
      <w:r w:rsidR="002F793E">
        <w:rPr>
          <w:lang w:val="sq-AL"/>
        </w:rPr>
        <w:t>-shi</w:t>
      </w:r>
      <w:r w:rsidRPr="009E674D">
        <w:rPr>
          <w:lang w:val="sq-AL"/>
        </w:rPr>
        <w:t xml:space="preserve"> barrierë shumë e madhe. Sipas rezultateve të prodhuara,  konkurrenca e pandershme me mesatare 3.60, pasiguria në investime me 3.51 dhe mbështetja financiare nga komuna për biznesin dhe qëndrueshmëria financiare e biznesit me 3.12 secila dolën të jenë barrierat më serioze. Barrierat tjera janë të paraqitura në Figurën 12. </w:t>
      </w:r>
    </w:p>
    <w:p w14:paraId="6B6D9201" w14:textId="77777777" w:rsidR="00802F2E" w:rsidRPr="009E674D" w:rsidRDefault="00802F2E" w:rsidP="00387EC8">
      <w:pPr>
        <w:pStyle w:val="Caption"/>
        <w:keepNext/>
        <w:jc w:val="center"/>
        <w:rPr>
          <w:lang w:val="sq-AL"/>
        </w:rPr>
      </w:pPr>
      <w:r w:rsidRPr="009E674D">
        <w:rPr>
          <w:lang w:val="sq-AL"/>
        </w:rPr>
        <w:t xml:space="preserve">Figure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23</w:t>
      </w:r>
      <w:r w:rsidR="00010B8B" w:rsidRPr="009E674D">
        <w:rPr>
          <w:noProof/>
          <w:lang w:val="sq-AL"/>
        </w:rPr>
        <w:fldChar w:fldCharType="end"/>
      </w:r>
      <w:r w:rsidR="00387EC8" w:rsidRPr="009E674D">
        <w:rPr>
          <w:lang w:val="sq-AL"/>
        </w:rPr>
        <w:t>: : Vlerësimi dhe rangimi i barrierave potenciale</w:t>
      </w:r>
    </w:p>
    <w:p w14:paraId="65872061" w14:textId="77777777" w:rsidR="00190BA7" w:rsidRPr="009E674D" w:rsidRDefault="00824EB2" w:rsidP="00824EB2">
      <w:pPr>
        <w:jc w:val="center"/>
        <w:rPr>
          <w:lang w:val="sq-AL"/>
        </w:rPr>
      </w:pPr>
      <w:r w:rsidRPr="009E674D">
        <w:rPr>
          <w:noProof/>
        </w:rPr>
        <w:drawing>
          <wp:inline distT="0" distB="0" distL="0" distR="0" wp14:anchorId="372DDD73" wp14:editId="759547AF">
            <wp:extent cx="5713095" cy="2616347"/>
            <wp:effectExtent l="0" t="0" r="1905" b="1270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BF2185C" w14:textId="43466C10" w:rsidR="00387EC8" w:rsidRPr="009E674D" w:rsidRDefault="00387EC8" w:rsidP="00686232">
      <w:pPr>
        <w:jc w:val="both"/>
        <w:rPr>
          <w:lang w:val="sq-AL"/>
        </w:rPr>
      </w:pPr>
      <w:r w:rsidRPr="009E674D">
        <w:rPr>
          <w:lang w:val="sq-AL"/>
        </w:rPr>
        <w:lastRenderedPageBreak/>
        <w:br/>
      </w:r>
      <w:r w:rsidR="00686232" w:rsidRPr="009E674D">
        <w:rPr>
          <w:lang w:val="sq-AL"/>
        </w:rPr>
        <w:t xml:space="preserve">Propozimet e dhëna nga bizneset në lidhje me atë se çka duhet të bëjnë komunat për ta përshpejtuar zhvillimin ekonomik lokal deri në 2030-ën, janë grupuar në mënyrë që të identifikohen propozimet më të rëndësishme. Mbështetja e bizneseve përmes granateve dhe subvencioneve (21%), rregullimi i infrastrukturës së përgjithshme (12%), </w:t>
      </w:r>
      <w:r w:rsidR="002F793E" w:rsidRPr="009E674D">
        <w:rPr>
          <w:lang w:val="sq-AL"/>
        </w:rPr>
        <w:t>ndihm</w:t>
      </w:r>
      <w:r w:rsidR="002F793E">
        <w:rPr>
          <w:lang w:val="sq-AL"/>
        </w:rPr>
        <w:t>a</w:t>
      </w:r>
      <w:r w:rsidR="002F793E" w:rsidRPr="009E674D">
        <w:rPr>
          <w:lang w:val="sq-AL"/>
        </w:rPr>
        <w:t xml:space="preserve"> </w:t>
      </w:r>
      <w:r w:rsidR="00686232" w:rsidRPr="009E674D">
        <w:rPr>
          <w:lang w:val="sq-AL"/>
        </w:rPr>
        <w:t xml:space="preserve">për ngritjen e shkathtësive të fuqisë punëtore (12%) dhe zvogëlimi i ngarkesave tatimore lokale (12%) </w:t>
      </w:r>
      <w:r w:rsidR="00F55F39" w:rsidRPr="009E674D">
        <w:rPr>
          <w:lang w:val="sq-AL"/>
        </w:rPr>
        <w:t>rezultuan</w:t>
      </w:r>
      <w:r w:rsidR="00686232" w:rsidRPr="009E674D">
        <w:rPr>
          <w:lang w:val="sq-AL"/>
        </w:rPr>
        <w:t xml:space="preserve"> të jenë propozimet kryesore nga bizneset e anketuara. Propozimet tjera janë të renditura në Figurën 24.</w:t>
      </w:r>
    </w:p>
    <w:p w14:paraId="619D4335" w14:textId="77777777" w:rsidR="00387EC8" w:rsidRPr="009E674D" w:rsidRDefault="00387EC8" w:rsidP="00387EC8">
      <w:pPr>
        <w:pStyle w:val="Caption"/>
        <w:keepNext/>
        <w:jc w:val="center"/>
        <w:rPr>
          <w:lang w:val="sq-AL"/>
        </w:rPr>
      </w:pPr>
      <w:r w:rsidRPr="009E674D">
        <w:rPr>
          <w:lang w:val="sq-AL"/>
        </w:rPr>
        <w:t xml:space="preserve">Figure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24</w:t>
      </w:r>
      <w:r w:rsidR="00010B8B" w:rsidRPr="009E674D">
        <w:rPr>
          <w:noProof/>
          <w:lang w:val="sq-AL"/>
        </w:rPr>
        <w:fldChar w:fldCharType="end"/>
      </w:r>
      <w:r w:rsidRPr="009E674D">
        <w:rPr>
          <w:lang w:val="sq-AL"/>
        </w:rPr>
        <w:t>: Propozimet për nivelin komunal për ta përshpejtuar zhvillimin ekonomik nëpër komuna deri në 2030-ën</w:t>
      </w:r>
    </w:p>
    <w:p w14:paraId="69283486" w14:textId="77777777" w:rsidR="003A236F" w:rsidRPr="009E674D" w:rsidRDefault="00387EC8" w:rsidP="00387EC8">
      <w:pPr>
        <w:spacing w:before="120" w:after="0"/>
        <w:jc w:val="center"/>
        <w:rPr>
          <w:lang w:val="sq-AL"/>
        </w:rPr>
      </w:pPr>
      <w:r w:rsidRPr="009E674D">
        <w:rPr>
          <w:noProof/>
        </w:rPr>
        <w:drawing>
          <wp:inline distT="0" distB="0" distL="0" distR="0" wp14:anchorId="7AEC0CA4" wp14:editId="4CADEA63">
            <wp:extent cx="5542915" cy="2632587"/>
            <wp:effectExtent l="0" t="0" r="635" b="1587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673E494" w14:textId="137BB71C" w:rsidR="00686232" w:rsidRPr="009E674D" w:rsidRDefault="0075730D" w:rsidP="0075730D">
      <w:pPr>
        <w:jc w:val="both"/>
        <w:rPr>
          <w:lang w:val="sq-AL"/>
        </w:rPr>
      </w:pPr>
      <w:r w:rsidRPr="009E674D">
        <w:rPr>
          <w:lang w:val="sq-AL"/>
        </w:rPr>
        <w:br/>
        <w:t>Propozimet për niveli</w:t>
      </w:r>
      <w:r w:rsidR="002F793E">
        <w:rPr>
          <w:lang w:val="sq-AL"/>
        </w:rPr>
        <w:t>n</w:t>
      </w:r>
      <w:r w:rsidRPr="009E674D">
        <w:rPr>
          <w:lang w:val="sq-AL"/>
        </w:rPr>
        <w:t xml:space="preserve"> qendror për ta përshpejtuar zhvillimin ekonomik lokal deri në 2030-ën, gjithashtu janë grupuar dhe renditur në Figurën 14. Fonde</w:t>
      </w:r>
      <w:r w:rsidR="00372399">
        <w:rPr>
          <w:lang w:val="sq-AL"/>
        </w:rPr>
        <w:t>t</w:t>
      </w:r>
      <w:r w:rsidRPr="009E674D">
        <w:rPr>
          <w:lang w:val="sq-AL"/>
        </w:rPr>
        <w:t xml:space="preserve"> për mbështetjen e sektorit privat (26%)</w:t>
      </w:r>
      <w:r w:rsidR="00372399">
        <w:rPr>
          <w:lang w:val="sq-AL"/>
        </w:rPr>
        <w:t>,</w:t>
      </w:r>
      <w:r w:rsidR="00636E80">
        <w:rPr>
          <w:lang w:val="sq-AL"/>
        </w:rPr>
        <w:t xml:space="preserve"> </w:t>
      </w:r>
      <w:r w:rsidRPr="009E674D">
        <w:rPr>
          <w:lang w:val="sq-AL"/>
        </w:rPr>
        <w:t>luftimi i korrupsionit dhe informalitetit (11%)</w:t>
      </w:r>
      <w:r w:rsidR="00372399">
        <w:rPr>
          <w:lang w:val="sq-AL"/>
        </w:rPr>
        <w:t>, si</w:t>
      </w:r>
      <w:r w:rsidRPr="009E674D">
        <w:rPr>
          <w:lang w:val="sq-AL"/>
        </w:rPr>
        <w:t xml:space="preserve"> dhe krijimi i mundësive për ngritje të shkathtësive tek të rinjtë </w:t>
      </w:r>
      <w:r w:rsidR="00F55F39" w:rsidRPr="009E674D">
        <w:rPr>
          <w:lang w:val="sq-AL"/>
        </w:rPr>
        <w:t xml:space="preserve">(7%) </w:t>
      </w:r>
      <w:r w:rsidRPr="009E674D">
        <w:rPr>
          <w:lang w:val="sq-AL"/>
        </w:rPr>
        <w:t>janë tri propozimet më të shpeshta nga bizneset e anketuara.</w:t>
      </w:r>
    </w:p>
    <w:p w14:paraId="6714CAD2" w14:textId="77777777" w:rsidR="00686232" w:rsidRPr="009E674D" w:rsidRDefault="00686232" w:rsidP="00686232">
      <w:pPr>
        <w:pStyle w:val="Caption"/>
        <w:keepNext/>
        <w:jc w:val="center"/>
        <w:rPr>
          <w:lang w:val="sq-AL"/>
        </w:rPr>
      </w:pPr>
      <w:r w:rsidRPr="009E674D">
        <w:rPr>
          <w:lang w:val="sq-AL"/>
        </w:rPr>
        <w:t xml:space="preserve">Figure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25</w:t>
      </w:r>
      <w:r w:rsidR="00010B8B" w:rsidRPr="009E674D">
        <w:rPr>
          <w:noProof/>
          <w:lang w:val="sq-AL"/>
        </w:rPr>
        <w:fldChar w:fldCharType="end"/>
      </w:r>
      <w:r w:rsidRPr="009E674D">
        <w:rPr>
          <w:lang w:val="sq-AL"/>
        </w:rPr>
        <w:t xml:space="preserve">: </w:t>
      </w:r>
      <w:r w:rsidR="0075730D" w:rsidRPr="009E674D">
        <w:rPr>
          <w:lang w:val="sq-AL"/>
        </w:rPr>
        <w:t>Propozimet për nivelin qendror për ta përshpejtuar zhvillimin ekonomik nëpër komuna deri në 2030-ën</w:t>
      </w:r>
    </w:p>
    <w:p w14:paraId="23B5B7F4" w14:textId="77777777" w:rsidR="0075730D" w:rsidRPr="009E674D" w:rsidRDefault="00686232" w:rsidP="00686232">
      <w:pPr>
        <w:jc w:val="center"/>
        <w:rPr>
          <w:lang w:val="sq-AL"/>
        </w:rPr>
      </w:pPr>
      <w:r w:rsidRPr="009E674D">
        <w:rPr>
          <w:noProof/>
        </w:rPr>
        <w:drawing>
          <wp:inline distT="0" distB="0" distL="0" distR="0" wp14:anchorId="4705A6B7" wp14:editId="3ED990A6">
            <wp:extent cx="5788660" cy="2566220"/>
            <wp:effectExtent l="0" t="0" r="2540" b="571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D5EC111" w14:textId="49C31F51" w:rsidR="00215D80" w:rsidRPr="009E674D" w:rsidRDefault="0075730D" w:rsidP="0075730D">
      <w:pPr>
        <w:rPr>
          <w:lang w:val="sq-AL"/>
        </w:rPr>
      </w:pPr>
      <w:r w:rsidRPr="009E674D">
        <w:rPr>
          <w:lang w:val="sq-AL"/>
        </w:rPr>
        <w:lastRenderedPageBreak/>
        <w:t xml:space="preserve">Në pyetjen rreth grupeve më të cenueshme ekonomikisht në komunën përkatëse, më të përmendurat ishin:  bizneset e vogla dhe të reja, veprimtaritë artizanale, të rinjtë dhe </w:t>
      </w:r>
      <w:r w:rsidR="00372399">
        <w:rPr>
          <w:lang w:val="sq-AL"/>
        </w:rPr>
        <w:t>komunitetet romë, ashkali dhe egjiptianë</w:t>
      </w:r>
      <w:r w:rsidRPr="009E674D">
        <w:rPr>
          <w:lang w:val="sq-AL"/>
        </w:rPr>
        <w:t>.</w:t>
      </w:r>
    </w:p>
    <w:p w14:paraId="07217036" w14:textId="77777777" w:rsidR="00215D80" w:rsidRPr="009E674D" w:rsidRDefault="00215D80" w:rsidP="00F55F39">
      <w:pPr>
        <w:jc w:val="both"/>
        <w:rPr>
          <w:lang w:val="sq-AL"/>
        </w:rPr>
      </w:pPr>
      <w:r w:rsidRPr="009E674D">
        <w:rPr>
          <w:lang w:val="sq-AL"/>
        </w:rPr>
        <w:t>Nga anketa del se 56.1% e bizneseve hasin në vështirësi në gjetjen e punëtorëve</w:t>
      </w:r>
      <w:r w:rsidR="00F55F39" w:rsidRPr="009E674D">
        <w:rPr>
          <w:lang w:val="sq-AL"/>
        </w:rPr>
        <w:t xml:space="preserve"> (Figura 26)</w:t>
      </w:r>
      <w:r w:rsidRPr="009E674D">
        <w:rPr>
          <w:lang w:val="sq-AL"/>
        </w:rPr>
        <w:t xml:space="preserve">. Disa nga profilet të cilat mungojnë më së shumti, sipas tyre, janë: salduesit, inxhinierët softuerik me përvojë, operatorët e pajisjeve, axhustatorët, etj. </w:t>
      </w:r>
    </w:p>
    <w:p w14:paraId="28DA8296" w14:textId="77777777" w:rsidR="00215D80" w:rsidRPr="009E674D" w:rsidRDefault="00215D80" w:rsidP="00215D80">
      <w:pPr>
        <w:pStyle w:val="Caption"/>
        <w:keepNext/>
        <w:jc w:val="center"/>
        <w:rPr>
          <w:lang w:val="sq-AL"/>
        </w:rPr>
      </w:pPr>
      <w:r w:rsidRPr="009E674D">
        <w:rPr>
          <w:lang w:val="sq-AL"/>
        </w:rPr>
        <w:t xml:space="preserve">Figura </w:t>
      </w:r>
      <w:r w:rsidRPr="009E674D">
        <w:rPr>
          <w:lang w:val="sq-AL"/>
        </w:rPr>
        <w:fldChar w:fldCharType="begin"/>
      </w:r>
      <w:r w:rsidRPr="009E674D">
        <w:rPr>
          <w:lang w:val="sq-AL"/>
        </w:rPr>
        <w:instrText xml:space="preserve"> SEQ Figure \* ARABIC </w:instrText>
      </w:r>
      <w:r w:rsidRPr="009E674D">
        <w:rPr>
          <w:lang w:val="sq-AL"/>
        </w:rPr>
        <w:fldChar w:fldCharType="separate"/>
      </w:r>
      <w:r w:rsidR="0071258E" w:rsidRPr="009E674D">
        <w:rPr>
          <w:noProof/>
          <w:lang w:val="sq-AL"/>
        </w:rPr>
        <w:t>26</w:t>
      </w:r>
      <w:r w:rsidRPr="009E674D">
        <w:rPr>
          <w:lang w:val="sq-AL"/>
        </w:rPr>
        <w:fldChar w:fldCharType="end"/>
      </w:r>
      <w:r w:rsidRPr="009E674D">
        <w:rPr>
          <w:lang w:val="sq-AL"/>
        </w:rPr>
        <w:t>: Vështirësitë në gjetjen e punëtorëve</w:t>
      </w:r>
    </w:p>
    <w:p w14:paraId="61D08C75" w14:textId="77777777" w:rsidR="00215D80" w:rsidRPr="009E674D" w:rsidRDefault="00215D80" w:rsidP="00215D80">
      <w:pPr>
        <w:jc w:val="center"/>
        <w:rPr>
          <w:lang w:val="sq-AL"/>
        </w:rPr>
      </w:pPr>
      <w:r w:rsidRPr="009E674D">
        <w:rPr>
          <w:noProof/>
        </w:rPr>
        <w:drawing>
          <wp:inline distT="0" distB="0" distL="0" distR="0" wp14:anchorId="3B8F05CC" wp14:editId="78DE469C">
            <wp:extent cx="2660650" cy="2139950"/>
            <wp:effectExtent l="0" t="0" r="12700" b="12700"/>
            <wp:docPr id="54" name="Chart 54">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8A947C9" w14:textId="03D15952" w:rsidR="00686232" w:rsidRPr="009E674D" w:rsidRDefault="00334B7A" w:rsidP="00334B7A">
      <w:pPr>
        <w:jc w:val="both"/>
        <w:rPr>
          <w:lang w:val="sq-AL"/>
        </w:rPr>
      </w:pPr>
      <w:r w:rsidRPr="009E674D">
        <w:rPr>
          <w:noProof/>
        </w:rPr>
        <mc:AlternateContent>
          <mc:Choice Requires="wps">
            <w:drawing>
              <wp:anchor distT="0" distB="0" distL="114300" distR="114300" simplePos="0" relativeHeight="251696128" behindDoc="1" locked="0" layoutInCell="1" allowOverlap="1" wp14:anchorId="0247D745" wp14:editId="191A2AA4">
                <wp:simplePos x="0" y="0"/>
                <wp:positionH relativeFrom="column">
                  <wp:posOffset>44450</wp:posOffset>
                </wp:positionH>
                <wp:positionV relativeFrom="paragraph">
                  <wp:posOffset>1390650</wp:posOffset>
                </wp:positionV>
                <wp:extent cx="2813050" cy="165100"/>
                <wp:effectExtent l="0" t="0" r="6350" b="6350"/>
                <wp:wrapTight wrapText="bothSides">
                  <wp:wrapPolygon edited="0">
                    <wp:start x="0" y="0"/>
                    <wp:lineTo x="0" y="19938"/>
                    <wp:lineTo x="21502" y="19938"/>
                    <wp:lineTo x="21502"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2813050" cy="165100"/>
                        </a:xfrm>
                        <a:prstGeom prst="rect">
                          <a:avLst/>
                        </a:prstGeom>
                        <a:solidFill>
                          <a:prstClr val="white"/>
                        </a:solidFill>
                        <a:ln>
                          <a:noFill/>
                        </a:ln>
                      </wps:spPr>
                      <wps:txbx>
                        <w:txbxContent>
                          <w:p w14:paraId="4D8938E5" w14:textId="77777777" w:rsidR="00636E80" w:rsidRPr="007A390A" w:rsidRDefault="00636E80" w:rsidP="00334B7A">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27</w:t>
                            </w:r>
                            <w:r>
                              <w:rPr>
                                <w:noProof/>
                              </w:rPr>
                              <w:fldChar w:fldCharType="end"/>
                            </w:r>
                            <w:r>
                              <w:t>: Vlerësimi i migrimit si problem për nivelin komunal</w:t>
                            </w:r>
                          </w:p>
                          <w:p w14:paraId="24587745" w14:textId="77777777" w:rsidR="00636E80" w:rsidRPr="006D59C5" w:rsidRDefault="00636E80" w:rsidP="00334B7A">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7D745" id="Text Box 60" o:spid="_x0000_s1070" type="#_x0000_t202" style="position:absolute;left:0;text-align:left;margin-left:3.5pt;margin-top:109.5pt;width:221.5pt;height:13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" stroked="f">
                <v:textbox inset="0,0,0,0">
                  <w:txbxContent>
                    <w:p w14:paraId="4D8938E5" w14:textId="77777777" w:rsidR="00636E80" w:rsidRPr="007A390A" w:rsidRDefault="00636E80" w:rsidP="00334B7A">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27</w:t>
                      </w:r>
                      <w:r>
                        <w:rPr>
                          <w:noProof/>
                        </w:rPr>
                        <w:fldChar w:fldCharType="end"/>
                      </w:r>
                      <w:r>
                        <w:t>: Vlerësimi i migrimit si problem për nivelin komunal</w:t>
                      </w:r>
                    </w:p>
                    <w:p w14:paraId="24587745" w14:textId="77777777" w:rsidR="00636E80" w:rsidRPr="006D59C5" w:rsidRDefault="00636E80" w:rsidP="00334B7A">
                      <w:pPr>
                        <w:pStyle w:val="Caption"/>
                        <w:rPr>
                          <w:noProof/>
                        </w:rPr>
                      </w:pPr>
                    </w:p>
                  </w:txbxContent>
                </v:textbox>
                <w10:wrap type="tight"/>
              </v:shape>
            </w:pict>
          </mc:Fallback>
        </mc:AlternateContent>
      </w:r>
      <w:r w:rsidR="00215D80" w:rsidRPr="009E674D">
        <w:rPr>
          <w:lang w:val="sq-AL"/>
        </w:rPr>
        <w:t>Për pjesë</w:t>
      </w:r>
      <w:r w:rsidRPr="009E674D">
        <w:rPr>
          <w:lang w:val="sq-AL"/>
        </w:rPr>
        <w:t>n</w:t>
      </w:r>
      <w:r w:rsidR="00215D80" w:rsidRPr="009E674D">
        <w:rPr>
          <w:lang w:val="sq-AL"/>
        </w:rPr>
        <w:t xml:space="preserve"> më të madhe të biznese</w:t>
      </w:r>
      <w:r w:rsidR="00372399">
        <w:rPr>
          <w:lang w:val="sq-AL"/>
        </w:rPr>
        <w:t>ve</w:t>
      </w:r>
      <w:r w:rsidR="00215D80" w:rsidRPr="009E674D">
        <w:rPr>
          <w:lang w:val="sq-AL"/>
        </w:rPr>
        <w:t xml:space="preserve"> të anketuara (86.0%)</w:t>
      </w:r>
      <w:r w:rsidR="00372399">
        <w:rPr>
          <w:lang w:val="sq-AL"/>
        </w:rPr>
        <w:t>,</w:t>
      </w:r>
      <w:r w:rsidR="00215D80" w:rsidRPr="009E674D">
        <w:rPr>
          <w:lang w:val="sq-AL"/>
        </w:rPr>
        <w:t xml:space="preserve"> migrimi i popullatës është “problem shumë i madh” ose “problem i madh”. </w:t>
      </w:r>
      <w:r w:rsidRPr="009E674D">
        <w:rPr>
          <w:lang w:val="sq-AL"/>
        </w:rPr>
        <w:t>Një përqindje shumë e vogël (15.8%) e bizneseve thonë se kanë shoqata lokale</w:t>
      </w:r>
      <w:r w:rsidR="00372399">
        <w:rPr>
          <w:lang w:val="sq-AL"/>
        </w:rPr>
        <w:t>,</w:t>
      </w:r>
      <w:r w:rsidRPr="009E674D">
        <w:rPr>
          <w:lang w:val="sq-AL"/>
        </w:rPr>
        <w:t xml:space="preserve"> të cilat i përfaqësojnë interesat e tyre ekonomike. Pjesa dërrmuese kanë deklaruar se komuna e tyre nuk ka shoqatë të tillë ose nuk janë në dijeni për këtë. Edhe ato pak biznese që thonë se komuna e tyre ka shoqata të tilla, kur janë ftuar që t’i identifikojnë ato, u janë referuar atyre të nivelit qendror. Nga kjo e dhënë mund të arrihet në përfundim se shumë pak komuna kanë shoqata të biznesit të nivelit lokal dhe se ato të cilat kanë</w:t>
      </w:r>
      <w:r w:rsidR="00372399">
        <w:rPr>
          <w:lang w:val="sq-AL"/>
        </w:rPr>
        <w:t>,</w:t>
      </w:r>
      <w:r w:rsidRPr="009E674D">
        <w:rPr>
          <w:lang w:val="sq-AL"/>
        </w:rPr>
        <w:t xml:space="preserve"> nuk janë shumë aktive që bizneset të jenë të informuara për aktivitetin e tyre. </w:t>
      </w:r>
    </w:p>
    <w:p w14:paraId="3133B759" w14:textId="77777777" w:rsidR="00334B7A" w:rsidRPr="009E674D" w:rsidRDefault="00334B7A" w:rsidP="00334B7A">
      <w:pPr>
        <w:pStyle w:val="Caption"/>
        <w:jc w:val="center"/>
        <w:rPr>
          <w:noProof/>
          <w:lang w:val="sq-AL"/>
        </w:rPr>
      </w:pPr>
      <w:r w:rsidRPr="009E674D">
        <w:rPr>
          <w:noProof/>
        </w:rPr>
        <w:drawing>
          <wp:anchor distT="0" distB="0" distL="114300" distR="114300" simplePos="0" relativeHeight="251694080" behindDoc="1" locked="0" layoutInCell="1" allowOverlap="1" wp14:anchorId="1BE28E61" wp14:editId="5D7CDD94">
            <wp:simplePos x="0" y="0"/>
            <wp:positionH relativeFrom="margin">
              <wp:posOffset>-44450</wp:posOffset>
            </wp:positionH>
            <wp:positionV relativeFrom="paragraph">
              <wp:posOffset>267335</wp:posOffset>
            </wp:positionV>
            <wp:extent cx="3022600" cy="2597150"/>
            <wp:effectExtent l="0" t="0" r="6350" b="12700"/>
            <wp:wrapTight wrapText="bothSides">
              <wp:wrapPolygon edited="0">
                <wp:start x="0" y="0"/>
                <wp:lineTo x="0" y="21547"/>
                <wp:lineTo x="21509" y="21547"/>
                <wp:lineTo x="21509" y="0"/>
                <wp:lineTo x="0" y="0"/>
              </wp:wrapPolygon>
            </wp:wrapTight>
            <wp:docPr id="58" name="Chart 58">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Pr="009E674D">
        <w:rPr>
          <w:lang w:val="sq-AL"/>
        </w:rPr>
        <w:t xml:space="preserve">Figure </w:t>
      </w:r>
      <w:r w:rsidR="00010B8B" w:rsidRPr="009E674D">
        <w:rPr>
          <w:lang w:val="sq-AL"/>
        </w:rPr>
        <w:fldChar w:fldCharType="begin"/>
      </w:r>
      <w:r w:rsidR="00010B8B" w:rsidRPr="009E674D">
        <w:rPr>
          <w:lang w:val="sq-AL"/>
        </w:rPr>
        <w:instrText xml:space="preserve"> SEQ Figure \* ARABIC </w:instrText>
      </w:r>
      <w:r w:rsidR="00010B8B" w:rsidRPr="009E674D">
        <w:rPr>
          <w:lang w:val="sq-AL"/>
        </w:rPr>
        <w:fldChar w:fldCharType="separate"/>
      </w:r>
      <w:r w:rsidR="0071258E" w:rsidRPr="009E674D">
        <w:rPr>
          <w:noProof/>
          <w:lang w:val="sq-AL"/>
        </w:rPr>
        <w:t>28</w:t>
      </w:r>
      <w:r w:rsidR="00010B8B" w:rsidRPr="009E674D">
        <w:rPr>
          <w:noProof/>
          <w:lang w:val="sq-AL"/>
        </w:rPr>
        <w:fldChar w:fldCharType="end"/>
      </w:r>
      <w:r w:rsidR="00354A66" w:rsidRPr="009E674D">
        <w:rPr>
          <w:lang w:val="sq-AL"/>
        </w:rPr>
        <w:t>: Shoqatat e biznesnit n</w:t>
      </w:r>
      <w:r w:rsidR="0059254F" w:rsidRPr="009E674D">
        <w:rPr>
          <w:lang w:val="sq-AL"/>
        </w:rPr>
        <w:t>ë</w:t>
      </w:r>
      <w:r w:rsidR="00354A66" w:rsidRPr="009E674D">
        <w:rPr>
          <w:lang w:val="sq-AL"/>
        </w:rPr>
        <w:t xml:space="preserve"> nivelin komunal</w:t>
      </w:r>
    </w:p>
    <w:p w14:paraId="280D9631" w14:textId="77777777" w:rsidR="0075730D" w:rsidRPr="009E674D" w:rsidRDefault="00215D80" w:rsidP="00EE3F80">
      <w:pPr>
        <w:spacing w:before="120" w:after="0"/>
        <w:jc w:val="both"/>
        <w:rPr>
          <w:lang w:val="sq-AL"/>
        </w:rPr>
        <w:sectPr w:rsidR="0075730D" w:rsidRPr="009E674D" w:rsidSect="00AE4C40">
          <w:pgSz w:w="12240" w:h="15840"/>
          <w:pgMar w:top="1440" w:right="1440" w:bottom="1440" w:left="1440" w:header="720" w:footer="720" w:gutter="0"/>
          <w:cols w:space="720"/>
          <w:titlePg/>
          <w:docGrid w:linePitch="360"/>
        </w:sectPr>
      </w:pPr>
      <w:r w:rsidRPr="009E674D">
        <w:rPr>
          <w:noProof/>
        </w:rPr>
        <w:drawing>
          <wp:anchor distT="0" distB="0" distL="114300" distR="114300" simplePos="0" relativeHeight="251697152" behindDoc="1" locked="0" layoutInCell="1" allowOverlap="1" wp14:anchorId="1A4D5567" wp14:editId="23D213B5">
            <wp:simplePos x="0" y="0"/>
            <wp:positionH relativeFrom="margin">
              <wp:posOffset>3037840</wp:posOffset>
            </wp:positionH>
            <wp:positionV relativeFrom="paragraph">
              <wp:posOffset>10160</wp:posOffset>
            </wp:positionV>
            <wp:extent cx="3052445" cy="2602865"/>
            <wp:effectExtent l="0" t="0" r="14605" b="6985"/>
            <wp:wrapTight wrapText="bothSides">
              <wp:wrapPolygon edited="0">
                <wp:start x="0" y="0"/>
                <wp:lineTo x="0" y="21500"/>
                <wp:lineTo x="21569" y="21500"/>
                <wp:lineTo x="21569" y="0"/>
                <wp:lineTo x="0" y="0"/>
              </wp:wrapPolygon>
            </wp:wrapTight>
            <wp:docPr id="59" name="Chart 59">
              <a:extLst xmlns:a="http://schemas.openxmlformats.org/drawingml/2006/main">
                <a:ext uri="{FF2B5EF4-FFF2-40B4-BE49-F238E27FC236}">
                  <a16:creationId xmlns:a16="http://schemas.microsoft.com/office/drawing/2014/main" id="{C3984EA6-2139-46B8-BCDF-EF8A4B932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tbl>
      <w:tblPr>
        <w:tblStyle w:val="GridTable1Light-Accent5"/>
        <w:tblW w:w="0" w:type="auto"/>
        <w:tblLayout w:type="fixed"/>
        <w:tblLook w:val="04A0" w:firstRow="1" w:lastRow="0" w:firstColumn="1" w:lastColumn="0" w:noHBand="0" w:noVBand="1"/>
      </w:tblPr>
      <w:tblGrid>
        <w:gridCol w:w="1525"/>
        <w:gridCol w:w="1980"/>
        <w:gridCol w:w="900"/>
        <w:gridCol w:w="5580"/>
        <w:gridCol w:w="2965"/>
      </w:tblGrid>
      <w:tr w:rsidR="00BB2408" w:rsidRPr="009E674D" w14:paraId="54BF9D09" w14:textId="77777777" w:rsidTr="001D5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2C47ACDE" w14:textId="77777777" w:rsidR="00BB2408" w:rsidRPr="009E674D" w:rsidRDefault="00BB2408" w:rsidP="00BB2408">
            <w:pPr>
              <w:pStyle w:val="Heading2"/>
              <w:outlineLvl w:val="1"/>
              <w:rPr>
                <w:b w:val="0"/>
                <w:lang w:val="sq-AL"/>
              </w:rPr>
            </w:pPr>
            <w:bookmarkStart w:id="40" w:name="_Toc132188453"/>
            <w:r w:rsidRPr="009E674D">
              <w:rPr>
                <w:b w:val="0"/>
                <w:lang w:val="sq-AL"/>
              </w:rPr>
              <w:lastRenderedPageBreak/>
              <w:t>Përmbledhje e raporteve relevante</w:t>
            </w:r>
            <w:bookmarkEnd w:id="40"/>
          </w:p>
        </w:tc>
      </w:tr>
      <w:tr w:rsidR="007F27E8" w:rsidRPr="009E674D" w14:paraId="57C133B4" w14:textId="77777777" w:rsidTr="0095463F">
        <w:tc>
          <w:tcPr>
            <w:cnfStyle w:val="001000000000" w:firstRow="0" w:lastRow="0" w:firstColumn="1" w:lastColumn="0" w:oddVBand="0" w:evenVBand="0" w:oddHBand="0" w:evenHBand="0" w:firstRowFirstColumn="0" w:firstRowLastColumn="0" w:lastRowFirstColumn="0" w:lastRowLastColumn="0"/>
            <w:tcW w:w="1525" w:type="dxa"/>
          </w:tcPr>
          <w:p w14:paraId="55F83AAF" w14:textId="77777777" w:rsidR="007F27E8" w:rsidRPr="009E674D" w:rsidRDefault="007F27E8" w:rsidP="0095463F">
            <w:pPr>
              <w:rPr>
                <w:lang w:val="sq-AL"/>
              </w:rPr>
            </w:pPr>
            <w:r w:rsidRPr="009E674D">
              <w:rPr>
                <w:lang w:val="sq-AL"/>
              </w:rPr>
              <w:t xml:space="preserve">Emri i institucionit </w:t>
            </w:r>
          </w:p>
        </w:tc>
        <w:tc>
          <w:tcPr>
            <w:tcW w:w="1980" w:type="dxa"/>
          </w:tcPr>
          <w:p w14:paraId="2EF0324D"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Titulli i raportit/studimit</w:t>
            </w:r>
          </w:p>
        </w:tc>
        <w:tc>
          <w:tcPr>
            <w:tcW w:w="900" w:type="dxa"/>
          </w:tcPr>
          <w:p w14:paraId="4FC68EEF"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Viti</w:t>
            </w:r>
          </w:p>
        </w:tc>
        <w:tc>
          <w:tcPr>
            <w:tcW w:w="5580" w:type="dxa"/>
          </w:tcPr>
          <w:p w14:paraId="0F66544C"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 xml:space="preserve">Informata te nevojshme </w:t>
            </w:r>
          </w:p>
        </w:tc>
        <w:tc>
          <w:tcPr>
            <w:tcW w:w="2965" w:type="dxa"/>
          </w:tcPr>
          <w:p w14:paraId="63BCA98B"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Referenca</w:t>
            </w:r>
          </w:p>
        </w:tc>
      </w:tr>
      <w:tr w:rsidR="007F27E8" w:rsidRPr="009E674D" w14:paraId="0B6F28CD" w14:textId="77777777" w:rsidTr="0095463F">
        <w:trPr>
          <w:trHeight w:val="1142"/>
        </w:trPr>
        <w:tc>
          <w:tcPr>
            <w:cnfStyle w:val="001000000000" w:firstRow="0" w:lastRow="0" w:firstColumn="1" w:lastColumn="0" w:oddVBand="0" w:evenVBand="0" w:oddHBand="0" w:evenHBand="0" w:firstRowFirstColumn="0" w:firstRowLastColumn="0" w:lastRowFirstColumn="0" w:lastRowLastColumn="0"/>
            <w:tcW w:w="1525" w:type="dxa"/>
          </w:tcPr>
          <w:p w14:paraId="29E9640C" w14:textId="77777777" w:rsidR="007F27E8" w:rsidRPr="009E674D" w:rsidRDefault="007F27E8" w:rsidP="0095463F">
            <w:pPr>
              <w:rPr>
                <w:lang w:val="sq-AL"/>
              </w:rPr>
            </w:pPr>
            <w:r w:rsidRPr="009E674D">
              <w:rPr>
                <w:lang w:val="sq-AL"/>
              </w:rPr>
              <w:t>Oda Ekonomike e Kosovës</w:t>
            </w:r>
          </w:p>
        </w:tc>
        <w:tc>
          <w:tcPr>
            <w:tcW w:w="1980" w:type="dxa"/>
          </w:tcPr>
          <w:p w14:paraId="79AFEA29"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Mungesa e fuqisë punëtore të</w:t>
            </w:r>
          </w:p>
          <w:p w14:paraId="6CB723DF"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kualifikuar – sidë për</w:t>
            </w:r>
          </w:p>
          <w:p w14:paraId="48E82151"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bizneset</w:t>
            </w:r>
          </w:p>
        </w:tc>
        <w:tc>
          <w:tcPr>
            <w:tcW w:w="900" w:type="dxa"/>
          </w:tcPr>
          <w:p w14:paraId="0C52EB48" w14:textId="77777777" w:rsidR="007F27E8" w:rsidRPr="009E674D" w:rsidRDefault="006076AC"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2018</w:t>
            </w:r>
          </w:p>
        </w:tc>
        <w:tc>
          <w:tcPr>
            <w:tcW w:w="5580" w:type="dxa"/>
          </w:tcPr>
          <w:p w14:paraId="6418EE3D"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 xml:space="preserve">82.4% e ndërmarrjeve në Kosovë e kanë të vështirë të gjejnë punëtorë të kualifikuar. </w:t>
            </w:r>
          </w:p>
          <w:p w14:paraId="2B788622"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49BE9660"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Në pyetjen për preferencat që kanë ndërmarrjet për profesione të caktuara, rezultatet kanë</w:t>
            </w:r>
          </w:p>
          <w:p w14:paraId="2F9BBA6A" w14:textId="0AC63646"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treguar se 15 profesionet më të kërkuara që lidhen me nevojat e bizneseve janë: kontabilist, hulumtues tregu, agjent distributor i shitjes, furnizues për stoqet e mallrave, saldues, dizajner i enterierit, teknolog i ushqimit, operues dhe serviser i makinave prodhuese, kuzhinier, elektriko/hidro/termo Instalues, automekanik, arkitekt, strukturues metali, përpunues i drurit, dizajner i tekstilit.</w:t>
            </w:r>
          </w:p>
          <w:p w14:paraId="044B50AC"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586299FE"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61.6% e ndërmarrjeve nuk bashkëpunojnë fare me fakultete, shkolla profesionale, qendra trajnuese apo qendra të punësimit. Faktorët: mos interesimi nga ana e institucioneve arsimore për bashkëpunim me ndërmarrje, pengimi i vizitave të kandidatëve në procesin e punës, angazhimi i një mentori për monitorimin e kandidatëve, siguria dhe shëndeti në punë dhe paqartësitë në bashkëpunim.</w:t>
            </w:r>
          </w:p>
          <w:p w14:paraId="59BA985D"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tc>
        <w:tc>
          <w:tcPr>
            <w:tcW w:w="2965" w:type="dxa"/>
          </w:tcPr>
          <w:p w14:paraId="6674019F"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https://</w:t>
            </w:r>
            <w:r w:rsidR="00BB2408" w:rsidRPr="009E674D">
              <w:rPr>
                <w:lang w:val="sq-AL"/>
              </w:rPr>
              <w:t>www</w:t>
            </w:r>
            <w:r w:rsidRPr="009E674D">
              <w:rPr>
                <w:lang w:val="sq-AL"/>
              </w:rPr>
              <w:t>.oek-kcc.org/uploads/files/2018/January/26/Mungesa_e_fuqise_punetore_te_kualifikuar_-_sfide_per_bizneset1516952028.pdf</w:t>
            </w:r>
          </w:p>
        </w:tc>
      </w:tr>
      <w:tr w:rsidR="007F27E8" w:rsidRPr="009E674D" w14:paraId="0B8B9DD6" w14:textId="77777777" w:rsidTr="0095463F">
        <w:tc>
          <w:tcPr>
            <w:cnfStyle w:val="001000000000" w:firstRow="0" w:lastRow="0" w:firstColumn="1" w:lastColumn="0" w:oddVBand="0" w:evenVBand="0" w:oddHBand="0" w:evenHBand="0" w:firstRowFirstColumn="0" w:firstRowLastColumn="0" w:lastRowFirstColumn="0" w:lastRowLastColumn="0"/>
            <w:tcW w:w="1525" w:type="dxa"/>
            <w:vAlign w:val="bottom"/>
          </w:tcPr>
          <w:p w14:paraId="427CF380" w14:textId="77777777" w:rsidR="007F27E8" w:rsidRPr="009E674D" w:rsidRDefault="007F27E8" w:rsidP="0095463F">
            <w:pPr>
              <w:rPr>
                <w:lang w:val="sq-AL"/>
              </w:rPr>
            </w:pPr>
            <w:r w:rsidRPr="009E674D">
              <w:rPr>
                <w:lang w:val="sq-AL"/>
              </w:rPr>
              <w:t>Oda Ekonomike e Kosovës</w:t>
            </w:r>
          </w:p>
        </w:tc>
        <w:tc>
          <w:tcPr>
            <w:tcW w:w="1980" w:type="dxa"/>
            <w:vAlign w:val="bottom"/>
          </w:tcPr>
          <w:p w14:paraId="4E9643B9"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Hapja e rrugës për biznes më të mirë në Kosovë</w:t>
            </w:r>
          </w:p>
        </w:tc>
        <w:tc>
          <w:tcPr>
            <w:tcW w:w="900" w:type="dxa"/>
            <w:vAlign w:val="bottom"/>
          </w:tcPr>
          <w:p w14:paraId="75B10252"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2019</w:t>
            </w:r>
          </w:p>
        </w:tc>
        <w:tc>
          <w:tcPr>
            <w:tcW w:w="5580" w:type="dxa"/>
            <w:vAlign w:val="bottom"/>
          </w:tcPr>
          <w:p w14:paraId="22B2F622"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Top barrierat kryesore në të bërit biznes, sipas bizneseve, janë: qasja në financa (49.4%), kostoja e lartë</w:t>
            </w:r>
          </w:p>
          <w:p w14:paraId="46993105"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 xml:space="preserve">e energjisë elektrike (49.4%), furnizimi jo i rregullt me energji (46%) dhe konkurrenca jolojale nga ekonomia e hirtë (43%). </w:t>
            </w:r>
          </w:p>
        </w:tc>
        <w:tc>
          <w:tcPr>
            <w:tcW w:w="2965" w:type="dxa"/>
            <w:vAlign w:val="bottom"/>
          </w:tcPr>
          <w:p w14:paraId="7DFA6F45"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https://</w:t>
            </w:r>
            <w:r w:rsidR="00BB2408" w:rsidRPr="009E674D">
              <w:rPr>
                <w:lang w:val="sq-AL"/>
              </w:rPr>
              <w:t>www</w:t>
            </w:r>
            <w:r w:rsidRPr="009E674D">
              <w:rPr>
                <w:lang w:val="sq-AL"/>
              </w:rPr>
              <w:t>.oek-kcc.org/uploads/files/2019/June/28/Studimi_Bottleneck_2018_r1561707631.pdf</w:t>
            </w:r>
          </w:p>
        </w:tc>
      </w:tr>
      <w:tr w:rsidR="007F27E8" w:rsidRPr="009E674D" w14:paraId="3731B46F" w14:textId="77777777" w:rsidTr="0095463F">
        <w:tc>
          <w:tcPr>
            <w:cnfStyle w:val="001000000000" w:firstRow="0" w:lastRow="0" w:firstColumn="1" w:lastColumn="0" w:oddVBand="0" w:evenVBand="0" w:oddHBand="0" w:evenHBand="0" w:firstRowFirstColumn="0" w:firstRowLastColumn="0" w:lastRowFirstColumn="0" w:lastRowLastColumn="0"/>
            <w:tcW w:w="1525" w:type="dxa"/>
          </w:tcPr>
          <w:p w14:paraId="0632C049" w14:textId="77777777" w:rsidR="007F27E8" w:rsidRPr="009E674D" w:rsidRDefault="007F27E8" w:rsidP="0095463F">
            <w:pPr>
              <w:rPr>
                <w:lang w:val="sq-AL"/>
              </w:rPr>
            </w:pPr>
            <w:r w:rsidRPr="009E674D">
              <w:rPr>
                <w:lang w:val="sq-AL"/>
              </w:rPr>
              <w:t>Instituti GAP</w:t>
            </w:r>
          </w:p>
        </w:tc>
        <w:tc>
          <w:tcPr>
            <w:tcW w:w="1980" w:type="dxa"/>
          </w:tcPr>
          <w:p w14:paraId="64076411"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Qëndrueshmëria e investimeve kapitale të komunave</w:t>
            </w:r>
          </w:p>
        </w:tc>
        <w:tc>
          <w:tcPr>
            <w:tcW w:w="900" w:type="dxa"/>
          </w:tcPr>
          <w:p w14:paraId="0A96DF2F"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2022</w:t>
            </w:r>
          </w:p>
        </w:tc>
        <w:tc>
          <w:tcPr>
            <w:tcW w:w="5580" w:type="dxa"/>
          </w:tcPr>
          <w:p w14:paraId="58FCBCFA"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Arsyet kryesore të ofruara nga zyrtarët e komunave për mosfunksionalizimin e projekteve kapitale në komuna janë kontestet pronësore, mosmarrëveshjet me operatorët ekonomikë, ndryshimet demografike dhe të ngjashme.</w:t>
            </w:r>
          </w:p>
          <w:p w14:paraId="72EAB7C8"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31996240" w14:textId="25336EED"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Zyra Kombëtare e Auditimit (ZKA), gjatë viteve 2019- 2020, ka identifikuar mangësi sistematike në planifikimin dhe realizimin e investimeve kapitale nëpër komuna. Ndër problemet më të theksuara në këto raporte janë zotimi i fondeve, ndjekja e procedurave të prokurimit, menaxhimi i kontratave, çështjet pronësore, dhe mungesa e projekteve ekzekutive. Si dobësi e përgjithshme vërehet mungesa e njohurive të zyrtarëve përgjegjës për procedurat e prokurimit</w:t>
            </w:r>
            <w:r w:rsidR="00372399">
              <w:rPr>
                <w:lang w:val="sq-AL"/>
              </w:rPr>
              <w:t>,</w:t>
            </w:r>
            <w:r w:rsidRPr="009E674D">
              <w:rPr>
                <w:lang w:val="sq-AL"/>
              </w:rPr>
              <w:t xml:space="preserve"> përfshirë Ligjin për prokurimin publik si dhe rregullat e UOPP. Një tjetër dobësi, gjatë planifikimit të investimeve kapitale, është arsyeshmëria e investimit dhe mosplotësimi i nevojave të komunitetit.</w:t>
            </w:r>
          </w:p>
          <w:p w14:paraId="645B0EFC"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145ABC4E"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Ekzistojnë edhe mungesa në analizimin e kostove dhe përfitimeve për projekte me shuma të mëdha.</w:t>
            </w:r>
          </w:p>
          <w:p w14:paraId="77F6BF3E"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5013B598" w14:textId="1BED3E3F" w:rsidR="007F27E8" w:rsidRPr="009E674D" w:rsidRDefault="007F27E8" w:rsidP="00372399">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Probleme të tjera kanë të bëjnë me planifikimin e buxhetit ku projektet fillohen pa fonde të mjaftueshme dhe si rezultat vonohet përfundimi i punëve. Në ndërkohë, menaxherët e kontratave</w:t>
            </w:r>
            <w:r w:rsidR="00372399">
              <w:rPr>
                <w:lang w:val="sq-AL"/>
              </w:rPr>
              <w:t>,</w:t>
            </w:r>
            <w:r w:rsidRPr="009E674D">
              <w:rPr>
                <w:lang w:val="sq-AL"/>
              </w:rPr>
              <w:t xml:space="preserve"> të cilët janë përgjegjës për mbikëqyrjen e respektimit të kontratave nuk janë të përgatitur mirë </w:t>
            </w:r>
            <w:r w:rsidR="00372399" w:rsidRPr="009E674D">
              <w:rPr>
                <w:lang w:val="sq-AL"/>
              </w:rPr>
              <w:t>t</w:t>
            </w:r>
            <w:r w:rsidR="00372399">
              <w:rPr>
                <w:lang w:val="sq-AL"/>
              </w:rPr>
              <w:t>’i</w:t>
            </w:r>
            <w:r w:rsidR="00372399" w:rsidRPr="009E674D">
              <w:rPr>
                <w:lang w:val="sq-AL"/>
              </w:rPr>
              <w:t xml:space="preserve"> </w:t>
            </w:r>
            <w:r w:rsidRPr="009E674D">
              <w:rPr>
                <w:lang w:val="sq-AL"/>
              </w:rPr>
              <w:t>parandalojnë devijimet e kontratave nga operatorët ekonomik. Në gjithë procesin e zbatimit të projekteve kapitale, përfshirja qytetare është e kufizuar.</w:t>
            </w:r>
          </w:p>
        </w:tc>
        <w:tc>
          <w:tcPr>
            <w:tcW w:w="2965" w:type="dxa"/>
          </w:tcPr>
          <w:p w14:paraId="1F2A5CAA"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lastRenderedPageBreak/>
              <w:t>https://</w:t>
            </w:r>
            <w:r w:rsidR="00BB2408" w:rsidRPr="009E674D">
              <w:rPr>
                <w:lang w:val="sq-AL"/>
              </w:rPr>
              <w:t>www</w:t>
            </w:r>
            <w:r w:rsidRPr="009E674D">
              <w:rPr>
                <w:lang w:val="sq-AL"/>
              </w:rPr>
              <w:t>.institutigap.org/documents/27041_qendrueshmeria_kapitale_.pdf</w:t>
            </w:r>
          </w:p>
        </w:tc>
      </w:tr>
      <w:tr w:rsidR="007F27E8" w:rsidRPr="009E674D" w14:paraId="30F79949" w14:textId="77777777" w:rsidTr="0095463F">
        <w:tc>
          <w:tcPr>
            <w:cnfStyle w:val="001000000000" w:firstRow="0" w:lastRow="0" w:firstColumn="1" w:lastColumn="0" w:oddVBand="0" w:evenVBand="0" w:oddHBand="0" w:evenHBand="0" w:firstRowFirstColumn="0" w:firstRowLastColumn="0" w:lastRowFirstColumn="0" w:lastRowLastColumn="0"/>
            <w:tcW w:w="1525" w:type="dxa"/>
          </w:tcPr>
          <w:p w14:paraId="08E3D587" w14:textId="77777777" w:rsidR="007F27E8" w:rsidRPr="009E674D" w:rsidRDefault="007F27E8" w:rsidP="0095463F">
            <w:pPr>
              <w:rPr>
                <w:lang w:val="sq-AL"/>
              </w:rPr>
            </w:pPr>
            <w:r w:rsidRPr="009E674D">
              <w:rPr>
                <w:lang w:val="sq-AL"/>
              </w:rPr>
              <w:lastRenderedPageBreak/>
              <w:t xml:space="preserve">Instituti Riinvest </w:t>
            </w:r>
          </w:p>
        </w:tc>
        <w:tc>
          <w:tcPr>
            <w:tcW w:w="1980" w:type="dxa"/>
          </w:tcPr>
          <w:p w14:paraId="27834F4C"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Indeksi i Konkurruesmërisë së Komunave</w:t>
            </w:r>
          </w:p>
        </w:tc>
        <w:tc>
          <w:tcPr>
            <w:tcW w:w="900" w:type="dxa"/>
          </w:tcPr>
          <w:p w14:paraId="7385D360"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2020</w:t>
            </w:r>
          </w:p>
        </w:tc>
        <w:tc>
          <w:tcPr>
            <w:tcW w:w="5580" w:type="dxa"/>
          </w:tcPr>
          <w:p w14:paraId="700AEFA0" w14:textId="3B1CE2C9"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 xml:space="preserve">Vetëm 23% e komunave kanë zyre për promovimin e </w:t>
            </w:r>
            <w:r w:rsidR="00372399" w:rsidRPr="009E674D">
              <w:rPr>
                <w:lang w:val="sq-AL"/>
              </w:rPr>
              <w:t>mund</w:t>
            </w:r>
            <w:r w:rsidR="00372399">
              <w:rPr>
                <w:lang w:val="sq-AL"/>
              </w:rPr>
              <w:t>ë</w:t>
            </w:r>
            <w:r w:rsidR="00372399" w:rsidRPr="009E674D">
              <w:rPr>
                <w:lang w:val="sq-AL"/>
              </w:rPr>
              <w:t xml:space="preserve">sive </w:t>
            </w:r>
            <w:r w:rsidRPr="009E674D">
              <w:rPr>
                <w:lang w:val="sq-AL"/>
              </w:rPr>
              <w:t xml:space="preserve">për investime. </w:t>
            </w:r>
          </w:p>
          <w:p w14:paraId="6E97C0BD"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4EC9F6FD"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Nën-indeksi i administratës komunale - i cili shikon aftësitë dhe qëndrimet e zyrtarëve komunalë ndaj bizneseve dhe drejtësinë në tenderimin publik - ka performuar më keq.</w:t>
            </w:r>
          </w:p>
          <w:p w14:paraId="35152A24"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07FE85F1" w14:textId="2AFBF86B"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 xml:space="preserve">Shumë komuna kanë mungesë të stafit të kualifikuar në shumë departamente dhe kjo ndikon negativisht në </w:t>
            </w:r>
            <w:r w:rsidRPr="009E674D">
              <w:rPr>
                <w:lang w:val="sq-AL"/>
              </w:rPr>
              <w:lastRenderedPageBreak/>
              <w:t xml:space="preserve">mjedisin e biznesit. Nga ana tjetër, disa komuna </w:t>
            </w:r>
            <w:r w:rsidR="00372399">
              <w:rPr>
                <w:lang w:val="sq-AL"/>
              </w:rPr>
              <w:t>k</w:t>
            </w:r>
            <w:r w:rsidR="00372399" w:rsidRPr="009E674D">
              <w:rPr>
                <w:lang w:val="sq-AL"/>
              </w:rPr>
              <w:t xml:space="preserve">anë </w:t>
            </w:r>
            <w:r w:rsidRPr="009E674D">
              <w:rPr>
                <w:lang w:val="sq-AL"/>
              </w:rPr>
              <w:t>staf të tepërt</w:t>
            </w:r>
            <w:r w:rsidR="00372399">
              <w:rPr>
                <w:lang w:val="sq-AL"/>
              </w:rPr>
              <w:t xml:space="preserve"> dhe</w:t>
            </w:r>
            <w:r w:rsidRPr="009E674D">
              <w:rPr>
                <w:lang w:val="sq-AL"/>
              </w:rPr>
              <w:t xml:space="preserve"> nuk kanë menaxhim të duhur. Kjo ndikon negativisht në efikasitetin e qeverisjes vendore. Cilësia e shërbimit që marrin bizneset</w:t>
            </w:r>
            <w:r w:rsidR="00372399">
              <w:rPr>
                <w:lang w:val="sq-AL"/>
              </w:rPr>
              <w:t>,</w:t>
            </w:r>
            <w:r w:rsidRPr="009E674D">
              <w:rPr>
                <w:lang w:val="sq-AL"/>
              </w:rPr>
              <w:t xml:space="preserve"> perceptohet të jetë e dobët.</w:t>
            </w:r>
          </w:p>
          <w:p w14:paraId="4A652061"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2497FB10"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Mungesa e një fuqie punëtore të kualifikuar mbetet një nga problemet më të mëdha me të cilat përballen bizneset në drejtimin e një biznesi të shëndetshëm dhe të suksesshëm. Ngjashëm me vitin e kaluar, bizneset kanë renditur mungesën e punëtorëve të kualifikuar si një nga shkaqet kryesore që ndikojnë në funksionimin e bizneseve të tyre. Çështja e migrimit po bëhet gjithnjë e më kritike për bizneset; veçanërisht për ata që veprojnë në lokalitete më të vogla.</w:t>
            </w:r>
          </w:p>
          <w:p w14:paraId="758755C6"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63F27946" w14:textId="50980034"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Infastruktura - mirëmbajtja më e mirë e rrugëve dhe mjedisit</w:t>
            </w:r>
            <w:r w:rsidR="00372399">
              <w:rPr>
                <w:lang w:val="sq-AL"/>
              </w:rPr>
              <w:t>,</w:t>
            </w:r>
            <w:r w:rsidRPr="009E674D">
              <w:rPr>
                <w:lang w:val="sq-AL"/>
              </w:rPr>
              <w:t xml:space="preserve"> janë çështje që ngrenë shqetësime.</w:t>
            </w:r>
          </w:p>
        </w:tc>
        <w:tc>
          <w:tcPr>
            <w:tcW w:w="2965" w:type="dxa"/>
          </w:tcPr>
          <w:p w14:paraId="68236571"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lastRenderedPageBreak/>
              <w:t>https://</w:t>
            </w:r>
            <w:r w:rsidR="00BB2408" w:rsidRPr="009E674D">
              <w:rPr>
                <w:lang w:val="sq-AL"/>
              </w:rPr>
              <w:t>www</w:t>
            </w:r>
            <w:r w:rsidRPr="009E674D">
              <w:rPr>
                <w:lang w:val="sq-AL"/>
              </w:rPr>
              <w:t>.riinvestinstitute.org/uploads/files/2020/September/14/10_-__MCI_Index_2020_-_ALB_-_02_11600096544.pdf</w:t>
            </w:r>
          </w:p>
        </w:tc>
      </w:tr>
      <w:tr w:rsidR="007F27E8" w:rsidRPr="009E674D" w14:paraId="4D88CCD1" w14:textId="77777777" w:rsidTr="0095463F">
        <w:tc>
          <w:tcPr>
            <w:cnfStyle w:val="001000000000" w:firstRow="0" w:lastRow="0" w:firstColumn="1" w:lastColumn="0" w:oddVBand="0" w:evenVBand="0" w:oddHBand="0" w:evenHBand="0" w:firstRowFirstColumn="0" w:firstRowLastColumn="0" w:lastRowFirstColumn="0" w:lastRowLastColumn="0"/>
            <w:tcW w:w="1525" w:type="dxa"/>
          </w:tcPr>
          <w:p w14:paraId="25C05B50" w14:textId="77777777" w:rsidR="007F27E8" w:rsidRPr="009E674D" w:rsidRDefault="007F27E8" w:rsidP="0095463F">
            <w:pPr>
              <w:rPr>
                <w:lang w:val="sq-AL"/>
              </w:rPr>
            </w:pPr>
            <w:r w:rsidRPr="009E674D">
              <w:rPr>
                <w:lang w:val="sq-AL"/>
              </w:rPr>
              <w:lastRenderedPageBreak/>
              <w:t>Ministria e Administrimit të Pushtetit Lokal (MAPL)</w:t>
            </w:r>
          </w:p>
        </w:tc>
        <w:tc>
          <w:tcPr>
            <w:tcW w:w="1980" w:type="dxa"/>
          </w:tcPr>
          <w:p w14:paraId="5F7BE513"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Raporti i performances së komunave të Republikës së Kosovës</w:t>
            </w:r>
          </w:p>
          <w:p w14:paraId="2F100204"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tc>
        <w:tc>
          <w:tcPr>
            <w:tcW w:w="900" w:type="dxa"/>
          </w:tcPr>
          <w:p w14:paraId="142A0D73"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2020</w:t>
            </w:r>
          </w:p>
        </w:tc>
        <w:tc>
          <w:tcPr>
            <w:tcW w:w="5580" w:type="dxa"/>
          </w:tcPr>
          <w:p w14:paraId="2C52BEE2" w14:textId="77777777" w:rsidR="007F27E8" w:rsidRPr="00F84DDB" w:rsidRDefault="007F27E8" w:rsidP="007F27E8">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2"/>
                <w:szCs w:val="22"/>
                <w:lang w:val="sq-AL"/>
              </w:rPr>
            </w:pPr>
            <w:r w:rsidRPr="00F84DDB">
              <w:rPr>
                <w:sz w:val="22"/>
                <w:szCs w:val="22"/>
                <w:lang w:val="sq-AL"/>
              </w:rPr>
              <w:t>Niveli i azhurnimit të regjistrit të tatimit në pronë – 57.6%</w:t>
            </w:r>
          </w:p>
          <w:p w14:paraId="7D71B03A" w14:textId="77777777" w:rsidR="007F27E8" w:rsidRPr="00F84DDB" w:rsidRDefault="007F27E8" w:rsidP="007F27E8">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2"/>
                <w:szCs w:val="22"/>
                <w:lang w:val="sq-AL"/>
              </w:rPr>
            </w:pPr>
            <w:r w:rsidRPr="00F84DDB">
              <w:rPr>
                <w:sz w:val="22"/>
                <w:szCs w:val="22"/>
                <w:lang w:val="sq-AL"/>
              </w:rPr>
              <w:t>Përgatitja dhe publikimi i listës së pronave komunale të planifikuara për dhenie në shfrytëzim – 44.1%</w:t>
            </w:r>
          </w:p>
          <w:p w14:paraId="0D828FE5" w14:textId="77777777" w:rsidR="007F27E8" w:rsidRPr="00F84DDB" w:rsidRDefault="007F27E8" w:rsidP="007F27E8">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sz w:val="22"/>
                <w:szCs w:val="22"/>
                <w:lang w:val="sq-AL"/>
              </w:rPr>
            </w:pPr>
            <w:r w:rsidRPr="00F84DDB">
              <w:rPr>
                <w:sz w:val="22"/>
                <w:szCs w:val="22"/>
                <w:lang w:val="sq-AL"/>
              </w:rPr>
              <w:t>Niveli i mbledhjes së faturës së tatimit në prone – 42%</w:t>
            </w:r>
          </w:p>
          <w:p w14:paraId="64D6EA2E" w14:textId="77777777" w:rsidR="007F27E8" w:rsidRPr="009E674D" w:rsidRDefault="007F27E8" w:rsidP="007F27E8">
            <w:pPr>
              <w:pStyle w:val="ListParagraph"/>
              <w:numPr>
                <w:ilvl w:val="0"/>
                <w:numId w:val="5"/>
              </w:numPr>
              <w:spacing w:line="240" w:lineRule="auto"/>
              <w:cnfStyle w:val="000000000000" w:firstRow="0" w:lastRow="0" w:firstColumn="0" w:lastColumn="0" w:oddVBand="0" w:evenVBand="0" w:oddHBand="0" w:evenHBand="0" w:firstRowFirstColumn="0" w:firstRowLastColumn="0" w:lastRowFirstColumn="0" w:lastRowLastColumn="0"/>
              <w:rPr>
                <w:lang w:val="sq-AL"/>
              </w:rPr>
            </w:pPr>
            <w:r w:rsidRPr="00F84DDB">
              <w:rPr>
                <w:sz w:val="22"/>
                <w:szCs w:val="22"/>
                <w:lang w:val="sq-AL"/>
              </w:rPr>
              <w:t>Plani për zhvillim ekonomik lokal – 23.7%</w:t>
            </w:r>
            <w:r w:rsidRPr="009E674D">
              <w:rPr>
                <w:lang w:val="sq-AL"/>
              </w:rPr>
              <w:t xml:space="preserve"> </w:t>
            </w:r>
          </w:p>
        </w:tc>
        <w:tc>
          <w:tcPr>
            <w:tcW w:w="2965" w:type="dxa"/>
          </w:tcPr>
          <w:p w14:paraId="23E2C413"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https://mapl.rks-gov.net/raportet-vjetore-te-mapl-se/</w:t>
            </w:r>
          </w:p>
        </w:tc>
      </w:tr>
      <w:tr w:rsidR="007F27E8" w:rsidRPr="009E674D" w14:paraId="29304A54" w14:textId="77777777" w:rsidTr="0095463F">
        <w:tc>
          <w:tcPr>
            <w:cnfStyle w:val="001000000000" w:firstRow="0" w:lastRow="0" w:firstColumn="1" w:lastColumn="0" w:oddVBand="0" w:evenVBand="0" w:oddHBand="0" w:evenHBand="0" w:firstRowFirstColumn="0" w:firstRowLastColumn="0" w:lastRowFirstColumn="0" w:lastRowLastColumn="0"/>
            <w:tcW w:w="1525" w:type="dxa"/>
          </w:tcPr>
          <w:p w14:paraId="14264572" w14:textId="77777777" w:rsidR="007F27E8" w:rsidRPr="009E674D" w:rsidRDefault="007F27E8" w:rsidP="0095463F">
            <w:pPr>
              <w:rPr>
                <w:lang w:val="sq-AL"/>
              </w:rPr>
            </w:pPr>
            <w:r w:rsidRPr="009E674D">
              <w:rPr>
                <w:lang w:val="sq-AL"/>
              </w:rPr>
              <w:t>MAPL/UNDP</w:t>
            </w:r>
          </w:p>
        </w:tc>
        <w:tc>
          <w:tcPr>
            <w:tcW w:w="1980" w:type="dxa"/>
          </w:tcPr>
          <w:p w14:paraId="1B42DFE3"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 xml:space="preserve">Raporti komunal i vlerësimit </w:t>
            </w:r>
          </w:p>
        </w:tc>
        <w:tc>
          <w:tcPr>
            <w:tcW w:w="900" w:type="dxa"/>
          </w:tcPr>
          <w:p w14:paraId="6F93C727"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2019</w:t>
            </w:r>
          </w:p>
        </w:tc>
        <w:tc>
          <w:tcPr>
            <w:tcW w:w="5580" w:type="dxa"/>
          </w:tcPr>
          <w:p w14:paraId="134C0C25" w14:textId="239FEE7B"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Vetëm 21.6% e drejtoreve, shërbyesve civil</w:t>
            </w:r>
            <w:r w:rsidR="005027F9">
              <w:rPr>
                <w:lang w:val="sq-AL"/>
              </w:rPr>
              <w:t>ë</w:t>
            </w:r>
            <w:r w:rsidRPr="009E674D">
              <w:rPr>
                <w:lang w:val="sq-AL"/>
              </w:rPr>
              <w:t xml:space="preserve"> dhe asambleistëve</w:t>
            </w:r>
            <w:r w:rsidR="005027F9">
              <w:rPr>
                <w:lang w:val="sq-AL"/>
              </w:rPr>
              <w:t>,</w:t>
            </w:r>
            <w:r w:rsidRPr="009E674D">
              <w:rPr>
                <w:lang w:val="sq-AL"/>
              </w:rPr>
              <w:t xml:space="preserve"> mendojnë se komuna ka kapacitete për hartimin e strategjive për zhvillimin ekonomik lokal.</w:t>
            </w:r>
          </w:p>
          <w:p w14:paraId="677AAD59"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p>
          <w:p w14:paraId="68591B3A" w14:textId="498CA4AC"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t>Vetëm 6.9% e drejtoreve, shërbyesve civil</w:t>
            </w:r>
            <w:r w:rsidR="005027F9">
              <w:rPr>
                <w:lang w:val="sq-AL"/>
              </w:rPr>
              <w:t>ë</w:t>
            </w:r>
            <w:r w:rsidRPr="009E674D">
              <w:rPr>
                <w:lang w:val="sq-AL"/>
              </w:rPr>
              <w:t xml:space="preserve"> dhe asambleistëve vlerësojnë se komuna e tyre ka investuar shumë në infrastrukturën fizike të turizmit.</w:t>
            </w:r>
          </w:p>
          <w:p w14:paraId="3D766F7D" w14:textId="7E920C26" w:rsidR="007F27E8" w:rsidRPr="009E674D" w:rsidRDefault="007F27E8" w:rsidP="005027F9">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br/>
              <w:t xml:space="preserve">Pjesëmarrësit e </w:t>
            </w:r>
            <w:r w:rsidR="005027F9" w:rsidRPr="009E674D">
              <w:rPr>
                <w:lang w:val="sq-AL"/>
              </w:rPr>
              <w:t>fo</w:t>
            </w:r>
            <w:r w:rsidR="005027F9">
              <w:rPr>
                <w:lang w:val="sq-AL"/>
              </w:rPr>
              <w:t>k</w:t>
            </w:r>
            <w:r w:rsidR="005027F9" w:rsidRPr="009E674D">
              <w:rPr>
                <w:lang w:val="sq-AL"/>
              </w:rPr>
              <w:t xml:space="preserve">us </w:t>
            </w:r>
            <w:r w:rsidRPr="009E674D">
              <w:rPr>
                <w:lang w:val="sq-AL"/>
              </w:rPr>
              <w:t xml:space="preserve">grupeve deklarojnë se komunat në përgjithësi nuk i arrijnë objektivat e përcaktuara në planet e tyre përkatëse. Kjo është kryesisht për shkak se nuk ka </w:t>
            </w:r>
            <w:r w:rsidRPr="009E674D">
              <w:rPr>
                <w:lang w:val="sq-AL"/>
              </w:rPr>
              <w:lastRenderedPageBreak/>
              <w:t>lidhje në mes të këtij dokumenti strategjik dhe buxhetit komunal. Dy të tretat e të anketuarve pohojnë se kapacitetet e komunave për hartimin e planeve të zhvillimit ekonomik janë në përgjithësi mesatare.</w:t>
            </w:r>
            <w:r w:rsidRPr="009E674D">
              <w:rPr>
                <w:lang w:val="sq-AL"/>
              </w:rPr>
              <w:br/>
            </w:r>
            <w:r w:rsidRPr="009E674D">
              <w:rPr>
                <w:lang w:val="sq-AL"/>
              </w:rPr>
              <w:br/>
              <w:t>Shumica dërrmuese e të anketuarve deklarojnë se komuna e tyre ka ndërmarrë iniciativa për krijimin e zonave ekonomike, dhe një e pesta e të anketuarve deklarojnë se zonat ekonomike janë pjesë e planit të zhvillimit ekonomik. Megjithatë, disa komuna duket se nuk kanë sipërfaqe të përshtatshme për të krijuar një zonë ekonomike ose nuk kanë kapacitete njerëzore për të zhvilluar një plan për zonat ekonomike.</w:t>
            </w:r>
          </w:p>
        </w:tc>
        <w:tc>
          <w:tcPr>
            <w:tcW w:w="2965" w:type="dxa"/>
          </w:tcPr>
          <w:p w14:paraId="039FEC13" w14:textId="77777777" w:rsidR="007F27E8" w:rsidRPr="009E674D" w:rsidRDefault="007F27E8" w:rsidP="0095463F">
            <w:pPr>
              <w:cnfStyle w:val="000000000000" w:firstRow="0" w:lastRow="0" w:firstColumn="0" w:lastColumn="0" w:oddVBand="0" w:evenVBand="0" w:oddHBand="0" w:evenHBand="0" w:firstRowFirstColumn="0" w:firstRowLastColumn="0" w:lastRowFirstColumn="0" w:lastRowLastColumn="0"/>
              <w:rPr>
                <w:lang w:val="sq-AL"/>
              </w:rPr>
            </w:pPr>
            <w:r w:rsidRPr="009E674D">
              <w:rPr>
                <w:lang w:val="sq-AL"/>
              </w:rPr>
              <w:lastRenderedPageBreak/>
              <w:t>https://</w:t>
            </w:r>
            <w:r w:rsidR="00BB2408" w:rsidRPr="009E674D">
              <w:rPr>
                <w:lang w:val="sq-AL"/>
              </w:rPr>
              <w:t>www</w:t>
            </w:r>
            <w:r w:rsidRPr="009E674D">
              <w:rPr>
                <w:lang w:val="sq-AL"/>
              </w:rPr>
              <w:t>.undp.org/sites/g/files/zskgke326/files/migration/ks/6a0bcfdcce4556b9970ed63d9663793dfe5917f3a49d6dd9e8ebeb1e8aa70439.pdf</w:t>
            </w:r>
          </w:p>
        </w:tc>
      </w:tr>
    </w:tbl>
    <w:p w14:paraId="3CA03F8C" w14:textId="77777777" w:rsidR="003A236F" w:rsidRPr="009E674D" w:rsidRDefault="003A236F" w:rsidP="00EE3F80">
      <w:pPr>
        <w:spacing w:before="120" w:after="0"/>
        <w:jc w:val="both"/>
        <w:rPr>
          <w:lang w:val="sq-AL"/>
        </w:rPr>
      </w:pPr>
    </w:p>
    <w:p w14:paraId="6AB2BF30" w14:textId="77777777" w:rsidR="003A236F" w:rsidRPr="009E674D" w:rsidRDefault="003A236F" w:rsidP="00EE3F80">
      <w:pPr>
        <w:spacing w:before="120" w:after="0"/>
        <w:jc w:val="both"/>
        <w:rPr>
          <w:lang w:val="sq-AL"/>
        </w:rPr>
      </w:pPr>
    </w:p>
    <w:p w14:paraId="665D92C4" w14:textId="77777777" w:rsidR="00F55F39" w:rsidRPr="009E674D" w:rsidRDefault="00F55F39">
      <w:pPr>
        <w:rPr>
          <w:lang w:val="sq-AL"/>
        </w:rPr>
      </w:pPr>
      <w:r w:rsidRPr="009E674D">
        <w:rPr>
          <w:lang w:val="sq-AL"/>
        </w:rPr>
        <w:br w:type="page"/>
      </w:r>
    </w:p>
    <w:p w14:paraId="2ED44C7C" w14:textId="77777777" w:rsidR="00BB2408" w:rsidRPr="009E674D" w:rsidRDefault="00BB2408">
      <w:pPr>
        <w:rPr>
          <w:lang w:val="sq-AL"/>
        </w:rPr>
      </w:pPr>
    </w:p>
    <w:p w14:paraId="2186FE60" w14:textId="77777777" w:rsidR="00BB2408" w:rsidRPr="009E674D" w:rsidRDefault="00BB2408" w:rsidP="00BB2408">
      <w:pPr>
        <w:pStyle w:val="Heading2"/>
        <w:rPr>
          <w:lang w:val="sq-AL"/>
        </w:rPr>
      </w:pPr>
      <w:bookmarkStart w:id="41" w:name="_Toc132188454"/>
      <w:r w:rsidRPr="009E674D">
        <w:rPr>
          <w:lang w:val="sq-AL"/>
        </w:rPr>
        <w:t>Përmbledhja e sfidave fillestare nga grupi punues</w:t>
      </w:r>
      <w:bookmarkEnd w:id="41"/>
    </w:p>
    <w:tbl>
      <w:tblPr>
        <w:tblW w:w="5000" w:type="pct"/>
        <w:jc w:val="center"/>
        <w:tblLook w:val="04A0" w:firstRow="1" w:lastRow="0" w:firstColumn="1" w:lastColumn="0" w:noHBand="0" w:noVBand="1"/>
      </w:tblPr>
      <w:tblGrid>
        <w:gridCol w:w="10342"/>
        <w:gridCol w:w="2618"/>
      </w:tblGrid>
      <w:tr w:rsidR="00F55F39" w:rsidRPr="009E674D" w14:paraId="74A2782B" w14:textId="77777777" w:rsidTr="00F55F39">
        <w:trPr>
          <w:trHeight w:val="400"/>
          <w:jc w:val="center"/>
        </w:trPr>
        <w:tc>
          <w:tcPr>
            <w:tcW w:w="3990" w:type="pct"/>
            <w:tcBorders>
              <w:top w:val="nil"/>
              <w:left w:val="nil"/>
              <w:bottom w:val="single" w:sz="12" w:space="0" w:color="5B9BD5"/>
              <w:right w:val="single" w:sz="4" w:space="0" w:color="auto"/>
            </w:tcBorders>
            <w:shd w:val="clear" w:color="auto" w:fill="auto"/>
            <w:noWrap/>
            <w:vAlign w:val="bottom"/>
            <w:hideMark/>
          </w:tcPr>
          <w:p w14:paraId="52D96DBC" w14:textId="77777777" w:rsidR="00F55F39" w:rsidRPr="009E674D" w:rsidRDefault="00F55F39" w:rsidP="00D91DB5">
            <w:pPr>
              <w:spacing w:after="0" w:line="240" w:lineRule="auto"/>
              <w:jc w:val="center"/>
              <w:rPr>
                <w:rFonts w:ascii="Calibri" w:eastAsia="Times New Roman" w:hAnsi="Calibri" w:cs="Times New Roman"/>
                <w:b/>
                <w:bCs/>
                <w:color w:val="44546A"/>
                <w:sz w:val="30"/>
                <w:szCs w:val="30"/>
                <w:lang w:val="sq-AL"/>
              </w:rPr>
            </w:pPr>
            <w:r w:rsidRPr="009E674D">
              <w:rPr>
                <w:rFonts w:ascii="Calibri" w:eastAsia="Times New Roman" w:hAnsi="Calibri" w:cs="Times New Roman"/>
                <w:b/>
                <w:bCs/>
                <w:color w:val="44546A"/>
                <w:sz w:val="30"/>
                <w:szCs w:val="30"/>
                <w:lang w:val="sq-AL"/>
              </w:rPr>
              <w:t xml:space="preserve">Sfidat </w:t>
            </w:r>
          </w:p>
        </w:tc>
        <w:tc>
          <w:tcPr>
            <w:tcW w:w="1010" w:type="pct"/>
            <w:tcBorders>
              <w:top w:val="nil"/>
              <w:left w:val="nil"/>
              <w:bottom w:val="single" w:sz="12" w:space="0" w:color="5B9BD5"/>
              <w:right w:val="nil"/>
            </w:tcBorders>
            <w:shd w:val="clear" w:color="auto" w:fill="auto"/>
            <w:noWrap/>
            <w:vAlign w:val="bottom"/>
            <w:hideMark/>
          </w:tcPr>
          <w:p w14:paraId="7A539C5C" w14:textId="77777777" w:rsidR="00F55F39" w:rsidRPr="009E674D" w:rsidRDefault="00F55F39" w:rsidP="00D91DB5">
            <w:pPr>
              <w:spacing w:after="0" w:line="240" w:lineRule="auto"/>
              <w:jc w:val="center"/>
              <w:rPr>
                <w:rFonts w:ascii="Calibri" w:eastAsia="Times New Roman" w:hAnsi="Calibri" w:cs="Times New Roman"/>
                <w:b/>
                <w:bCs/>
                <w:color w:val="44546A"/>
                <w:sz w:val="30"/>
                <w:szCs w:val="30"/>
                <w:lang w:val="sq-AL"/>
              </w:rPr>
            </w:pPr>
            <w:r w:rsidRPr="009E674D">
              <w:rPr>
                <w:rFonts w:ascii="Calibri" w:eastAsia="Times New Roman" w:hAnsi="Calibri" w:cs="Times New Roman"/>
                <w:b/>
                <w:bCs/>
                <w:color w:val="44546A"/>
                <w:sz w:val="30"/>
                <w:szCs w:val="30"/>
                <w:lang w:val="sq-AL"/>
              </w:rPr>
              <w:t xml:space="preserve">Pengesat kryesore  </w:t>
            </w:r>
          </w:p>
        </w:tc>
      </w:tr>
      <w:tr w:rsidR="00F55F39" w:rsidRPr="009E674D" w14:paraId="5A8A7861" w14:textId="77777777" w:rsidTr="00F55F39">
        <w:trPr>
          <w:trHeight w:val="300"/>
          <w:jc w:val="center"/>
        </w:trPr>
        <w:tc>
          <w:tcPr>
            <w:tcW w:w="3990" w:type="pct"/>
            <w:tcBorders>
              <w:top w:val="nil"/>
              <w:left w:val="nil"/>
              <w:bottom w:val="nil"/>
              <w:right w:val="single" w:sz="4" w:space="0" w:color="auto"/>
            </w:tcBorders>
            <w:shd w:val="clear" w:color="000000" w:fill="E2EFDA"/>
            <w:noWrap/>
            <w:vAlign w:val="center"/>
            <w:hideMark/>
          </w:tcPr>
          <w:p w14:paraId="17E9087A" w14:textId="118BFBAD"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Resurset e pamjaftueshme financiare</w:t>
            </w:r>
          </w:p>
        </w:tc>
        <w:tc>
          <w:tcPr>
            <w:tcW w:w="1010" w:type="pct"/>
            <w:vMerge w:val="restart"/>
            <w:tcBorders>
              <w:top w:val="nil"/>
              <w:left w:val="nil"/>
              <w:bottom w:val="single" w:sz="4" w:space="0" w:color="000000"/>
              <w:right w:val="nil"/>
            </w:tcBorders>
            <w:shd w:val="clear" w:color="000000" w:fill="E2EFDA"/>
            <w:vAlign w:val="center"/>
            <w:hideMark/>
          </w:tcPr>
          <w:p w14:paraId="61F6F7BA" w14:textId="77777777" w:rsidR="00F55F39" w:rsidRPr="009E674D" w:rsidRDefault="00F55F39" w:rsidP="00D91DB5">
            <w:pPr>
              <w:spacing w:after="0" w:line="240" w:lineRule="auto"/>
              <w:jc w:val="center"/>
              <w:rPr>
                <w:rFonts w:ascii="Calibri" w:eastAsia="Times New Roman" w:hAnsi="Calibri" w:cs="Times New Roman"/>
                <w:b/>
                <w:bCs/>
                <w:color w:val="000000"/>
                <w:lang w:val="sq-AL"/>
              </w:rPr>
            </w:pPr>
            <w:r w:rsidRPr="009E674D">
              <w:rPr>
                <w:rFonts w:ascii="Calibri" w:eastAsia="Times New Roman" w:hAnsi="Calibri" w:cs="Times New Roman"/>
                <w:b/>
                <w:bCs/>
                <w:color w:val="000000"/>
                <w:lang w:val="sq-AL"/>
              </w:rPr>
              <w:t>(1) Mungesa e qëndrueshmërisë financiare dhe menaxhimi jo efikas i financave</w:t>
            </w:r>
          </w:p>
        </w:tc>
      </w:tr>
      <w:tr w:rsidR="00F55F39" w:rsidRPr="009E674D" w14:paraId="532B2466"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0D390AF7" w14:textId="5D024698"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Inkasimi jo i kënaqshëm i të hyrave vetanake komunale</w:t>
            </w:r>
          </w:p>
        </w:tc>
        <w:tc>
          <w:tcPr>
            <w:tcW w:w="1010" w:type="pct"/>
            <w:vMerge/>
            <w:tcBorders>
              <w:top w:val="nil"/>
              <w:left w:val="nil"/>
              <w:bottom w:val="single" w:sz="4" w:space="0" w:color="000000"/>
              <w:right w:val="nil"/>
            </w:tcBorders>
            <w:vAlign w:val="center"/>
            <w:hideMark/>
          </w:tcPr>
          <w:p w14:paraId="60666485"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23C67EB0"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39202DFA" w14:textId="0684FD8A"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Varësia e madhe buxhetore e nivelit lokal nga grantet qeveritare </w:t>
            </w:r>
          </w:p>
        </w:tc>
        <w:tc>
          <w:tcPr>
            <w:tcW w:w="1010" w:type="pct"/>
            <w:vMerge/>
            <w:tcBorders>
              <w:top w:val="nil"/>
              <w:left w:val="nil"/>
              <w:bottom w:val="single" w:sz="4" w:space="0" w:color="000000"/>
              <w:right w:val="nil"/>
            </w:tcBorders>
            <w:vAlign w:val="center"/>
            <w:hideMark/>
          </w:tcPr>
          <w:p w14:paraId="2290B041"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359BD925"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10F6EDF2" w14:textId="1031F7AE"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Kuadri ligjor që kufizon në masë të madhe huamarrjen komunale</w:t>
            </w:r>
          </w:p>
        </w:tc>
        <w:tc>
          <w:tcPr>
            <w:tcW w:w="1010" w:type="pct"/>
            <w:vMerge/>
            <w:tcBorders>
              <w:top w:val="nil"/>
              <w:left w:val="nil"/>
              <w:bottom w:val="single" w:sz="4" w:space="0" w:color="000000"/>
              <w:right w:val="nil"/>
            </w:tcBorders>
            <w:vAlign w:val="center"/>
            <w:hideMark/>
          </w:tcPr>
          <w:p w14:paraId="6C1325BE"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75531A64"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36E6224E" w14:textId="2D260244"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Pengesat e natyrës rregullative për shpenzimin e buxhetit</w:t>
            </w:r>
          </w:p>
        </w:tc>
        <w:tc>
          <w:tcPr>
            <w:tcW w:w="1010" w:type="pct"/>
            <w:vMerge/>
            <w:tcBorders>
              <w:top w:val="nil"/>
              <w:left w:val="nil"/>
              <w:bottom w:val="single" w:sz="4" w:space="0" w:color="000000"/>
              <w:right w:val="nil"/>
            </w:tcBorders>
            <w:vAlign w:val="center"/>
            <w:hideMark/>
          </w:tcPr>
          <w:p w14:paraId="35BED737"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2869279A"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10285E20" w14:textId="62FA0BF9"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Mosarritja e vetëqëndrueshmisë financiare nga komunat</w:t>
            </w:r>
          </w:p>
        </w:tc>
        <w:tc>
          <w:tcPr>
            <w:tcW w:w="1010" w:type="pct"/>
            <w:vMerge/>
            <w:tcBorders>
              <w:top w:val="nil"/>
              <w:left w:val="nil"/>
              <w:bottom w:val="single" w:sz="4" w:space="0" w:color="000000"/>
              <w:right w:val="nil"/>
            </w:tcBorders>
            <w:vAlign w:val="center"/>
            <w:hideMark/>
          </w:tcPr>
          <w:p w14:paraId="77AFA566"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977C02F"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65210800" w14:textId="343741E1"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Detyrimet financiare të pa përmbushura</w:t>
            </w:r>
          </w:p>
        </w:tc>
        <w:tc>
          <w:tcPr>
            <w:tcW w:w="1010" w:type="pct"/>
            <w:vMerge/>
            <w:tcBorders>
              <w:top w:val="nil"/>
              <w:left w:val="nil"/>
              <w:bottom w:val="single" w:sz="4" w:space="0" w:color="000000"/>
              <w:right w:val="nil"/>
            </w:tcBorders>
            <w:vAlign w:val="center"/>
            <w:hideMark/>
          </w:tcPr>
          <w:p w14:paraId="3F3CC5A9"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5356F80B"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2214921C" w14:textId="42DB992E"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Planifikimi jo i duhur i projekteve investuese</w:t>
            </w:r>
          </w:p>
        </w:tc>
        <w:tc>
          <w:tcPr>
            <w:tcW w:w="1010" w:type="pct"/>
            <w:vMerge/>
            <w:tcBorders>
              <w:top w:val="nil"/>
              <w:left w:val="nil"/>
              <w:bottom w:val="single" w:sz="4" w:space="0" w:color="000000"/>
              <w:right w:val="nil"/>
            </w:tcBorders>
            <w:vAlign w:val="center"/>
            <w:hideMark/>
          </w:tcPr>
          <w:p w14:paraId="0A35F725"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85CE020" w14:textId="77777777" w:rsidTr="00F55F39">
        <w:trPr>
          <w:trHeight w:val="290"/>
          <w:jc w:val="center"/>
        </w:trPr>
        <w:tc>
          <w:tcPr>
            <w:tcW w:w="3990" w:type="pct"/>
            <w:tcBorders>
              <w:top w:val="nil"/>
              <w:left w:val="nil"/>
              <w:bottom w:val="nil"/>
              <w:right w:val="single" w:sz="4" w:space="0" w:color="auto"/>
            </w:tcBorders>
            <w:shd w:val="clear" w:color="000000" w:fill="E2EFDA"/>
            <w:noWrap/>
            <w:vAlign w:val="center"/>
            <w:hideMark/>
          </w:tcPr>
          <w:p w14:paraId="4A76A147" w14:textId="08111091"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Zotimi i pamjaftueshëm i mjeteve financiare në buxhet për projektet investuese shumëvjeçare</w:t>
            </w:r>
          </w:p>
        </w:tc>
        <w:tc>
          <w:tcPr>
            <w:tcW w:w="1010" w:type="pct"/>
            <w:vMerge/>
            <w:tcBorders>
              <w:top w:val="nil"/>
              <w:left w:val="nil"/>
              <w:bottom w:val="single" w:sz="4" w:space="0" w:color="000000"/>
              <w:right w:val="nil"/>
            </w:tcBorders>
            <w:vAlign w:val="center"/>
            <w:hideMark/>
          </w:tcPr>
          <w:p w14:paraId="4415EE1E"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0709C56" w14:textId="77777777" w:rsidTr="00F55F39">
        <w:trPr>
          <w:trHeight w:val="290"/>
          <w:jc w:val="center"/>
        </w:trPr>
        <w:tc>
          <w:tcPr>
            <w:tcW w:w="3990" w:type="pct"/>
            <w:tcBorders>
              <w:top w:val="nil"/>
              <w:left w:val="nil"/>
              <w:bottom w:val="nil"/>
              <w:right w:val="single" w:sz="4" w:space="0" w:color="auto"/>
            </w:tcBorders>
            <w:shd w:val="clear" w:color="000000" w:fill="E2EFDA"/>
            <w:vAlign w:val="center"/>
            <w:hideMark/>
          </w:tcPr>
          <w:p w14:paraId="3E0EDC54" w14:textId="7E396086"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Dinamika e ngadaltë e realizimit të punimeve </w:t>
            </w:r>
          </w:p>
        </w:tc>
        <w:tc>
          <w:tcPr>
            <w:tcW w:w="1010" w:type="pct"/>
            <w:vMerge/>
            <w:tcBorders>
              <w:top w:val="nil"/>
              <w:left w:val="nil"/>
              <w:bottom w:val="single" w:sz="4" w:space="0" w:color="000000"/>
              <w:right w:val="nil"/>
            </w:tcBorders>
            <w:vAlign w:val="center"/>
            <w:hideMark/>
          </w:tcPr>
          <w:p w14:paraId="5B275EE7"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03DBEC8A" w14:textId="77777777" w:rsidTr="00F55F39">
        <w:trPr>
          <w:trHeight w:val="290"/>
          <w:jc w:val="center"/>
        </w:trPr>
        <w:tc>
          <w:tcPr>
            <w:tcW w:w="3990" w:type="pct"/>
            <w:tcBorders>
              <w:top w:val="nil"/>
              <w:left w:val="nil"/>
              <w:bottom w:val="nil"/>
              <w:right w:val="single" w:sz="4" w:space="0" w:color="auto"/>
            </w:tcBorders>
            <w:shd w:val="clear" w:color="000000" w:fill="E2EFDA"/>
            <w:vAlign w:val="center"/>
            <w:hideMark/>
          </w:tcPr>
          <w:p w14:paraId="4B2A4F9B" w14:textId="0EB5389C"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Monitorimi jo i vazhdueshëm i realizueshmërisë së projekteve investuese</w:t>
            </w:r>
          </w:p>
        </w:tc>
        <w:tc>
          <w:tcPr>
            <w:tcW w:w="1010" w:type="pct"/>
            <w:vMerge/>
            <w:tcBorders>
              <w:top w:val="nil"/>
              <w:left w:val="nil"/>
              <w:bottom w:val="single" w:sz="4" w:space="0" w:color="000000"/>
              <w:right w:val="nil"/>
            </w:tcBorders>
            <w:vAlign w:val="center"/>
            <w:hideMark/>
          </w:tcPr>
          <w:p w14:paraId="313CC846"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323FCD42" w14:textId="77777777" w:rsidTr="00F55F39">
        <w:trPr>
          <w:trHeight w:val="290"/>
          <w:jc w:val="center"/>
        </w:trPr>
        <w:tc>
          <w:tcPr>
            <w:tcW w:w="3990" w:type="pct"/>
            <w:tcBorders>
              <w:top w:val="nil"/>
              <w:left w:val="nil"/>
              <w:bottom w:val="nil"/>
              <w:right w:val="single" w:sz="4" w:space="0" w:color="auto"/>
            </w:tcBorders>
            <w:shd w:val="clear" w:color="000000" w:fill="E2EFDA"/>
            <w:vAlign w:val="center"/>
            <w:hideMark/>
          </w:tcPr>
          <w:p w14:paraId="270E2C12" w14:textId="085DDF04"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mjeteve të dedikuara për mirëmbajtje të investimeve</w:t>
            </w:r>
          </w:p>
        </w:tc>
        <w:tc>
          <w:tcPr>
            <w:tcW w:w="1010" w:type="pct"/>
            <w:vMerge/>
            <w:tcBorders>
              <w:top w:val="nil"/>
              <w:left w:val="nil"/>
              <w:bottom w:val="single" w:sz="4" w:space="0" w:color="000000"/>
              <w:right w:val="nil"/>
            </w:tcBorders>
            <w:vAlign w:val="center"/>
            <w:hideMark/>
          </w:tcPr>
          <w:p w14:paraId="65BD8262"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344C5F5F" w14:textId="77777777" w:rsidTr="00F55F39">
        <w:trPr>
          <w:trHeight w:val="290"/>
          <w:jc w:val="center"/>
        </w:trPr>
        <w:tc>
          <w:tcPr>
            <w:tcW w:w="3990" w:type="pct"/>
            <w:tcBorders>
              <w:top w:val="nil"/>
              <w:left w:val="nil"/>
              <w:bottom w:val="nil"/>
              <w:right w:val="single" w:sz="4" w:space="0" w:color="auto"/>
            </w:tcBorders>
            <w:shd w:val="clear" w:color="000000" w:fill="E2EFDA"/>
            <w:vAlign w:val="center"/>
            <w:hideMark/>
          </w:tcPr>
          <w:p w14:paraId="54B226C8" w14:textId="30D0C105"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interesimit të donatorëve për investime</w:t>
            </w:r>
          </w:p>
        </w:tc>
        <w:tc>
          <w:tcPr>
            <w:tcW w:w="1010" w:type="pct"/>
            <w:vMerge/>
            <w:tcBorders>
              <w:top w:val="nil"/>
              <w:left w:val="nil"/>
              <w:bottom w:val="single" w:sz="4" w:space="0" w:color="000000"/>
              <w:right w:val="nil"/>
            </w:tcBorders>
            <w:vAlign w:val="center"/>
            <w:hideMark/>
          </w:tcPr>
          <w:p w14:paraId="51869D46"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742C4296" w14:textId="77777777" w:rsidTr="00F55F39">
        <w:trPr>
          <w:trHeight w:val="290"/>
          <w:jc w:val="center"/>
        </w:trPr>
        <w:tc>
          <w:tcPr>
            <w:tcW w:w="3990" w:type="pct"/>
            <w:tcBorders>
              <w:top w:val="nil"/>
              <w:left w:val="nil"/>
              <w:bottom w:val="single" w:sz="4" w:space="0" w:color="auto"/>
              <w:right w:val="single" w:sz="4" w:space="0" w:color="auto"/>
            </w:tcBorders>
            <w:shd w:val="clear" w:color="000000" w:fill="E2EFDA"/>
            <w:noWrap/>
            <w:vAlign w:val="center"/>
            <w:hideMark/>
          </w:tcPr>
          <w:p w14:paraId="70F38A4A" w14:textId="4C0D8FBF"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Kapacitetet e kufizuara teknike dhe profesionale të kompanive private për kryerjen e punëve publike</w:t>
            </w:r>
          </w:p>
        </w:tc>
        <w:tc>
          <w:tcPr>
            <w:tcW w:w="1010" w:type="pct"/>
            <w:vMerge/>
            <w:tcBorders>
              <w:top w:val="nil"/>
              <w:left w:val="nil"/>
              <w:bottom w:val="single" w:sz="4" w:space="0" w:color="000000"/>
              <w:right w:val="nil"/>
            </w:tcBorders>
            <w:vAlign w:val="center"/>
            <w:hideMark/>
          </w:tcPr>
          <w:p w14:paraId="4A0D1D5D"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3ACCD56"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61037179" w14:textId="7375488F"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Mosfunksionalizimi i zonave ekonomike</w:t>
            </w:r>
          </w:p>
        </w:tc>
        <w:tc>
          <w:tcPr>
            <w:tcW w:w="1010" w:type="pct"/>
            <w:vMerge w:val="restart"/>
            <w:tcBorders>
              <w:top w:val="nil"/>
              <w:left w:val="nil"/>
              <w:right w:val="nil"/>
            </w:tcBorders>
            <w:shd w:val="clear" w:color="000000" w:fill="FFE699"/>
            <w:vAlign w:val="center"/>
            <w:hideMark/>
          </w:tcPr>
          <w:p w14:paraId="5C2507E5" w14:textId="77777777" w:rsidR="00F55F39" w:rsidRPr="009E674D" w:rsidRDefault="00F55F39" w:rsidP="00D91DB5">
            <w:pPr>
              <w:spacing w:after="0" w:line="240" w:lineRule="auto"/>
              <w:jc w:val="center"/>
              <w:rPr>
                <w:rFonts w:ascii="Calibri" w:eastAsia="Times New Roman" w:hAnsi="Calibri" w:cs="Times New Roman"/>
                <w:b/>
                <w:bCs/>
                <w:color w:val="000000"/>
                <w:lang w:val="sq-AL"/>
              </w:rPr>
            </w:pPr>
            <w:r w:rsidRPr="009E674D">
              <w:rPr>
                <w:rFonts w:ascii="Calibri" w:eastAsia="Times New Roman" w:hAnsi="Calibri" w:cs="Times New Roman"/>
                <w:b/>
                <w:bCs/>
                <w:color w:val="000000"/>
                <w:lang w:val="sq-AL"/>
              </w:rPr>
              <w:t xml:space="preserve">(2) Niveli i ulët i investimeve dhe zhvillimi i kufizuar i bujqësisë, turizmit dhe industrisë </w:t>
            </w:r>
          </w:p>
        </w:tc>
      </w:tr>
      <w:tr w:rsidR="00F55F39" w:rsidRPr="009E674D" w14:paraId="111078D2"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tcPr>
          <w:p w14:paraId="674E1A5B" w14:textId="374EBD4E"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Prezenca e madhe e konkurrencës së padrejtë</w:t>
            </w:r>
          </w:p>
        </w:tc>
        <w:tc>
          <w:tcPr>
            <w:tcW w:w="1010" w:type="pct"/>
            <w:vMerge/>
            <w:tcBorders>
              <w:left w:val="nil"/>
              <w:right w:val="nil"/>
            </w:tcBorders>
            <w:shd w:val="clear" w:color="000000" w:fill="FFE699"/>
            <w:vAlign w:val="center"/>
          </w:tcPr>
          <w:p w14:paraId="3A560527" w14:textId="77777777" w:rsidR="00F55F39" w:rsidRPr="009E674D" w:rsidRDefault="00F55F39" w:rsidP="00D91DB5">
            <w:pPr>
              <w:spacing w:after="0" w:line="240" w:lineRule="auto"/>
              <w:jc w:val="center"/>
              <w:rPr>
                <w:rFonts w:ascii="Calibri" w:eastAsia="Times New Roman" w:hAnsi="Calibri" w:cs="Times New Roman"/>
                <w:b/>
                <w:bCs/>
                <w:color w:val="000000"/>
                <w:lang w:val="sq-AL"/>
              </w:rPr>
            </w:pPr>
          </w:p>
        </w:tc>
      </w:tr>
      <w:tr w:rsidR="00F55F39" w:rsidRPr="009E674D" w14:paraId="63F4BF10"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3FF7C6FD" w14:textId="2788BF23"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Klima pafavorshme në nivel lokal për joshjen e investimeve </w:t>
            </w:r>
          </w:p>
        </w:tc>
        <w:tc>
          <w:tcPr>
            <w:tcW w:w="1010" w:type="pct"/>
            <w:vMerge/>
            <w:tcBorders>
              <w:left w:val="nil"/>
              <w:right w:val="nil"/>
            </w:tcBorders>
            <w:vAlign w:val="center"/>
            <w:hideMark/>
          </w:tcPr>
          <w:p w14:paraId="1F99A251"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05E55E70"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tcPr>
          <w:p w14:paraId="3F52A726" w14:textId="57E95FEB"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Qasja e kufizuar në financa dhe normat e larta</w:t>
            </w:r>
          </w:p>
        </w:tc>
        <w:tc>
          <w:tcPr>
            <w:tcW w:w="1010" w:type="pct"/>
            <w:vMerge/>
            <w:tcBorders>
              <w:left w:val="nil"/>
              <w:right w:val="nil"/>
            </w:tcBorders>
            <w:vAlign w:val="center"/>
          </w:tcPr>
          <w:p w14:paraId="60E32A94"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8C8DC00"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4B64AD07" w14:textId="20CF768E"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një baze të të dhënave për investitorë për investime në komuna</w:t>
            </w:r>
          </w:p>
        </w:tc>
        <w:tc>
          <w:tcPr>
            <w:tcW w:w="1010" w:type="pct"/>
            <w:vMerge/>
            <w:tcBorders>
              <w:left w:val="nil"/>
              <w:right w:val="nil"/>
            </w:tcBorders>
            <w:vAlign w:val="center"/>
            <w:hideMark/>
          </w:tcPr>
          <w:p w14:paraId="704EC42D"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51A1A740"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6CACA3F8" w14:textId="002A07E6"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Mungesa e materialeve promovuese mbi potencialet investuese komunale </w:t>
            </w:r>
          </w:p>
        </w:tc>
        <w:tc>
          <w:tcPr>
            <w:tcW w:w="1010" w:type="pct"/>
            <w:vMerge/>
            <w:tcBorders>
              <w:left w:val="nil"/>
              <w:right w:val="nil"/>
            </w:tcBorders>
            <w:vAlign w:val="center"/>
            <w:hideMark/>
          </w:tcPr>
          <w:p w14:paraId="361B553C"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BC57FBF"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419A34E4" w14:textId="1746128A"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Menaxhimi jo i duhur i pronës komunale</w:t>
            </w:r>
          </w:p>
        </w:tc>
        <w:tc>
          <w:tcPr>
            <w:tcW w:w="1010" w:type="pct"/>
            <w:vMerge/>
            <w:tcBorders>
              <w:left w:val="nil"/>
              <w:right w:val="nil"/>
            </w:tcBorders>
            <w:vAlign w:val="center"/>
            <w:hideMark/>
          </w:tcPr>
          <w:p w14:paraId="53EBE538"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50835C55"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02C2732B" w14:textId="79EB35F8"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Mungesa e pronës komunale për ta shfrytëzuar për qëllime investuese </w:t>
            </w:r>
          </w:p>
        </w:tc>
        <w:tc>
          <w:tcPr>
            <w:tcW w:w="1010" w:type="pct"/>
            <w:vMerge/>
            <w:tcBorders>
              <w:left w:val="nil"/>
              <w:right w:val="nil"/>
            </w:tcBorders>
            <w:vAlign w:val="center"/>
            <w:hideMark/>
          </w:tcPr>
          <w:p w14:paraId="78C8F59C"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0336F268" w14:textId="77777777" w:rsidTr="00F55F39">
        <w:trPr>
          <w:trHeight w:val="290"/>
          <w:jc w:val="center"/>
        </w:trPr>
        <w:tc>
          <w:tcPr>
            <w:tcW w:w="3990" w:type="pct"/>
            <w:tcBorders>
              <w:top w:val="nil"/>
              <w:left w:val="nil"/>
              <w:bottom w:val="nil"/>
              <w:right w:val="single" w:sz="4" w:space="0" w:color="auto"/>
            </w:tcBorders>
            <w:shd w:val="clear" w:color="000000" w:fill="FFE699"/>
            <w:vAlign w:val="center"/>
            <w:hideMark/>
          </w:tcPr>
          <w:p w14:paraId="5A7A009E" w14:textId="5C16D02A"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Investimet e kufizuara në infrastrukturën publike lokale</w:t>
            </w:r>
          </w:p>
        </w:tc>
        <w:tc>
          <w:tcPr>
            <w:tcW w:w="1010" w:type="pct"/>
            <w:vMerge/>
            <w:tcBorders>
              <w:left w:val="nil"/>
              <w:right w:val="nil"/>
            </w:tcBorders>
            <w:vAlign w:val="center"/>
            <w:hideMark/>
          </w:tcPr>
          <w:p w14:paraId="1576A224"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60305EF8" w14:textId="77777777" w:rsidTr="00F55F39">
        <w:trPr>
          <w:trHeight w:val="290"/>
          <w:jc w:val="center"/>
        </w:trPr>
        <w:tc>
          <w:tcPr>
            <w:tcW w:w="3990" w:type="pct"/>
            <w:tcBorders>
              <w:top w:val="nil"/>
              <w:left w:val="nil"/>
              <w:bottom w:val="nil"/>
              <w:right w:val="single" w:sz="4" w:space="0" w:color="auto"/>
            </w:tcBorders>
            <w:shd w:val="clear" w:color="000000" w:fill="FFE699"/>
            <w:vAlign w:val="center"/>
          </w:tcPr>
          <w:p w14:paraId="6DFE4384" w14:textId="04AC45CD"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përkrahjes për sektorët me potencial të rritjes</w:t>
            </w:r>
          </w:p>
        </w:tc>
        <w:tc>
          <w:tcPr>
            <w:tcW w:w="1010" w:type="pct"/>
            <w:vMerge/>
            <w:tcBorders>
              <w:left w:val="nil"/>
              <w:right w:val="nil"/>
            </w:tcBorders>
            <w:vAlign w:val="center"/>
          </w:tcPr>
          <w:p w14:paraId="4E710096"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4B64C60E" w14:textId="77777777" w:rsidTr="00F55F39">
        <w:trPr>
          <w:trHeight w:val="290"/>
          <w:jc w:val="center"/>
        </w:trPr>
        <w:tc>
          <w:tcPr>
            <w:tcW w:w="3990" w:type="pct"/>
            <w:tcBorders>
              <w:top w:val="nil"/>
              <w:left w:val="nil"/>
              <w:bottom w:val="nil"/>
              <w:right w:val="single" w:sz="4" w:space="0" w:color="auto"/>
            </w:tcBorders>
            <w:shd w:val="clear" w:color="000000" w:fill="FFE699"/>
            <w:vAlign w:val="center"/>
            <w:hideMark/>
          </w:tcPr>
          <w:p w14:paraId="3AB84030" w14:textId="487F19D0"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Mbështetja e pamjaftueshme e sektorit të bujqësisë nga ana e institucioneve lokale</w:t>
            </w:r>
          </w:p>
        </w:tc>
        <w:tc>
          <w:tcPr>
            <w:tcW w:w="1010" w:type="pct"/>
            <w:vMerge/>
            <w:tcBorders>
              <w:left w:val="nil"/>
              <w:right w:val="nil"/>
            </w:tcBorders>
            <w:vAlign w:val="center"/>
            <w:hideMark/>
          </w:tcPr>
          <w:p w14:paraId="49834116"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26BBEA7B"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740ED17D" w14:textId="3B7B6F6E"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Përkrahja e kufizuar për zhvillim të turizmit rural (agroturizimit)</w:t>
            </w:r>
          </w:p>
        </w:tc>
        <w:tc>
          <w:tcPr>
            <w:tcW w:w="1010" w:type="pct"/>
            <w:vMerge/>
            <w:tcBorders>
              <w:left w:val="nil"/>
              <w:right w:val="nil"/>
            </w:tcBorders>
            <w:vAlign w:val="center"/>
            <w:hideMark/>
          </w:tcPr>
          <w:p w14:paraId="77879068"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7662CF93"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hideMark/>
          </w:tcPr>
          <w:p w14:paraId="121F3E8A" w14:textId="5A517419"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Anashkalimi trashëgimisë kulturore për promovim të ekonomisë kreative </w:t>
            </w:r>
          </w:p>
        </w:tc>
        <w:tc>
          <w:tcPr>
            <w:tcW w:w="1010" w:type="pct"/>
            <w:vMerge/>
            <w:tcBorders>
              <w:left w:val="nil"/>
              <w:right w:val="nil"/>
            </w:tcBorders>
            <w:vAlign w:val="center"/>
            <w:hideMark/>
          </w:tcPr>
          <w:p w14:paraId="53AEDD0B"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0C388A08"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tcPr>
          <w:p w14:paraId="47C23FC6" w14:textId="3CBE3EB7"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lastRenderedPageBreak/>
              <w:t>Kërkesa e kufizuar/tregu i vogël</w:t>
            </w:r>
          </w:p>
        </w:tc>
        <w:tc>
          <w:tcPr>
            <w:tcW w:w="1010" w:type="pct"/>
            <w:vMerge/>
            <w:tcBorders>
              <w:left w:val="nil"/>
              <w:right w:val="nil"/>
            </w:tcBorders>
            <w:vAlign w:val="center"/>
          </w:tcPr>
          <w:p w14:paraId="02157510"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26922F68"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tcPr>
          <w:p w14:paraId="7014169E" w14:textId="05F6653D"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lastRenderedPageBreak/>
              <w:t>Pasiguria për të investuar</w:t>
            </w:r>
          </w:p>
        </w:tc>
        <w:tc>
          <w:tcPr>
            <w:tcW w:w="1010" w:type="pct"/>
            <w:vMerge/>
            <w:tcBorders>
              <w:left w:val="nil"/>
              <w:right w:val="nil"/>
            </w:tcBorders>
            <w:vAlign w:val="center"/>
          </w:tcPr>
          <w:p w14:paraId="4DB4A7B2"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4AAF3571" w14:textId="77777777" w:rsidTr="00F55F39">
        <w:trPr>
          <w:trHeight w:val="290"/>
          <w:jc w:val="center"/>
        </w:trPr>
        <w:tc>
          <w:tcPr>
            <w:tcW w:w="3990" w:type="pct"/>
            <w:tcBorders>
              <w:top w:val="nil"/>
              <w:left w:val="nil"/>
              <w:bottom w:val="nil"/>
              <w:right w:val="single" w:sz="4" w:space="0" w:color="auto"/>
            </w:tcBorders>
            <w:shd w:val="clear" w:color="000000" w:fill="FFE699"/>
            <w:noWrap/>
            <w:vAlign w:val="center"/>
          </w:tcPr>
          <w:p w14:paraId="51317728" w14:textId="0DF42BCF"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Rritja e çmimit për lëndën e parë</w:t>
            </w:r>
          </w:p>
        </w:tc>
        <w:tc>
          <w:tcPr>
            <w:tcW w:w="1010" w:type="pct"/>
            <w:vMerge/>
            <w:tcBorders>
              <w:left w:val="nil"/>
              <w:bottom w:val="nil"/>
              <w:right w:val="nil"/>
            </w:tcBorders>
            <w:vAlign w:val="center"/>
          </w:tcPr>
          <w:p w14:paraId="71B51338"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4612A985" w14:textId="77777777" w:rsidTr="00F55F39">
        <w:trPr>
          <w:trHeight w:val="290"/>
          <w:jc w:val="center"/>
        </w:trPr>
        <w:tc>
          <w:tcPr>
            <w:tcW w:w="3990" w:type="pct"/>
            <w:tcBorders>
              <w:top w:val="single" w:sz="4" w:space="0" w:color="auto"/>
              <w:left w:val="nil"/>
              <w:bottom w:val="nil"/>
              <w:right w:val="single" w:sz="4" w:space="0" w:color="auto"/>
            </w:tcBorders>
            <w:shd w:val="clear" w:color="000000" w:fill="BDD7EE"/>
            <w:noWrap/>
            <w:vAlign w:val="center"/>
            <w:hideMark/>
          </w:tcPr>
          <w:p w14:paraId="3EA211AF" w14:textId="71DB38E3" w:rsidR="00F55F39" w:rsidRPr="009E674D" w:rsidRDefault="00F55F39" w:rsidP="005027F9">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Mungesa e </w:t>
            </w:r>
            <w:r w:rsidR="005027F9">
              <w:rPr>
                <w:rFonts w:ascii="Calibri" w:eastAsia="Times New Roman" w:hAnsi="Calibri" w:cs="Times New Roman"/>
                <w:color w:val="000000"/>
                <w:lang w:val="sq-AL"/>
              </w:rPr>
              <w:t>p</w:t>
            </w:r>
            <w:r w:rsidR="005027F9" w:rsidRPr="009E674D">
              <w:rPr>
                <w:rFonts w:ascii="Calibri" w:eastAsia="Times New Roman" w:hAnsi="Calibri" w:cs="Times New Roman"/>
                <w:color w:val="000000"/>
                <w:lang w:val="sq-AL"/>
              </w:rPr>
              <w:t>rior</w:t>
            </w:r>
            <w:r w:rsidR="005027F9">
              <w:rPr>
                <w:rFonts w:ascii="Calibri" w:eastAsia="Times New Roman" w:hAnsi="Calibri" w:cs="Times New Roman"/>
                <w:color w:val="000000"/>
                <w:lang w:val="sq-AL"/>
              </w:rPr>
              <w:t>i</w:t>
            </w:r>
            <w:r w:rsidR="005027F9" w:rsidRPr="009E674D">
              <w:rPr>
                <w:rFonts w:ascii="Calibri" w:eastAsia="Times New Roman" w:hAnsi="Calibri" w:cs="Times New Roman"/>
                <w:color w:val="000000"/>
                <w:lang w:val="sq-AL"/>
              </w:rPr>
              <w:t xml:space="preserve">tizimit </w:t>
            </w:r>
            <w:r w:rsidRPr="009E674D">
              <w:rPr>
                <w:rFonts w:ascii="Calibri" w:eastAsia="Times New Roman" w:hAnsi="Calibri" w:cs="Times New Roman"/>
                <w:color w:val="000000"/>
                <w:lang w:val="sq-AL"/>
              </w:rPr>
              <w:t xml:space="preserve">të zhvillimit ekonomik lokal </w:t>
            </w:r>
          </w:p>
        </w:tc>
        <w:tc>
          <w:tcPr>
            <w:tcW w:w="1010" w:type="pct"/>
            <w:vMerge w:val="restart"/>
            <w:tcBorders>
              <w:top w:val="single" w:sz="4" w:space="0" w:color="auto"/>
              <w:left w:val="nil"/>
              <w:bottom w:val="nil"/>
              <w:right w:val="nil"/>
            </w:tcBorders>
            <w:shd w:val="clear" w:color="000000" w:fill="BDD7EE"/>
            <w:vAlign w:val="center"/>
            <w:hideMark/>
          </w:tcPr>
          <w:p w14:paraId="6A8D340C" w14:textId="77777777" w:rsidR="00F55F39" w:rsidRPr="009E674D" w:rsidRDefault="00F55F39" w:rsidP="00D91DB5">
            <w:pPr>
              <w:spacing w:after="0" w:line="240" w:lineRule="auto"/>
              <w:jc w:val="center"/>
              <w:rPr>
                <w:rFonts w:ascii="Calibri" w:eastAsia="Times New Roman" w:hAnsi="Calibri" w:cs="Times New Roman"/>
                <w:b/>
                <w:bCs/>
                <w:color w:val="000000"/>
                <w:lang w:val="sq-AL"/>
              </w:rPr>
            </w:pPr>
            <w:r w:rsidRPr="009E674D">
              <w:rPr>
                <w:rFonts w:ascii="Calibri" w:eastAsia="Times New Roman" w:hAnsi="Calibri" w:cs="Times New Roman"/>
                <w:b/>
                <w:bCs/>
                <w:color w:val="000000"/>
                <w:lang w:val="sq-AL"/>
              </w:rPr>
              <w:t>(3) Kuadri institucional i mangët dhe me bashkëpunim të pamjaftueshëm</w:t>
            </w:r>
          </w:p>
        </w:tc>
      </w:tr>
      <w:tr w:rsidR="00F55F39" w:rsidRPr="009E674D" w14:paraId="5F25BB5A" w14:textId="77777777" w:rsidTr="00F55F39">
        <w:trPr>
          <w:trHeight w:val="290"/>
          <w:jc w:val="center"/>
        </w:trPr>
        <w:tc>
          <w:tcPr>
            <w:tcW w:w="3990" w:type="pct"/>
            <w:tcBorders>
              <w:top w:val="nil"/>
              <w:left w:val="nil"/>
              <w:bottom w:val="nil"/>
              <w:right w:val="single" w:sz="4" w:space="0" w:color="auto"/>
            </w:tcBorders>
            <w:shd w:val="clear" w:color="000000" w:fill="BDD7EE"/>
            <w:noWrap/>
            <w:vAlign w:val="center"/>
            <w:hideMark/>
          </w:tcPr>
          <w:p w14:paraId="54FE2224" w14:textId="0C10CA0D"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Kapacitetet e kufizuara profesionale për zhvillim ekonomik në institucione komunale</w:t>
            </w:r>
          </w:p>
        </w:tc>
        <w:tc>
          <w:tcPr>
            <w:tcW w:w="1010" w:type="pct"/>
            <w:vMerge/>
            <w:tcBorders>
              <w:top w:val="single" w:sz="4" w:space="0" w:color="auto"/>
              <w:left w:val="nil"/>
              <w:bottom w:val="nil"/>
              <w:right w:val="nil"/>
            </w:tcBorders>
            <w:vAlign w:val="center"/>
            <w:hideMark/>
          </w:tcPr>
          <w:p w14:paraId="34709C37"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7C4CB7C9" w14:textId="77777777" w:rsidTr="00F55F39">
        <w:trPr>
          <w:trHeight w:val="290"/>
          <w:jc w:val="center"/>
        </w:trPr>
        <w:tc>
          <w:tcPr>
            <w:tcW w:w="3990" w:type="pct"/>
            <w:tcBorders>
              <w:top w:val="nil"/>
              <w:left w:val="nil"/>
              <w:bottom w:val="nil"/>
              <w:right w:val="single" w:sz="4" w:space="0" w:color="auto"/>
            </w:tcBorders>
            <w:shd w:val="clear" w:color="000000" w:fill="BDD7EE"/>
            <w:noWrap/>
            <w:vAlign w:val="center"/>
            <w:hideMark/>
          </w:tcPr>
          <w:p w14:paraId="45914F93" w14:textId="52D21511"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Mungesa e dokumenteve strategjike zhvillimore të zbatueshme </w:t>
            </w:r>
          </w:p>
        </w:tc>
        <w:tc>
          <w:tcPr>
            <w:tcW w:w="1010" w:type="pct"/>
            <w:vMerge/>
            <w:tcBorders>
              <w:top w:val="single" w:sz="4" w:space="0" w:color="auto"/>
              <w:left w:val="nil"/>
              <w:bottom w:val="nil"/>
              <w:right w:val="nil"/>
            </w:tcBorders>
            <w:vAlign w:val="center"/>
            <w:hideMark/>
          </w:tcPr>
          <w:p w14:paraId="72A6991C"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53D8400F" w14:textId="77777777" w:rsidTr="00F55F39">
        <w:trPr>
          <w:trHeight w:val="290"/>
          <w:jc w:val="center"/>
        </w:trPr>
        <w:tc>
          <w:tcPr>
            <w:tcW w:w="3990" w:type="pct"/>
            <w:tcBorders>
              <w:top w:val="nil"/>
              <w:left w:val="nil"/>
              <w:bottom w:val="nil"/>
              <w:right w:val="single" w:sz="4" w:space="0" w:color="auto"/>
            </w:tcBorders>
            <w:shd w:val="clear" w:color="000000" w:fill="BDD7EE"/>
            <w:noWrap/>
            <w:vAlign w:val="center"/>
            <w:hideMark/>
          </w:tcPr>
          <w:p w14:paraId="26339A86" w14:textId="722DDDBB"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kapaciteteve për thithje te fondeve nga donatorët</w:t>
            </w:r>
          </w:p>
        </w:tc>
        <w:tc>
          <w:tcPr>
            <w:tcW w:w="1010" w:type="pct"/>
            <w:vMerge/>
            <w:tcBorders>
              <w:top w:val="single" w:sz="4" w:space="0" w:color="auto"/>
              <w:left w:val="nil"/>
              <w:bottom w:val="nil"/>
              <w:right w:val="nil"/>
            </w:tcBorders>
            <w:vAlign w:val="center"/>
            <w:hideMark/>
          </w:tcPr>
          <w:p w14:paraId="24BBCDF0"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45B7AC6" w14:textId="77777777" w:rsidTr="00F55F39">
        <w:trPr>
          <w:trHeight w:val="290"/>
          <w:jc w:val="center"/>
        </w:trPr>
        <w:tc>
          <w:tcPr>
            <w:tcW w:w="3990" w:type="pct"/>
            <w:tcBorders>
              <w:top w:val="nil"/>
              <w:left w:val="nil"/>
              <w:bottom w:val="nil"/>
              <w:right w:val="single" w:sz="4" w:space="0" w:color="auto"/>
            </w:tcBorders>
            <w:shd w:val="clear" w:color="000000" w:fill="BDD7EE"/>
            <w:noWrap/>
            <w:vAlign w:val="center"/>
            <w:hideMark/>
          </w:tcPr>
          <w:p w14:paraId="2A1E716B" w14:textId="46AAA6FC"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Bashkëpunimi i kufizuar dhe jo sistematik me komunitetin e biznesit në nivel komunal</w:t>
            </w:r>
          </w:p>
        </w:tc>
        <w:tc>
          <w:tcPr>
            <w:tcW w:w="1010" w:type="pct"/>
            <w:vMerge/>
            <w:tcBorders>
              <w:top w:val="single" w:sz="4" w:space="0" w:color="auto"/>
              <w:left w:val="nil"/>
              <w:bottom w:val="nil"/>
              <w:right w:val="nil"/>
            </w:tcBorders>
            <w:vAlign w:val="center"/>
            <w:hideMark/>
          </w:tcPr>
          <w:p w14:paraId="6CF1D3E9"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E398848" w14:textId="77777777" w:rsidTr="00F55F39">
        <w:trPr>
          <w:trHeight w:val="290"/>
          <w:jc w:val="center"/>
        </w:trPr>
        <w:tc>
          <w:tcPr>
            <w:tcW w:w="3990" w:type="pct"/>
            <w:tcBorders>
              <w:top w:val="nil"/>
              <w:left w:val="nil"/>
              <w:bottom w:val="nil"/>
              <w:right w:val="single" w:sz="4" w:space="0" w:color="auto"/>
            </w:tcBorders>
            <w:shd w:val="clear" w:color="000000" w:fill="BDD7EE"/>
            <w:noWrap/>
            <w:vAlign w:val="center"/>
            <w:hideMark/>
          </w:tcPr>
          <w:p w14:paraId="1481AB6A" w14:textId="2EA7F28E" w:rsidR="00F55F39" w:rsidRPr="009E674D" w:rsidRDefault="00F55F39" w:rsidP="005027F9">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koordinimit të nivelit lokal dhe qendror për hartimin e politikave</w:t>
            </w:r>
            <w:r w:rsidR="00636E80">
              <w:rPr>
                <w:rFonts w:ascii="Calibri" w:eastAsia="Times New Roman" w:hAnsi="Calibri" w:cs="Times New Roman"/>
                <w:color w:val="000000"/>
                <w:lang w:val="sq-AL"/>
              </w:rPr>
              <w:t xml:space="preserve"> në fushën zhvillimit  ekonomik </w:t>
            </w:r>
            <w:r w:rsidR="005027F9" w:rsidRPr="009E674D">
              <w:rPr>
                <w:rFonts w:ascii="Calibri" w:eastAsia="Times New Roman" w:hAnsi="Calibri" w:cs="Times New Roman"/>
                <w:color w:val="000000"/>
                <w:lang w:val="sq-AL"/>
              </w:rPr>
              <w:t>lokal</w:t>
            </w:r>
            <w:r w:rsidR="005027F9">
              <w:rPr>
                <w:rFonts w:ascii="Calibri" w:eastAsia="Times New Roman" w:hAnsi="Calibri" w:cs="Times New Roman"/>
                <w:color w:val="000000"/>
                <w:lang w:val="sq-AL"/>
              </w:rPr>
              <w:t>;</w:t>
            </w:r>
            <w:r w:rsidR="005027F9" w:rsidRPr="009E674D">
              <w:rPr>
                <w:rFonts w:ascii="Calibri" w:eastAsia="Times New Roman" w:hAnsi="Calibri" w:cs="Times New Roman"/>
                <w:color w:val="000000"/>
                <w:lang w:val="sq-AL"/>
              </w:rPr>
              <w:t xml:space="preserve"> </w:t>
            </w:r>
          </w:p>
        </w:tc>
        <w:tc>
          <w:tcPr>
            <w:tcW w:w="1010" w:type="pct"/>
            <w:vMerge/>
            <w:tcBorders>
              <w:top w:val="single" w:sz="4" w:space="0" w:color="auto"/>
              <w:left w:val="nil"/>
              <w:bottom w:val="nil"/>
              <w:right w:val="nil"/>
            </w:tcBorders>
            <w:vAlign w:val="center"/>
            <w:hideMark/>
          </w:tcPr>
          <w:p w14:paraId="4D99BECC"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7470A9C5" w14:textId="77777777" w:rsidTr="00F55F39">
        <w:trPr>
          <w:trHeight w:val="290"/>
          <w:jc w:val="center"/>
        </w:trPr>
        <w:tc>
          <w:tcPr>
            <w:tcW w:w="3990" w:type="pct"/>
            <w:tcBorders>
              <w:top w:val="nil"/>
              <w:left w:val="nil"/>
              <w:bottom w:val="nil"/>
              <w:right w:val="single" w:sz="4" w:space="0" w:color="auto"/>
            </w:tcBorders>
            <w:shd w:val="clear" w:color="000000" w:fill="BDD7EE"/>
            <w:noWrap/>
            <w:vAlign w:val="center"/>
          </w:tcPr>
          <w:p w14:paraId="202DE26A" w14:textId="6B275A53"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Paqartësia në mes të kompetencave të nivelit qendror dhe atij lokal</w:t>
            </w:r>
          </w:p>
        </w:tc>
        <w:tc>
          <w:tcPr>
            <w:tcW w:w="1010" w:type="pct"/>
            <w:vMerge/>
            <w:tcBorders>
              <w:top w:val="single" w:sz="4" w:space="0" w:color="auto"/>
              <w:left w:val="nil"/>
              <w:bottom w:val="nil"/>
              <w:right w:val="nil"/>
            </w:tcBorders>
            <w:vAlign w:val="center"/>
          </w:tcPr>
          <w:p w14:paraId="1B53AF16"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696E26DF" w14:textId="77777777" w:rsidTr="00F55F39">
        <w:trPr>
          <w:trHeight w:val="290"/>
          <w:jc w:val="center"/>
        </w:trPr>
        <w:tc>
          <w:tcPr>
            <w:tcW w:w="3990" w:type="pct"/>
            <w:tcBorders>
              <w:top w:val="nil"/>
              <w:left w:val="nil"/>
              <w:bottom w:val="nil"/>
              <w:right w:val="single" w:sz="4" w:space="0" w:color="auto"/>
            </w:tcBorders>
            <w:shd w:val="clear" w:color="000000" w:fill="BDD7EE"/>
            <w:noWrap/>
            <w:vAlign w:val="center"/>
            <w:hideMark/>
          </w:tcPr>
          <w:p w14:paraId="212DCF0C" w14:textId="275398CB"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Mungesa e bashkëpunimit ndërmjet komunave për interes të përbashkët, përjashto në projekte infrastrukturore </w:t>
            </w:r>
          </w:p>
        </w:tc>
        <w:tc>
          <w:tcPr>
            <w:tcW w:w="1010" w:type="pct"/>
            <w:vMerge/>
            <w:tcBorders>
              <w:top w:val="single" w:sz="4" w:space="0" w:color="auto"/>
              <w:left w:val="nil"/>
              <w:bottom w:val="nil"/>
              <w:right w:val="nil"/>
            </w:tcBorders>
            <w:vAlign w:val="center"/>
            <w:hideMark/>
          </w:tcPr>
          <w:p w14:paraId="756CC929"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47011D5F" w14:textId="77777777" w:rsidTr="00F55F39">
        <w:trPr>
          <w:trHeight w:val="290"/>
          <w:jc w:val="center"/>
        </w:trPr>
        <w:tc>
          <w:tcPr>
            <w:tcW w:w="3990" w:type="pct"/>
            <w:tcBorders>
              <w:top w:val="single" w:sz="4" w:space="0" w:color="auto"/>
              <w:left w:val="nil"/>
              <w:bottom w:val="nil"/>
              <w:right w:val="single" w:sz="4" w:space="0" w:color="auto"/>
            </w:tcBorders>
            <w:shd w:val="clear" w:color="000000" w:fill="F8CBAD"/>
            <w:noWrap/>
            <w:vAlign w:val="center"/>
            <w:hideMark/>
          </w:tcPr>
          <w:p w14:paraId="41D63851" w14:textId="4DFB9503"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shkathtësive në tregun e punës për përmbushje të nevojave të sektorit privat</w:t>
            </w:r>
          </w:p>
        </w:tc>
        <w:tc>
          <w:tcPr>
            <w:tcW w:w="1010" w:type="pct"/>
            <w:vMerge w:val="restart"/>
            <w:tcBorders>
              <w:top w:val="single" w:sz="4" w:space="0" w:color="auto"/>
              <w:left w:val="nil"/>
              <w:bottom w:val="single" w:sz="4" w:space="0" w:color="000000"/>
              <w:right w:val="nil"/>
            </w:tcBorders>
            <w:shd w:val="clear" w:color="000000" w:fill="F8CBAD"/>
            <w:vAlign w:val="center"/>
            <w:hideMark/>
          </w:tcPr>
          <w:p w14:paraId="523B4634" w14:textId="77777777" w:rsidR="00F55F39" w:rsidRPr="009E674D" w:rsidRDefault="00F55F39" w:rsidP="00D91DB5">
            <w:pPr>
              <w:spacing w:after="0" w:line="240" w:lineRule="auto"/>
              <w:jc w:val="center"/>
              <w:rPr>
                <w:rFonts w:ascii="Calibri" w:eastAsia="Times New Roman" w:hAnsi="Calibri" w:cs="Times New Roman"/>
                <w:b/>
                <w:bCs/>
                <w:color w:val="000000"/>
                <w:lang w:val="sq-AL"/>
              </w:rPr>
            </w:pPr>
            <w:r w:rsidRPr="009E674D">
              <w:rPr>
                <w:rFonts w:ascii="Calibri" w:eastAsia="Times New Roman" w:hAnsi="Calibri" w:cs="Times New Roman"/>
                <w:b/>
                <w:bCs/>
                <w:color w:val="000000"/>
                <w:lang w:val="sq-AL"/>
              </w:rPr>
              <w:t xml:space="preserve">(4) Burimet (kapacitetet) njerëzore jo adekuate dhe niveli i lartë i papunësisë dhe varfërisë </w:t>
            </w:r>
          </w:p>
        </w:tc>
      </w:tr>
      <w:tr w:rsidR="00F55F39" w:rsidRPr="009E674D" w14:paraId="184A2E0C" w14:textId="77777777" w:rsidTr="00F55F39">
        <w:trPr>
          <w:trHeight w:val="290"/>
          <w:jc w:val="center"/>
        </w:trPr>
        <w:tc>
          <w:tcPr>
            <w:tcW w:w="3990" w:type="pct"/>
            <w:tcBorders>
              <w:top w:val="nil"/>
              <w:left w:val="nil"/>
              <w:bottom w:val="nil"/>
              <w:right w:val="single" w:sz="4" w:space="0" w:color="auto"/>
            </w:tcBorders>
            <w:shd w:val="clear" w:color="000000" w:fill="F8CBAD"/>
            <w:noWrap/>
            <w:vAlign w:val="center"/>
          </w:tcPr>
          <w:p w14:paraId="10D08F3F" w14:textId="3A72CB59"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Ikja e fuqisë punëtore, sidomos nga komunat më të vogla</w:t>
            </w:r>
          </w:p>
        </w:tc>
        <w:tc>
          <w:tcPr>
            <w:tcW w:w="1010" w:type="pct"/>
            <w:vMerge/>
            <w:tcBorders>
              <w:top w:val="single" w:sz="4" w:space="0" w:color="auto"/>
              <w:left w:val="nil"/>
              <w:bottom w:val="single" w:sz="4" w:space="0" w:color="000000"/>
              <w:right w:val="nil"/>
            </w:tcBorders>
            <w:vAlign w:val="center"/>
          </w:tcPr>
          <w:p w14:paraId="2C140D2C"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7ECF6270" w14:textId="77777777" w:rsidTr="00F55F39">
        <w:trPr>
          <w:trHeight w:val="290"/>
          <w:jc w:val="center"/>
        </w:trPr>
        <w:tc>
          <w:tcPr>
            <w:tcW w:w="3990" w:type="pct"/>
            <w:tcBorders>
              <w:top w:val="nil"/>
              <w:left w:val="nil"/>
              <w:bottom w:val="nil"/>
              <w:right w:val="single" w:sz="4" w:space="0" w:color="auto"/>
            </w:tcBorders>
            <w:shd w:val="clear" w:color="000000" w:fill="F8CBAD"/>
            <w:noWrap/>
            <w:vAlign w:val="center"/>
            <w:hideMark/>
          </w:tcPr>
          <w:p w14:paraId="70D54CC3" w14:textId="37056337"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Bashkëpunimi i kufizuar në mes të shkollave profesionale dhe sektorit privat </w:t>
            </w:r>
          </w:p>
        </w:tc>
        <w:tc>
          <w:tcPr>
            <w:tcW w:w="1010" w:type="pct"/>
            <w:vMerge/>
            <w:tcBorders>
              <w:top w:val="single" w:sz="4" w:space="0" w:color="auto"/>
              <w:left w:val="nil"/>
              <w:bottom w:val="single" w:sz="4" w:space="0" w:color="000000"/>
              <w:right w:val="nil"/>
            </w:tcBorders>
            <w:vAlign w:val="center"/>
            <w:hideMark/>
          </w:tcPr>
          <w:p w14:paraId="41EEBCD7"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5DFDAD4F" w14:textId="77777777" w:rsidTr="00F55F39">
        <w:trPr>
          <w:trHeight w:val="290"/>
          <w:jc w:val="center"/>
        </w:trPr>
        <w:tc>
          <w:tcPr>
            <w:tcW w:w="3990" w:type="pct"/>
            <w:tcBorders>
              <w:top w:val="nil"/>
              <w:left w:val="nil"/>
              <w:bottom w:val="nil"/>
              <w:right w:val="single" w:sz="4" w:space="0" w:color="auto"/>
            </w:tcBorders>
            <w:shd w:val="clear" w:color="000000" w:fill="F8CBAD"/>
            <w:noWrap/>
            <w:vAlign w:val="center"/>
            <w:hideMark/>
          </w:tcPr>
          <w:p w14:paraId="750056D3" w14:textId="0283518A"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Pjesëmarrja e kufizuar e grave në tregun e punës</w:t>
            </w:r>
          </w:p>
        </w:tc>
        <w:tc>
          <w:tcPr>
            <w:tcW w:w="1010" w:type="pct"/>
            <w:vMerge/>
            <w:tcBorders>
              <w:top w:val="single" w:sz="4" w:space="0" w:color="auto"/>
              <w:left w:val="nil"/>
              <w:bottom w:val="single" w:sz="4" w:space="0" w:color="000000"/>
              <w:right w:val="nil"/>
            </w:tcBorders>
            <w:vAlign w:val="center"/>
            <w:hideMark/>
          </w:tcPr>
          <w:p w14:paraId="290FCB79"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A8CDD17" w14:textId="77777777" w:rsidTr="00F55F39">
        <w:trPr>
          <w:trHeight w:val="290"/>
          <w:jc w:val="center"/>
        </w:trPr>
        <w:tc>
          <w:tcPr>
            <w:tcW w:w="3990" w:type="pct"/>
            <w:tcBorders>
              <w:top w:val="nil"/>
              <w:left w:val="nil"/>
              <w:bottom w:val="nil"/>
              <w:right w:val="single" w:sz="4" w:space="0" w:color="auto"/>
            </w:tcBorders>
            <w:shd w:val="clear" w:color="000000" w:fill="F8CBAD"/>
            <w:noWrap/>
            <w:vAlign w:val="center"/>
            <w:hideMark/>
          </w:tcPr>
          <w:p w14:paraId="67EE8D0F" w14:textId="3B995DC2"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Qendrat e aftësimit profesional me programe që nuk lidhen shumë me nevojat e tregut  </w:t>
            </w:r>
          </w:p>
        </w:tc>
        <w:tc>
          <w:tcPr>
            <w:tcW w:w="1010" w:type="pct"/>
            <w:vMerge/>
            <w:tcBorders>
              <w:top w:val="single" w:sz="4" w:space="0" w:color="auto"/>
              <w:left w:val="nil"/>
              <w:bottom w:val="single" w:sz="4" w:space="0" w:color="000000"/>
              <w:right w:val="nil"/>
            </w:tcBorders>
            <w:vAlign w:val="center"/>
            <w:hideMark/>
          </w:tcPr>
          <w:p w14:paraId="45A65EBA"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12C4EA5E" w14:textId="77777777" w:rsidTr="00F55F39">
        <w:trPr>
          <w:trHeight w:val="290"/>
          <w:jc w:val="center"/>
        </w:trPr>
        <w:tc>
          <w:tcPr>
            <w:tcW w:w="3990" w:type="pct"/>
            <w:tcBorders>
              <w:top w:val="nil"/>
              <w:left w:val="nil"/>
              <w:bottom w:val="nil"/>
              <w:right w:val="single" w:sz="4" w:space="0" w:color="auto"/>
            </w:tcBorders>
            <w:shd w:val="clear" w:color="000000" w:fill="F8CBAD"/>
            <w:noWrap/>
            <w:vAlign w:val="center"/>
            <w:hideMark/>
          </w:tcPr>
          <w:p w14:paraId="290A74D4" w14:textId="0F3CB880" w:rsidR="00F55F39" w:rsidRPr="009E674D" w:rsidRDefault="00F55F39" w:rsidP="005027F9">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Hendeku në mes të digjitalizimit </w:t>
            </w:r>
            <w:r w:rsidR="005027F9">
              <w:rPr>
                <w:rFonts w:ascii="Calibri" w:eastAsia="Times New Roman" w:hAnsi="Calibri" w:cs="Times New Roman"/>
                <w:color w:val="000000"/>
                <w:lang w:val="sq-AL"/>
              </w:rPr>
              <w:t>t</w:t>
            </w:r>
            <w:r w:rsidR="005027F9" w:rsidRPr="009E674D">
              <w:rPr>
                <w:rFonts w:ascii="Calibri" w:eastAsia="Times New Roman" w:hAnsi="Calibri" w:cs="Times New Roman"/>
                <w:color w:val="000000"/>
                <w:lang w:val="sq-AL"/>
              </w:rPr>
              <w:t xml:space="preserve">ë </w:t>
            </w:r>
            <w:r w:rsidRPr="009E674D">
              <w:rPr>
                <w:rFonts w:ascii="Calibri" w:eastAsia="Times New Roman" w:hAnsi="Calibri" w:cs="Times New Roman"/>
                <w:color w:val="000000"/>
                <w:lang w:val="sq-AL"/>
              </w:rPr>
              <w:t>shkolla</w:t>
            </w:r>
            <w:r w:rsidR="005027F9">
              <w:rPr>
                <w:rFonts w:ascii="Calibri" w:eastAsia="Times New Roman" w:hAnsi="Calibri" w:cs="Times New Roman"/>
                <w:color w:val="000000"/>
                <w:lang w:val="sq-AL"/>
              </w:rPr>
              <w:t>ve</w:t>
            </w:r>
            <w:r w:rsidRPr="009E674D">
              <w:rPr>
                <w:rFonts w:ascii="Calibri" w:eastAsia="Times New Roman" w:hAnsi="Calibri" w:cs="Times New Roman"/>
                <w:color w:val="000000"/>
                <w:lang w:val="sq-AL"/>
              </w:rPr>
              <w:t xml:space="preserve"> në zonat urbane dhe </w:t>
            </w:r>
            <w:r w:rsidR="005027F9">
              <w:rPr>
                <w:rFonts w:ascii="Calibri" w:eastAsia="Times New Roman" w:hAnsi="Calibri" w:cs="Times New Roman"/>
                <w:color w:val="000000"/>
                <w:lang w:val="sq-AL"/>
              </w:rPr>
              <w:t xml:space="preserve">ato </w:t>
            </w:r>
            <w:r w:rsidRPr="009E674D">
              <w:rPr>
                <w:rFonts w:ascii="Calibri" w:eastAsia="Times New Roman" w:hAnsi="Calibri" w:cs="Times New Roman"/>
                <w:color w:val="000000"/>
                <w:lang w:val="sq-AL"/>
              </w:rPr>
              <w:t xml:space="preserve">rurale </w:t>
            </w:r>
          </w:p>
        </w:tc>
        <w:tc>
          <w:tcPr>
            <w:tcW w:w="1010" w:type="pct"/>
            <w:vMerge/>
            <w:tcBorders>
              <w:top w:val="single" w:sz="4" w:space="0" w:color="auto"/>
              <w:left w:val="nil"/>
              <w:bottom w:val="single" w:sz="4" w:space="0" w:color="000000"/>
              <w:right w:val="nil"/>
            </w:tcBorders>
            <w:vAlign w:val="center"/>
            <w:hideMark/>
          </w:tcPr>
          <w:p w14:paraId="1130A8B5"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0F23E4B7" w14:textId="77777777" w:rsidTr="00F55F39">
        <w:trPr>
          <w:trHeight w:val="290"/>
          <w:jc w:val="center"/>
        </w:trPr>
        <w:tc>
          <w:tcPr>
            <w:tcW w:w="3990" w:type="pct"/>
            <w:tcBorders>
              <w:top w:val="nil"/>
              <w:left w:val="nil"/>
              <w:bottom w:val="nil"/>
              <w:right w:val="single" w:sz="4" w:space="0" w:color="auto"/>
            </w:tcBorders>
            <w:shd w:val="clear" w:color="000000" w:fill="F8CBAD"/>
            <w:noWrap/>
            <w:vAlign w:val="center"/>
            <w:hideMark/>
          </w:tcPr>
          <w:p w14:paraId="275FDDFC" w14:textId="34276E10"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politikave lokale për fuqizim të kapitalit njerëzor në harmoni me nevojat e tregut të punës</w:t>
            </w:r>
          </w:p>
        </w:tc>
        <w:tc>
          <w:tcPr>
            <w:tcW w:w="1010" w:type="pct"/>
            <w:vMerge/>
            <w:tcBorders>
              <w:top w:val="single" w:sz="4" w:space="0" w:color="auto"/>
              <w:left w:val="nil"/>
              <w:bottom w:val="single" w:sz="4" w:space="0" w:color="000000"/>
              <w:right w:val="nil"/>
            </w:tcBorders>
            <w:vAlign w:val="center"/>
            <w:hideMark/>
          </w:tcPr>
          <w:p w14:paraId="23D3CB1D"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7B330034" w14:textId="77777777" w:rsidTr="00F55F39">
        <w:trPr>
          <w:trHeight w:val="290"/>
          <w:jc w:val="center"/>
        </w:trPr>
        <w:tc>
          <w:tcPr>
            <w:tcW w:w="3990" w:type="pct"/>
            <w:tcBorders>
              <w:top w:val="single" w:sz="4" w:space="0" w:color="auto"/>
              <w:left w:val="nil"/>
              <w:bottom w:val="nil"/>
              <w:right w:val="single" w:sz="4" w:space="0" w:color="auto"/>
            </w:tcBorders>
            <w:shd w:val="clear" w:color="000000" w:fill="A9D08E"/>
            <w:noWrap/>
            <w:vAlign w:val="center"/>
            <w:hideMark/>
          </w:tcPr>
          <w:p w14:paraId="6F09F766" w14:textId="19BDD51C"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infrastrukturës dhe vetëdijesimit për riciklimin dhe ripërdorimin e mbeturinave</w:t>
            </w:r>
          </w:p>
        </w:tc>
        <w:tc>
          <w:tcPr>
            <w:tcW w:w="1010" w:type="pct"/>
            <w:vMerge w:val="restart"/>
            <w:tcBorders>
              <w:top w:val="nil"/>
              <w:left w:val="nil"/>
              <w:bottom w:val="nil"/>
              <w:right w:val="nil"/>
            </w:tcBorders>
            <w:shd w:val="clear" w:color="000000" w:fill="A9D08E"/>
            <w:vAlign w:val="center"/>
            <w:hideMark/>
          </w:tcPr>
          <w:p w14:paraId="6C6509B9" w14:textId="77777777" w:rsidR="00F55F39" w:rsidRPr="009E674D" w:rsidRDefault="00F55F39" w:rsidP="00D91DB5">
            <w:pPr>
              <w:spacing w:after="0" w:line="240" w:lineRule="auto"/>
              <w:jc w:val="center"/>
              <w:rPr>
                <w:rFonts w:ascii="Calibri" w:eastAsia="Times New Roman" w:hAnsi="Calibri" w:cs="Times New Roman"/>
                <w:b/>
                <w:bCs/>
                <w:color w:val="000000"/>
                <w:lang w:val="sq-AL"/>
              </w:rPr>
            </w:pPr>
            <w:r w:rsidRPr="009E674D">
              <w:rPr>
                <w:rFonts w:ascii="Calibri" w:eastAsia="Times New Roman" w:hAnsi="Calibri" w:cs="Times New Roman"/>
                <w:b/>
                <w:bCs/>
                <w:color w:val="000000"/>
                <w:lang w:val="sq-AL"/>
              </w:rPr>
              <w:t>(5) Zhvillimi ekonomik lokal   shpërfillës ndaj mjedisit</w:t>
            </w:r>
          </w:p>
        </w:tc>
      </w:tr>
      <w:tr w:rsidR="00F55F39" w:rsidRPr="009E674D" w14:paraId="6EEA0A5A" w14:textId="77777777" w:rsidTr="00F55F39">
        <w:trPr>
          <w:trHeight w:val="290"/>
          <w:jc w:val="center"/>
        </w:trPr>
        <w:tc>
          <w:tcPr>
            <w:tcW w:w="3990" w:type="pct"/>
            <w:tcBorders>
              <w:top w:val="nil"/>
              <w:left w:val="nil"/>
              <w:bottom w:val="nil"/>
              <w:right w:val="single" w:sz="4" w:space="0" w:color="auto"/>
            </w:tcBorders>
            <w:shd w:val="clear" w:color="000000" w:fill="A9D08E"/>
            <w:noWrap/>
            <w:vAlign w:val="center"/>
            <w:hideMark/>
          </w:tcPr>
          <w:p w14:paraId="6E9BD0C9" w14:textId="412D1B97" w:rsidR="00F55F39" w:rsidRPr="009E674D" w:rsidRDefault="00F55F39" w:rsidP="005027F9">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 xml:space="preserve">Shfrytëzimi jo efikas </w:t>
            </w:r>
            <w:r w:rsidR="005027F9">
              <w:rPr>
                <w:rFonts w:ascii="Calibri" w:eastAsia="Times New Roman" w:hAnsi="Calibri" w:cs="Times New Roman"/>
                <w:color w:val="000000"/>
                <w:lang w:val="sq-AL"/>
              </w:rPr>
              <w:t>i</w:t>
            </w:r>
            <w:r w:rsidRPr="009E674D">
              <w:rPr>
                <w:rFonts w:ascii="Calibri" w:eastAsia="Times New Roman" w:hAnsi="Calibri" w:cs="Times New Roman"/>
                <w:color w:val="000000"/>
                <w:lang w:val="sq-AL"/>
              </w:rPr>
              <w:t>ujit dhe energjisë</w:t>
            </w:r>
          </w:p>
        </w:tc>
        <w:tc>
          <w:tcPr>
            <w:tcW w:w="1010" w:type="pct"/>
            <w:vMerge/>
            <w:tcBorders>
              <w:top w:val="nil"/>
              <w:left w:val="nil"/>
              <w:bottom w:val="nil"/>
              <w:right w:val="nil"/>
            </w:tcBorders>
            <w:vAlign w:val="center"/>
            <w:hideMark/>
          </w:tcPr>
          <w:p w14:paraId="6AA59FA2"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575B5E6D" w14:textId="77777777" w:rsidTr="00636E80">
        <w:trPr>
          <w:trHeight w:val="75"/>
          <w:jc w:val="center"/>
        </w:trPr>
        <w:tc>
          <w:tcPr>
            <w:tcW w:w="3990" w:type="pct"/>
            <w:tcBorders>
              <w:top w:val="nil"/>
              <w:left w:val="nil"/>
              <w:bottom w:val="nil"/>
              <w:right w:val="single" w:sz="4" w:space="0" w:color="auto"/>
            </w:tcBorders>
            <w:shd w:val="clear" w:color="000000" w:fill="A9D08E"/>
            <w:noWrap/>
            <w:vAlign w:val="center"/>
            <w:hideMark/>
          </w:tcPr>
          <w:p w14:paraId="239C0C3E" w14:textId="39E9E68A"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Mungesa e planifikimi të përgjegjshëm urban</w:t>
            </w:r>
          </w:p>
        </w:tc>
        <w:tc>
          <w:tcPr>
            <w:tcW w:w="1010" w:type="pct"/>
            <w:vMerge/>
            <w:tcBorders>
              <w:top w:val="nil"/>
              <w:left w:val="nil"/>
              <w:bottom w:val="nil"/>
              <w:right w:val="nil"/>
            </w:tcBorders>
            <w:vAlign w:val="center"/>
            <w:hideMark/>
          </w:tcPr>
          <w:p w14:paraId="348E6F94"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r w:rsidR="00F55F39" w:rsidRPr="009E674D" w14:paraId="03B412F9" w14:textId="77777777" w:rsidTr="00F55F39">
        <w:trPr>
          <w:trHeight w:val="290"/>
          <w:jc w:val="center"/>
        </w:trPr>
        <w:tc>
          <w:tcPr>
            <w:tcW w:w="3990" w:type="pct"/>
            <w:tcBorders>
              <w:top w:val="nil"/>
              <w:left w:val="nil"/>
              <w:bottom w:val="nil"/>
              <w:right w:val="single" w:sz="4" w:space="0" w:color="auto"/>
            </w:tcBorders>
            <w:shd w:val="clear" w:color="000000" w:fill="A9D08E"/>
            <w:noWrap/>
            <w:vAlign w:val="center"/>
            <w:hideMark/>
          </w:tcPr>
          <w:p w14:paraId="67425762" w14:textId="24F2AAC3" w:rsidR="00F55F39" w:rsidRPr="009E674D" w:rsidRDefault="00F55F39" w:rsidP="00D91DB5">
            <w:pPr>
              <w:spacing w:after="0" w:line="240" w:lineRule="auto"/>
              <w:rPr>
                <w:rFonts w:ascii="Calibri" w:eastAsia="Times New Roman" w:hAnsi="Calibri" w:cs="Times New Roman"/>
                <w:color w:val="000000"/>
                <w:lang w:val="sq-AL"/>
              </w:rPr>
            </w:pPr>
            <w:r w:rsidRPr="009E674D">
              <w:rPr>
                <w:rFonts w:ascii="Calibri" w:eastAsia="Times New Roman" w:hAnsi="Calibri" w:cs="Times New Roman"/>
                <w:color w:val="000000"/>
                <w:lang w:val="sq-AL"/>
              </w:rPr>
              <w:t>Shkarkimi i kimikateve dhe të materialeve të tjera të rrezikshme nga bizneset në lumenj</w:t>
            </w:r>
          </w:p>
        </w:tc>
        <w:tc>
          <w:tcPr>
            <w:tcW w:w="1010" w:type="pct"/>
            <w:vMerge/>
            <w:tcBorders>
              <w:top w:val="nil"/>
              <w:left w:val="nil"/>
              <w:bottom w:val="nil"/>
              <w:right w:val="nil"/>
            </w:tcBorders>
            <w:vAlign w:val="center"/>
            <w:hideMark/>
          </w:tcPr>
          <w:p w14:paraId="771F37FE" w14:textId="77777777" w:rsidR="00F55F39" w:rsidRPr="009E674D" w:rsidRDefault="00F55F39" w:rsidP="00D91DB5">
            <w:pPr>
              <w:spacing w:after="0" w:line="240" w:lineRule="auto"/>
              <w:rPr>
                <w:rFonts w:ascii="Calibri" w:eastAsia="Times New Roman" w:hAnsi="Calibri" w:cs="Times New Roman"/>
                <w:b/>
                <w:bCs/>
                <w:color w:val="000000"/>
                <w:lang w:val="sq-AL"/>
              </w:rPr>
            </w:pPr>
          </w:p>
        </w:tc>
      </w:tr>
    </w:tbl>
    <w:p w14:paraId="2E488C23" w14:textId="77777777" w:rsidR="003A236F" w:rsidRPr="009E674D" w:rsidRDefault="003A236F" w:rsidP="00EE3F80">
      <w:pPr>
        <w:spacing w:before="120" w:after="0"/>
        <w:jc w:val="both"/>
        <w:rPr>
          <w:lang w:val="sq-AL"/>
        </w:rPr>
      </w:pPr>
    </w:p>
    <w:p w14:paraId="3034DE9A" w14:textId="77777777" w:rsidR="00BB2408" w:rsidRPr="009E674D" w:rsidRDefault="00BB2408" w:rsidP="00EE3F80">
      <w:pPr>
        <w:spacing w:before="120" w:after="0"/>
        <w:jc w:val="both"/>
        <w:rPr>
          <w:lang w:val="sq-AL"/>
        </w:rPr>
      </w:pPr>
    </w:p>
    <w:p w14:paraId="774C8326" w14:textId="77777777" w:rsidR="00BB2408" w:rsidRPr="009E674D" w:rsidRDefault="00BB2408" w:rsidP="00EE3F80">
      <w:pPr>
        <w:spacing w:before="120" w:after="0"/>
        <w:jc w:val="both"/>
        <w:rPr>
          <w:lang w:val="sq-AL"/>
        </w:rPr>
      </w:pPr>
    </w:p>
    <w:p w14:paraId="4D503467" w14:textId="77777777" w:rsidR="00BB2408" w:rsidRPr="009E674D" w:rsidRDefault="00BB2408" w:rsidP="00EE3F80">
      <w:pPr>
        <w:spacing w:before="120" w:after="0"/>
        <w:jc w:val="both"/>
        <w:rPr>
          <w:lang w:val="sq-AL"/>
        </w:rPr>
      </w:pPr>
    </w:p>
    <w:p w14:paraId="18F726F7" w14:textId="77777777" w:rsidR="00BB2408" w:rsidRPr="009E674D" w:rsidRDefault="00BB2408" w:rsidP="00EE3F80">
      <w:pPr>
        <w:spacing w:before="120" w:after="0"/>
        <w:jc w:val="both"/>
        <w:rPr>
          <w:lang w:val="sq-AL"/>
        </w:rPr>
      </w:pPr>
    </w:p>
    <w:p w14:paraId="5C9E9983" w14:textId="77777777" w:rsidR="00BB2408" w:rsidRPr="009E674D" w:rsidRDefault="00BB2408" w:rsidP="00EE3F80">
      <w:pPr>
        <w:spacing w:before="120" w:after="0"/>
        <w:jc w:val="both"/>
        <w:rPr>
          <w:lang w:val="sq-AL"/>
        </w:rPr>
      </w:pPr>
    </w:p>
    <w:p w14:paraId="4B7410E1" w14:textId="77777777" w:rsidR="00BB2408" w:rsidRPr="009E674D" w:rsidRDefault="00BB2408" w:rsidP="00BB2408">
      <w:pPr>
        <w:pStyle w:val="Heading2"/>
        <w:rPr>
          <w:lang w:val="sq-AL"/>
        </w:rPr>
      </w:pPr>
      <w:bookmarkStart w:id="42" w:name="_Toc132188455"/>
      <w:r w:rsidRPr="009E674D">
        <w:rPr>
          <w:lang w:val="sq-AL"/>
        </w:rPr>
        <w:lastRenderedPageBreak/>
        <w:t>Pasaporta e treguesve</w:t>
      </w:r>
      <w:bookmarkEnd w:id="42"/>
    </w:p>
    <w:p w14:paraId="3EB85CDB" w14:textId="77777777" w:rsidR="00BB2408" w:rsidRPr="009E674D" w:rsidRDefault="00BB2408" w:rsidP="00BB2408">
      <w:pPr>
        <w:spacing w:after="0" w:line="240" w:lineRule="auto"/>
        <w:rPr>
          <w:b/>
          <w:bCs/>
          <w:color w:val="2E74B5" w:themeColor="accent1" w:themeShade="BF"/>
          <w:sz w:val="24"/>
          <w:lang w:val="sq-AL"/>
        </w:rPr>
      </w:pPr>
    </w:p>
    <w:tbl>
      <w:tblPr>
        <w:tblStyle w:val="TableGrid"/>
        <w:tblpPr w:leftFromText="187" w:rightFromText="187" w:vertAnchor="text" w:horzAnchor="margin" w:tblpY="1"/>
        <w:tblW w:w="13474" w:type="dxa"/>
        <w:tblLook w:val="04A0" w:firstRow="1" w:lastRow="0" w:firstColumn="1" w:lastColumn="0" w:noHBand="0" w:noVBand="1"/>
      </w:tblPr>
      <w:tblGrid>
        <w:gridCol w:w="1879"/>
        <w:gridCol w:w="1446"/>
        <w:gridCol w:w="1800"/>
        <w:gridCol w:w="2340"/>
        <w:gridCol w:w="2790"/>
        <w:gridCol w:w="1045"/>
        <w:gridCol w:w="1087"/>
        <w:gridCol w:w="1087"/>
      </w:tblGrid>
      <w:tr w:rsidR="00BB2408" w:rsidRPr="009E674D" w14:paraId="25EA3BA5" w14:textId="77777777" w:rsidTr="001D5E32">
        <w:tc>
          <w:tcPr>
            <w:tcW w:w="1879" w:type="dxa"/>
            <w:shd w:val="clear" w:color="auto" w:fill="9CC2E5" w:themeFill="accent1" w:themeFillTint="99"/>
            <w:vAlign w:val="bottom"/>
          </w:tcPr>
          <w:p w14:paraId="41CF2496" w14:textId="57D73F9A" w:rsidR="00BB2408" w:rsidRPr="009E674D" w:rsidRDefault="009E674D" w:rsidP="001D5E32">
            <w:pPr>
              <w:jc w:val="center"/>
              <w:rPr>
                <w:b/>
                <w:sz w:val="20"/>
                <w:lang w:val="sq-AL"/>
              </w:rPr>
            </w:pPr>
            <w:r>
              <w:rPr>
                <w:b/>
                <w:sz w:val="20"/>
                <w:lang w:val="sq-AL"/>
              </w:rPr>
              <w:t>Objektivi</w:t>
            </w:r>
          </w:p>
        </w:tc>
        <w:tc>
          <w:tcPr>
            <w:tcW w:w="1446" w:type="dxa"/>
            <w:shd w:val="clear" w:color="auto" w:fill="9CC2E5" w:themeFill="accent1" w:themeFillTint="99"/>
            <w:vAlign w:val="bottom"/>
          </w:tcPr>
          <w:p w14:paraId="42BB5EF7" w14:textId="77777777" w:rsidR="00BB2408" w:rsidRPr="009E674D" w:rsidRDefault="00BB2408" w:rsidP="001D5E32">
            <w:pPr>
              <w:jc w:val="center"/>
              <w:rPr>
                <w:b/>
                <w:sz w:val="20"/>
                <w:lang w:val="sq-AL"/>
              </w:rPr>
            </w:pPr>
            <w:r w:rsidRPr="009E674D">
              <w:rPr>
                <w:b/>
                <w:sz w:val="20"/>
                <w:lang w:val="sq-AL"/>
              </w:rPr>
              <w:t>Treguesi</w:t>
            </w:r>
          </w:p>
        </w:tc>
        <w:tc>
          <w:tcPr>
            <w:tcW w:w="1800" w:type="dxa"/>
            <w:shd w:val="clear" w:color="auto" w:fill="9CC2E5" w:themeFill="accent1" w:themeFillTint="99"/>
            <w:vAlign w:val="bottom"/>
          </w:tcPr>
          <w:p w14:paraId="293706B8" w14:textId="77777777" w:rsidR="00BB2408" w:rsidRPr="009E674D" w:rsidRDefault="00BB2408" w:rsidP="001D5E32">
            <w:pPr>
              <w:jc w:val="center"/>
              <w:rPr>
                <w:b/>
                <w:sz w:val="20"/>
                <w:lang w:val="sq-AL"/>
              </w:rPr>
            </w:pPr>
            <w:r w:rsidRPr="009E674D">
              <w:rPr>
                <w:b/>
                <w:sz w:val="20"/>
                <w:lang w:val="sq-AL"/>
              </w:rPr>
              <w:t>Burimi</w:t>
            </w:r>
          </w:p>
        </w:tc>
        <w:tc>
          <w:tcPr>
            <w:tcW w:w="2340" w:type="dxa"/>
            <w:shd w:val="clear" w:color="auto" w:fill="9CC2E5" w:themeFill="accent1" w:themeFillTint="99"/>
            <w:vAlign w:val="bottom"/>
          </w:tcPr>
          <w:p w14:paraId="3F098448" w14:textId="77777777" w:rsidR="00BB2408" w:rsidRPr="009E674D" w:rsidRDefault="00BB2408" w:rsidP="001D5E32">
            <w:pPr>
              <w:jc w:val="center"/>
              <w:rPr>
                <w:b/>
                <w:sz w:val="20"/>
                <w:lang w:val="sq-AL"/>
              </w:rPr>
            </w:pPr>
            <w:r w:rsidRPr="009E674D">
              <w:rPr>
                <w:b/>
                <w:sz w:val="20"/>
                <w:lang w:val="sq-AL"/>
              </w:rPr>
              <w:t xml:space="preserve">Përshkrimi </w:t>
            </w:r>
          </w:p>
        </w:tc>
        <w:tc>
          <w:tcPr>
            <w:tcW w:w="2790" w:type="dxa"/>
            <w:shd w:val="clear" w:color="auto" w:fill="9CC2E5" w:themeFill="accent1" w:themeFillTint="99"/>
            <w:vAlign w:val="bottom"/>
          </w:tcPr>
          <w:p w14:paraId="6B2483EA" w14:textId="77777777" w:rsidR="00BB2408" w:rsidRPr="009E674D" w:rsidRDefault="00BB2408" w:rsidP="001D5E32">
            <w:pPr>
              <w:jc w:val="center"/>
              <w:rPr>
                <w:b/>
                <w:sz w:val="20"/>
                <w:lang w:val="sq-AL"/>
              </w:rPr>
            </w:pPr>
            <w:r w:rsidRPr="009E674D">
              <w:rPr>
                <w:b/>
                <w:sz w:val="20"/>
                <w:lang w:val="sq-AL"/>
              </w:rPr>
              <w:t>Shënime metodologjike (nëse është e nevojshme)</w:t>
            </w:r>
          </w:p>
        </w:tc>
        <w:tc>
          <w:tcPr>
            <w:tcW w:w="1045" w:type="dxa"/>
            <w:shd w:val="clear" w:color="auto" w:fill="9CC2E5" w:themeFill="accent1" w:themeFillTint="99"/>
            <w:vAlign w:val="bottom"/>
          </w:tcPr>
          <w:p w14:paraId="72E585F7" w14:textId="77777777" w:rsidR="00BB2408" w:rsidRPr="009E674D" w:rsidRDefault="00BB2408" w:rsidP="001D5E32">
            <w:pPr>
              <w:jc w:val="center"/>
              <w:rPr>
                <w:b/>
                <w:sz w:val="20"/>
                <w:lang w:val="sq-AL"/>
              </w:rPr>
            </w:pPr>
            <w:r w:rsidRPr="009E674D">
              <w:rPr>
                <w:b/>
                <w:sz w:val="20"/>
                <w:lang w:val="sq-AL"/>
              </w:rPr>
              <w:t>Baza n</w:t>
            </w:r>
            <w:r w:rsidRPr="009E674D">
              <w:rPr>
                <w:rFonts w:ascii="Calibri" w:eastAsia="Times New Roman" w:hAnsi="Calibri" w:cs="Calibri"/>
                <w:b/>
                <w:bCs/>
                <w:color w:val="000000" w:themeColor="text1"/>
                <w:sz w:val="20"/>
                <w:lang w:val="sq-AL"/>
              </w:rPr>
              <w:t xml:space="preserve">ë nivel vendi </w:t>
            </w:r>
          </w:p>
        </w:tc>
        <w:tc>
          <w:tcPr>
            <w:tcW w:w="1087" w:type="dxa"/>
            <w:shd w:val="clear" w:color="auto" w:fill="9CC2E5" w:themeFill="accent1" w:themeFillTint="99"/>
            <w:vAlign w:val="bottom"/>
          </w:tcPr>
          <w:p w14:paraId="6A514C8A" w14:textId="77777777" w:rsidR="00BB2408" w:rsidRPr="009E674D" w:rsidRDefault="00BB2408" w:rsidP="001D5E32">
            <w:pPr>
              <w:jc w:val="center"/>
              <w:rPr>
                <w:b/>
                <w:sz w:val="20"/>
                <w:lang w:val="sq-AL"/>
              </w:rPr>
            </w:pPr>
            <w:r w:rsidRPr="009E674D">
              <w:rPr>
                <w:b/>
                <w:sz w:val="20"/>
                <w:lang w:val="sq-AL"/>
              </w:rPr>
              <w:t>Propozim synimi 2026</w:t>
            </w:r>
          </w:p>
        </w:tc>
        <w:tc>
          <w:tcPr>
            <w:tcW w:w="1087" w:type="dxa"/>
            <w:shd w:val="clear" w:color="auto" w:fill="9CC2E5" w:themeFill="accent1" w:themeFillTint="99"/>
            <w:vAlign w:val="bottom"/>
          </w:tcPr>
          <w:p w14:paraId="4BF2350E" w14:textId="77777777" w:rsidR="00BB2408" w:rsidRPr="009E674D" w:rsidRDefault="00BB2408" w:rsidP="001D5E32">
            <w:pPr>
              <w:jc w:val="center"/>
              <w:rPr>
                <w:b/>
                <w:sz w:val="20"/>
                <w:lang w:val="sq-AL"/>
              </w:rPr>
            </w:pPr>
            <w:r w:rsidRPr="009E674D">
              <w:rPr>
                <w:b/>
                <w:sz w:val="20"/>
                <w:lang w:val="sq-AL"/>
              </w:rPr>
              <w:t>Propozim synimi 2030</w:t>
            </w:r>
          </w:p>
        </w:tc>
      </w:tr>
      <w:tr w:rsidR="00BB2408" w:rsidRPr="009E674D" w14:paraId="7068884A" w14:textId="77777777" w:rsidTr="001D5E32">
        <w:tc>
          <w:tcPr>
            <w:tcW w:w="1879" w:type="dxa"/>
            <w:vAlign w:val="center"/>
          </w:tcPr>
          <w:p w14:paraId="25FEEF73" w14:textId="77777777" w:rsidR="00BB2408" w:rsidRPr="009E674D" w:rsidRDefault="00BB2408" w:rsidP="00BB2408">
            <w:pPr>
              <w:pStyle w:val="ListParagraph"/>
              <w:numPr>
                <w:ilvl w:val="0"/>
                <w:numId w:val="13"/>
              </w:numPr>
              <w:spacing w:line="240" w:lineRule="auto"/>
              <w:rPr>
                <w:rFonts w:ascii="Calibri" w:eastAsia="Times New Roman" w:hAnsi="Calibri" w:cs="Calibri"/>
                <w:b/>
                <w:bCs/>
                <w:i/>
                <w:color w:val="000000" w:themeColor="text1"/>
                <w:sz w:val="20"/>
                <w:szCs w:val="20"/>
                <w:lang w:val="sq-AL"/>
              </w:rPr>
            </w:pPr>
            <w:r w:rsidRPr="009E674D">
              <w:rPr>
                <w:rFonts w:ascii="Calibri" w:eastAsia="Times New Roman" w:hAnsi="Calibri" w:cs="Calibri"/>
                <w:b/>
                <w:bCs/>
                <w:i/>
                <w:color w:val="000000" w:themeColor="text1"/>
                <w:sz w:val="20"/>
                <w:szCs w:val="20"/>
                <w:lang w:val="sq-AL"/>
              </w:rPr>
              <w:t xml:space="preserve">Ekonomi lokale konkurruese </w:t>
            </w:r>
          </w:p>
          <w:p w14:paraId="4034E5B2" w14:textId="77777777" w:rsidR="00BB2408" w:rsidRPr="009E674D" w:rsidRDefault="00BB2408" w:rsidP="001D5E32">
            <w:pPr>
              <w:rPr>
                <w:color w:val="000000" w:themeColor="text1"/>
                <w:sz w:val="20"/>
                <w:szCs w:val="20"/>
                <w:lang w:val="sq-AL"/>
              </w:rPr>
            </w:pPr>
          </w:p>
        </w:tc>
        <w:tc>
          <w:tcPr>
            <w:tcW w:w="1446" w:type="dxa"/>
          </w:tcPr>
          <w:p w14:paraId="485CAC1D" w14:textId="77777777" w:rsidR="00BB2408" w:rsidRPr="009E674D" w:rsidRDefault="00BB2408" w:rsidP="001D5E32">
            <w:pPr>
              <w:rPr>
                <w:i/>
                <w:sz w:val="20"/>
                <w:szCs w:val="20"/>
                <w:lang w:val="sq-AL"/>
              </w:rPr>
            </w:pPr>
            <w:r w:rsidRPr="009E674D">
              <w:rPr>
                <w:i/>
                <w:sz w:val="20"/>
                <w:szCs w:val="20"/>
                <w:lang w:val="sq-AL"/>
              </w:rPr>
              <w:t>Produktiviteti (VShB/numri i pun</w:t>
            </w:r>
            <w:r w:rsidRPr="009E674D">
              <w:rPr>
                <w:rFonts w:ascii="Calibri" w:eastAsia="Times New Roman" w:hAnsi="Calibri" w:cs="Calibri"/>
                <w:bCs/>
                <w:i/>
                <w:color w:val="000000" w:themeColor="text1"/>
                <w:sz w:val="20"/>
                <w:szCs w:val="20"/>
                <w:lang w:val="sq-AL"/>
              </w:rPr>
              <w:t>ëtorëve)</w:t>
            </w:r>
            <w:r w:rsidRPr="009E674D">
              <w:rPr>
                <w:rStyle w:val="FootnoteReference"/>
                <w:rFonts w:ascii="Calibri" w:eastAsia="Times New Roman" w:hAnsi="Calibri" w:cs="Calibri"/>
                <w:bCs/>
                <w:i/>
                <w:color w:val="000000" w:themeColor="text1"/>
                <w:lang w:val="sq-AL"/>
              </w:rPr>
              <w:footnoteReference w:id="17"/>
            </w:r>
            <w:r w:rsidRPr="009E674D">
              <w:rPr>
                <w:rFonts w:ascii="Calibri" w:eastAsia="Times New Roman" w:hAnsi="Calibri" w:cs="Calibri"/>
                <w:bCs/>
                <w:i/>
                <w:color w:val="000000" w:themeColor="text1"/>
                <w:sz w:val="20"/>
                <w:szCs w:val="20"/>
                <w:lang w:val="sq-AL"/>
              </w:rPr>
              <w:t xml:space="preserve"> (EUR)</w:t>
            </w:r>
          </w:p>
        </w:tc>
        <w:tc>
          <w:tcPr>
            <w:tcW w:w="1800" w:type="dxa"/>
            <w:vAlign w:val="center"/>
          </w:tcPr>
          <w:p w14:paraId="2643B532" w14:textId="77777777" w:rsidR="00BB2408" w:rsidRPr="009E674D" w:rsidRDefault="00BB2408" w:rsidP="001D5E32">
            <w:pPr>
              <w:jc w:val="center"/>
              <w:rPr>
                <w:sz w:val="20"/>
                <w:szCs w:val="20"/>
                <w:lang w:val="sq-AL"/>
              </w:rPr>
            </w:pPr>
            <w:r w:rsidRPr="009E674D">
              <w:rPr>
                <w:sz w:val="20"/>
                <w:szCs w:val="20"/>
                <w:lang w:val="sq-AL"/>
              </w:rPr>
              <w:t>ASK</w:t>
            </w:r>
          </w:p>
        </w:tc>
        <w:tc>
          <w:tcPr>
            <w:tcW w:w="2340" w:type="dxa"/>
          </w:tcPr>
          <w:p w14:paraId="0E8AFEC8" w14:textId="77777777" w:rsidR="00BB2408" w:rsidRPr="009E674D" w:rsidRDefault="00BB2408" w:rsidP="001D5E32">
            <w:pPr>
              <w:rPr>
                <w:sz w:val="20"/>
                <w:szCs w:val="20"/>
                <w:lang w:val="sq-AL"/>
              </w:rPr>
            </w:pPr>
            <w:r w:rsidRPr="009E674D">
              <w:rPr>
                <w:sz w:val="20"/>
                <w:szCs w:val="20"/>
                <w:lang w:val="sq-AL"/>
              </w:rPr>
              <w:t>Ky tregues mat nivelin e produktivitetit në ekonomi dhe konsiderohet si “proxy” për konkurrueshmërinë.</w:t>
            </w:r>
          </w:p>
        </w:tc>
        <w:tc>
          <w:tcPr>
            <w:tcW w:w="2790" w:type="dxa"/>
          </w:tcPr>
          <w:p w14:paraId="055CFA4E" w14:textId="77777777" w:rsidR="00BB2408" w:rsidRPr="009E674D" w:rsidRDefault="00BB2408" w:rsidP="001D5E32">
            <w:pPr>
              <w:rPr>
                <w:sz w:val="20"/>
                <w:szCs w:val="20"/>
                <w:lang w:val="sq-AL"/>
              </w:rPr>
            </w:pPr>
            <w:r w:rsidRPr="009E674D">
              <w:rPr>
                <w:sz w:val="20"/>
                <w:szCs w:val="20"/>
                <w:lang w:val="sq-AL"/>
              </w:rPr>
              <w:t>Produktiviteti është kalkuluar duke e pjesëtuar Vlerën e Shtuar Bruto (VShB) me numrin e të punësuarve për NACE veprimtaritë ekonomike n</w:t>
            </w:r>
            <w:r w:rsidRPr="009E674D">
              <w:rPr>
                <w:rFonts w:ascii="Calibri" w:eastAsia="Times New Roman" w:hAnsi="Calibri" w:cs="Calibri"/>
                <w:bCs/>
                <w:color w:val="000000" w:themeColor="text1"/>
                <w:sz w:val="20"/>
                <w:szCs w:val="20"/>
                <w:lang w:val="sq-AL"/>
              </w:rPr>
              <w:t>ë vijim</w:t>
            </w:r>
            <w:r w:rsidRPr="009E674D">
              <w:rPr>
                <w:rFonts w:ascii="Calibri" w:eastAsia="Times New Roman" w:hAnsi="Calibri" w:cs="Calibri"/>
                <w:bCs/>
                <w:color w:val="000000" w:themeColor="text1"/>
                <w:lang w:val="sq-AL"/>
              </w:rPr>
              <w:t>: A-C, F-M dhe S.</w:t>
            </w:r>
            <w:r w:rsidRPr="009E674D">
              <w:rPr>
                <w:sz w:val="20"/>
                <w:szCs w:val="20"/>
                <w:lang w:val="sq-AL"/>
              </w:rPr>
              <w:t xml:space="preserve">  Të dhënat për VShB janë nga llogaritë kombëtare, ndërsa për punësimin nga anketa e fuqisë punëtore.</w:t>
            </w:r>
          </w:p>
        </w:tc>
        <w:tc>
          <w:tcPr>
            <w:tcW w:w="1045" w:type="dxa"/>
            <w:vAlign w:val="center"/>
          </w:tcPr>
          <w:p w14:paraId="5AFB25ED" w14:textId="77777777" w:rsidR="00BB2408" w:rsidRPr="009E674D" w:rsidRDefault="00BB2408" w:rsidP="001D5E32">
            <w:pPr>
              <w:jc w:val="center"/>
              <w:rPr>
                <w:sz w:val="20"/>
                <w:szCs w:val="20"/>
                <w:lang w:val="sq-AL"/>
              </w:rPr>
            </w:pPr>
            <w:r w:rsidRPr="009E674D">
              <w:rPr>
                <w:sz w:val="20"/>
                <w:szCs w:val="20"/>
                <w:lang w:val="sq-AL"/>
              </w:rPr>
              <w:t>24,126</w:t>
            </w:r>
          </w:p>
          <w:p w14:paraId="6FEAD9A6" w14:textId="77777777" w:rsidR="00BB2408" w:rsidRPr="009E674D" w:rsidRDefault="00BB2408" w:rsidP="001D5E32">
            <w:pPr>
              <w:jc w:val="center"/>
              <w:rPr>
                <w:sz w:val="20"/>
                <w:szCs w:val="20"/>
                <w:lang w:val="sq-AL"/>
              </w:rPr>
            </w:pPr>
            <w:r w:rsidRPr="009E674D">
              <w:rPr>
                <w:sz w:val="20"/>
                <w:szCs w:val="20"/>
                <w:lang w:val="sq-AL"/>
              </w:rPr>
              <w:t>EUR</w:t>
            </w:r>
          </w:p>
          <w:p w14:paraId="1FACAC5E" w14:textId="77777777" w:rsidR="00BB2408" w:rsidRPr="009E674D" w:rsidRDefault="00BB2408" w:rsidP="001D5E32">
            <w:pPr>
              <w:jc w:val="center"/>
              <w:rPr>
                <w:sz w:val="20"/>
                <w:szCs w:val="20"/>
                <w:lang w:val="sq-AL"/>
              </w:rPr>
            </w:pPr>
            <w:r w:rsidRPr="009E674D">
              <w:rPr>
                <w:sz w:val="20"/>
                <w:szCs w:val="20"/>
                <w:lang w:val="sq-AL"/>
              </w:rPr>
              <w:t>(2021)</w:t>
            </w:r>
          </w:p>
        </w:tc>
        <w:tc>
          <w:tcPr>
            <w:tcW w:w="1087" w:type="dxa"/>
            <w:vAlign w:val="center"/>
          </w:tcPr>
          <w:p w14:paraId="3E5D5DC0" w14:textId="77777777" w:rsidR="00BB2408" w:rsidRPr="009E674D" w:rsidRDefault="00BB2408" w:rsidP="001D5E32">
            <w:pPr>
              <w:jc w:val="center"/>
              <w:rPr>
                <w:sz w:val="20"/>
                <w:szCs w:val="20"/>
                <w:lang w:val="sq-AL"/>
              </w:rPr>
            </w:pPr>
            <w:r w:rsidRPr="009E674D">
              <w:rPr>
                <w:sz w:val="20"/>
                <w:szCs w:val="20"/>
                <w:lang w:val="sq-AL"/>
              </w:rPr>
              <w:t>+30%</w:t>
            </w:r>
          </w:p>
        </w:tc>
        <w:tc>
          <w:tcPr>
            <w:tcW w:w="1087" w:type="dxa"/>
            <w:vAlign w:val="center"/>
          </w:tcPr>
          <w:p w14:paraId="1EE27328" w14:textId="77777777" w:rsidR="00BB2408" w:rsidRPr="009E674D" w:rsidRDefault="00BB2408" w:rsidP="001D5E32">
            <w:pPr>
              <w:jc w:val="center"/>
              <w:rPr>
                <w:sz w:val="20"/>
                <w:szCs w:val="20"/>
                <w:lang w:val="sq-AL"/>
              </w:rPr>
            </w:pPr>
            <w:r w:rsidRPr="009E674D">
              <w:rPr>
                <w:sz w:val="20"/>
                <w:szCs w:val="20"/>
                <w:lang w:val="sq-AL"/>
              </w:rPr>
              <w:t>+50%</w:t>
            </w:r>
          </w:p>
        </w:tc>
      </w:tr>
      <w:tr w:rsidR="00BB2408" w:rsidRPr="009E674D" w14:paraId="1D52F896" w14:textId="77777777" w:rsidTr="001D5E32">
        <w:tc>
          <w:tcPr>
            <w:tcW w:w="1879" w:type="dxa"/>
            <w:vAlign w:val="center"/>
          </w:tcPr>
          <w:p w14:paraId="75417903" w14:textId="77777777" w:rsidR="00BB2408" w:rsidRPr="009E674D" w:rsidRDefault="00BB2408" w:rsidP="00BB2408">
            <w:pPr>
              <w:pStyle w:val="ListParagraph"/>
              <w:numPr>
                <w:ilvl w:val="0"/>
                <w:numId w:val="13"/>
              </w:numPr>
              <w:spacing w:line="240" w:lineRule="auto"/>
              <w:rPr>
                <w:rFonts w:ascii="Calibri" w:eastAsia="Times New Roman" w:hAnsi="Calibri" w:cs="Calibri"/>
                <w:b/>
                <w:bCs/>
                <w:color w:val="000000" w:themeColor="text1"/>
                <w:sz w:val="20"/>
                <w:szCs w:val="20"/>
                <w:lang w:val="sq-AL"/>
              </w:rPr>
            </w:pPr>
            <w:r w:rsidRPr="009E674D">
              <w:rPr>
                <w:rFonts w:ascii="Calibri" w:eastAsia="Times New Roman" w:hAnsi="Calibri" w:cs="Calibri"/>
                <w:b/>
                <w:bCs/>
                <w:color w:val="000000" w:themeColor="text1"/>
                <w:sz w:val="20"/>
                <w:szCs w:val="20"/>
                <w:lang w:val="sq-AL"/>
              </w:rPr>
              <w:t xml:space="preserve">Punësim gjithëpërfshirës </w:t>
            </w:r>
          </w:p>
          <w:p w14:paraId="6BCC6B49" w14:textId="77777777" w:rsidR="00BB2408" w:rsidRPr="009E674D" w:rsidRDefault="00BB2408" w:rsidP="001D5E32">
            <w:pPr>
              <w:rPr>
                <w:sz w:val="20"/>
                <w:szCs w:val="20"/>
                <w:lang w:val="sq-AL"/>
              </w:rPr>
            </w:pPr>
          </w:p>
        </w:tc>
        <w:tc>
          <w:tcPr>
            <w:tcW w:w="1446" w:type="dxa"/>
          </w:tcPr>
          <w:p w14:paraId="1C3CD1D3" w14:textId="57B01C9B" w:rsidR="00BB2408" w:rsidRPr="009E674D" w:rsidRDefault="00BB2408" w:rsidP="001D5E32">
            <w:pPr>
              <w:rPr>
                <w:i/>
                <w:sz w:val="20"/>
                <w:szCs w:val="20"/>
                <w:lang w:val="sq-AL"/>
              </w:rPr>
            </w:pPr>
            <w:r w:rsidRPr="009E674D">
              <w:rPr>
                <w:rFonts w:ascii="Calibri" w:eastAsia="Times New Roman" w:hAnsi="Calibri" w:cs="Calibri"/>
                <w:bCs/>
                <w:i/>
                <w:color w:val="000000" w:themeColor="text1"/>
                <w:sz w:val="20"/>
                <w:szCs w:val="20"/>
                <w:lang w:val="sq-AL"/>
              </w:rPr>
              <w:t xml:space="preserve">Norma </w:t>
            </w:r>
            <w:r w:rsidR="00DF0460">
              <w:rPr>
                <w:rFonts w:ascii="Calibri" w:eastAsia="Times New Roman" w:hAnsi="Calibri" w:cs="Calibri"/>
                <w:bCs/>
                <w:i/>
                <w:color w:val="000000" w:themeColor="text1"/>
                <w:sz w:val="20"/>
                <w:szCs w:val="20"/>
                <w:lang w:val="sq-AL"/>
              </w:rPr>
              <w:t xml:space="preserve">e </w:t>
            </w:r>
            <w:r w:rsidRPr="009E674D">
              <w:rPr>
                <w:rFonts w:ascii="Calibri" w:eastAsia="Times New Roman" w:hAnsi="Calibri" w:cs="Calibri"/>
                <w:bCs/>
                <w:i/>
                <w:color w:val="000000" w:themeColor="text1"/>
                <w:sz w:val="20"/>
                <w:szCs w:val="20"/>
                <w:lang w:val="sq-AL"/>
              </w:rPr>
              <w:t>punësimit (%)</w:t>
            </w:r>
          </w:p>
        </w:tc>
        <w:tc>
          <w:tcPr>
            <w:tcW w:w="1800" w:type="dxa"/>
            <w:vAlign w:val="center"/>
          </w:tcPr>
          <w:p w14:paraId="644A3A55" w14:textId="77777777" w:rsidR="00BB2408" w:rsidRPr="009E674D" w:rsidRDefault="00BB2408" w:rsidP="001D5E32">
            <w:pPr>
              <w:jc w:val="center"/>
              <w:rPr>
                <w:sz w:val="20"/>
                <w:szCs w:val="20"/>
                <w:lang w:val="sq-AL"/>
              </w:rPr>
            </w:pPr>
            <w:r w:rsidRPr="009E674D">
              <w:rPr>
                <w:sz w:val="20"/>
                <w:szCs w:val="20"/>
                <w:lang w:val="sq-AL"/>
              </w:rPr>
              <w:t>ASK</w:t>
            </w:r>
          </w:p>
        </w:tc>
        <w:tc>
          <w:tcPr>
            <w:tcW w:w="2340" w:type="dxa"/>
          </w:tcPr>
          <w:p w14:paraId="0EACAEF1" w14:textId="77777777" w:rsidR="00BB2408" w:rsidRPr="009E674D" w:rsidRDefault="00BB2408" w:rsidP="001D5E32">
            <w:pPr>
              <w:rPr>
                <w:sz w:val="20"/>
                <w:szCs w:val="20"/>
                <w:lang w:val="sq-AL"/>
              </w:rPr>
            </w:pPr>
            <w:r w:rsidRPr="009E674D">
              <w:rPr>
                <w:sz w:val="20"/>
                <w:szCs w:val="20"/>
                <w:lang w:val="sq-AL"/>
              </w:rPr>
              <w:t xml:space="preserve">Ky tregues paraqet shkallën zyrtare të të punësuarve në moshë pune (15-64).   </w:t>
            </w:r>
          </w:p>
        </w:tc>
        <w:tc>
          <w:tcPr>
            <w:tcW w:w="2790" w:type="dxa"/>
          </w:tcPr>
          <w:p w14:paraId="11C001C9" w14:textId="1A464805" w:rsidR="00BB2408" w:rsidRPr="009E674D" w:rsidRDefault="00BB2408" w:rsidP="001D5E32">
            <w:pPr>
              <w:rPr>
                <w:sz w:val="20"/>
                <w:szCs w:val="20"/>
                <w:lang w:val="sq-AL"/>
              </w:rPr>
            </w:pPr>
            <w:r w:rsidRPr="009E674D">
              <w:rPr>
                <w:sz w:val="20"/>
                <w:szCs w:val="20"/>
                <w:lang w:val="sq-AL"/>
              </w:rPr>
              <w:t>Të dhënat zyrtare për punësimin prodhohen duke u bazuar në anketën e fuqisë punëtore. Aktualisht</w:t>
            </w:r>
            <w:r w:rsidR="00DF0460">
              <w:rPr>
                <w:sz w:val="20"/>
                <w:szCs w:val="20"/>
                <w:lang w:val="sq-AL"/>
              </w:rPr>
              <w:t>,</w:t>
            </w:r>
            <w:r w:rsidRPr="009E674D">
              <w:rPr>
                <w:sz w:val="20"/>
                <w:szCs w:val="20"/>
                <w:lang w:val="sq-AL"/>
              </w:rPr>
              <w:t xml:space="preserve"> prodhohen vetëm në nivel vendi, në të ardhmen pritet të prodhohen edhe në nivel të regjioneve. </w:t>
            </w:r>
          </w:p>
        </w:tc>
        <w:tc>
          <w:tcPr>
            <w:tcW w:w="1045" w:type="dxa"/>
            <w:vAlign w:val="center"/>
          </w:tcPr>
          <w:p w14:paraId="0E113245" w14:textId="77777777" w:rsidR="00BB2408" w:rsidRPr="009E674D" w:rsidRDefault="00BB2408" w:rsidP="001D5E32">
            <w:pPr>
              <w:jc w:val="center"/>
              <w:rPr>
                <w:sz w:val="20"/>
                <w:szCs w:val="20"/>
                <w:lang w:val="sq-AL"/>
              </w:rPr>
            </w:pPr>
            <w:r w:rsidRPr="009E674D">
              <w:rPr>
                <w:sz w:val="20"/>
                <w:szCs w:val="20"/>
                <w:lang w:val="sq-AL"/>
              </w:rPr>
              <w:t>20% (TM2 2021)</w:t>
            </w:r>
          </w:p>
        </w:tc>
        <w:tc>
          <w:tcPr>
            <w:tcW w:w="1087" w:type="dxa"/>
            <w:vAlign w:val="center"/>
          </w:tcPr>
          <w:p w14:paraId="44C24806" w14:textId="77777777" w:rsidR="00BB2408" w:rsidRPr="009E674D" w:rsidRDefault="00BB2408" w:rsidP="001D5E32">
            <w:pPr>
              <w:jc w:val="center"/>
              <w:rPr>
                <w:sz w:val="20"/>
                <w:szCs w:val="20"/>
                <w:lang w:val="sq-AL"/>
              </w:rPr>
            </w:pPr>
            <w:r w:rsidRPr="009E674D">
              <w:rPr>
                <w:sz w:val="20"/>
                <w:szCs w:val="20"/>
                <w:lang w:val="sq-AL"/>
              </w:rPr>
              <w:t>45%</w:t>
            </w:r>
          </w:p>
        </w:tc>
        <w:tc>
          <w:tcPr>
            <w:tcW w:w="1087" w:type="dxa"/>
            <w:vAlign w:val="center"/>
          </w:tcPr>
          <w:p w14:paraId="6C51E88A" w14:textId="77777777" w:rsidR="00BB2408" w:rsidRPr="009E674D" w:rsidRDefault="00BB2408" w:rsidP="001D5E32">
            <w:pPr>
              <w:jc w:val="center"/>
              <w:rPr>
                <w:sz w:val="20"/>
                <w:szCs w:val="20"/>
                <w:lang w:val="sq-AL"/>
              </w:rPr>
            </w:pPr>
            <w:r w:rsidRPr="009E674D">
              <w:rPr>
                <w:sz w:val="20"/>
                <w:szCs w:val="20"/>
                <w:lang w:val="sq-AL"/>
              </w:rPr>
              <w:t>55%</w:t>
            </w:r>
          </w:p>
        </w:tc>
      </w:tr>
      <w:tr w:rsidR="00BB2408" w:rsidRPr="009E674D" w14:paraId="02D60F94" w14:textId="77777777" w:rsidTr="001D5E32">
        <w:tc>
          <w:tcPr>
            <w:tcW w:w="1879" w:type="dxa"/>
            <w:vAlign w:val="center"/>
          </w:tcPr>
          <w:p w14:paraId="13174F1D" w14:textId="77777777" w:rsidR="00BB2408" w:rsidRPr="009E674D" w:rsidRDefault="00BB2408" w:rsidP="00BB2408">
            <w:pPr>
              <w:pStyle w:val="ListParagraph"/>
              <w:numPr>
                <w:ilvl w:val="0"/>
                <w:numId w:val="13"/>
              </w:numPr>
              <w:spacing w:line="240" w:lineRule="auto"/>
              <w:rPr>
                <w:sz w:val="20"/>
                <w:szCs w:val="20"/>
                <w:lang w:val="sq-AL"/>
              </w:rPr>
            </w:pPr>
            <w:r w:rsidRPr="009E674D">
              <w:rPr>
                <w:rFonts w:ascii="Calibri" w:eastAsia="Times New Roman" w:hAnsi="Calibri" w:cs="Calibri"/>
                <w:b/>
                <w:bCs/>
                <w:color w:val="000000" w:themeColor="text1"/>
                <w:sz w:val="20"/>
                <w:szCs w:val="20"/>
                <w:lang w:val="sq-AL"/>
              </w:rPr>
              <w:t>Infrastrukturë lokale e përmirësuar</w:t>
            </w:r>
          </w:p>
        </w:tc>
        <w:tc>
          <w:tcPr>
            <w:tcW w:w="1446" w:type="dxa"/>
          </w:tcPr>
          <w:p w14:paraId="0042BCFE" w14:textId="77777777" w:rsidR="00BB2408" w:rsidRPr="009E674D" w:rsidRDefault="00BB2408" w:rsidP="001D5E32">
            <w:pPr>
              <w:rPr>
                <w:i/>
                <w:sz w:val="20"/>
                <w:szCs w:val="20"/>
                <w:lang w:val="sq-AL"/>
              </w:rPr>
            </w:pPr>
            <w:r w:rsidRPr="009E674D">
              <w:rPr>
                <w:rFonts w:ascii="Calibri" w:eastAsia="Times New Roman" w:hAnsi="Calibri" w:cs="Calibri"/>
                <w:bCs/>
                <w:i/>
                <w:color w:val="000000" w:themeColor="text1"/>
                <w:sz w:val="20"/>
                <w:szCs w:val="20"/>
                <w:lang w:val="sq-AL"/>
              </w:rPr>
              <w:t>Përqindja e ndërmarrjeve “të kënaqura” me infrastrukturën lokale (%)</w:t>
            </w:r>
          </w:p>
        </w:tc>
        <w:tc>
          <w:tcPr>
            <w:tcW w:w="1800" w:type="dxa"/>
            <w:vAlign w:val="center"/>
          </w:tcPr>
          <w:p w14:paraId="1B590B42" w14:textId="77777777" w:rsidR="00BB2408" w:rsidRPr="009E674D" w:rsidRDefault="00BB2408" w:rsidP="001D5E32">
            <w:pPr>
              <w:jc w:val="center"/>
              <w:rPr>
                <w:sz w:val="20"/>
                <w:szCs w:val="20"/>
                <w:lang w:val="sq-AL"/>
              </w:rPr>
            </w:pPr>
            <w:r w:rsidRPr="009E674D">
              <w:rPr>
                <w:sz w:val="20"/>
                <w:szCs w:val="20"/>
                <w:lang w:val="sq-AL"/>
              </w:rPr>
              <w:t>Anketë</w:t>
            </w:r>
          </w:p>
        </w:tc>
        <w:tc>
          <w:tcPr>
            <w:tcW w:w="2340" w:type="dxa"/>
          </w:tcPr>
          <w:p w14:paraId="4211922F" w14:textId="77777777" w:rsidR="00BB2408" w:rsidRPr="009E674D" w:rsidRDefault="00BB2408" w:rsidP="001D5E32">
            <w:pPr>
              <w:rPr>
                <w:sz w:val="20"/>
                <w:szCs w:val="20"/>
                <w:lang w:val="sq-AL"/>
              </w:rPr>
            </w:pPr>
            <w:r w:rsidRPr="009E674D">
              <w:rPr>
                <w:sz w:val="20"/>
                <w:szCs w:val="20"/>
                <w:lang w:val="sq-AL"/>
              </w:rPr>
              <w:t xml:space="preserve">Ky tregues mat nivelin e kënaqshmërisë së ndërmarrjeve me infrastrukturën lokale (rrugët, transportin në përgjithësi, qasjen në ujë dhe kanalizim, etj.) </w:t>
            </w:r>
          </w:p>
        </w:tc>
        <w:tc>
          <w:tcPr>
            <w:tcW w:w="2790" w:type="dxa"/>
          </w:tcPr>
          <w:p w14:paraId="3721E792" w14:textId="77777777" w:rsidR="00BB2408" w:rsidRPr="009E674D" w:rsidRDefault="00BB2408" w:rsidP="001D5E32">
            <w:pPr>
              <w:rPr>
                <w:sz w:val="20"/>
                <w:szCs w:val="20"/>
                <w:lang w:val="sq-AL"/>
              </w:rPr>
            </w:pPr>
            <w:r w:rsidRPr="009E674D">
              <w:rPr>
                <w:sz w:val="20"/>
                <w:szCs w:val="20"/>
                <w:lang w:val="sq-AL"/>
              </w:rPr>
              <w:t xml:space="preserve">Ky tregues duhet të prodhohet duke u bazuar në të dhëna nga një anketë me ndërmarrje. Pyetja që u parashtrohet ndërmarrjeve duhet të ketë opsionin e zgjedhjes nga 1 (aspak e kënaqur) deri në 10 (shumë e kënaqur). </w:t>
            </w:r>
          </w:p>
        </w:tc>
        <w:tc>
          <w:tcPr>
            <w:tcW w:w="1045" w:type="dxa"/>
            <w:vAlign w:val="center"/>
          </w:tcPr>
          <w:p w14:paraId="2ABDA55B" w14:textId="77777777" w:rsidR="00BB2408" w:rsidRPr="009E674D" w:rsidRDefault="00BB2408" w:rsidP="001D5E32">
            <w:pPr>
              <w:jc w:val="center"/>
              <w:rPr>
                <w:sz w:val="20"/>
                <w:szCs w:val="20"/>
                <w:lang w:val="sq-AL"/>
              </w:rPr>
            </w:pPr>
            <w:r w:rsidRPr="009E674D">
              <w:rPr>
                <w:sz w:val="20"/>
                <w:szCs w:val="20"/>
                <w:lang w:val="sq-AL"/>
              </w:rPr>
              <w:t>n/a</w:t>
            </w:r>
          </w:p>
        </w:tc>
        <w:tc>
          <w:tcPr>
            <w:tcW w:w="1087" w:type="dxa"/>
            <w:vAlign w:val="center"/>
          </w:tcPr>
          <w:p w14:paraId="487D5B51" w14:textId="77777777" w:rsidR="00BB2408" w:rsidRPr="009E674D" w:rsidRDefault="00BB2408" w:rsidP="001D5E32">
            <w:pPr>
              <w:jc w:val="center"/>
              <w:rPr>
                <w:sz w:val="20"/>
                <w:szCs w:val="20"/>
                <w:lang w:val="sq-AL"/>
              </w:rPr>
            </w:pPr>
            <w:r w:rsidRPr="009E674D">
              <w:rPr>
                <w:sz w:val="20"/>
                <w:szCs w:val="20"/>
                <w:lang w:val="sq-AL"/>
              </w:rPr>
              <w:t>Së paku 60% të kënaqur</w:t>
            </w:r>
          </w:p>
        </w:tc>
        <w:tc>
          <w:tcPr>
            <w:tcW w:w="1087" w:type="dxa"/>
            <w:vAlign w:val="center"/>
          </w:tcPr>
          <w:p w14:paraId="0C25024E" w14:textId="77777777" w:rsidR="00BB2408" w:rsidRPr="009E674D" w:rsidRDefault="00BB2408" w:rsidP="001D5E32">
            <w:pPr>
              <w:jc w:val="center"/>
              <w:rPr>
                <w:sz w:val="20"/>
                <w:szCs w:val="20"/>
                <w:lang w:val="sq-AL"/>
              </w:rPr>
            </w:pPr>
            <w:r w:rsidRPr="009E674D">
              <w:rPr>
                <w:sz w:val="20"/>
                <w:szCs w:val="20"/>
                <w:lang w:val="sq-AL"/>
              </w:rPr>
              <w:t>Së paku 70% të kënaqur</w:t>
            </w:r>
          </w:p>
        </w:tc>
      </w:tr>
      <w:tr w:rsidR="00BB2408" w:rsidRPr="009E674D" w14:paraId="230F1055" w14:textId="77777777" w:rsidTr="001D5E32">
        <w:tc>
          <w:tcPr>
            <w:tcW w:w="1879" w:type="dxa"/>
            <w:vMerge w:val="restart"/>
            <w:vAlign w:val="center"/>
          </w:tcPr>
          <w:p w14:paraId="69205ECE" w14:textId="77777777" w:rsidR="00BB2408" w:rsidRPr="009E674D" w:rsidRDefault="00BB2408" w:rsidP="00BB2408">
            <w:pPr>
              <w:pStyle w:val="ListParagraph"/>
              <w:numPr>
                <w:ilvl w:val="0"/>
                <w:numId w:val="13"/>
              </w:numPr>
              <w:spacing w:line="240" w:lineRule="auto"/>
              <w:rPr>
                <w:sz w:val="20"/>
                <w:szCs w:val="20"/>
                <w:lang w:val="sq-AL"/>
              </w:rPr>
            </w:pPr>
            <w:r w:rsidRPr="009E674D">
              <w:rPr>
                <w:rFonts w:ascii="Calibri" w:eastAsia="Times New Roman" w:hAnsi="Calibri" w:cs="Calibri"/>
                <w:b/>
                <w:bCs/>
                <w:color w:val="000000" w:themeColor="text1"/>
                <w:sz w:val="20"/>
                <w:szCs w:val="20"/>
                <w:lang w:val="sq-AL"/>
              </w:rPr>
              <w:t>Qeverisje ekonomike efektive dhe bashkëpunuese</w:t>
            </w:r>
          </w:p>
        </w:tc>
        <w:tc>
          <w:tcPr>
            <w:tcW w:w="1446" w:type="dxa"/>
          </w:tcPr>
          <w:p w14:paraId="19E1EDF7" w14:textId="77777777" w:rsidR="00BB2408" w:rsidRPr="009E674D" w:rsidRDefault="00BB2408" w:rsidP="001D5E32">
            <w:pPr>
              <w:rPr>
                <w:sz w:val="20"/>
                <w:szCs w:val="20"/>
                <w:lang w:val="sq-AL"/>
              </w:rPr>
            </w:pPr>
            <w:r w:rsidRPr="009E674D">
              <w:rPr>
                <w:rFonts w:ascii="Calibri" w:eastAsia="Times New Roman" w:hAnsi="Calibri" w:cs="Calibri"/>
                <w:bCs/>
                <w:i/>
                <w:color w:val="000000" w:themeColor="text1"/>
                <w:sz w:val="20"/>
                <w:szCs w:val="20"/>
                <w:lang w:val="sq-AL"/>
              </w:rPr>
              <w:t>Indeksi i administratës lokale (1-10)</w:t>
            </w:r>
          </w:p>
        </w:tc>
        <w:tc>
          <w:tcPr>
            <w:tcW w:w="1800" w:type="dxa"/>
            <w:vAlign w:val="center"/>
          </w:tcPr>
          <w:p w14:paraId="0B72E125" w14:textId="77777777" w:rsidR="00BB2408" w:rsidRPr="009E674D" w:rsidRDefault="00BB2408" w:rsidP="001D5E32">
            <w:pPr>
              <w:jc w:val="center"/>
              <w:rPr>
                <w:sz w:val="20"/>
                <w:szCs w:val="20"/>
                <w:lang w:val="sq-AL"/>
              </w:rPr>
            </w:pPr>
            <w:r w:rsidRPr="009E674D">
              <w:rPr>
                <w:sz w:val="20"/>
                <w:szCs w:val="20"/>
                <w:lang w:val="sq-AL"/>
              </w:rPr>
              <w:t>Indeksi i konkurrueshm</w:t>
            </w:r>
            <w:r w:rsidRPr="009E674D">
              <w:rPr>
                <w:rFonts w:ascii="Calibri" w:eastAsia="Times New Roman" w:hAnsi="Calibri" w:cs="Calibri"/>
                <w:bCs/>
                <w:color w:val="000000" w:themeColor="text1"/>
                <w:sz w:val="20"/>
                <w:szCs w:val="20"/>
                <w:lang w:val="sq-AL"/>
              </w:rPr>
              <w:t>ë</w:t>
            </w:r>
            <w:r w:rsidRPr="009E674D">
              <w:rPr>
                <w:sz w:val="20"/>
                <w:szCs w:val="20"/>
                <w:lang w:val="sq-AL"/>
              </w:rPr>
              <w:t>risë së komunave (USAID)</w:t>
            </w:r>
          </w:p>
        </w:tc>
        <w:tc>
          <w:tcPr>
            <w:tcW w:w="2340" w:type="dxa"/>
          </w:tcPr>
          <w:p w14:paraId="5133F5B3" w14:textId="77777777" w:rsidR="00BB2408" w:rsidRPr="009E674D" w:rsidRDefault="00BB2408" w:rsidP="001D5E32">
            <w:pPr>
              <w:rPr>
                <w:sz w:val="20"/>
                <w:szCs w:val="20"/>
                <w:lang w:val="sq-AL"/>
              </w:rPr>
            </w:pPr>
            <w:r w:rsidRPr="009E674D">
              <w:rPr>
                <w:sz w:val="20"/>
                <w:szCs w:val="20"/>
                <w:lang w:val="sq-AL"/>
              </w:rPr>
              <w:t xml:space="preserve">Ky tregues mat aftësinë e administratës së qeverisjes lokalë në </w:t>
            </w:r>
            <w:r w:rsidRPr="009E674D">
              <w:rPr>
                <w:sz w:val="20"/>
                <w:szCs w:val="20"/>
                <w:lang w:val="sq-AL"/>
              </w:rPr>
              <w:lastRenderedPageBreak/>
              <w:t>krijimin e një mjedisi të mirë afarist.</w:t>
            </w:r>
          </w:p>
        </w:tc>
        <w:tc>
          <w:tcPr>
            <w:tcW w:w="2790" w:type="dxa"/>
          </w:tcPr>
          <w:p w14:paraId="5165A2C7" w14:textId="77777777" w:rsidR="00BB2408" w:rsidRPr="009E674D" w:rsidRDefault="00BB2408" w:rsidP="001D5E32">
            <w:pPr>
              <w:rPr>
                <w:sz w:val="20"/>
                <w:szCs w:val="20"/>
                <w:lang w:val="sq-AL"/>
              </w:rPr>
            </w:pPr>
            <w:r w:rsidRPr="009E674D">
              <w:rPr>
                <w:sz w:val="20"/>
                <w:szCs w:val="20"/>
                <w:lang w:val="sq-AL"/>
              </w:rPr>
              <w:lastRenderedPageBreak/>
              <w:t xml:space="preserve">Ky tregues është nxjerrë nga Indeksi i Konkurrueshmërisë së Komunave (IKK). Metodologjia e IKK-së bazohet në qasjen e </w:t>
            </w:r>
            <w:r w:rsidRPr="009E674D">
              <w:rPr>
                <w:sz w:val="20"/>
                <w:szCs w:val="20"/>
                <w:lang w:val="sq-AL"/>
              </w:rPr>
              <w:lastRenderedPageBreak/>
              <w:t>standardizuar të Indeksit të Qeverisjes Ekonomike nga Fondacioni Aziatik. Të dhënat mblidhen përmes anketës me 3,337 firma në 38 komuna të Kosovës. Indeksi vlerëson nivelin profesional të zyrtarëve, integritetin e tyre dhe aspekte tjera të ngjashme.</w:t>
            </w:r>
          </w:p>
        </w:tc>
        <w:tc>
          <w:tcPr>
            <w:tcW w:w="1045" w:type="dxa"/>
            <w:vAlign w:val="center"/>
          </w:tcPr>
          <w:p w14:paraId="43228276" w14:textId="77777777" w:rsidR="00BB2408" w:rsidRPr="009E674D" w:rsidRDefault="00BB2408" w:rsidP="001D5E32">
            <w:pPr>
              <w:jc w:val="center"/>
              <w:rPr>
                <w:sz w:val="20"/>
                <w:szCs w:val="20"/>
                <w:lang w:val="sq-AL"/>
              </w:rPr>
            </w:pPr>
            <w:r w:rsidRPr="009E674D">
              <w:rPr>
                <w:sz w:val="20"/>
                <w:szCs w:val="20"/>
                <w:lang w:val="sq-AL"/>
              </w:rPr>
              <w:lastRenderedPageBreak/>
              <w:t>3.9 (2020)</w:t>
            </w:r>
          </w:p>
        </w:tc>
        <w:tc>
          <w:tcPr>
            <w:tcW w:w="1087" w:type="dxa"/>
            <w:vAlign w:val="center"/>
          </w:tcPr>
          <w:p w14:paraId="1DF3BE5D" w14:textId="77777777" w:rsidR="00BB2408" w:rsidRPr="009E674D" w:rsidRDefault="00BB2408" w:rsidP="001D5E32">
            <w:pPr>
              <w:jc w:val="center"/>
              <w:rPr>
                <w:sz w:val="20"/>
                <w:szCs w:val="20"/>
                <w:lang w:val="sq-AL"/>
              </w:rPr>
            </w:pPr>
            <w:r w:rsidRPr="009E674D">
              <w:rPr>
                <w:sz w:val="20"/>
                <w:szCs w:val="20"/>
                <w:lang w:val="sq-AL"/>
              </w:rPr>
              <w:t>6.0</w:t>
            </w:r>
          </w:p>
        </w:tc>
        <w:tc>
          <w:tcPr>
            <w:tcW w:w="1087" w:type="dxa"/>
            <w:vAlign w:val="center"/>
          </w:tcPr>
          <w:p w14:paraId="2ADAB2EE" w14:textId="77777777" w:rsidR="00BB2408" w:rsidRPr="009E674D" w:rsidRDefault="00BB2408" w:rsidP="001D5E32">
            <w:pPr>
              <w:jc w:val="center"/>
              <w:rPr>
                <w:sz w:val="20"/>
                <w:szCs w:val="20"/>
                <w:lang w:val="sq-AL"/>
              </w:rPr>
            </w:pPr>
            <w:r w:rsidRPr="009E674D">
              <w:rPr>
                <w:sz w:val="20"/>
                <w:szCs w:val="20"/>
                <w:lang w:val="sq-AL"/>
              </w:rPr>
              <w:t>8.0</w:t>
            </w:r>
          </w:p>
        </w:tc>
      </w:tr>
      <w:tr w:rsidR="00BB2408" w:rsidRPr="009E674D" w14:paraId="7EA31CB9" w14:textId="77777777" w:rsidTr="001D5E32">
        <w:tc>
          <w:tcPr>
            <w:tcW w:w="1879" w:type="dxa"/>
            <w:vMerge/>
            <w:vAlign w:val="center"/>
          </w:tcPr>
          <w:p w14:paraId="13F24561" w14:textId="77777777" w:rsidR="00BB2408" w:rsidRPr="009E674D" w:rsidRDefault="00BB2408" w:rsidP="001D5E32">
            <w:pPr>
              <w:rPr>
                <w:rFonts w:ascii="Calibri" w:eastAsia="Times New Roman" w:hAnsi="Calibri" w:cs="Calibri"/>
                <w:b/>
                <w:bCs/>
                <w:color w:val="000000" w:themeColor="text1"/>
                <w:sz w:val="20"/>
                <w:szCs w:val="20"/>
                <w:lang w:val="sq-AL"/>
              </w:rPr>
            </w:pPr>
          </w:p>
        </w:tc>
        <w:tc>
          <w:tcPr>
            <w:tcW w:w="1446" w:type="dxa"/>
          </w:tcPr>
          <w:p w14:paraId="505C4C11" w14:textId="77777777" w:rsidR="00BB2408" w:rsidRPr="009E674D" w:rsidRDefault="00BB2408" w:rsidP="001D5E32">
            <w:pPr>
              <w:jc w:val="center"/>
              <w:rPr>
                <w:rFonts w:cstheme="minorHAnsi"/>
                <w:i/>
                <w:sz w:val="20"/>
                <w:szCs w:val="20"/>
                <w:lang w:val="sq-AL"/>
              </w:rPr>
            </w:pPr>
            <w:r w:rsidRPr="009E674D">
              <w:rPr>
                <w:rFonts w:cstheme="minorHAnsi"/>
                <w:i/>
                <w:sz w:val="20"/>
                <w:szCs w:val="20"/>
                <w:lang w:val="sq-AL"/>
              </w:rPr>
              <w:t>Ndërlidhja e komunave me GG (për digjitalizim)</w:t>
            </w:r>
          </w:p>
        </w:tc>
        <w:tc>
          <w:tcPr>
            <w:tcW w:w="1800" w:type="dxa"/>
            <w:vAlign w:val="center"/>
          </w:tcPr>
          <w:p w14:paraId="7FDEF9FE"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2340" w:type="dxa"/>
          </w:tcPr>
          <w:p w14:paraId="282992F7"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 xml:space="preserve">Ky tregues mat niveli e interoperabilitetit në qeverisjen komunale. </w:t>
            </w:r>
          </w:p>
        </w:tc>
        <w:tc>
          <w:tcPr>
            <w:tcW w:w="2790" w:type="dxa"/>
          </w:tcPr>
          <w:p w14:paraId="5DF7D3C9" w14:textId="77777777" w:rsidR="00BB2408" w:rsidRPr="009E674D" w:rsidRDefault="00BB2408" w:rsidP="001D5E32">
            <w:pPr>
              <w:jc w:val="center"/>
              <w:rPr>
                <w:rFonts w:cstheme="minorHAnsi"/>
                <w:sz w:val="20"/>
                <w:szCs w:val="20"/>
                <w:lang w:val="sq-AL"/>
              </w:rPr>
            </w:pPr>
          </w:p>
          <w:p w14:paraId="0784BFDB"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                            </w:t>
            </w:r>
          </w:p>
          <w:p w14:paraId="0AC0F56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45" w:type="dxa"/>
            <w:vAlign w:val="center"/>
          </w:tcPr>
          <w:p w14:paraId="27921BEC"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7" w:type="dxa"/>
            <w:vAlign w:val="center"/>
          </w:tcPr>
          <w:p w14:paraId="2B46017B"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7" w:type="dxa"/>
            <w:vAlign w:val="center"/>
          </w:tcPr>
          <w:p w14:paraId="37B38FDF"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r>
    </w:tbl>
    <w:p w14:paraId="5291E6AF" w14:textId="77777777" w:rsidR="00BB2408" w:rsidRPr="009E674D" w:rsidRDefault="00BB2408" w:rsidP="00BB2408">
      <w:pPr>
        <w:rPr>
          <w:lang w:val="sq-AL"/>
        </w:rPr>
      </w:pPr>
    </w:p>
    <w:tbl>
      <w:tblPr>
        <w:tblStyle w:val="TableGrid"/>
        <w:tblW w:w="13405" w:type="dxa"/>
        <w:tblLayout w:type="fixed"/>
        <w:tblLook w:val="04A0" w:firstRow="1" w:lastRow="0" w:firstColumn="1" w:lastColumn="0" w:noHBand="0" w:noVBand="1"/>
      </w:tblPr>
      <w:tblGrid>
        <w:gridCol w:w="779"/>
        <w:gridCol w:w="1466"/>
        <w:gridCol w:w="1620"/>
        <w:gridCol w:w="1260"/>
        <w:gridCol w:w="2340"/>
        <w:gridCol w:w="2790"/>
        <w:gridCol w:w="1080"/>
        <w:gridCol w:w="1080"/>
        <w:gridCol w:w="990"/>
      </w:tblGrid>
      <w:tr w:rsidR="00BB2408" w:rsidRPr="009E674D" w14:paraId="27F9DCEC" w14:textId="77777777" w:rsidTr="001D5E32">
        <w:tc>
          <w:tcPr>
            <w:tcW w:w="779" w:type="dxa"/>
            <w:shd w:val="clear" w:color="auto" w:fill="9CC2E5" w:themeFill="accent1" w:themeFillTint="99"/>
            <w:vAlign w:val="bottom"/>
          </w:tcPr>
          <w:p w14:paraId="424B9C9E" w14:textId="77777777" w:rsidR="00BB2408" w:rsidRPr="009E674D" w:rsidRDefault="00BB2408" w:rsidP="001D5E32">
            <w:pPr>
              <w:rPr>
                <w:b/>
                <w:sz w:val="20"/>
                <w:lang w:val="sq-AL"/>
              </w:rPr>
            </w:pPr>
            <w:r w:rsidRPr="009E674D">
              <w:rPr>
                <w:b/>
                <w:sz w:val="20"/>
                <w:lang w:val="sq-AL"/>
              </w:rPr>
              <w:t>Obj.</w:t>
            </w:r>
          </w:p>
        </w:tc>
        <w:tc>
          <w:tcPr>
            <w:tcW w:w="1466" w:type="dxa"/>
            <w:shd w:val="clear" w:color="auto" w:fill="9CC2E5" w:themeFill="accent1" w:themeFillTint="99"/>
            <w:vAlign w:val="bottom"/>
          </w:tcPr>
          <w:p w14:paraId="69C43974" w14:textId="44F110A3" w:rsidR="00BB2408" w:rsidRPr="009E674D" w:rsidRDefault="009E674D" w:rsidP="001D5E32">
            <w:pPr>
              <w:jc w:val="center"/>
              <w:rPr>
                <w:b/>
                <w:sz w:val="20"/>
                <w:lang w:val="sq-AL"/>
              </w:rPr>
            </w:pPr>
            <w:r>
              <w:rPr>
                <w:b/>
                <w:sz w:val="20"/>
                <w:lang w:val="sq-AL"/>
              </w:rPr>
              <w:t>Objektivi specifik</w:t>
            </w:r>
          </w:p>
        </w:tc>
        <w:tc>
          <w:tcPr>
            <w:tcW w:w="1620" w:type="dxa"/>
            <w:shd w:val="clear" w:color="auto" w:fill="9CC2E5" w:themeFill="accent1" w:themeFillTint="99"/>
            <w:vAlign w:val="bottom"/>
          </w:tcPr>
          <w:p w14:paraId="27DD121A" w14:textId="77777777" w:rsidR="00BB2408" w:rsidRPr="009E674D" w:rsidRDefault="00BB2408" w:rsidP="001D5E32">
            <w:pPr>
              <w:jc w:val="center"/>
              <w:rPr>
                <w:b/>
                <w:sz w:val="20"/>
                <w:lang w:val="sq-AL"/>
              </w:rPr>
            </w:pPr>
            <w:r w:rsidRPr="009E674D">
              <w:rPr>
                <w:b/>
                <w:sz w:val="20"/>
                <w:lang w:val="sq-AL"/>
              </w:rPr>
              <w:t>Treguesi</w:t>
            </w:r>
          </w:p>
        </w:tc>
        <w:tc>
          <w:tcPr>
            <w:tcW w:w="1260" w:type="dxa"/>
            <w:shd w:val="clear" w:color="auto" w:fill="9CC2E5" w:themeFill="accent1" w:themeFillTint="99"/>
            <w:vAlign w:val="bottom"/>
          </w:tcPr>
          <w:p w14:paraId="670C25B1" w14:textId="77777777" w:rsidR="00BB2408" w:rsidRPr="009E674D" w:rsidRDefault="00BB2408" w:rsidP="001D5E32">
            <w:pPr>
              <w:jc w:val="center"/>
              <w:rPr>
                <w:b/>
                <w:sz w:val="20"/>
                <w:lang w:val="sq-AL"/>
              </w:rPr>
            </w:pPr>
            <w:r w:rsidRPr="009E674D">
              <w:rPr>
                <w:b/>
                <w:sz w:val="20"/>
                <w:lang w:val="sq-AL"/>
              </w:rPr>
              <w:t>Burimi</w:t>
            </w:r>
          </w:p>
        </w:tc>
        <w:tc>
          <w:tcPr>
            <w:tcW w:w="2340" w:type="dxa"/>
            <w:shd w:val="clear" w:color="auto" w:fill="9CC2E5" w:themeFill="accent1" w:themeFillTint="99"/>
            <w:vAlign w:val="bottom"/>
          </w:tcPr>
          <w:p w14:paraId="580EE49F" w14:textId="77777777" w:rsidR="00BB2408" w:rsidRPr="009E674D" w:rsidRDefault="00BB2408" w:rsidP="001D5E32">
            <w:pPr>
              <w:jc w:val="center"/>
              <w:rPr>
                <w:b/>
                <w:sz w:val="20"/>
                <w:lang w:val="sq-AL"/>
              </w:rPr>
            </w:pPr>
            <w:r w:rsidRPr="009E674D">
              <w:rPr>
                <w:b/>
                <w:sz w:val="20"/>
                <w:lang w:val="sq-AL"/>
              </w:rPr>
              <w:t xml:space="preserve">Përshkrimi </w:t>
            </w:r>
          </w:p>
        </w:tc>
        <w:tc>
          <w:tcPr>
            <w:tcW w:w="2790" w:type="dxa"/>
            <w:shd w:val="clear" w:color="auto" w:fill="9CC2E5" w:themeFill="accent1" w:themeFillTint="99"/>
            <w:vAlign w:val="center"/>
          </w:tcPr>
          <w:p w14:paraId="4E658220" w14:textId="77777777" w:rsidR="00BB2408" w:rsidRPr="009E674D" w:rsidRDefault="00BB2408" w:rsidP="001D5E32">
            <w:pPr>
              <w:jc w:val="center"/>
              <w:rPr>
                <w:b/>
                <w:sz w:val="20"/>
                <w:lang w:val="sq-AL"/>
              </w:rPr>
            </w:pPr>
          </w:p>
          <w:p w14:paraId="273DE1B7" w14:textId="77777777" w:rsidR="00BB2408" w:rsidRPr="009E674D" w:rsidRDefault="00BB2408" w:rsidP="001D5E32">
            <w:pPr>
              <w:jc w:val="center"/>
              <w:rPr>
                <w:b/>
                <w:sz w:val="20"/>
                <w:lang w:val="sq-AL"/>
              </w:rPr>
            </w:pPr>
            <w:r w:rsidRPr="009E674D">
              <w:rPr>
                <w:b/>
                <w:sz w:val="20"/>
                <w:lang w:val="sq-AL"/>
              </w:rPr>
              <w:t>Shënime metodologjike (nëse është e nevojshme)</w:t>
            </w:r>
          </w:p>
        </w:tc>
        <w:tc>
          <w:tcPr>
            <w:tcW w:w="1080" w:type="dxa"/>
            <w:shd w:val="clear" w:color="auto" w:fill="9CC2E5" w:themeFill="accent1" w:themeFillTint="99"/>
            <w:vAlign w:val="bottom"/>
          </w:tcPr>
          <w:p w14:paraId="0C08E607" w14:textId="77777777" w:rsidR="00BB2408" w:rsidRPr="009E674D" w:rsidRDefault="00BB2408" w:rsidP="001D5E32">
            <w:pPr>
              <w:jc w:val="center"/>
              <w:rPr>
                <w:b/>
                <w:sz w:val="20"/>
                <w:lang w:val="sq-AL"/>
              </w:rPr>
            </w:pPr>
            <w:r w:rsidRPr="009E674D">
              <w:rPr>
                <w:b/>
                <w:sz w:val="20"/>
                <w:lang w:val="sq-AL"/>
              </w:rPr>
              <w:t>Baza n</w:t>
            </w:r>
            <w:r w:rsidRPr="009E674D">
              <w:rPr>
                <w:rFonts w:ascii="Calibri" w:eastAsia="Times New Roman" w:hAnsi="Calibri" w:cs="Calibri"/>
                <w:b/>
                <w:bCs/>
                <w:color w:val="000000" w:themeColor="text1"/>
                <w:sz w:val="20"/>
                <w:lang w:val="sq-AL"/>
              </w:rPr>
              <w:t xml:space="preserve">ë nivel vendi </w:t>
            </w:r>
          </w:p>
        </w:tc>
        <w:tc>
          <w:tcPr>
            <w:tcW w:w="1080" w:type="dxa"/>
            <w:shd w:val="clear" w:color="auto" w:fill="9CC2E5" w:themeFill="accent1" w:themeFillTint="99"/>
            <w:vAlign w:val="bottom"/>
          </w:tcPr>
          <w:p w14:paraId="4C6D4507" w14:textId="77777777" w:rsidR="00BB2408" w:rsidRPr="009E674D" w:rsidRDefault="00BB2408" w:rsidP="001D5E32">
            <w:pPr>
              <w:jc w:val="center"/>
              <w:rPr>
                <w:b/>
                <w:sz w:val="20"/>
                <w:lang w:val="sq-AL"/>
              </w:rPr>
            </w:pPr>
            <w:r w:rsidRPr="009E674D">
              <w:rPr>
                <w:b/>
                <w:sz w:val="20"/>
                <w:lang w:val="sq-AL"/>
              </w:rPr>
              <w:t>Propozim synimi 2026</w:t>
            </w:r>
          </w:p>
        </w:tc>
        <w:tc>
          <w:tcPr>
            <w:tcW w:w="990" w:type="dxa"/>
            <w:shd w:val="clear" w:color="auto" w:fill="9CC2E5" w:themeFill="accent1" w:themeFillTint="99"/>
            <w:vAlign w:val="bottom"/>
          </w:tcPr>
          <w:p w14:paraId="16FDF703" w14:textId="77777777" w:rsidR="00BB2408" w:rsidRPr="009E674D" w:rsidRDefault="00BB2408" w:rsidP="001D5E32">
            <w:pPr>
              <w:jc w:val="center"/>
              <w:rPr>
                <w:b/>
                <w:sz w:val="20"/>
                <w:lang w:val="sq-AL"/>
              </w:rPr>
            </w:pPr>
            <w:r w:rsidRPr="009E674D">
              <w:rPr>
                <w:b/>
                <w:sz w:val="20"/>
                <w:lang w:val="sq-AL"/>
              </w:rPr>
              <w:t>Propozim synimi 2030</w:t>
            </w:r>
          </w:p>
        </w:tc>
      </w:tr>
      <w:tr w:rsidR="00BB2408" w:rsidRPr="009E674D" w14:paraId="3F304D2B" w14:textId="77777777" w:rsidTr="001D5E32">
        <w:tc>
          <w:tcPr>
            <w:tcW w:w="779" w:type="dxa"/>
            <w:vMerge w:val="restart"/>
            <w:vAlign w:val="center"/>
          </w:tcPr>
          <w:p w14:paraId="379D115E" w14:textId="77777777" w:rsidR="00BB2408" w:rsidRPr="009E674D" w:rsidRDefault="00BB2408" w:rsidP="001D5E32">
            <w:pPr>
              <w:rPr>
                <w:rFonts w:cstheme="minorHAnsi"/>
                <w:b/>
                <w:color w:val="000000" w:themeColor="text1"/>
                <w:sz w:val="20"/>
                <w:szCs w:val="20"/>
                <w:lang w:val="sq-AL"/>
              </w:rPr>
            </w:pPr>
            <w:r w:rsidRPr="009E674D">
              <w:rPr>
                <w:rFonts w:cstheme="minorHAnsi"/>
                <w:b/>
                <w:color w:val="000000" w:themeColor="text1"/>
                <w:sz w:val="20"/>
                <w:szCs w:val="20"/>
                <w:lang w:val="sq-AL"/>
              </w:rPr>
              <w:t>Obj. 1</w:t>
            </w:r>
          </w:p>
        </w:tc>
        <w:tc>
          <w:tcPr>
            <w:tcW w:w="1466" w:type="dxa"/>
            <w:vAlign w:val="center"/>
          </w:tcPr>
          <w:p w14:paraId="1FB00F81" w14:textId="77777777" w:rsidR="00BB2408" w:rsidRPr="009E674D" w:rsidRDefault="00BB2408" w:rsidP="001D5E32">
            <w:pPr>
              <w:rPr>
                <w:rFonts w:eastAsia="Times New Roman" w:cstheme="minorHAnsi"/>
                <w:b/>
                <w:i/>
                <w:color w:val="000000"/>
                <w:sz w:val="20"/>
                <w:szCs w:val="20"/>
                <w:lang w:val="sq-AL"/>
              </w:rPr>
            </w:pPr>
            <w:r w:rsidRPr="009E674D">
              <w:rPr>
                <w:rFonts w:eastAsia="Times New Roman" w:cstheme="minorHAnsi"/>
                <w:b/>
                <w:i/>
                <w:color w:val="000000"/>
                <w:sz w:val="20"/>
                <w:szCs w:val="20"/>
                <w:lang w:val="sq-AL"/>
              </w:rPr>
              <w:t>1.1. Rritja e investimeve në fushat me potencial për zhvillim ekonomik lokal</w:t>
            </w:r>
          </w:p>
        </w:tc>
        <w:tc>
          <w:tcPr>
            <w:tcW w:w="1620" w:type="dxa"/>
            <w:vAlign w:val="center"/>
          </w:tcPr>
          <w:p w14:paraId="404F7EDC" w14:textId="77777777" w:rsidR="00BB2408" w:rsidRPr="009E674D" w:rsidRDefault="00BB2408" w:rsidP="001D5E32">
            <w:pPr>
              <w:rPr>
                <w:rFonts w:cstheme="minorHAnsi"/>
                <w:i/>
                <w:sz w:val="20"/>
                <w:szCs w:val="20"/>
                <w:lang w:val="sq-AL"/>
              </w:rPr>
            </w:pPr>
            <w:r w:rsidRPr="009E674D">
              <w:rPr>
                <w:rFonts w:cstheme="minorHAnsi"/>
                <w:i/>
                <w:sz w:val="20"/>
                <w:szCs w:val="20"/>
                <w:lang w:val="sq-AL"/>
              </w:rPr>
              <w:t>Investimet e Huaja Direkte (IHD) për kok</w:t>
            </w:r>
            <w:r w:rsidRPr="009E674D">
              <w:rPr>
                <w:rFonts w:eastAsia="Times New Roman" w:cstheme="minorHAnsi"/>
                <w:bCs/>
                <w:i/>
                <w:color w:val="000000" w:themeColor="text1"/>
                <w:sz w:val="20"/>
                <w:szCs w:val="20"/>
                <w:lang w:val="sq-AL"/>
              </w:rPr>
              <w:t>ë</w:t>
            </w:r>
            <w:r w:rsidRPr="009E674D">
              <w:rPr>
                <w:rFonts w:cstheme="minorHAnsi"/>
                <w:i/>
                <w:sz w:val="20"/>
                <w:szCs w:val="20"/>
                <w:lang w:val="sq-AL"/>
              </w:rPr>
              <w:t xml:space="preserve"> banori (EUR)</w:t>
            </w:r>
          </w:p>
        </w:tc>
        <w:tc>
          <w:tcPr>
            <w:tcW w:w="1260" w:type="dxa"/>
            <w:vAlign w:val="center"/>
          </w:tcPr>
          <w:p w14:paraId="44C2A43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BQK</w:t>
            </w:r>
          </w:p>
        </w:tc>
        <w:tc>
          <w:tcPr>
            <w:tcW w:w="2340" w:type="dxa"/>
          </w:tcPr>
          <w:p w14:paraId="7A22100A"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paraqet investimet e huaja direkte neto për kokë banori. </w:t>
            </w:r>
          </w:p>
        </w:tc>
        <w:tc>
          <w:tcPr>
            <w:tcW w:w="2790" w:type="dxa"/>
            <w:vAlign w:val="center"/>
          </w:tcPr>
          <w:p w14:paraId="07CE55D5"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Treguesi përbën fluksin e investimeve te reja nga investitorët e huaj minus deinvestimet, të paraqitura në bilancin e pagesave. </w:t>
            </w:r>
          </w:p>
        </w:tc>
        <w:tc>
          <w:tcPr>
            <w:tcW w:w="1080" w:type="dxa"/>
            <w:vAlign w:val="center"/>
          </w:tcPr>
          <w:p w14:paraId="11BF8C2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236.8 EUR (2021)</w:t>
            </w:r>
          </w:p>
        </w:tc>
        <w:tc>
          <w:tcPr>
            <w:tcW w:w="1080" w:type="dxa"/>
            <w:vAlign w:val="center"/>
          </w:tcPr>
          <w:p w14:paraId="7C70310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 xml:space="preserve">350 </w:t>
            </w:r>
          </w:p>
          <w:p w14:paraId="771574E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EUR</w:t>
            </w:r>
          </w:p>
        </w:tc>
        <w:tc>
          <w:tcPr>
            <w:tcW w:w="990" w:type="dxa"/>
            <w:vAlign w:val="center"/>
          </w:tcPr>
          <w:p w14:paraId="0D323436"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 xml:space="preserve">470 </w:t>
            </w:r>
          </w:p>
          <w:p w14:paraId="5A09A5F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EUR</w:t>
            </w:r>
          </w:p>
        </w:tc>
      </w:tr>
      <w:tr w:rsidR="00BB2408" w:rsidRPr="009E674D" w14:paraId="22339A98" w14:textId="77777777" w:rsidTr="001D5E32">
        <w:tc>
          <w:tcPr>
            <w:tcW w:w="779" w:type="dxa"/>
            <w:vMerge/>
            <w:vAlign w:val="center"/>
          </w:tcPr>
          <w:p w14:paraId="3B0D480F" w14:textId="77777777" w:rsidR="00BB2408" w:rsidRPr="009E674D" w:rsidRDefault="00BB2408" w:rsidP="001D5E32">
            <w:pPr>
              <w:rPr>
                <w:rFonts w:cstheme="minorHAnsi"/>
                <w:color w:val="000000" w:themeColor="text1"/>
                <w:sz w:val="20"/>
                <w:szCs w:val="20"/>
                <w:lang w:val="sq-AL"/>
              </w:rPr>
            </w:pPr>
          </w:p>
        </w:tc>
        <w:tc>
          <w:tcPr>
            <w:tcW w:w="1466" w:type="dxa"/>
            <w:vMerge w:val="restart"/>
            <w:vAlign w:val="center"/>
          </w:tcPr>
          <w:p w14:paraId="07922E56" w14:textId="77777777" w:rsidR="00BB2408" w:rsidRPr="009E674D" w:rsidRDefault="00BB2408" w:rsidP="001D5E32">
            <w:pPr>
              <w:rPr>
                <w:rFonts w:eastAsia="Times New Roman" w:cstheme="minorHAnsi"/>
                <w:b/>
                <w:i/>
                <w:color w:val="000000"/>
                <w:sz w:val="20"/>
                <w:szCs w:val="20"/>
                <w:lang w:val="sq-AL"/>
              </w:rPr>
            </w:pPr>
            <w:r w:rsidRPr="009E674D">
              <w:rPr>
                <w:rFonts w:eastAsia="Times New Roman" w:cstheme="minorHAnsi"/>
                <w:b/>
                <w:i/>
                <w:color w:val="000000"/>
                <w:sz w:val="20"/>
                <w:szCs w:val="20"/>
                <w:lang w:val="sq-AL"/>
              </w:rPr>
              <w:t>1.2. Rritja e produktivitetit në bujqësi dhe promovimi i turizmit lokal</w:t>
            </w:r>
          </w:p>
        </w:tc>
        <w:tc>
          <w:tcPr>
            <w:tcW w:w="1620" w:type="dxa"/>
            <w:vAlign w:val="center"/>
          </w:tcPr>
          <w:p w14:paraId="0E084647" w14:textId="77777777" w:rsidR="00BB2408" w:rsidRPr="009E674D" w:rsidRDefault="00BB2408" w:rsidP="001D5E32">
            <w:pPr>
              <w:rPr>
                <w:rFonts w:cstheme="minorHAnsi"/>
                <w:i/>
                <w:sz w:val="20"/>
                <w:szCs w:val="20"/>
                <w:lang w:val="sq-AL"/>
              </w:rPr>
            </w:pPr>
            <w:r w:rsidRPr="009E674D">
              <w:rPr>
                <w:rFonts w:cstheme="minorHAnsi"/>
                <w:i/>
                <w:sz w:val="20"/>
                <w:szCs w:val="20"/>
                <w:lang w:val="sq-AL"/>
              </w:rPr>
              <w:t>Vlera e Shtuar Bruto (VShB) për njësi pune vjetore (NJPV) në bujqësi (EUR)</w:t>
            </w:r>
          </w:p>
        </w:tc>
        <w:tc>
          <w:tcPr>
            <w:tcW w:w="1260" w:type="dxa"/>
            <w:vAlign w:val="center"/>
          </w:tcPr>
          <w:p w14:paraId="6E7CCBA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MBPZHR</w:t>
            </w:r>
          </w:p>
        </w:tc>
        <w:tc>
          <w:tcPr>
            <w:tcW w:w="2340" w:type="dxa"/>
            <w:tcBorders>
              <w:bottom w:val="single" w:sz="4" w:space="0" w:color="auto"/>
            </w:tcBorders>
          </w:tcPr>
          <w:p w14:paraId="449D0EBF"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mat nivelin e produktivitetit në bujqësi.</w:t>
            </w:r>
          </w:p>
        </w:tc>
        <w:tc>
          <w:tcPr>
            <w:tcW w:w="2790" w:type="dxa"/>
            <w:tcBorders>
              <w:bottom w:val="single" w:sz="4" w:space="0" w:color="auto"/>
            </w:tcBorders>
            <w:vAlign w:val="center"/>
          </w:tcPr>
          <w:p w14:paraId="584B89D4" w14:textId="77777777" w:rsidR="00BB2408" w:rsidRPr="009E674D" w:rsidRDefault="00BB2408" w:rsidP="001D5E32">
            <w:pPr>
              <w:rPr>
                <w:rFonts w:cstheme="minorHAnsi"/>
                <w:sz w:val="20"/>
                <w:szCs w:val="20"/>
                <w:lang w:val="sq-AL"/>
              </w:rPr>
            </w:pPr>
            <w:r w:rsidRPr="009E674D">
              <w:rPr>
                <w:rFonts w:cstheme="minorHAnsi"/>
                <w:sz w:val="20"/>
                <w:szCs w:val="20"/>
                <w:lang w:val="sq-AL"/>
              </w:rPr>
              <w:t>Produktiviteti i punës në bujqësi shprehet si totali i Vlerës së Shtuar Bruto (VSHB) në bujqësi me çmime bazë për Njësi Vjetore Pune (NJVP). VSHB-ja përcaktohet si vlera e prodhimit minus vlerën e konsumit të ndërmjetëm. Njësitë vjetore të punës (NJVP) është punësimi ekuivalent me kohë të plotë.</w:t>
            </w:r>
          </w:p>
        </w:tc>
        <w:tc>
          <w:tcPr>
            <w:tcW w:w="1080" w:type="dxa"/>
            <w:vAlign w:val="center"/>
          </w:tcPr>
          <w:p w14:paraId="64F37F0D"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1428</w:t>
            </w:r>
          </w:p>
          <w:p w14:paraId="6C5E0B4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EUR (2019)</w:t>
            </w:r>
          </w:p>
        </w:tc>
        <w:tc>
          <w:tcPr>
            <w:tcW w:w="1080" w:type="dxa"/>
            <w:vAlign w:val="center"/>
          </w:tcPr>
          <w:p w14:paraId="6EE3C922"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 xml:space="preserve">1700 </w:t>
            </w:r>
          </w:p>
          <w:p w14:paraId="33A8007C"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EUR</w:t>
            </w:r>
          </w:p>
        </w:tc>
        <w:tc>
          <w:tcPr>
            <w:tcW w:w="990" w:type="dxa"/>
            <w:vAlign w:val="center"/>
          </w:tcPr>
          <w:p w14:paraId="4F27548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 xml:space="preserve">2000 </w:t>
            </w:r>
          </w:p>
          <w:p w14:paraId="32E1F9A9"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EUR</w:t>
            </w:r>
          </w:p>
        </w:tc>
      </w:tr>
      <w:tr w:rsidR="00BB2408" w:rsidRPr="009E674D" w14:paraId="414813A9" w14:textId="77777777" w:rsidTr="001D5E32">
        <w:tc>
          <w:tcPr>
            <w:tcW w:w="779" w:type="dxa"/>
            <w:vMerge/>
            <w:vAlign w:val="center"/>
          </w:tcPr>
          <w:p w14:paraId="30BE76A9" w14:textId="77777777" w:rsidR="00BB2408" w:rsidRPr="009E674D" w:rsidRDefault="00BB2408" w:rsidP="001D5E32">
            <w:pPr>
              <w:rPr>
                <w:rFonts w:cstheme="minorHAnsi"/>
                <w:color w:val="000000" w:themeColor="text1"/>
                <w:sz w:val="20"/>
                <w:szCs w:val="20"/>
                <w:lang w:val="sq-AL"/>
              </w:rPr>
            </w:pPr>
          </w:p>
        </w:tc>
        <w:tc>
          <w:tcPr>
            <w:tcW w:w="1466" w:type="dxa"/>
            <w:vMerge/>
            <w:vAlign w:val="center"/>
          </w:tcPr>
          <w:p w14:paraId="15DB0923" w14:textId="77777777" w:rsidR="00BB2408" w:rsidRPr="009E674D" w:rsidRDefault="00BB2408" w:rsidP="001D5E32">
            <w:pPr>
              <w:rPr>
                <w:rFonts w:eastAsia="Times New Roman" w:cstheme="minorHAnsi"/>
                <w:color w:val="000000"/>
                <w:sz w:val="20"/>
                <w:szCs w:val="20"/>
                <w:lang w:val="sq-AL"/>
              </w:rPr>
            </w:pPr>
          </w:p>
        </w:tc>
        <w:tc>
          <w:tcPr>
            <w:tcW w:w="1620" w:type="dxa"/>
            <w:vAlign w:val="center"/>
          </w:tcPr>
          <w:p w14:paraId="0EFA5218" w14:textId="77777777" w:rsidR="00BB2408" w:rsidRPr="009E674D" w:rsidRDefault="00BB2408" w:rsidP="001D5E32">
            <w:pPr>
              <w:rPr>
                <w:rFonts w:cstheme="minorHAnsi"/>
                <w:i/>
                <w:sz w:val="20"/>
                <w:szCs w:val="20"/>
                <w:lang w:val="sq-AL"/>
              </w:rPr>
            </w:pPr>
            <w:r w:rsidRPr="009E674D">
              <w:rPr>
                <w:rFonts w:cstheme="minorHAnsi"/>
                <w:i/>
                <w:sz w:val="20"/>
                <w:szCs w:val="20"/>
                <w:lang w:val="sq-AL"/>
              </w:rPr>
              <w:t xml:space="preserve">Vizitorët ndërkombëtarë për kokë banori </w:t>
            </w:r>
          </w:p>
          <w:p w14:paraId="342C160C" w14:textId="77777777" w:rsidR="00BB2408" w:rsidRPr="009E674D" w:rsidRDefault="00BB2408" w:rsidP="001D5E32">
            <w:pPr>
              <w:rPr>
                <w:rFonts w:cstheme="minorHAnsi"/>
                <w:i/>
                <w:sz w:val="20"/>
                <w:szCs w:val="20"/>
                <w:lang w:val="sq-AL"/>
              </w:rPr>
            </w:pPr>
          </w:p>
        </w:tc>
        <w:tc>
          <w:tcPr>
            <w:tcW w:w="1260" w:type="dxa"/>
            <w:vAlign w:val="center"/>
          </w:tcPr>
          <w:p w14:paraId="1A568E19"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Hyrjet në pikat kufitare (ASK/Policia e Kosovës)</w:t>
            </w:r>
          </w:p>
        </w:tc>
        <w:tc>
          <w:tcPr>
            <w:tcW w:w="2340" w:type="dxa"/>
            <w:tcBorders>
              <w:bottom w:val="single" w:sz="4" w:space="0" w:color="auto"/>
            </w:tcBorders>
          </w:tcPr>
          <w:p w14:paraId="0596105B"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paraqet numrin e hyrjeve të vizitorëve të huaj në pikat kufitare të Kosovës për kokë banori. </w:t>
            </w:r>
          </w:p>
        </w:tc>
        <w:tc>
          <w:tcPr>
            <w:tcW w:w="2790" w:type="dxa"/>
            <w:tcBorders>
              <w:bottom w:val="single" w:sz="4" w:space="0" w:color="auto"/>
            </w:tcBorders>
            <w:vAlign w:val="center"/>
          </w:tcPr>
          <w:p w14:paraId="68FE1A2B"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Të dhënat ofrohen nga policia kufitare. Është e nevojshme që gjatë hyrjeve të përcaktohet edhe komuna ku do të realizohet vizita. </w:t>
            </w:r>
          </w:p>
        </w:tc>
        <w:tc>
          <w:tcPr>
            <w:tcW w:w="1080" w:type="dxa"/>
            <w:vAlign w:val="center"/>
          </w:tcPr>
          <w:p w14:paraId="773EDCC7"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3.2 (2021)</w:t>
            </w:r>
          </w:p>
        </w:tc>
        <w:tc>
          <w:tcPr>
            <w:tcW w:w="1080" w:type="dxa"/>
            <w:vAlign w:val="center"/>
          </w:tcPr>
          <w:p w14:paraId="41A8B37B"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+30%</w:t>
            </w:r>
          </w:p>
        </w:tc>
        <w:tc>
          <w:tcPr>
            <w:tcW w:w="990" w:type="dxa"/>
            <w:vAlign w:val="center"/>
          </w:tcPr>
          <w:p w14:paraId="7FFA52D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+50%</w:t>
            </w:r>
          </w:p>
        </w:tc>
      </w:tr>
      <w:tr w:rsidR="00BB2408" w:rsidRPr="009E674D" w14:paraId="4CC9B427" w14:textId="77777777" w:rsidTr="001D5E32">
        <w:tc>
          <w:tcPr>
            <w:tcW w:w="779" w:type="dxa"/>
            <w:vMerge/>
          </w:tcPr>
          <w:p w14:paraId="05271E6D" w14:textId="77777777" w:rsidR="00BB2408" w:rsidRPr="009E674D" w:rsidRDefault="00BB2408" w:rsidP="00BB2408">
            <w:pPr>
              <w:pStyle w:val="ListParagraph"/>
              <w:numPr>
                <w:ilvl w:val="0"/>
                <w:numId w:val="13"/>
              </w:numPr>
              <w:spacing w:line="240" w:lineRule="auto"/>
              <w:rPr>
                <w:sz w:val="20"/>
                <w:szCs w:val="20"/>
                <w:lang w:val="sq-AL"/>
              </w:rPr>
            </w:pPr>
          </w:p>
        </w:tc>
        <w:tc>
          <w:tcPr>
            <w:tcW w:w="1466" w:type="dxa"/>
            <w:vMerge w:val="restart"/>
          </w:tcPr>
          <w:p w14:paraId="48C701E1" w14:textId="77777777" w:rsidR="00BB2408" w:rsidRPr="009E674D" w:rsidRDefault="00BB2408" w:rsidP="001D5E32">
            <w:pPr>
              <w:rPr>
                <w:rFonts w:ascii="Calibri" w:eastAsia="Times New Roman" w:hAnsi="Calibri" w:cs="Calibri"/>
                <w:b/>
                <w:bCs/>
                <w:i/>
                <w:color w:val="000000" w:themeColor="text1"/>
                <w:sz w:val="20"/>
                <w:szCs w:val="20"/>
                <w:lang w:val="sq-AL"/>
              </w:rPr>
            </w:pPr>
            <w:r w:rsidRPr="009E674D">
              <w:rPr>
                <w:rFonts w:ascii="Calibri" w:eastAsia="Times New Roman" w:hAnsi="Calibri" w:cs="Calibri"/>
                <w:b/>
                <w:bCs/>
                <w:i/>
                <w:color w:val="000000" w:themeColor="text1"/>
                <w:sz w:val="20"/>
                <w:szCs w:val="20"/>
                <w:lang w:val="sq-AL"/>
              </w:rPr>
              <w:t>1.3. Përkrahja e ndërmarrësisë me fokus në digjitalizim dhe inovacion</w:t>
            </w:r>
          </w:p>
        </w:tc>
        <w:tc>
          <w:tcPr>
            <w:tcW w:w="1620" w:type="dxa"/>
          </w:tcPr>
          <w:p w14:paraId="159FFD1E" w14:textId="77777777" w:rsidR="00BB2408" w:rsidRPr="009E674D" w:rsidRDefault="00BB2408" w:rsidP="001D5E32">
            <w:pPr>
              <w:rPr>
                <w:i/>
                <w:sz w:val="20"/>
                <w:szCs w:val="20"/>
                <w:lang w:val="sq-AL"/>
              </w:rPr>
            </w:pPr>
            <w:r w:rsidRPr="009E674D">
              <w:rPr>
                <w:i/>
                <w:sz w:val="20"/>
                <w:szCs w:val="20"/>
                <w:lang w:val="sq-AL"/>
              </w:rPr>
              <w:t>Përdorimi i mjeteve të digjitalizimit në</w:t>
            </w:r>
          </w:p>
          <w:p w14:paraId="35BE1C59" w14:textId="77777777" w:rsidR="00BB2408" w:rsidRPr="009E674D" w:rsidRDefault="00BB2408" w:rsidP="001D5E32">
            <w:pPr>
              <w:rPr>
                <w:i/>
                <w:sz w:val="20"/>
                <w:szCs w:val="20"/>
                <w:lang w:val="sq-AL"/>
              </w:rPr>
            </w:pPr>
            <w:r w:rsidRPr="009E674D">
              <w:rPr>
                <w:i/>
                <w:sz w:val="20"/>
                <w:szCs w:val="20"/>
                <w:lang w:val="sq-AL"/>
              </w:rPr>
              <w:t>procese të përgjithshme të prodhimit/punës (%)</w:t>
            </w:r>
          </w:p>
        </w:tc>
        <w:tc>
          <w:tcPr>
            <w:tcW w:w="1260" w:type="dxa"/>
            <w:vAlign w:val="center"/>
          </w:tcPr>
          <w:p w14:paraId="595261DD" w14:textId="77777777" w:rsidR="00BB2408" w:rsidRPr="009E674D" w:rsidRDefault="00BB2408" w:rsidP="001D5E32">
            <w:pPr>
              <w:jc w:val="center"/>
              <w:rPr>
                <w:sz w:val="20"/>
                <w:szCs w:val="20"/>
                <w:lang w:val="sq-AL"/>
              </w:rPr>
            </w:pPr>
            <w:r w:rsidRPr="009E674D">
              <w:rPr>
                <w:sz w:val="20"/>
                <w:szCs w:val="20"/>
                <w:lang w:val="sq-AL"/>
              </w:rPr>
              <w:t>OEK</w:t>
            </w:r>
          </w:p>
        </w:tc>
        <w:tc>
          <w:tcPr>
            <w:tcW w:w="2340" w:type="dxa"/>
            <w:tcBorders>
              <w:top w:val="single" w:sz="4" w:space="0" w:color="auto"/>
            </w:tcBorders>
          </w:tcPr>
          <w:p w14:paraId="48814BD4" w14:textId="77777777" w:rsidR="00BB2408" w:rsidRPr="009E674D" w:rsidRDefault="00BB2408" w:rsidP="001D5E32">
            <w:pPr>
              <w:rPr>
                <w:sz w:val="20"/>
                <w:szCs w:val="20"/>
                <w:lang w:val="sq-AL"/>
              </w:rPr>
            </w:pPr>
            <w:r w:rsidRPr="009E674D">
              <w:rPr>
                <w:sz w:val="20"/>
                <w:szCs w:val="20"/>
                <w:lang w:val="sq-AL"/>
              </w:rPr>
              <w:t>Ky tregues mat përqindjen e ndërmarrjeve që përdorin mjete të digjitalizimit në procese të përgjithshme të punës/prodhimit.</w:t>
            </w:r>
          </w:p>
        </w:tc>
        <w:tc>
          <w:tcPr>
            <w:tcW w:w="2790" w:type="dxa"/>
            <w:tcBorders>
              <w:top w:val="single" w:sz="4" w:space="0" w:color="auto"/>
            </w:tcBorders>
            <w:vAlign w:val="center"/>
          </w:tcPr>
          <w:p w14:paraId="2346D71D" w14:textId="77777777" w:rsidR="00BB2408" w:rsidRPr="009E674D" w:rsidRDefault="00BB2408" w:rsidP="001D5E32">
            <w:pPr>
              <w:tabs>
                <w:tab w:val="left" w:pos="326"/>
              </w:tabs>
              <w:rPr>
                <w:sz w:val="20"/>
                <w:szCs w:val="20"/>
                <w:lang w:val="sq-AL"/>
              </w:rPr>
            </w:pPr>
            <w:r w:rsidRPr="009E674D">
              <w:rPr>
                <w:sz w:val="20"/>
                <w:szCs w:val="20"/>
                <w:lang w:val="sq-AL"/>
              </w:rPr>
              <w:t>Ky tregues është nxjerrë nga një anketë që është realizuar nga Oda Ekonomike e Kosovës me biznese që përfshijnë sektorët në vijim: turizmin, shitjen me pakicë, prodhimin dhe agrobiznesin. Në raportin e kësaj ankete, përqindja e përdorimit të mjeteve të digjitalizimit është prezantuar në nivel të sektorëve. Vlera e përfshirë këtu përbën mesataren e thjeshtë të katër sektorëve të përmendur më lartë.</w:t>
            </w:r>
          </w:p>
        </w:tc>
        <w:tc>
          <w:tcPr>
            <w:tcW w:w="1080" w:type="dxa"/>
            <w:vAlign w:val="center"/>
          </w:tcPr>
          <w:p w14:paraId="6FB737DE" w14:textId="77777777" w:rsidR="00BB2408" w:rsidRPr="009E674D" w:rsidRDefault="00BB2408" w:rsidP="001D5E32">
            <w:pPr>
              <w:jc w:val="center"/>
              <w:rPr>
                <w:sz w:val="20"/>
                <w:szCs w:val="20"/>
                <w:lang w:val="sq-AL"/>
              </w:rPr>
            </w:pPr>
            <w:r w:rsidRPr="009E674D">
              <w:rPr>
                <w:sz w:val="20"/>
                <w:szCs w:val="20"/>
                <w:lang w:val="sq-AL"/>
              </w:rPr>
              <w:t>25.02% (2021)</w:t>
            </w:r>
          </w:p>
        </w:tc>
        <w:tc>
          <w:tcPr>
            <w:tcW w:w="1080" w:type="dxa"/>
            <w:vAlign w:val="center"/>
          </w:tcPr>
          <w:p w14:paraId="62E732A9" w14:textId="77777777" w:rsidR="00BB2408" w:rsidRPr="009E674D" w:rsidRDefault="00BB2408" w:rsidP="001D5E32">
            <w:pPr>
              <w:jc w:val="center"/>
              <w:rPr>
                <w:sz w:val="20"/>
                <w:szCs w:val="20"/>
                <w:lang w:val="sq-AL"/>
              </w:rPr>
            </w:pPr>
            <w:r w:rsidRPr="009E674D">
              <w:rPr>
                <w:sz w:val="20"/>
                <w:szCs w:val="20"/>
                <w:lang w:val="sq-AL"/>
              </w:rPr>
              <w:t>35%</w:t>
            </w:r>
          </w:p>
        </w:tc>
        <w:tc>
          <w:tcPr>
            <w:tcW w:w="990" w:type="dxa"/>
            <w:vAlign w:val="center"/>
          </w:tcPr>
          <w:p w14:paraId="5A8F76B4" w14:textId="77777777" w:rsidR="00BB2408" w:rsidRPr="009E674D" w:rsidRDefault="00BB2408" w:rsidP="001D5E32">
            <w:pPr>
              <w:jc w:val="center"/>
              <w:rPr>
                <w:sz w:val="20"/>
                <w:szCs w:val="20"/>
                <w:lang w:val="sq-AL"/>
              </w:rPr>
            </w:pPr>
            <w:r w:rsidRPr="009E674D">
              <w:rPr>
                <w:sz w:val="20"/>
                <w:szCs w:val="20"/>
                <w:lang w:val="sq-AL"/>
              </w:rPr>
              <w:t>45%</w:t>
            </w:r>
          </w:p>
        </w:tc>
      </w:tr>
      <w:tr w:rsidR="00BB2408" w:rsidRPr="009E674D" w14:paraId="327990B4" w14:textId="77777777" w:rsidTr="001D5E32">
        <w:tc>
          <w:tcPr>
            <w:tcW w:w="779" w:type="dxa"/>
            <w:vMerge/>
          </w:tcPr>
          <w:p w14:paraId="7111110F" w14:textId="77777777" w:rsidR="00BB2408" w:rsidRPr="009E674D" w:rsidRDefault="00BB2408" w:rsidP="00BB2408">
            <w:pPr>
              <w:pStyle w:val="ListParagraph"/>
              <w:numPr>
                <w:ilvl w:val="0"/>
                <w:numId w:val="13"/>
              </w:numPr>
              <w:spacing w:line="240" w:lineRule="auto"/>
              <w:rPr>
                <w:sz w:val="20"/>
                <w:szCs w:val="20"/>
                <w:lang w:val="sq-AL"/>
              </w:rPr>
            </w:pPr>
          </w:p>
        </w:tc>
        <w:tc>
          <w:tcPr>
            <w:tcW w:w="1466" w:type="dxa"/>
            <w:vMerge/>
          </w:tcPr>
          <w:p w14:paraId="36C864EF" w14:textId="77777777" w:rsidR="00BB2408" w:rsidRPr="009E674D" w:rsidRDefault="00BB2408" w:rsidP="001D5E32">
            <w:pPr>
              <w:rPr>
                <w:rFonts w:ascii="Calibri" w:eastAsia="Times New Roman" w:hAnsi="Calibri" w:cs="Calibri"/>
                <w:b/>
                <w:bCs/>
                <w:i/>
                <w:color w:val="000000" w:themeColor="text1"/>
                <w:sz w:val="20"/>
                <w:szCs w:val="20"/>
                <w:lang w:val="sq-AL"/>
              </w:rPr>
            </w:pPr>
          </w:p>
        </w:tc>
        <w:tc>
          <w:tcPr>
            <w:tcW w:w="1620" w:type="dxa"/>
          </w:tcPr>
          <w:p w14:paraId="40D501A9" w14:textId="77777777" w:rsidR="00BB2408" w:rsidRPr="009E674D" w:rsidRDefault="00BB2408" w:rsidP="001D5E32">
            <w:pPr>
              <w:rPr>
                <w:rFonts w:cstheme="minorHAnsi"/>
                <w:i/>
                <w:sz w:val="20"/>
                <w:szCs w:val="20"/>
                <w:lang w:val="sq-AL"/>
              </w:rPr>
            </w:pPr>
            <w:r w:rsidRPr="009E674D">
              <w:rPr>
                <w:rFonts w:eastAsia="Times New Roman" w:cstheme="minorHAnsi"/>
                <w:i/>
                <w:sz w:val="20"/>
                <w:szCs w:val="20"/>
                <w:lang w:val="sq-AL"/>
              </w:rPr>
              <w:t>Firmat që prezantuan një produkt/shërbim të ri ose një inovacion në procese (%)</w:t>
            </w:r>
          </w:p>
        </w:tc>
        <w:tc>
          <w:tcPr>
            <w:tcW w:w="1260" w:type="dxa"/>
            <w:vAlign w:val="center"/>
          </w:tcPr>
          <w:p w14:paraId="46AD8C42"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Banka Botërore</w:t>
            </w:r>
          </w:p>
        </w:tc>
        <w:tc>
          <w:tcPr>
            <w:tcW w:w="2340" w:type="dxa"/>
          </w:tcPr>
          <w:p w14:paraId="0AEA8DFB"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paraqet përqindjen e firmave që kanë prezantuar një produkt/shërbim të ri apo një inovacion në procese.</w:t>
            </w:r>
          </w:p>
          <w:p w14:paraId="63558D07" w14:textId="77777777" w:rsidR="00BB2408" w:rsidRPr="009E674D" w:rsidRDefault="00BB2408" w:rsidP="001D5E32">
            <w:pPr>
              <w:jc w:val="center"/>
              <w:rPr>
                <w:rFonts w:cstheme="minorHAnsi"/>
                <w:sz w:val="20"/>
                <w:szCs w:val="20"/>
                <w:lang w:val="sq-AL"/>
              </w:rPr>
            </w:pPr>
          </w:p>
        </w:tc>
        <w:tc>
          <w:tcPr>
            <w:tcW w:w="2790" w:type="dxa"/>
            <w:vAlign w:val="center"/>
          </w:tcPr>
          <w:p w14:paraId="6410443F" w14:textId="77777777" w:rsidR="00BB2408" w:rsidRPr="009E674D" w:rsidRDefault="00BB2408" w:rsidP="001D5E32">
            <w:pPr>
              <w:rPr>
                <w:rFonts w:cstheme="minorHAnsi"/>
                <w:sz w:val="20"/>
                <w:szCs w:val="20"/>
                <w:lang w:val="sq-AL"/>
              </w:rPr>
            </w:pPr>
            <w:r w:rsidRPr="009E674D">
              <w:rPr>
                <w:rFonts w:cstheme="minorHAnsi"/>
                <w:sz w:val="20"/>
                <w:szCs w:val="20"/>
                <w:lang w:val="sq-AL"/>
              </w:rPr>
              <w:t>Treguesi është nxjerrë nga Anketa e Ndërmarrjeve, e cila është një anketë në nivel firme. Produktet/shërbimet e reja dhe inovacioni në procese janë dy variabla të ndara. Treguesi këtu paraqet mesataren e këtyre dy variablave.</w:t>
            </w:r>
          </w:p>
          <w:p w14:paraId="5F1704A5" w14:textId="77777777" w:rsidR="00BB2408" w:rsidRPr="009E674D" w:rsidRDefault="00BB2408" w:rsidP="001D5E32">
            <w:pPr>
              <w:rPr>
                <w:rFonts w:cstheme="minorHAnsi"/>
                <w:sz w:val="20"/>
                <w:szCs w:val="20"/>
                <w:lang w:val="sq-AL"/>
              </w:rPr>
            </w:pPr>
          </w:p>
        </w:tc>
        <w:tc>
          <w:tcPr>
            <w:tcW w:w="1080" w:type="dxa"/>
            <w:vAlign w:val="center"/>
          </w:tcPr>
          <w:p w14:paraId="111A0D07"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36.6% (2019)</w:t>
            </w:r>
          </w:p>
        </w:tc>
        <w:tc>
          <w:tcPr>
            <w:tcW w:w="1080" w:type="dxa"/>
            <w:vAlign w:val="center"/>
          </w:tcPr>
          <w:p w14:paraId="2F728C47"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50%</w:t>
            </w:r>
          </w:p>
        </w:tc>
        <w:tc>
          <w:tcPr>
            <w:tcW w:w="990" w:type="dxa"/>
            <w:vAlign w:val="center"/>
          </w:tcPr>
          <w:p w14:paraId="587C454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60%</w:t>
            </w:r>
          </w:p>
        </w:tc>
      </w:tr>
      <w:tr w:rsidR="00BB2408" w:rsidRPr="009E674D" w14:paraId="58C0FC6F" w14:textId="77777777" w:rsidTr="001D5E32">
        <w:tc>
          <w:tcPr>
            <w:tcW w:w="779" w:type="dxa"/>
            <w:vMerge w:val="restart"/>
          </w:tcPr>
          <w:p w14:paraId="7CB104CE" w14:textId="77777777" w:rsidR="00BB2408" w:rsidRPr="009E674D" w:rsidRDefault="00BB2408" w:rsidP="001D5E32">
            <w:pPr>
              <w:rPr>
                <w:rFonts w:cstheme="minorHAnsi"/>
                <w:b/>
                <w:sz w:val="20"/>
                <w:szCs w:val="20"/>
                <w:lang w:val="sq-AL"/>
              </w:rPr>
            </w:pPr>
            <w:r w:rsidRPr="009E674D">
              <w:rPr>
                <w:rFonts w:cstheme="minorHAnsi"/>
                <w:b/>
                <w:sz w:val="20"/>
                <w:szCs w:val="20"/>
                <w:lang w:val="sq-AL"/>
              </w:rPr>
              <w:t>Obj. 2</w:t>
            </w:r>
          </w:p>
          <w:p w14:paraId="2E12549D" w14:textId="77777777" w:rsidR="00BB2408" w:rsidRPr="009E674D" w:rsidRDefault="00BB2408" w:rsidP="001D5E32">
            <w:pPr>
              <w:rPr>
                <w:rFonts w:cstheme="minorHAnsi"/>
                <w:sz w:val="20"/>
                <w:szCs w:val="20"/>
                <w:lang w:val="sq-AL"/>
              </w:rPr>
            </w:pPr>
          </w:p>
        </w:tc>
        <w:tc>
          <w:tcPr>
            <w:tcW w:w="1466" w:type="dxa"/>
            <w:vAlign w:val="center"/>
          </w:tcPr>
          <w:p w14:paraId="1044D598" w14:textId="77777777" w:rsidR="00BB2408" w:rsidRPr="009E674D" w:rsidRDefault="00BB2408" w:rsidP="001D5E32">
            <w:pPr>
              <w:rPr>
                <w:rFonts w:eastAsia="Times New Roman" w:cstheme="minorHAnsi"/>
                <w:b/>
                <w:color w:val="000000"/>
                <w:sz w:val="20"/>
                <w:szCs w:val="20"/>
                <w:lang w:val="sq-AL"/>
              </w:rPr>
            </w:pPr>
            <w:r w:rsidRPr="009E674D">
              <w:rPr>
                <w:rFonts w:eastAsia="Times New Roman" w:cstheme="minorHAnsi"/>
                <w:b/>
                <w:color w:val="000000"/>
                <w:sz w:val="20"/>
                <w:szCs w:val="20"/>
                <w:lang w:val="sq-AL"/>
              </w:rPr>
              <w:t>2.1. Zvogëlimi i hendekut të shkathtësive në tregun e punës</w:t>
            </w:r>
          </w:p>
          <w:p w14:paraId="3BC2D16E" w14:textId="77777777" w:rsidR="00BB2408" w:rsidRPr="009E674D" w:rsidRDefault="00BB2408" w:rsidP="001D5E32">
            <w:pPr>
              <w:rPr>
                <w:rFonts w:eastAsia="Times New Roman" w:cstheme="minorHAnsi"/>
                <w:b/>
                <w:bCs/>
                <w:color w:val="000000" w:themeColor="text1"/>
                <w:sz w:val="20"/>
                <w:szCs w:val="20"/>
                <w:lang w:val="sq-AL"/>
              </w:rPr>
            </w:pPr>
          </w:p>
        </w:tc>
        <w:tc>
          <w:tcPr>
            <w:tcW w:w="1620" w:type="dxa"/>
            <w:vAlign w:val="center"/>
          </w:tcPr>
          <w:p w14:paraId="3BE93F0E" w14:textId="77777777" w:rsidR="00BB2408" w:rsidRPr="009E674D" w:rsidRDefault="00BB2408" w:rsidP="001D5E32">
            <w:pPr>
              <w:rPr>
                <w:rFonts w:cstheme="minorHAnsi"/>
                <w:i/>
                <w:sz w:val="20"/>
                <w:szCs w:val="20"/>
                <w:lang w:val="sq-AL"/>
              </w:rPr>
            </w:pPr>
            <w:r w:rsidRPr="009E674D">
              <w:rPr>
                <w:rFonts w:cstheme="minorHAnsi"/>
                <w:i/>
                <w:sz w:val="20"/>
                <w:szCs w:val="20"/>
                <w:lang w:val="sq-AL"/>
              </w:rPr>
              <w:t>Cilësia e trajnimit profesional të punëtorëve që ofron tregu lokal (1-5)</w:t>
            </w:r>
          </w:p>
        </w:tc>
        <w:tc>
          <w:tcPr>
            <w:tcW w:w="1260" w:type="dxa"/>
            <w:vAlign w:val="center"/>
          </w:tcPr>
          <w:p w14:paraId="7E24CA9B" w14:textId="77777777" w:rsidR="00BB2408" w:rsidRPr="009E674D" w:rsidRDefault="00BB2408" w:rsidP="001D5E32">
            <w:pPr>
              <w:jc w:val="center"/>
              <w:rPr>
                <w:rFonts w:cstheme="minorHAnsi"/>
                <w:sz w:val="20"/>
                <w:szCs w:val="20"/>
                <w:lang w:val="sq-AL"/>
              </w:rPr>
            </w:pPr>
            <w:r w:rsidRPr="009E674D">
              <w:rPr>
                <w:sz w:val="20"/>
                <w:szCs w:val="20"/>
                <w:lang w:val="sq-AL"/>
              </w:rPr>
              <w:t>Indeksi i konk. së komunave (USAID)</w:t>
            </w:r>
          </w:p>
        </w:tc>
        <w:tc>
          <w:tcPr>
            <w:tcW w:w="2340" w:type="dxa"/>
          </w:tcPr>
          <w:p w14:paraId="647DAA4C"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paraqet pikëpamjet e ndërmarrjeve mbi nivelin profesional të punëtorëve që ofron tregu lokal. </w:t>
            </w:r>
          </w:p>
        </w:tc>
        <w:tc>
          <w:tcPr>
            <w:tcW w:w="2790" w:type="dxa"/>
            <w:vAlign w:val="center"/>
          </w:tcPr>
          <w:p w14:paraId="43FB078A" w14:textId="42539842" w:rsidR="00BB2408" w:rsidRPr="009E674D" w:rsidRDefault="00BB2408" w:rsidP="001D5E32">
            <w:pPr>
              <w:rPr>
                <w:rFonts w:cstheme="minorHAnsi"/>
                <w:sz w:val="20"/>
                <w:szCs w:val="20"/>
                <w:lang w:val="sq-AL"/>
              </w:rPr>
            </w:pPr>
            <w:r w:rsidRPr="009E674D">
              <w:rPr>
                <w:sz w:val="20"/>
                <w:szCs w:val="20"/>
                <w:lang w:val="sq-AL"/>
              </w:rPr>
              <w:t xml:space="preserve">Ky tregues është nxjerrë nga Indeksi i Konkurrueshmërisë së Komunave (IKK). Metodologjia e IKK-së bazohet në qasjen e standardizuar të Indeksit të Qeverisjes Ekonomike nga Fondacioni Aziatik. Të dhënat mblidhen përmes anketës me 3,337 firma në 38 komuna të </w:t>
            </w:r>
            <w:r w:rsidRPr="009E674D">
              <w:rPr>
                <w:sz w:val="20"/>
                <w:szCs w:val="20"/>
                <w:lang w:val="sq-AL"/>
              </w:rPr>
              <w:lastRenderedPageBreak/>
              <w:t>Kosovës. Pyetja: si e vlerësoni cilësinë e trajnimit profesional të punëtorëve që ofron tregu lokal? (1- shumë i ulët, 5</w:t>
            </w:r>
            <w:r w:rsidR="00636E80">
              <w:rPr>
                <w:sz w:val="20"/>
                <w:szCs w:val="20"/>
                <w:lang w:val="sq-AL"/>
              </w:rPr>
              <w:t xml:space="preserve"> </w:t>
            </w:r>
            <w:r w:rsidRPr="009E674D">
              <w:rPr>
                <w:sz w:val="20"/>
                <w:szCs w:val="20"/>
                <w:lang w:val="sq-AL"/>
              </w:rPr>
              <w:t xml:space="preserve">- i shkëlqyer). Vlera bazë përbën mesataren e përgjigjeve. </w:t>
            </w:r>
          </w:p>
        </w:tc>
        <w:tc>
          <w:tcPr>
            <w:tcW w:w="1080" w:type="dxa"/>
            <w:vAlign w:val="center"/>
          </w:tcPr>
          <w:p w14:paraId="105D227C"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lastRenderedPageBreak/>
              <w:t>3.29</w:t>
            </w:r>
          </w:p>
        </w:tc>
        <w:tc>
          <w:tcPr>
            <w:tcW w:w="1080" w:type="dxa"/>
            <w:vAlign w:val="center"/>
          </w:tcPr>
          <w:p w14:paraId="6000B15B"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3.9</w:t>
            </w:r>
          </w:p>
        </w:tc>
        <w:tc>
          <w:tcPr>
            <w:tcW w:w="990" w:type="dxa"/>
            <w:vAlign w:val="center"/>
          </w:tcPr>
          <w:p w14:paraId="15A0E6BF"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4.3</w:t>
            </w:r>
          </w:p>
        </w:tc>
      </w:tr>
      <w:tr w:rsidR="00BB2408" w:rsidRPr="009E674D" w14:paraId="2CEC5776" w14:textId="77777777" w:rsidTr="001D5E32">
        <w:trPr>
          <w:trHeight w:val="806"/>
        </w:trPr>
        <w:tc>
          <w:tcPr>
            <w:tcW w:w="779" w:type="dxa"/>
            <w:vMerge/>
          </w:tcPr>
          <w:p w14:paraId="7EA1205D" w14:textId="77777777" w:rsidR="00BB2408" w:rsidRPr="009E674D" w:rsidRDefault="00BB2408" w:rsidP="001D5E32">
            <w:pPr>
              <w:rPr>
                <w:rFonts w:cstheme="minorHAnsi"/>
                <w:b/>
                <w:sz w:val="20"/>
                <w:szCs w:val="20"/>
                <w:lang w:val="sq-AL"/>
              </w:rPr>
            </w:pPr>
          </w:p>
        </w:tc>
        <w:tc>
          <w:tcPr>
            <w:tcW w:w="1466" w:type="dxa"/>
            <w:vMerge w:val="restart"/>
            <w:vAlign w:val="center"/>
          </w:tcPr>
          <w:p w14:paraId="06637B29" w14:textId="77777777" w:rsidR="00BB2408" w:rsidRPr="009E674D" w:rsidRDefault="00BB2408" w:rsidP="001D5E32">
            <w:pPr>
              <w:rPr>
                <w:rFonts w:eastAsia="Times New Roman" w:cstheme="minorHAnsi"/>
                <w:b/>
                <w:color w:val="000000"/>
                <w:sz w:val="20"/>
                <w:szCs w:val="20"/>
                <w:lang w:val="sq-AL"/>
              </w:rPr>
            </w:pPr>
            <w:r w:rsidRPr="009E674D">
              <w:rPr>
                <w:rFonts w:eastAsia="Times New Roman" w:cstheme="minorHAnsi"/>
                <w:b/>
                <w:color w:val="000000"/>
                <w:sz w:val="20"/>
                <w:szCs w:val="20"/>
                <w:lang w:val="sq-AL"/>
              </w:rPr>
              <w:t>2.2.</w:t>
            </w:r>
            <w:r w:rsidRPr="009E674D">
              <w:rPr>
                <w:rFonts w:eastAsia="Times New Roman" w:cstheme="minorHAnsi"/>
                <w:b/>
                <w:bCs/>
                <w:color w:val="FFFFFF"/>
                <w:sz w:val="20"/>
                <w:szCs w:val="20"/>
                <w:lang w:val="sq-AL"/>
              </w:rPr>
              <w:t xml:space="preserve"> </w:t>
            </w:r>
            <w:r w:rsidRPr="009E674D">
              <w:rPr>
                <w:rFonts w:eastAsia="Times New Roman" w:cstheme="minorHAnsi"/>
                <w:b/>
                <w:color w:val="000000"/>
                <w:sz w:val="20"/>
                <w:szCs w:val="20"/>
                <w:lang w:val="sq-AL"/>
              </w:rPr>
              <w:t>Rritja e punësimit të dinjitetshëm për gra, të rinj dhe kategori të cenueshme</w:t>
            </w:r>
          </w:p>
          <w:p w14:paraId="3178929C" w14:textId="77777777" w:rsidR="00BB2408" w:rsidRPr="009E674D" w:rsidRDefault="00BB2408" w:rsidP="001D5E32">
            <w:pPr>
              <w:rPr>
                <w:rFonts w:eastAsia="Times New Roman" w:cstheme="minorHAnsi"/>
                <w:b/>
                <w:color w:val="000000"/>
                <w:sz w:val="20"/>
                <w:szCs w:val="20"/>
                <w:lang w:val="sq-AL"/>
              </w:rPr>
            </w:pPr>
          </w:p>
        </w:tc>
        <w:tc>
          <w:tcPr>
            <w:tcW w:w="1620" w:type="dxa"/>
            <w:vAlign w:val="center"/>
          </w:tcPr>
          <w:p w14:paraId="799D45C8" w14:textId="77777777" w:rsidR="00BB2408" w:rsidRPr="009E674D" w:rsidRDefault="00BB2408" w:rsidP="001D5E32">
            <w:pPr>
              <w:rPr>
                <w:rFonts w:cstheme="minorHAnsi"/>
                <w:i/>
                <w:sz w:val="20"/>
                <w:szCs w:val="20"/>
                <w:lang w:val="sq-AL"/>
              </w:rPr>
            </w:pPr>
            <w:r w:rsidRPr="009E674D">
              <w:rPr>
                <w:rFonts w:cstheme="minorHAnsi"/>
                <w:i/>
                <w:sz w:val="20"/>
                <w:szCs w:val="20"/>
                <w:lang w:val="sq-AL"/>
              </w:rPr>
              <w:t>Norma e punësimit të grave (%)</w:t>
            </w:r>
          </w:p>
        </w:tc>
        <w:tc>
          <w:tcPr>
            <w:tcW w:w="1260" w:type="dxa"/>
            <w:vAlign w:val="center"/>
          </w:tcPr>
          <w:p w14:paraId="218B0511" w14:textId="77777777" w:rsidR="00BB2408" w:rsidRPr="009E674D" w:rsidRDefault="00BB2408" w:rsidP="001D5E32">
            <w:pPr>
              <w:jc w:val="center"/>
              <w:rPr>
                <w:sz w:val="20"/>
                <w:szCs w:val="20"/>
                <w:lang w:val="sq-AL"/>
              </w:rPr>
            </w:pPr>
            <w:r w:rsidRPr="009E674D">
              <w:rPr>
                <w:rFonts w:cstheme="minorHAnsi"/>
                <w:sz w:val="20"/>
                <w:szCs w:val="20"/>
                <w:lang w:val="sq-AL"/>
              </w:rPr>
              <w:t>ASK</w:t>
            </w:r>
          </w:p>
        </w:tc>
        <w:tc>
          <w:tcPr>
            <w:tcW w:w="2340" w:type="dxa"/>
          </w:tcPr>
          <w:p w14:paraId="6D4E16F1" w14:textId="77777777" w:rsidR="00BB2408" w:rsidRPr="009E674D" w:rsidRDefault="00BB2408" w:rsidP="001D5E32">
            <w:pPr>
              <w:rPr>
                <w:rFonts w:cstheme="minorHAnsi"/>
                <w:sz w:val="20"/>
                <w:szCs w:val="20"/>
                <w:lang w:val="sq-AL"/>
              </w:rPr>
            </w:pPr>
            <w:r w:rsidRPr="009E674D">
              <w:rPr>
                <w:sz w:val="20"/>
                <w:szCs w:val="20"/>
                <w:lang w:val="sq-AL"/>
              </w:rPr>
              <w:t xml:space="preserve">Ky tregues paraqet shkallën zyrtare të grave punësuara në moshë pune (15-64).   </w:t>
            </w:r>
          </w:p>
        </w:tc>
        <w:tc>
          <w:tcPr>
            <w:tcW w:w="2790" w:type="dxa"/>
            <w:vAlign w:val="center"/>
          </w:tcPr>
          <w:p w14:paraId="67D31D79" w14:textId="77777777" w:rsidR="00BB2408" w:rsidRPr="009E674D" w:rsidRDefault="00BB2408" w:rsidP="001D5E32">
            <w:pPr>
              <w:rPr>
                <w:rFonts w:cstheme="minorHAnsi"/>
                <w:sz w:val="20"/>
                <w:szCs w:val="20"/>
                <w:lang w:val="sq-AL"/>
              </w:rPr>
            </w:pPr>
            <w:r w:rsidRPr="009E674D">
              <w:rPr>
                <w:sz w:val="20"/>
                <w:szCs w:val="20"/>
                <w:lang w:val="sq-AL"/>
              </w:rPr>
              <w:t>Të dhënat zyrtare për punësimin prodhohen duke u bazuar në anketën e fuqisë punëtore. Aktualisht prodhohen vetëm në nivel vendi, në të ardhmen pritet të prodhohen edhe në nivel të regjioneve.</w:t>
            </w:r>
          </w:p>
        </w:tc>
        <w:tc>
          <w:tcPr>
            <w:tcW w:w="1080" w:type="dxa"/>
            <w:vAlign w:val="center"/>
          </w:tcPr>
          <w:p w14:paraId="291EA9F6"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16%</w:t>
            </w:r>
          </w:p>
          <w:p w14:paraId="186B17A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(TM2</w:t>
            </w:r>
          </w:p>
          <w:p w14:paraId="5F7696D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2021)</w:t>
            </w:r>
          </w:p>
        </w:tc>
        <w:tc>
          <w:tcPr>
            <w:tcW w:w="1080" w:type="dxa"/>
            <w:vAlign w:val="center"/>
          </w:tcPr>
          <w:p w14:paraId="6384982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30%</w:t>
            </w:r>
          </w:p>
        </w:tc>
        <w:tc>
          <w:tcPr>
            <w:tcW w:w="990" w:type="dxa"/>
            <w:vAlign w:val="center"/>
          </w:tcPr>
          <w:p w14:paraId="70CE144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40%</w:t>
            </w:r>
          </w:p>
        </w:tc>
      </w:tr>
      <w:tr w:rsidR="00BB2408" w:rsidRPr="009E674D" w14:paraId="397A2CC1" w14:textId="77777777" w:rsidTr="001D5E32">
        <w:tc>
          <w:tcPr>
            <w:tcW w:w="779" w:type="dxa"/>
            <w:vMerge/>
          </w:tcPr>
          <w:p w14:paraId="01E40CEF" w14:textId="77777777" w:rsidR="00BB2408" w:rsidRPr="009E674D" w:rsidRDefault="00BB2408" w:rsidP="001D5E32">
            <w:pPr>
              <w:rPr>
                <w:rFonts w:cstheme="minorHAnsi"/>
                <w:sz w:val="20"/>
                <w:szCs w:val="20"/>
                <w:lang w:val="sq-AL"/>
              </w:rPr>
            </w:pPr>
          </w:p>
        </w:tc>
        <w:tc>
          <w:tcPr>
            <w:tcW w:w="1466" w:type="dxa"/>
            <w:vMerge/>
            <w:vAlign w:val="center"/>
          </w:tcPr>
          <w:p w14:paraId="24D0CFBE" w14:textId="77777777" w:rsidR="00BB2408" w:rsidRPr="009E674D" w:rsidRDefault="00BB2408" w:rsidP="001D5E32">
            <w:pPr>
              <w:rPr>
                <w:rFonts w:eastAsia="Times New Roman" w:cstheme="minorHAnsi"/>
                <w:bCs/>
                <w:color w:val="000000" w:themeColor="text1"/>
                <w:sz w:val="20"/>
                <w:szCs w:val="20"/>
                <w:lang w:val="sq-AL"/>
              </w:rPr>
            </w:pPr>
          </w:p>
        </w:tc>
        <w:tc>
          <w:tcPr>
            <w:tcW w:w="1620" w:type="dxa"/>
            <w:vAlign w:val="center"/>
          </w:tcPr>
          <w:p w14:paraId="79BE783A" w14:textId="1FA96D19" w:rsidR="00BB2408" w:rsidRPr="009E674D" w:rsidRDefault="00BB2408" w:rsidP="001D5E32">
            <w:pPr>
              <w:rPr>
                <w:rFonts w:cstheme="minorHAnsi"/>
                <w:i/>
                <w:sz w:val="20"/>
                <w:szCs w:val="20"/>
                <w:lang w:val="sq-AL"/>
              </w:rPr>
            </w:pPr>
            <w:r w:rsidRPr="009E674D">
              <w:rPr>
                <w:rFonts w:cstheme="minorHAnsi"/>
                <w:i/>
                <w:sz w:val="20"/>
                <w:szCs w:val="20"/>
                <w:lang w:val="sq-AL"/>
              </w:rPr>
              <w:t xml:space="preserve">Të rinjtë që nuk janë </w:t>
            </w:r>
            <w:r w:rsidR="00DF0460">
              <w:rPr>
                <w:rFonts w:cstheme="minorHAnsi"/>
                <w:i/>
                <w:sz w:val="20"/>
                <w:szCs w:val="20"/>
                <w:lang w:val="sq-AL"/>
              </w:rPr>
              <w:t xml:space="preserve">të përfshirë </w:t>
            </w:r>
            <w:r w:rsidRPr="009E674D">
              <w:rPr>
                <w:rFonts w:cstheme="minorHAnsi"/>
                <w:i/>
                <w:sz w:val="20"/>
                <w:szCs w:val="20"/>
                <w:lang w:val="sq-AL"/>
              </w:rPr>
              <w:t>në punësim, arsim apo trajnim (NEET) (%)</w:t>
            </w:r>
          </w:p>
        </w:tc>
        <w:tc>
          <w:tcPr>
            <w:tcW w:w="1260" w:type="dxa"/>
            <w:vAlign w:val="center"/>
          </w:tcPr>
          <w:p w14:paraId="1B172F8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ASK</w:t>
            </w:r>
          </w:p>
        </w:tc>
        <w:tc>
          <w:tcPr>
            <w:tcW w:w="2340" w:type="dxa"/>
          </w:tcPr>
          <w:p w14:paraId="638600AA" w14:textId="11B66D22" w:rsidR="00BB2408" w:rsidRPr="009E674D" w:rsidRDefault="00BB2408" w:rsidP="001D5E32">
            <w:pPr>
              <w:rPr>
                <w:rFonts w:cstheme="minorHAnsi"/>
                <w:sz w:val="20"/>
                <w:szCs w:val="20"/>
                <w:lang w:val="sq-AL"/>
              </w:rPr>
            </w:pPr>
            <w:r w:rsidRPr="009E674D">
              <w:rPr>
                <w:sz w:val="20"/>
                <w:szCs w:val="20"/>
                <w:lang w:val="sq-AL"/>
              </w:rPr>
              <w:t xml:space="preserve">Ky tregues paraqet të rinjtë që nuk janë </w:t>
            </w:r>
            <w:r w:rsidR="00DF0460">
              <w:rPr>
                <w:sz w:val="20"/>
                <w:szCs w:val="20"/>
                <w:lang w:val="sq-AL"/>
              </w:rPr>
              <w:t xml:space="preserve">të përfshirë </w:t>
            </w:r>
            <w:r w:rsidRPr="009E674D">
              <w:rPr>
                <w:sz w:val="20"/>
                <w:szCs w:val="20"/>
                <w:lang w:val="sq-AL"/>
              </w:rPr>
              <w:t>në punësim, arsim apo trajnim (NEET), si përqindje e numrit të përgjithshëm të të rinjve.</w:t>
            </w:r>
          </w:p>
        </w:tc>
        <w:tc>
          <w:tcPr>
            <w:tcW w:w="2790" w:type="dxa"/>
            <w:vAlign w:val="center"/>
          </w:tcPr>
          <w:p w14:paraId="26D45852" w14:textId="77777777" w:rsidR="00BB2408" w:rsidRPr="009E674D" w:rsidRDefault="00BB2408" w:rsidP="001D5E32">
            <w:pPr>
              <w:rPr>
                <w:rFonts w:cstheme="minorHAnsi"/>
                <w:sz w:val="20"/>
                <w:szCs w:val="20"/>
                <w:lang w:val="sq-AL"/>
              </w:rPr>
            </w:pPr>
            <w:r w:rsidRPr="009E674D">
              <w:rPr>
                <w:sz w:val="20"/>
                <w:szCs w:val="20"/>
                <w:lang w:val="sq-AL"/>
              </w:rPr>
              <w:t>Të dhënat zyrtare për NEET prodhohen duke u bazuar në anketën e fuqisë punëtore. Aktualisht prodhohen vetëm në nivel vendi, në të ardhmen pritet të prodhohen edhe në nivel të regjioneve.</w:t>
            </w:r>
          </w:p>
        </w:tc>
        <w:tc>
          <w:tcPr>
            <w:tcW w:w="1080" w:type="dxa"/>
            <w:vAlign w:val="center"/>
          </w:tcPr>
          <w:p w14:paraId="3B4CFE1B"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32.5</w:t>
            </w:r>
          </w:p>
          <w:p w14:paraId="13BD341E"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(TM2 2021)</w:t>
            </w:r>
          </w:p>
        </w:tc>
        <w:tc>
          <w:tcPr>
            <w:tcW w:w="1080" w:type="dxa"/>
            <w:vAlign w:val="center"/>
          </w:tcPr>
          <w:p w14:paraId="5C85225C"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20%</w:t>
            </w:r>
          </w:p>
        </w:tc>
        <w:tc>
          <w:tcPr>
            <w:tcW w:w="990" w:type="dxa"/>
            <w:vAlign w:val="center"/>
          </w:tcPr>
          <w:p w14:paraId="7A841DDA"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15%</w:t>
            </w:r>
          </w:p>
        </w:tc>
      </w:tr>
      <w:tr w:rsidR="00BB2408" w:rsidRPr="009E674D" w14:paraId="5B200E69" w14:textId="77777777" w:rsidTr="001D5E32">
        <w:tc>
          <w:tcPr>
            <w:tcW w:w="779" w:type="dxa"/>
            <w:vMerge w:val="restart"/>
            <w:vAlign w:val="center"/>
          </w:tcPr>
          <w:p w14:paraId="1F13CBFF" w14:textId="77777777" w:rsidR="00BB2408" w:rsidRPr="009E674D" w:rsidRDefault="00BB2408" w:rsidP="001D5E32">
            <w:pPr>
              <w:rPr>
                <w:rFonts w:cstheme="minorHAnsi"/>
                <w:b/>
                <w:sz w:val="20"/>
                <w:szCs w:val="20"/>
                <w:lang w:val="sq-AL"/>
              </w:rPr>
            </w:pPr>
            <w:r w:rsidRPr="009E674D">
              <w:rPr>
                <w:rFonts w:cstheme="minorHAnsi"/>
                <w:b/>
                <w:sz w:val="20"/>
                <w:szCs w:val="20"/>
                <w:lang w:val="sq-AL"/>
              </w:rPr>
              <w:t>Obj. 3</w:t>
            </w:r>
          </w:p>
        </w:tc>
        <w:tc>
          <w:tcPr>
            <w:tcW w:w="1466" w:type="dxa"/>
            <w:vMerge w:val="restart"/>
            <w:vAlign w:val="center"/>
          </w:tcPr>
          <w:p w14:paraId="5585ADFB" w14:textId="77777777" w:rsidR="00BB2408" w:rsidRPr="009E674D" w:rsidRDefault="00BB2408" w:rsidP="001D5E32">
            <w:pPr>
              <w:rPr>
                <w:rFonts w:eastAsia="Times New Roman" w:cstheme="minorHAnsi"/>
                <w:b/>
                <w:color w:val="000000"/>
                <w:sz w:val="20"/>
                <w:szCs w:val="20"/>
                <w:lang w:val="sq-AL"/>
              </w:rPr>
            </w:pPr>
            <w:r w:rsidRPr="009E674D">
              <w:rPr>
                <w:rFonts w:eastAsia="Times New Roman" w:cstheme="minorHAnsi"/>
                <w:b/>
                <w:color w:val="000000"/>
                <w:sz w:val="20"/>
                <w:szCs w:val="20"/>
                <w:lang w:val="sq-AL"/>
              </w:rPr>
              <w:t xml:space="preserve">3.1. Përmirësimi infrastrukturës së transportit lokal dhe shërbimeve </w:t>
            </w:r>
          </w:p>
          <w:p w14:paraId="047066CE" w14:textId="77777777" w:rsidR="00BB2408" w:rsidRPr="009E674D" w:rsidRDefault="00BB2408" w:rsidP="001D5E32">
            <w:pPr>
              <w:rPr>
                <w:rFonts w:eastAsia="Times New Roman" w:cstheme="minorHAnsi"/>
                <w:b/>
                <w:color w:val="000000"/>
                <w:sz w:val="20"/>
                <w:szCs w:val="20"/>
                <w:lang w:val="sq-AL"/>
              </w:rPr>
            </w:pPr>
          </w:p>
        </w:tc>
        <w:tc>
          <w:tcPr>
            <w:tcW w:w="1620" w:type="dxa"/>
            <w:vAlign w:val="center"/>
          </w:tcPr>
          <w:p w14:paraId="6724A089" w14:textId="77777777" w:rsidR="00BB2408" w:rsidRPr="009E674D" w:rsidRDefault="00BB2408" w:rsidP="001D5E32">
            <w:pPr>
              <w:rPr>
                <w:rFonts w:cstheme="minorHAnsi"/>
                <w:i/>
                <w:sz w:val="20"/>
                <w:szCs w:val="20"/>
                <w:lang w:val="sq-AL"/>
              </w:rPr>
            </w:pPr>
            <w:r w:rsidRPr="009E674D">
              <w:rPr>
                <w:rFonts w:cstheme="minorHAnsi"/>
                <w:i/>
                <w:sz w:val="20"/>
                <w:szCs w:val="20"/>
                <w:lang w:val="sq-AL"/>
              </w:rPr>
              <w:t>Infrastruktura rrugore (%)</w:t>
            </w:r>
          </w:p>
        </w:tc>
        <w:tc>
          <w:tcPr>
            <w:tcW w:w="1260" w:type="dxa"/>
            <w:vAlign w:val="center"/>
          </w:tcPr>
          <w:p w14:paraId="032F8E5A"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MAPL</w:t>
            </w:r>
          </w:p>
        </w:tc>
        <w:tc>
          <w:tcPr>
            <w:tcW w:w="2340" w:type="dxa"/>
          </w:tcPr>
          <w:p w14:paraId="5274B95C" w14:textId="77777777" w:rsidR="00BB2408" w:rsidRPr="009E674D" w:rsidRDefault="00BB2408" w:rsidP="001D5E32">
            <w:pPr>
              <w:rPr>
                <w:rFonts w:cstheme="minorHAnsi"/>
                <w:sz w:val="20"/>
                <w:szCs w:val="20"/>
                <w:lang w:val="sq-AL"/>
              </w:rPr>
            </w:pPr>
            <w:r w:rsidRPr="009E674D">
              <w:rPr>
                <w:sz w:val="20"/>
                <w:szCs w:val="20"/>
                <w:lang w:val="sq-AL"/>
              </w:rPr>
              <w:t>Kjo fushë mat rrugët komunale dhe infrastrukturën përcjellëse që janë nën kompetencën e komunës.</w:t>
            </w:r>
          </w:p>
        </w:tc>
        <w:tc>
          <w:tcPr>
            <w:tcW w:w="2790" w:type="dxa"/>
            <w:vAlign w:val="center"/>
          </w:tcPr>
          <w:p w14:paraId="62F7CDC5" w14:textId="77777777" w:rsidR="00BB2408" w:rsidRPr="009E674D" w:rsidRDefault="00BB2408" w:rsidP="001D5E32">
            <w:pPr>
              <w:rPr>
                <w:rFonts w:cstheme="minorHAnsi"/>
                <w:sz w:val="20"/>
                <w:szCs w:val="20"/>
                <w:lang w:val="sq-AL"/>
              </w:rPr>
            </w:pPr>
            <w:r w:rsidRPr="009E674D">
              <w:rPr>
                <w:sz w:val="20"/>
                <w:szCs w:val="20"/>
                <w:lang w:val="sq-AL"/>
              </w:rPr>
              <w:t>Matja e këtij treguesi b</w:t>
            </w:r>
            <w:r w:rsidRPr="009E674D">
              <w:rPr>
                <w:rFonts w:cstheme="minorHAnsi"/>
                <w:sz w:val="20"/>
                <w:szCs w:val="20"/>
                <w:lang w:val="sq-AL"/>
              </w:rPr>
              <w:t>ëhet</w:t>
            </w:r>
            <w:r w:rsidRPr="009E674D">
              <w:rPr>
                <w:sz w:val="20"/>
                <w:szCs w:val="20"/>
                <w:lang w:val="sq-AL"/>
              </w:rPr>
              <w:t xml:space="preserve"> përmes  Sistemit për Menaxhimin e Performancës Komunale</w:t>
            </w:r>
            <w:r w:rsidRPr="009E674D">
              <w:rPr>
                <w:rFonts w:cstheme="minorHAnsi"/>
                <w:sz w:val="20"/>
                <w:szCs w:val="20"/>
                <w:lang w:val="sq-AL"/>
              </w:rPr>
              <w:t xml:space="preserve"> (SMPK). Treguesi mbulon këto pika: rrugët e shtruara, rrugët e asfaltuara, rrugët në zonën urbane me shteg të biçikletave, rrugët me trotuare, rrugët me ndriçim publik, rrugët me shenjëzim dhe rrugët e mirëmbajtura. Për më shumë, konsulto Raportin e Performancës së Komunave. </w:t>
            </w:r>
          </w:p>
        </w:tc>
        <w:tc>
          <w:tcPr>
            <w:tcW w:w="1080" w:type="dxa"/>
            <w:vAlign w:val="center"/>
          </w:tcPr>
          <w:p w14:paraId="579DFD1F"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52%</w:t>
            </w:r>
          </w:p>
          <w:p w14:paraId="6304601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(2021)</w:t>
            </w:r>
          </w:p>
        </w:tc>
        <w:tc>
          <w:tcPr>
            <w:tcW w:w="1080" w:type="dxa"/>
            <w:vAlign w:val="center"/>
          </w:tcPr>
          <w:p w14:paraId="39E6ECF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60%</w:t>
            </w:r>
          </w:p>
        </w:tc>
        <w:tc>
          <w:tcPr>
            <w:tcW w:w="990" w:type="dxa"/>
            <w:vAlign w:val="center"/>
          </w:tcPr>
          <w:p w14:paraId="6B1D38FC"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70%</w:t>
            </w:r>
          </w:p>
        </w:tc>
      </w:tr>
      <w:tr w:rsidR="00BB2408" w:rsidRPr="009E674D" w14:paraId="534DD5F8" w14:textId="77777777" w:rsidTr="001D5E32">
        <w:tc>
          <w:tcPr>
            <w:tcW w:w="779" w:type="dxa"/>
            <w:vMerge/>
            <w:vAlign w:val="center"/>
          </w:tcPr>
          <w:p w14:paraId="77D5BD84" w14:textId="77777777" w:rsidR="00BB2408" w:rsidRPr="009E674D" w:rsidRDefault="00BB2408" w:rsidP="001D5E32">
            <w:pPr>
              <w:rPr>
                <w:rFonts w:cstheme="minorHAnsi"/>
                <w:b/>
                <w:sz w:val="20"/>
                <w:szCs w:val="20"/>
                <w:lang w:val="sq-AL"/>
              </w:rPr>
            </w:pPr>
          </w:p>
        </w:tc>
        <w:tc>
          <w:tcPr>
            <w:tcW w:w="1466" w:type="dxa"/>
            <w:vMerge/>
            <w:vAlign w:val="center"/>
          </w:tcPr>
          <w:p w14:paraId="5DD455F4" w14:textId="77777777" w:rsidR="00BB2408" w:rsidRPr="009E674D" w:rsidRDefault="00BB2408" w:rsidP="001D5E32">
            <w:pPr>
              <w:rPr>
                <w:rFonts w:eastAsia="Times New Roman" w:cstheme="minorHAnsi"/>
                <w:b/>
                <w:color w:val="000000"/>
                <w:sz w:val="20"/>
                <w:szCs w:val="20"/>
                <w:lang w:val="sq-AL"/>
              </w:rPr>
            </w:pPr>
          </w:p>
        </w:tc>
        <w:tc>
          <w:tcPr>
            <w:tcW w:w="1620" w:type="dxa"/>
            <w:vAlign w:val="center"/>
          </w:tcPr>
          <w:p w14:paraId="35F26C26" w14:textId="77777777" w:rsidR="00BB2408" w:rsidRPr="009E674D" w:rsidRDefault="00BB2408" w:rsidP="001D5E32">
            <w:pPr>
              <w:rPr>
                <w:rFonts w:cstheme="minorHAnsi"/>
                <w:i/>
                <w:sz w:val="20"/>
                <w:szCs w:val="20"/>
                <w:lang w:val="sq-AL"/>
              </w:rPr>
            </w:pPr>
            <w:r w:rsidRPr="009E674D">
              <w:rPr>
                <w:rFonts w:cstheme="minorHAnsi"/>
                <w:i/>
                <w:sz w:val="20"/>
                <w:szCs w:val="20"/>
                <w:lang w:val="sq-AL"/>
              </w:rPr>
              <w:t>Parkingjet publike (%)</w:t>
            </w:r>
          </w:p>
        </w:tc>
        <w:tc>
          <w:tcPr>
            <w:tcW w:w="1260" w:type="dxa"/>
            <w:vAlign w:val="center"/>
          </w:tcPr>
          <w:p w14:paraId="302BC6F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MAPL</w:t>
            </w:r>
          </w:p>
        </w:tc>
        <w:tc>
          <w:tcPr>
            <w:tcW w:w="2340" w:type="dxa"/>
          </w:tcPr>
          <w:p w14:paraId="1A7CF7C8" w14:textId="77777777" w:rsidR="00BB2408" w:rsidRPr="009E674D" w:rsidRDefault="00BB2408" w:rsidP="001D5E32">
            <w:pPr>
              <w:rPr>
                <w:rFonts w:cstheme="minorHAnsi"/>
                <w:sz w:val="20"/>
                <w:szCs w:val="20"/>
                <w:lang w:val="sq-AL"/>
              </w:rPr>
            </w:pPr>
            <w:r w:rsidRPr="009E674D">
              <w:rPr>
                <w:sz w:val="20"/>
                <w:szCs w:val="20"/>
                <w:lang w:val="sq-AL"/>
              </w:rPr>
              <w:t>Ky tregues mat se sa ka në dispozicion parkingje publike për kategori të ndryshme.</w:t>
            </w:r>
            <w:r w:rsidRPr="009E674D">
              <w:rPr>
                <w:rFonts w:cstheme="minorHAnsi"/>
                <w:sz w:val="20"/>
                <w:szCs w:val="20"/>
                <w:lang w:val="sq-AL"/>
              </w:rPr>
              <w:t xml:space="preserve"> </w:t>
            </w:r>
          </w:p>
        </w:tc>
        <w:tc>
          <w:tcPr>
            <w:tcW w:w="2790" w:type="dxa"/>
            <w:vAlign w:val="center"/>
          </w:tcPr>
          <w:p w14:paraId="473A6569" w14:textId="77777777" w:rsidR="00BB2408" w:rsidRPr="009E674D" w:rsidRDefault="00BB2408" w:rsidP="001D5E32">
            <w:pPr>
              <w:rPr>
                <w:rFonts w:cstheme="minorHAnsi"/>
                <w:sz w:val="20"/>
                <w:szCs w:val="20"/>
                <w:lang w:val="sq-AL"/>
              </w:rPr>
            </w:pPr>
            <w:r w:rsidRPr="009E674D">
              <w:rPr>
                <w:sz w:val="20"/>
                <w:szCs w:val="20"/>
                <w:lang w:val="sq-AL"/>
              </w:rPr>
              <w:t>Matja e këtij treguesi b</w:t>
            </w:r>
            <w:r w:rsidRPr="009E674D">
              <w:rPr>
                <w:rFonts w:cstheme="minorHAnsi"/>
                <w:sz w:val="20"/>
                <w:szCs w:val="20"/>
                <w:lang w:val="sq-AL"/>
              </w:rPr>
              <w:t>ëhet</w:t>
            </w:r>
            <w:r w:rsidRPr="009E674D">
              <w:rPr>
                <w:sz w:val="20"/>
                <w:szCs w:val="20"/>
                <w:lang w:val="sq-AL"/>
              </w:rPr>
              <w:t xml:space="preserve"> përmes  Sistemit për Menaxhimin e Performancës Komunale</w:t>
            </w:r>
            <w:r w:rsidRPr="009E674D">
              <w:rPr>
                <w:rFonts w:cstheme="minorHAnsi"/>
                <w:sz w:val="20"/>
                <w:szCs w:val="20"/>
                <w:lang w:val="sq-AL"/>
              </w:rPr>
              <w:t xml:space="preserve"> (SMPK). Treguesi </w:t>
            </w:r>
            <w:r w:rsidRPr="009E674D">
              <w:rPr>
                <w:rFonts w:cstheme="minorHAnsi"/>
                <w:sz w:val="20"/>
                <w:szCs w:val="20"/>
                <w:lang w:val="sq-AL"/>
              </w:rPr>
              <w:lastRenderedPageBreak/>
              <w:t>mbulon këto pika: vendparkimet dhe parkingjet për mjete motorike,</w:t>
            </w:r>
            <w:r w:rsidRPr="009E674D">
              <w:rPr>
                <w:rFonts w:ascii="Century Gothic" w:eastAsiaTheme="minorEastAsia" w:hAnsi="Century Gothic"/>
                <w:color w:val="000000"/>
                <w:sz w:val="16"/>
                <w:szCs w:val="16"/>
                <w:lang w:val="sq-AL"/>
              </w:rPr>
              <w:t xml:space="preserve"> </w:t>
            </w:r>
            <w:r w:rsidRPr="009E674D">
              <w:rPr>
                <w:rFonts w:cstheme="minorHAnsi"/>
                <w:sz w:val="20"/>
                <w:szCs w:val="20"/>
                <w:lang w:val="sq-AL"/>
              </w:rPr>
              <w:t xml:space="preserve">vendparkimet e destinuara për taksi, parkingjet e rezervuara për persona me aftësi të kufizuara. Për më shumë, konsulto Raportin e Performancës së Komunave.                                                         </w:t>
            </w:r>
          </w:p>
        </w:tc>
        <w:tc>
          <w:tcPr>
            <w:tcW w:w="1080" w:type="dxa"/>
            <w:vAlign w:val="center"/>
          </w:tcPr>
          <w:p w14:paraId="2651380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lastRenderedPageBreak/>
              <w:t>47% (2021)</w:t>
            </w:r>
          </w:p>
        </w:tc>
        <w:tc>
          <w:tcPr>
            <w:tcW w:w="1080" w:type="dxa"/>
            <w:vAlign w:val="center"/>
          </w:tcPr>
          <w:p w14:paraId="14DE1D16"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 xml:space="preserve">60% </w:t>
            </w:r>
          </w:p>
        </w:tc>
        <w:tc>
          <w:tcPr>
            <w:tcW w:w="990" w:type="dxa"/>
            <w:vAlign w:val="center"/>
          </w:tcPr>
          <w:p w14:paraId="280E9A9A"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70%</w:t>
            </w:r>
          </w:p>
        </w:tc>
      </w:tr>
      <w:tr w:rsidR="00BB2408" w:rsidRPr="009E674D" w14:paraId="18FD3323" w14:textId="77777777" w:rsidTr="001D5E32">
        <w:tc>
          <w:tcPr>
            <w:tcW w:w="779" w:type="dxa"/>
            <w:vMerge/>
            <w:vAlign w:val="center"/>
          </w:tcPr>
          <w:p w14:paraId="6C1664A1" w14:textId="77777777" w:rsidR="00BB2408" w:rsidRPr="009E674D" w:rsidRDefault="00BB2408" w:rsidP="001D5E32">
            <w:pPr>
              <w:rPr>
                <w:rFonts w:cstheme="minorHAnsi"/>
                <w:sz w:val="20"/>
                <w:szCs w:val="20"/>
                <w:lang w:val="sq-AL"/>
              </w:rPr>
            </w:pPr>
          </w:p>
        </w:tc>
        <w:tc>
          <w:tcPr>
            <w:tcW w:w="1466" w:type="dxa"/>
            <w:vMerge/>
            <w:vAlign w:val="center"/>
          </w:tcPr>
          <w:p w14:paraId="321F7704" w14:textId="77777777" w:rsidR="00BB2408" w:rsidRPr="009E674D" w:rsidRDefault="00BB2408" w:rsidP="001D5E32">
            <w:pPr>
              <w:rPr>
                <w:rFonts w:eastAsia="Times New Roman" w:cstheme="minorHAnsi"/>
                <w:b/>
                <w:bCs/>
                <w:color w:val="000000" w:themeColor="text1"/>
                <w:sz w:val="20"/>
                <w:szCs w:val="20"/>
                <w:lang w:val="sq-AL"/>
              </w:rPr>
            </w:pPr>
          </w:p>
        </w:tc>
        <w:tc>
          <w:tcPr>
            <w:tcW w:w="1620" w:type="dxa"/>
            <w:vAlign w:val="center"/>
          </w:tcPr>
          <w:p w14:paraId="7C25981C" w14:textId="77777777" w:rsidR="00BB2408" w:rsidRPr="009E674D" w:rsidRDefault="00BB2408" w:rsidP="001D5E32">
            <w:pPr>
              <w:rPr>
                <w:rFonts w:cstheme="minorHAnsi"/>
                <w:i/>
                <w:sz w:val="20"/>
                <w:szCs w:val="20"/>
                <w:lang w:val="sq-AL"/>
              </w:rPr>
            </w:pPr>
            <w:r w:rsidRPr="009E674D">
              <w:rPr>
                <w:rFonts w:cstheme="minorHAnsi"/>
                <w:i/>
                <w:sz w:val="20"/>
                <w:szCs w:val="20"/>
                <w:lang w:val="sq-AL"/>
              </w:rPr>
              <w:t>Transporti publik (%)</w:t>
            </w:r>
          </w:p>
        </w:tc>
        <w:tc>
          <w:tcPr>
            <w:tcW w:w="1260" w:type="dxa"/>
            <w:vAlign w:val="center"/>
          </w:tcPr>
          <w:p w14:paraId="49496B3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MAPL</w:t>
            </w:r>
          </w:p>
        </w:tc>
        <w:tc>
          <w:tcPr>
            <w:tcW w:w="2340" w:type="dxa"/>
          </w:tcPr>
          <w:p w14:paraId="20A25547" w14:textId="77777777" w:rsidR="00BB2408" w:rsidRPr="009E674D" w:rsidRDefault="00BB2408" w:rsidP="001D5E32">
            <w:pPr>
              <w:rPr>
                <w:rFonts w:cstheme="minorHAnsi"/>
                <w:sz w:val="20"/>
                <w:szCs w:val="20"/>
                <w:lang w:val="sq-AL"/>
              </w:rPr>
            </w:pPr>
            <w:r w:rsidRPr="009E674D">
              <w:rPr>
                <w:rFonts w:cstheme="minorHAnsi"/>
                <w:sz w:val="20"/>
                <w:szCs w:val="20"/>
                <w:lang w:val="sq-AL"/>
              </w:rPr>
              <w:t>Kjo fushë mat ofrimin e transportit publik për qytetarët e komunës.</w:t>
            </w:r>
          </w:p>
        </w:tc>
        <w:tc>
          <w:tcPr>
            <w:tcW w:w="2790" w:type="dxa"/>
            <w:vAlign w:val="center"/>
          </w:tcPr>
          <w:p w14:paraId="0EAE3ECA" w14:textId="77777777" w:rsidR="00BB2408" w:rsidRPr="009E674D" w:rsidRDefault="00BB2408" w:rsidP="001D5E32">
            <w:pPr>
              <w:rPr>
                <w:rFonts w:cstheme="minorHAnsi"/>
                <w:sz w:val="20"/>
                <w:szCs w:val="20"/>
                <w:lang w:val="sq-AL"/>
              </w:rPr>
            </w:pPr>
            <w:r w:rsidRPr="009E674D">
              <w:rPr>
                <w:sz w:val="20"/>
                <w:szCs w:val="20"/>
                <w:lang w:val="sq-AL"/>
              </w:rPr>
              <w:t>Matja e këtij treguesi b</w:t>
            </w:r>
            <w:r w:rsidRPr="009E674D">
              <w:rPr>
                <w:rFonts w:cstheme="minorHAnsi"/>
                <w:sz w:val="20"/>
                <w:szCs w:val="20"/>
                <w:lang w:val="sq-AL"/>
              </w:rPr>
              <w:t>ëhet</w:t>
            </w:r>
            <w:r w:rsidRPr="009E674D">
              <w:rPr>
                <w:sz w:val="20"/>
                <w:szCs w:val="20"/>
                <w:lang w:val="sq-AL"/>
              </w:rPr>
              <w:t xml:space="preserve"> përmes Sistemit për Menaxhimin e Performancës Komunale</w:t>
            </w:r>
            <w:r w:rsidRPr="009E674D">
              <w:rPr>
                <w:rFonts w:cstheme="minorHAnsi"/>
                <w:sz w:val="20"/>
                <w:szCs w:val="20"/>
                <w:lang w:val="sq-AL"/>
              </w:rPr>
              <w:t xml:space="preserve"> (SMPK). Ky tregues mat aspektet në vijim: vendbanimet e përfshira në transportin lokal publik, realizimin e planit komunal për transport publik lokal dhe vendndalimet e shënjëzuara për automjetet e transportit publik. Për më shumë, konsulto Raportin e Performancës së Komunave.                                                                         </w:t>
            </w:r>
          </w:p>
        </w:tc>
        <w:tc>
          <w:tcPr>
            <w:tcW w:w="1080" w:type="dxa"/>
            <w:vAlign w:val="center"/>
          </w:tcPr>
          <w:p w14:paraId="4DAB957D"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56.6% (2021)</w:t>
            </w:r>
          </w:p>
        </w:tc>
        <w:tc>
          <w:tcPr>
            <w:tcW w:w="1080" w:type="dxa"/>
            <w:vAlign w:val="center"/>
          </w:tcPr>
          <w:p w14:paraId="4A92A889"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65%</w:t>
            </w:r>
          </w:p>
        </w:tc>
        <w:tc>
          <w:tcPr>
            <w:tcW w:w="990" w:type="dxa"/>
            <w:vAlign w:val="center"/>
          </w:tcPr>
          <w:p w14:paraId="77587E96"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75%</w:t>
            </w:r>
          </w:p>
        </w:tc>
      </w:tr>
      <w:tr w:rsidR="00BB2408" w:rsidRPr="009E674D" w14:paraId="15DE64EB" w14:textId="77777777" w:rsidTr="001D5E32">
        <w:tc>
          <w:tcPr>
            <w:tcW w:w="779" w:type="dxa"/>
            <w:vMerge/>
            <w:vAlign w:val="center"/>
          </w:tcPr>
          <w:p w14:paraId="449F75E5" w14:textId="77777777" w:rsidR="00BB2408" w:rsidRPr="009E674D" w:rsidRDefault="00BB2408" w:rsidP="001D5E32">
            <w:pPr>
              <w:rPr>
                <w:rFonts w:cstheme="minorHAnsi"/>
                <w:sz w:val="20"/>
                <w:szCs w:val="20"/>
                <w:lang w:val="sq-AL"/>
              </w:rPr>
            </w:pPr>
          </w:p>
        </w:tc>
        <w:tc>
          <w:tcPr>
            <w:tcW w:w="1466" w:type="dxa"/>
            <w:vMerge w:val="restart"/>
            <w:vAlign w:val="center"/>
          </w:tcPr>
          <w:p w14:paraId="347AA42A" w14:textId="77777777" w:rsidR="00BB2408" w:rsidRPr="009E674D" w:rsidRDefault="00BB2408" w:rsidP="001D5E32">
            <w:pPr>
              <w:rPr>
                <w:rFonts w:eastAsia="Times New Roman" w:cstheme="minorHAnsi"/>
                <w:b/>
                <w:color w:val="000000"/>
                <w:sz w:val="20"/>
                <w:szCs w:val="20"/>
                <w:lang w:val="sq-AL"/>
              </w:rPr>
            </w:pPr>
            <w:r w:rsidRPr="009E674D">
              <w:rPr>
                <w:rFonts w:eastAsia="Times New Roman" w:cstheme="minorHAnsi"/>
                <w:b/>
                <w:color w:val="000000"/>
                <w:sz w:val="20"/>
                <w:szCs w:val="20"/>
                <w:lang w:val="sq-AL"/>
              </w:rPr>
              <w:t>3.2. Sigurimi i qasjes në infrastrukturë përcjellëse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F8AE28" w14:textId="77777777" w:rsidR="00BB2408" w:rsidRPr="009E674D" w:rsidRDefault="00BB2408" w:rsidP="001D5E32">
            <w:pPr>
              <w:rPr>
                <w:rFonts w:ascii="Calibri" w:hAnsi="Calibri" w:cs="Calibri"/>
                <w:i/>
                <w:sz w:val="20"/>
                <w:szCs w:val="20"/>
                <w:lang w:val="sq-AL"/>
              </w:rPr>
            </w:pPr>
            <w:r w:rsidRPr="009E674D">
              <w:rPr>
                <w:rFonts w:ascii="Calibri" w:hAnsi="Calibri" w:cs="Calibri"/>
                <w:i/>
                <w:sz w:val="20"/>
                <w:szCs w:val="20"/>
                <w:lang w:val="sq-AL"/>
              </w:rPr>
              <w:t>Popullsia me qasje në sistemet publike të ujësjellësit (%)</w:t>
            </w:r>
          </w:p>
        </w:tc>
        <w:tc>
          <w:tcPr>
            <w:tcW w:w="1260" w:type="dxa"/>
            <w:vAlign w:val="center"/>
          </w:tcPr>
          <w:p w14:paraId="623E18A2" w14:textId="77777777" w:rsidR="00BB2408" w:rsidRPr="009E674D" w:rsidRDefault="00BB2408" w:rsidP="001D5E32">
            <w:pPr>
              <w:jc w:val="center"/>
              <w:rPr>
                <w:rFonts w:cstheme="minorHAnsi"/>
                <w:sz w:val="20"/>
                <w:szCs w:val="20"/>
                <w:lang w:val="sq-AL"/>
              </w:rPr>
            </w:pPr>
            <w:r w:rsidRPr="009E674D">
              <w:rPr>
                <w:rFonts w:ascii="Calibri" w:hAnsi="Calibri" w:cs="Calibri"/>
                <w:sz w:val="20"/>
                <w:szCs w:val="20"/>
                <w:lang w:val="sq-AL"/>
              </w:rPr>
              <w:t>Autoriteti Rregullativ i Shërbimeve të Ujit</w:t>
            </w:r>
          </w:p>
        </w:tc>
        <w:tc>
          <w:tcPr>
            <w:tcW w:w="2340" w:type="dxa"/>
          </w:tcPr>
          <w:p w14:paraId="0343F278"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paraqet përqindjen e popullsisë që ka qasje në sistemet publike të ujit.</w:t>
            </w:r>
          </w:p>
          <w:p w14:paraId="60B9A37C" w14:textId="77777777" w:rsidR="00BB2408" w:rsidRPr="009E674D" w:rsidRDefault="00BB2408" w:rsidP="001D5E32">
            <w:pPr>
              <w:jc w:val="center"/>
              <w:rPr>
                <w:rFonts w:cstheme="minorHAnsi"/>
                <w:sz w:val="20"/>
                <w:szCs w:val="20"/>
                <w:lang w:val="sq-AL"/>
              </w:rPr>
            </w:pPr>
          </w:p>
        </w:tc>
        <w:tc>
          <w:tcPr>
            <w:tcW w:w="2790" w:type="dxa"/>
            <w:vAlign w:val="center"/>
          </w:tcPr>
          <w:p w14:paraId="4CC1A73D"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3C399BD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78% (2020)</w:t>
            </w:r>
          </w:p>
        </w:tc>
        <w:tc>
          <w:tcPr>
            <w:tcW w:w="1080" w:type="dxa"/>
            <w:vAlign w:val="center"/>
          </w:tcPr>
          <w:p w14:paraId="091B4D7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92%</w:t>
            </w:r>
          </w:p>
        </w:tc>
        <w:tc>
          <w:tcPr>
            <w:tcW w:w="990" w:type="dxa"/>
            <w:vAlign w:val="center"/>
          </w:tcPr>
          <w:p w14:paraId="7776711D"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95%</w:t>
            </w:r>
          </w:p>
        </w:tc>
      </w:tr>
      <w:tr w:rsidR="00BB2408" w:rsidRPr="009E674D" w14:paraId="6CC49266" w14:textId="77777777" w:rsidTr="001D5E32">
        <w:tc>
          <w:tcPr>
            <w:tcW w:w="779" w:type="dxa"/>
            <w:vMerge/>
            <w:vAlign w:val="center"/>
          </w:tcPr>
          <w:p w14:paraId="0FD236C2" w14:textId="77777777" w:rsidR="00BB2408" w:rsidRPr="009E674D" w:rsidRDefault="00BB2408" w:rsidP="001D5E32">
            <w:pPr>
              <w:rPr>
                <w:rFonts w:cstheme="minorHAnsi"/>
                <w:sz w:val="20"/>
                <w:szCs w:val="20"/>
                <w:lang w:val="sq-AL"/>
              </w:rPr>
            </w:pPr>
          </w:p>
        </w:tc>
        <w:tc>
          <w:tcPr>
            <w:tcW w:w="1466" w:type="dxa"/>
            <w:vMerge/>
            <w:vAlign w:val="center"/>
          </w:tcPr>
          <w:p w14:paraId="0E8B6A79" w14:textId="77777777" w:rsidR="00BB2408" w:rsidRPr="009E674D" w:rsidRDefault="00BB2408" w:rsidP="001D5E32">
            <w:pPr>
              <w:rPr>
                <w:rFonts w:eastAsia="Times New Roman" w:cstheme="minorHAnsi"/>
                <w:b/>
                <w:bCs/>
                <w:color w:val="000000" w:themeColor="text1"/>
                <w:sz w:val="20"/>
                <w:szCs w:val="20"/>
                <w:lang w:val="sq-AL"/>
              </w:rPr>
            </w:pPr>
          </w:p>
        </w:tc>
        <w:tc>
          <w:tcPr>
            <w:tcW w:w="1620" w:type="dxa"/>
            <w:tcBorders>
              <w:top w:val="nil"/>
              <w:left w:val="single" w:sz="4" w:space="0" w:color="auto"/>
              <w:bottom w:val="single" w:sz="4" w:space="0" w:color="auto"/>
              <w:right w:val="single" w:sz="4" w:space="0" w:color="auto"/>
            </w:tcBorders>
            <w:shd w:val="clear" w:color="auto" w:fill="auto"/>
            <w:vAlign w:val="center"/>
          </w:tcPr>
          <w:p w14:paraId="15806E10" w14:textId="77777777" w:rsidR="00BB2408" w:rsidRPr="009E674D" w:rsidRDefault="00BB2408" w:rsidP="001D5E32">
            <w:pPr>
              <w:rPr>
                <w:rFonts w:ascii="Calibri" w:hAnsi="Calibri" w:cs="Calibri"/>
                <w:i/>
                <w:sz w:val="20"/>
                <w:szCs w:val="20"/>
                <w:lang w:val="sq-AL"/>
              </w:rPr>
            </w:pPr>
            <w:r w:rsidRPr="009E674D">
              <w:rPr>
                <w:rFonts w:ascii="Calibri" w:hAnsi="Calibri" w:cs="Calibri"/>
                <w:i/>
                <w:sz w:val="20"/>
                <w:szCs w:val="20"/>
                <w:lang w:val="sq-AL"/>
              </w:rPr>
              <w:t>Popullsia me qasje në sistemet publike të kanalizimit (%)</w:t>
            </w:r>
          </w:p>
        </w:tc>
        <w:tc>
          <w:tcPr>
            <w:tcW w:w="1260" w:type="dxa"/>
            <w:vAlign w:val="center"/>
          </w:tcPr>
          <w:p w14:paraId="7B0B27F0" w14:textId="77777777" w:rsidR="00BB2408" w:rsidRPr="009E674D" w:rsidRDefault="00BB2408" w:rsidP="001D5E32">
            <w:pPr>
              <w:jc w:val="center"/>
              <w:rPr>
                <w:rFonts w:cstheme="minorHAnsi"/>
                <w:sz w:val="20"/>
                <w:szCs w:val="20"/>
                <w:lang w:val="sq-AL"/>
              </w:rPr>
            </w:pPr>
            <w:r w:rsidRPr="009E674D">
              <w:rPr>
                <w:rFonts w:ascii="Calibri" w:hAnsi="Calibri" w:cs="Calibri"/>
                <w:sz w:val="20"/>
                <w:szCs w:val="20"/>
                <w:lang w:val="sq-AL"/>
              </w:rPr>
              <w:t>Autoriteti Rregullativ i Shërbimeve të Ujit</w:t>
            </w:r>
          </w:p>
        </w:tc>
        <w:tc>
          <w:tcPr>
            <w:tcW w:w="2340" w:type="dxa"/>
          </w:tcPr>
          <w:p w14:paraId="76081101"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paraqet  përqindjen e popullsisë që ka qasje në sistemet publike të kanalizimit.</w:t>
            </w:r>
          </w:p>
          <w:p w14:paraId="2E814614" w14:textId="77777777" w:rsidR="00BB2408" w:rsidRPr="009E674D" w:rsidRDefault="00BB2408" w:rsidP="001D5E32">
            <w:pPr>
              <w:rPr>
                <w:rFonts w:cstheme="minorHAnsi"/>
                <w:sz w:val="20"/>
                <w:szCs w:val="20"/>
                <w:lang w:val="sq-AL"/>
              </w:rPr>
            </w:pPr>
          </w:p>
        </w:tc>
        <w:tc>
          <w:tcPr>
            <w:tcW w:w="2790" w:type="dxa"/>
            <w:vAlign w:val="center"/>
          </w:tcPr>
          <w:p w14:paraId="306A4AB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78C0A24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65%</w:t>
            </w:r>
          </w:p>
          <w:p w14:paraId="111E2AD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(2020)</w:t>
            </w:r>
          </w:p>
        </w:tc>
        <w:tc>
          <w:tcPr>
            <w:tcW w:w="1080" w:type="dxa"/>
            <w:vAlign w:val="center"/>
          </w:tcPr>
          <w:p w14:paraId="4D5DC0EF"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78%</w:t>
            </w:r>
          </w:p>
        </w:tc>
        <w:tc>
          <w:tcPr>
            <w:tcW w:w="990" w:type="dxa"/>
            <w:vAlign w:val="center"/>
          </w:tcPr>
          <w:p w14:paraId="20BF7A5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85%</w:t>
            </w:r>
          </w:p>
        </w:tc>
      </w:tr>
      <w:tr w:rsidR="00BB2408" w:rsidRPr="009E674D" w14:paraId="3DC37EC2" w14:textId="77777777" w:rsidTr="001D5E32">
        <w:tc>
          <w:tcPr>
            <w:tcW w:w="779" w:type="dxa"/>
            <w:vMerge/>
            <w:vAlign w:val="center"/>
          </w:tcPr>
          <w:p w14:paraId="4C314180" w14:textId="77777777" w:rsidR="00BB2408" w:rsidRPr="009E674D" w:rsidRDefault="00BB2408" w:rsidP="001D5E32">
            <w:pPr>
              <w:rPr>
                <w:rFonts w:cstheme="minorHAnsi"/>
                <w:sz w:val="20"/>
                <w:szCs w:val="20"/>
                <w:lang w:val="sq-AL"/>
              </w:rPr>
            </w:pPr>
          </w:p>
        </w:tc>
        <w:tc>
          <w:tcPr>
            <w:tcW w:w="1466" w:type="dxa"/>
            <w:vMerge/>
            <w:vAlign w:val="center"/>
          </w:tcPr>
          <w:p w14:paraId="18AA9B74" w14:textId="77777777" w:rsidR="00BB2408" w:rsidRPr="009E674D" w:rsidRDefault="00BB2408" w:rsidP="001D5E32">
            <w:pPr>
              <w:rPr>
                <w:rFonts w:eastAsia="Times New Roman" w:cstheme="minorHAnsi"/>
                <w:b/>
                <w:bCs/>
                <w:color w:val="000000" w:themeColor="text1"/>
                <w:sz w:val="20"/>
                <w:szCs w:val="20"/>
                <w:lang w:val="sq-AL"/>
              </w:rPr>
            </w:pPr>
          </w:p>
        </w:tc>
        <w:tc>
          <w:tcPr>
            <w:tcW w:w="1620" w:type="dxa"/>
            <w:vAlign w:val="center"/>
          </w:tcPr>
          <w:p w14:paraId="641A5D59" w14:textId="77777777" w:rsidR="00BB2408" w:rsidRPr="009E674D" w:rsidRDefault="00BB2408" w:rsidP="001D5E32">
            <w:pPr>
              <w:rPr>
                <w:rFonts w:cstheme="minorHAnsi"/>
                <w:i/>
                <w:sz w:val="20"/>
                <w:szCs w:val="20"/>
                <w:lang w:val="sq-AL"/>
              </w:rPr>
            </w:pPr>
            <w:r w:rsidRPr="009E674D">
              <w:rPr>
                <w:rFonts w:cstheme="minorHAnsi"/>
                <w:i/>
                <w:sz w:val="20"/>
                <w:szCs w:val="20"/>
                <w:lang w:val="sq-AL"/>
              </w:rPr>
              <w:t xml:space="preserve">Popullsia me qasje në impiantet e trajtimit të </w:t>
            </w:r>
            <w:r w:rsidRPr="009E674D">
              <w:rPr>
                <w:rFonts w:cstheme="minorHAnsi"/>
                <w:i/>
                <w:sz w:val="20"/>
                <w:szCs w:val="20"/>
                <w:lang w:val="sq-AL"/>
              </w:rPr>
              <w:lastRenderedPageBreak/>
              <w:t>ujërave të zeza (%)</w:t>
            </w:r>
          </w:p>
        </w:tc>
        <w:tc>
          <w:tcPr>
            <w:tcW w:w="1260" w:type="dxa"/>
            <w:vAlign w:val="center"/>
          </w:tcPr>
          <w:p w14:paraId="627BFF9D" w14:textId="77777777" w:rsidR="00BB2408" w:rsidRPr="009E674D" w:rsidRDefault="00BB2408" w:rsidP="001D5E32">
            <w:pPr>
              <w:jc w:val="center"/>
              <w:rPr>
                <w:rFonts w:ascii="Calibri" w:hAnsi="Calibri" w:cs="Calibri"/>
                <w:sz w:val="20"/>
                <w:szCs w:val="20"/>
                <w:lang w:val="sq-AL"/>
              </w:rPr>
            </w:pPr>
            <w:r w:rsidRPr="009E674D">
              <w:rPr>
                <w:rFonts w:ascii="Calibri" w:hAnsi="Calibri" w:cs="Calibri"/>
                <w:sz w:val="20"/>
                <w:szCs w:val="20"/>
                <w:lang w:val="sq-AL"/>
              </w:rPr>
              <w:lastRenderedPageBreak/>
              <w:t>Autoriteti Rregullativ i Shërbimeve të Ujit</w:t>
            </w:r>
          </w:p>
        </w:tc>
        <w:tc>
          <w:tcPr>
            <w:tcW w:w="2340" w:type="dxa"/>
          </w:tcPr>
          <w:p w14:paraId="4A0A1389"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paraqet përqindjen e popullsisë që ka qasje në impiantet e trajtimit të ujërave të zeza.</w:t>
            </w:r>
          </w:p>
        </w:tc>
        <w:tc>
          <w:tcPr>
            <w:tcW w:w="2790" w:type="dxa"/>
            <w:vAlign w:val="center"/>
          </w:tcPr>
          <w:p w14:paraId="7F9C3F0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282A6AE6"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 (2020)</w:t>
            </w:r>
          </w:p>
        </w:tc>
        <w:tc>
          <w:tcPr>
            <w:tcW w:w="1080" w:type="dxa"/>
            <w:vAlign w:val="center"/>
          </w:tcPr>
          <w:p w14:paraId="7E53C98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45%</w:t>
            </w:r>
          </w:p>
        </w:tc>
        <w:tc>
          <w:tcPr>
            <w:tcW w:w="990" w:type="dxa"/>
            <w:vAlign w:val="center"/>
          </w:tcPr>
          <w:p w14:paraId="6F662C6F"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60%</w:t>
            </w:r>
          </w:p>
        </w:tc>
      </w:tr>
      <w:tr w:rsidR="00BB2408" w:rsidRPr="009E674D" w14:paraId="5225F8DB" w14:textId="77777777" w:rsidTr="001D5E32">
        <w:tc>
          <w:tcPr>
            <w:tcW w:w="779" w:type="dxa"/>
            <w:vMerge/>
            <w:vAlign w:val="center"/>
          </w:tcPr>
          <w:p w14:paraId="0FE2A9A1" w14:textId="77777777" w:rsidR="00BB2408" w:rsidRPr="009E674D" w:rsidRDefault="00BB2408" w:rsidP="001D5E32">
            <w:pPr>
              <w:rPr>
                <w:rFonts w:cstheme="minorHAnsi"/>
                <w:sz w:val="20"/>
                <w:szCs w:val="20"/>
                <w:lang w:val="sq-AL"/>
              </w:rPr>
            </w:pPr>
          </w:p>
        </w:tc>
        <w:tc>
          <w:tcPr>
            <w:tcW w:w="1466" w:type="dxa"/>
            <w:vMerge w:val="restart"/>
            <w:vAlign w:val="center"/>
          </w:tcPr>
          <w:p w14:paraId="05922E1A" w14:textId="77777777" w:rsidR="00BB2408" w:rsidRPr="009E674D" w:rsidRDefault="00BB2408" w:rsidP="001D5E32">
            <w:pPr>
              <w:rPr>
                <w:rFonts w:ascii="Arial Narrow" w:eastAsia="Times New Roman" w:hAnsi="Arial Narrow" w:cs="Calibri"/>
                <w:b/>
                <w:color w:val="000000"/>
                <w:sz w:val="20"/>
                <w:szCs w:val="20"/>
                <w:lang w:val="sq-AL"/>
              </w:rPr>
            </w:pPr>
            <w:r w:rsidRPr="009E674D">
              <w:rPr>
                <w:rFonts w:ascii="Arial Narrow" w:eastAsia="Times New Roman" w:hAnsi="Arial Narrow" w:cs="Calibri"/>
                <w:b/>
                <w:color w:val="000000"/>
                <w:sz w:val="20"/>
                <w:szCs w:val="20"/>
                <w:lang w:val="sq-AL"/>
              </w:rPr>
              <w:t>3.3. Menaxhimi i integruar i mbeturinave</w:t>
            </w:r>
          </w:p>
        </w:tc>
        <w:tc>
          <w:tcPr>
            <w:tcW w:w="1620" w:type="dxa"/>
            <w:vAlign w:val="center"/>
          </w:tcPr>
          <w:p w14:paraId="53FF6027" w14:textId="77777777" w:rsidR="00BB2408" w:rsidRPr="009E674D" w:rsidRDefault="00BB2408" w:rsidP="001D5E32">
            <w:pPr>
              <w:rPr>
                <w:rFonts w:cstheme="minorHAnsi"/>
                <w:i/>
                <w:sz w:val="20"/>
                <w:szCs w:val="20"/>
                <w:lang w:val="sq-AL"/>
              </w:rPr>
            </w:pPr>
            <w:r w:rsidRPr="009E674D">
              <w:rPr>
                <w:rFonts w:cstheme="minorHAnsi"/>
                <w:i/>
                <w:sz w:val="20"/>
                <w:szCs w:val="20"/>
                <w:lang w:val="sq-AL"/>
              </w:rPr>
              <w:t>Mbetjet e ngurta komunale të grumbulluara dhe menaxhuara në objekte të kontrolluara në totalin e mbetjeve komunale të krijuara (%)</w:t>
            </w:r>
          </w:p>
        </w:tc>
        <w:tc>
          <w:tcPr>
            <w:tcW w:w="1260" w:type="dxa"/>
            <w:vAlign w:val="center"/>
          </w:tcPr>
          <w:p w14:paraId="0718A7AA" w14:textId="77777777" w:rsidR="00BB2408" w:rsidRPr="009E674D" w:rsidRDefault="00BB2408" w:rsidP="001D5E32">
            <w:pPr>
              <w:jc w:val="center"/>
              <w:rPr>
                <w:rFonts w:ascii="Calibri" w:hAnsi="Calibri" w:cs="Calibri"/>
                <w:sz w:val="20"/>
                <w:szCs w:val="20"/>
                <w:lang w:val="sq-AL"/>
              </w:rPr>
            </w:pPr>
            <w:r w:rsidRPr="009E674D">
              <w:rPr>
                <w:rFonts w:ascii="Calibri" w:hAnsi="Calibri" w:cs="Calibri"/>
                <w:sz w:val="20"/>
                <w:szCs w:val="20"/>
                <w:lang w:val="sq-AL"/>
              </w:rPr>
              <w:t xml:space="preserve">Agjencia për Mbrojtjen e Mjedisit të Kosovës                                                                             </w:t>
            </w:r>
          </w:p>
          <w:p w14:paraId="57E4E306" w14:textId="77777777" w:rsidR="00BB2408" w:rsidRPr="009E674D" w:rsidRDefault="00BB2408" w:rsidP="001D5E32">
            <w:pPr>
              <w:jc w:val="center"/>
              <w:rPr>
                <w:rFonts w:cstheme="minorHAnsi"/>
                <w:sz w:val="20"/>
                <w:szCs w:val="20"/>
                <w:lang w:val="sq-AL"/>
              </w:rPr>
            </w:pPr>
          </w:p>
        </w:tc>
        <w:tc>
          <w:tcPr>
            <w:tcW w:w="2340" w:type="dxa"/>
          </w:tcPr>
          <w:p w14:paraId="02E634DA"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paraqet përqindjen e mbetjeve të ngurta të grumbulluara dhe të menaxhuara në objektet e kontrolluara në totalin e mbetjeve komunale të krijuara.</w:t>
            </w:r>
          </w:p>
        </w:tc>
        <w:tc>
          <w:tcPr>
            <w:tcW w:w="2790" w:type="dxa"/>
            <w:vAlign w:val="center"/>
          </w:tcPr>
          <w:p w14:paraId="5486303D"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3AF571F9"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89.3%</w:t>
            </w:r>
            <w:r w:rsidRPr="009E674D">
              <w:rPr>
                <w:rFonts w:cstheme="minorHAnsi"/>
                <w:sz w:val="20"/>
                <w:szCs w:val="20"/>
                <w:lang w:val="sq-AL"/>
              </w:rPr>
              <w:br/>
              <w:t>(2021)</w:t>
            </w:r>
          </w:p>
        </w:tc>
        <w:tc>
          <w:tcPr>
            <w:tcW w:w="1080" w:type="dxa"/>
            <w:vAlign w:val="center"/>
          </w:tcPr>
          <w:p w14:paraId="752237D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90%</w:t>
            </w:r>
          </w:p>
        </w:tc>
        <w:tc>
          <w:tcPr>
            <w:tcW w:w="990" w:type="dxa"/>
            <w:vAlign w:val="center"/>
          </w:tcPr>
          <w:p w14:paraId="3CC44F6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99%</w:t>
            </w:r>
          </w:p>
        </w:tc>
      </w:tr>
      <w:tr w:rsidR="00BB2408" w:rsidRPr="009E674D" w14:paraId="64DDBCA4" w14:textId="77777777" w:rsidTr="001D5E32">
        <w:tc>
          <w:tcPr>
            <w:tcW w:w="779" w:type="dxa"/>
            <w:vMerge/>
            <w:vAlign w:val="center"/>
          </w:tcPr>
          <w:p w14:paraId="15C8C161" w14:textId="77777777" w:rsidR="00BB2408" w:rsidRPr="009E674D" w:rsidRDefault="00BB2408" w:rsidP="001D5E32">
            <w:pPr>
              <w:rPr>
                <w:rFonts w:cstheme="minorHAnsi"/>
                <w:sz w:val="20"/>
                <w:szCs w:val="20"/>
                <w:lang w:val="sq-AL"/>
              </w:rPr>
            </w:pPr>
          </w:p>
        </w:tc>
        <w:tc>
          <w:tcPr>
            <w:tcW w:w="1466" w:type="dxa"/>
            <w:vMerge/>
            <w:vAlign w:val="center"/>
          </w:tcPr>
          <w:p w14:paraId="51AF5538" w14:textId="77777777" w:rsidR="00BB2408" w:rsidRPr="009E674D" w:rsidRDefault="00BB2408" w:rsidP="001D5E32">
            <w:pPr>
              <w:rPr>
                <w:rFonts w:eastAsia="Times New Roman" w:cstheme="minorHAnsi"/>
                <w:bCs/>
                <w:color w:val="000000" w:themeColor="text1"/>
                <w:sz w:val="20"/>
                <w:szCs w:val="20"/>
                <w:lang w:val="sq-AL"/>
              </w:rPr>
            </w:pPr>
          </w:p>
        </w:tc>
        <w:tc>
          <w:tcPr>
            <w:tcW w:w="1620" w:type="dxa"/>
            <w:vAlign w:val="center"/>
          </w:tcPr>
          <w:p w14:paraId="4E651AE9" w14:textId="77777777" w:rsidR="00BB2408" w:rsidRPr="009E674D" w:rsidRDefault="00BB2408" w:rsidP="001D5E32">
            <w:pPr>
              <w:rPr>
                <w:rFonts w:cstheme="minorHAnsi"/>
                <w:i/>
                <w:sz w:val="20"/>
                <w:szCs w:val="20"/>
                <w:lang w:val="sq-AL"/>
              </w:rPr>
            </w:pPr>
            <w:r w:rsidRPr="009E674D">
              <w:rPr>
                <w:rFonts w:cstheme="minorHAnsi"/>
                <w:i/>
                <w:sz w:val="20"/>
                <w:szCs w:val="20"/>
                <w:lang w:val="sq-AL"/>
              </w:rPr>
              <w:t>Mbetjet e ngurta komunale të ricikluara në totalin e mbetjeve komunale të krijuara (%)</w:t>
            </w:r>
          </w:p>
        </w:tc>
        <w:tc>
          <w:tcPr>
            <w:tcW w:w="1260" w:type="dxa"/>
            <w:vAlign w:val="center"/>
          </w:tcPr>
          <w:p w14:paraId="17C6471F"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GIZ</w:t>
            </w:r>
          </w:p>
        </w:tc>
        <w:tc>
          <w:tcPr>
            <w:tcW w:w="2340" w:type="dxa"/>
          </w:tcPr>
          <w:p w14:paraId="2CA32803"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mat tonazhin e ricikluar nga mbetjet komunale në raport me totalin e mbetjeve komunale. </w:t>
            </w:r>
          </w:p>
        </w:tc>
        <w:tc>
          <w:tcPr>
            <w:tcW w:w="2790" w:type="dxa"/>
            <w:vAlign w:val="center"/>
          </w:tcPr>
          <w:p w14:paraId="0A42B3F7" w14:textId="77777777" w:rsidR="00BB2408" w:rsidRPr="009E674D" w:rsidRDefault="00BB2408" w:rsidP="001D5E32">
            <w:pPr>
              <w:rPr>
                <w:rFonts w:cstheme="minorHAnsi"/>
                <w:sz w:val="20"/>
                <w:szCs w:val="20"/>
                <w:lang w:val="sq-AL"/>
              </w:rPr>
            </w:pPr>
            <w:r w:rsidRPr="009E674D">
              <w:rPr>
                <w:rFonts w:cstheme="minorHAnsi"/>
                <w:sz w:val="20"/>
                <w:szCs w:val="20"/>
                <w:lang w:val="sq-AL"/>
              </w:rPr>
              <w:t>Treguesi kalkulohet duke e pjesëtuar tonazhin e ricikluar me totalin e mbetjeve komunale. Riciklimi përfshin riciklimin e materialeve, kompostimin dhe tretjen anaerobe. Mbetjet komunale përbëhen kryesisht nga mbetje të gjeneruara nga familjet, por mund të përfshijnë edhe mbetje të ngjashme të krijuara nga bizneset e vogla dhe institucionet publike dhe të grumbulluara nga komuna.</w:t>
            </w:r>
          </w:p>
        </w:tc>
        <w:tc>
          <w:tcPr>
            <w:tcW w:w="1080" w:type="dxa"/>
            <w:vAlign w:val="center"/>
          </w:tcPr>
          <w:p w14:paraId="3BFEB909" w14:textId="77777777" w:rsidR="00BB2408" w:rsidRPr="009E674D" w:rsidRDefault="00BB2408" w:rsidP="001D5E32">
            <w:pPr>
              <w:jc w:val="center"/>
              <w:rPr>
                <w:rFonts w:cstheme="minorHAnsi"/>
                <w:i/>
                <w:sz w:val="20"/>
                <w:szCs w:val="20"/>
                <w:lang w:val="sq-AL"/>
              </w:rPr>
            </w:pPr>
            <w:r w:rsidRPr="009E674D">
              <w:rPr>
                <w:rFonts w:cstheme="minorHAnsi"/>
                <w:i/>
                <w:sz w:val="20"/>
                <w:szCs w:val="20"/>
                <w:lang w:val="sq-AL"/>
              </w:rPr>
              <w:t>2-5% (2020)</w:t>
            </w:r>
          </w:p>
        </w:tc>
        <w:tc>
          <w:tcPr>
            <w:tcW w:w="1080" w:type="dxa"/>
            <w:vAlign w:val="center"/>
          </w:tcPr>
          <w:p w14:paraId="360D71DA"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12%</w:t>
            </w:r>
          </w:p>
        </w:tc>
        <w:tc>
          <w:tcPr>
            <w:tcW w:w="990" w:type="dxa"/>
            <w:vAlign w:val="center"/>
          </w:tcPr>
          <w:p w14:paraId="3CD57B0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30%</w:t>
            </w:r>
          </w:p>
        </w:tc>
      </w:tr>
      <w:tr w:rsidR="00BB2408" w:rsidRPr="009E674D" w14:paraId="4E62B0A5" w14:textId="77777777" w:rsidTr="001D5E32">
        <w:tc>
          <w:tcPr>
            <w:tcW w:w="779" w:type="dxa"/>
          </w:tcPr>
          <w:p w14:paraId="299ADE82" w14:textId="77777777" w:rsidR="00BB2408" w:rsidRPr="009E674D" w:rsidRDefault="00BB2408" w:rsidP="001D5E32">
            <w:pPr>
              <w:rPr>
                <w:rFonts w:cstheme="minorHAnsi"/>
                <w:sz w:val="20"/>
                <w:szCs w:val="20"/>
                <w:lang w:val="sq-AL"/>
              </w:rPr>
            </w:pPr>
          </w:p>
        </w:tc>
        <w:tc>
          <w:tcPr>
            <w:tcW w:w="1466" w:type="dxa"/>
            <w:vAlign w:val="center"/>
          </w:tcPr>
          <w:p w14:paraId="3556EF87" w14:textId="77777777" w:rsidR="00BB2408" w:rsidRPr="009E674D" w:rsidRDefault="00BB2408" w:rsidP="001D5E32">
            <w:pPr>
              <w:rPr>
                <w:rFonts w:eastAsia="Times New Roman" w:cstheme="minorHAnsi"/>
                <w:bCs/>
                <w:color w:val="000000" w:themeColor="text1"/>
                <w:sz w:val="20"/>
                <w:szCs w:val="20"/>
                <w:lang w:val="sq-AL"/>
              </w:rPr>
            </w:pPr>
          </w:p>
          <w:p w14:paraId="632FE0C3" w14:textId="77777777" w:rsidR="00BB2408" w:rsidRPr="009E674D" w:rsidRDefault="00BB2408" w:rsidP="001D5E32">
            <w:pPr>
              <w:rPr>
                <w:rFonts w:eastAsia="Times New Roman" w:cstheme="minorHAnsi"/>
                <w:b/>
                <w:color w:val="000000"/>
                <w:sz w:val="20"/>
                <w:szCs w:val="20"/>
                <w:lang w:val="sq-AL"/>
              </w:rPr>
            </w:pPr>
            <w:r w:rsidRPr="009E674D">
              <w:rPr>
                <w:rFonts w:eastAsia="Times New Roman" w:cstheme="minorHAnsi"/>
                <w:b/>
                <w:color w:val="000000"/>
                <w:sz w:val="20"/>
                <w:szCs w:val="20"/>
                <w:lang w:val="sq-AL"/>
              </w:rPr>
              <w:t>3.4. Përmirësimi i efiçencës së energjisë në infrastrukturë</w:t>
            </w:r>
          </w:p>
          <w:p w14:paraId="3ECE870F" w14:textId="77777777" w:rsidR="00BB2408" w:rsidRPr="009E674D" w:rsidRDefault="00BB2408" w:rsidP="001D5E32">
            <w:pPr>
              <w:rPr>
                <w:rFonts w:eastAsia="Times New Roman" w:cstheme="minorHAnsi"/>
                <w:bCs/>
                <w:color w:val="000000" w:themeColor="text1"/>
                <w:sz w:val="20"/>
                <w:szCs w:val="20"/>
                <w:lang w:val="sq-AL"/>
              </w:rPr>
            </w:pPr>
          </w:p>
        </w:tc>
        <w:tc>
          <w:tcPr>
            <w:tcW w:w="1620" w:type="dxa"/>
            <w:vAlign w:val="center"/>
          </w:tcPr>
          <w:p w14:paraId="14202BB6" w14:textId="77777777" w:rsidR="00BB2408" w:rsidRPr="009E674D" w:rsidRDefault="00BB2408" w:rsidP="001D5E32">
            <w:pPr>
              <w:rPr>
                <w:rFonts w:cstheme="minorHAnsi"/>
                <w:i/>
                <w:sz w:val="20"/>
                <w:szCs w:val="20"/>
                <w:lang w:val="sq-AL"/>
              </w:rPr>
            </w:pPr>
            <w:r w:rsidRPr="009E674D">
              <w:rPr>
                <w:rFonts w:cstheme="minorHAnsi"/>
                <w:i/>
                <w:sz w:val="20"/>
                <w:szCs w:val="20"/>
                <w:lang w:val="sq-AL"/>
              </w:rPr>
              <w:t>Kursimet e energjisë  në infrastrukturë  (%)</w:t>
            </w:r>
          </w:p>
        </w:tc>
        <w:tc>
          <w:tcPr>
            <w:tcW w:w="1260" w:type="dxa"/>
            <w:vAlign w:val="center"/>
          </w:tcPr>
          <w:p w14:paraId="31398FC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 xml:space="preserve">Komunat </w:t>
            </w:r>
          </w:p>
        </w:tc>
        <w:tc>
          <w:tcPr>
            <w:tcW w:w="2340" w:type="dxa"/>
          </w:tcPr>
          <w:p w14:paraId="084CA028"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mat kursimet për energji në infrastrukturën e komunës në raport me shpenzimet sikur të mos ndërmerret asnjë masë efiçente. </w:t>
            </w:r>
          </w:p>
        </w:tc>
        <w:tc>
          <w:tcPr>
            <w:tcW w:w="2790" w:type="dxa"/>
            <w:vAlign w:val="center"/>
          </w:tcPr>
          <w:p w14:paraId="7EA8C51E"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2B9EFEA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0D9BC567"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-30%</w:t>
            </w:r>
          </w:p>
        </w:tc>
        <w:tc>
          <w:tcPr>
            <w:tcW w:w="990" w:type="dxa"/>
            <w:vAlign w:val="center"/>
          </w:tcPr>
          <w:p w14:paraId="2BF0C282"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-60%</w:t>
            </w:r>
          </w:p>
        </w:tc>
      </w:tr>
      <w:tr w:rsidR="00BB2408" w:rsidRPr="009E674D" w14:paraId="5DD53F56" w14:textId="77777777" w:rsidTr="001D5E32">
        <w:tc>
          <w:tcPr>
            <w:tcW w:w="779" w:type="dxa"/>
            <w:vMerge w:val="restart"/>
            <w:vAlign w:val="center"/>
          </w:tcPr>
          <w:p w14:paraId="3B1F855B" w14:textId="77777777" w:rsidR="00BB2408" w:rsidRPr="009E674D" w:rsidRDefault="00BB2408" w:rsidP="001D5E32">
            <w:pPr>
              <w:rPr>
                <w:rFonts w:cstheme="minorHAnsi"/>
                <w:sz w:val="20"/>
                <w:szCs w:val="20"/>
                <w:lang w:val="sq-AL"/>
              </w:rPr>
            </w:pPr>
          </w:p>
          <w:p w14:paraId="434BBE9D" w14:textId="77777777" w:rsidR="00BB2408" w:rsidRPr="009E674D" w:rsidRDefault="00BB2408" w:rsidP="001D5E32">
            <w:pPr>
              <w:rPr>
                <w:rFonts w:cstheme="minorHAnsi"/>
                <w:b/>
                <w:sz w:val="20"/>
                <w:szCs w:val="20"/>
                <w:lang w:val="sq-AL"/>
              </w:rPr>
            </w:pPr>
            <w:r w:rsidRPr="009E674D">
              <w:rPr>
                <w:rFonts w:cstheme="minorHAnsi"/>
                <w:b/>
                <w:sz w:val="20"/>
                <w:szCs w:val="20"/>
                <w:lang w:val="sq-AL"/>
              </w:rPr>
              <w:t>Obj.4</w:t>
            </w:r>
          </w:p>
        </w:tc>
        <w:tc>
          <w:tcPr>
            <w:tcW w:w="1466" w:type="dxa"/>
            <w:vMerge w:val="restart"/>
            <w:vAlign w:val="center"/>
          </w:tcPr>
          <w:p w14:paraId="4BDC5C9C" w14:textId="77777777" w:rsidR="00BB2408" w:rsidRPr="009E674D" w:rsidRDefault="00BB2408" w:rsidP="001D5E32">
            <w:pPr>
              <w:rPr>
                <w:rFonts w:ascii="Arial Narrow" w:eastAsia="Times New Roman" w:hAnsi="Arial Narrow" w:cs="Calibri"/>
                <w:b/>
                <w:color w:val="000000"/>
                <w:sz w:val="20"/>
                <w:szCs w:val="20"/>
                <w:lang w:val="sq-AL"/>
              </w:rPr>
            </w:pPr>
            <w:r w:rsidRPr="009E674D">
              <w:rPr>
                <w:rFonts w:ascii="Arial Narrow" w:eastAsia="Times New Roman" w:hAnsi="Arial Narrow" w:cs="Calibri"/>
                <w:b/>
                <w:color w:val="000000"/>
                <w:sz w:val="20"/>
                <w:szCs w:val="20"/>
                <w:lang w:val="sq-AL"/>
              </w:rPr>
              <w:t xml:space="preserve">4.1. Financa lokale te qëndrueshme dhe efektive  </w:t>
            </w:r>
          </w:p>
          <w:p w14:paraId="5FD9A2C3" w14:textId="77777777" w:rsidR="00BB2408" w:rsidRPr="009E674D" w:rsidRDefault="00BB2408" w:rsidP="001D5E32">
            <w:pPr>
              <w:rPr>
                <w:rFonts w:eastAsia="Times New Roman" w:cstheme="minorHAnsi"/>
                <w:b/>
                <w:bCs/>
                <w:color w:val="000000" w:themeColor="text1"/>
                <w:sz w:val="20"/>
                <w:szCs w:val="20"/>
                <w:lang w:val="sq-AL"/>
              </w:rPr>
            </w:pPr>
          </w:p>
        </w:tc>
        <w:tc>
          <w:tcPr>
            <w:tcW w:w="1620" w:type="dxa"/>
            <w:vAlign w:val="center"/>
          </w:tcPr>
          <w:p w14:paraId="3B4607BB" w14:textId="77777777" w:rsidR="00BB2408" w:rsidRPr="009E674D" w:rsidRDefault="00BB2408" w:rsidP="001D5E32">
            <w:pPr>
              <w:rPr>
                <w:rFonts w:cstheme="minorHAnsi"/>
                <w:i/>
                <w:sz w:val="20"/>
                <w:szCs w:val="20"/>
                <w:lang w:val="sq-AL"/>
              </w:rPr>
            </w:pPr>
            <w:r w:rsidRPr="009E674D">
              <w:rPr>
                <w:rFonts w:cstheme="minorHAnsi"/>
                <w:i/>
                <w:sz w:val="20"/>
                <w:szCs w:val="20"/>
                <w:lang w:val="sq-AL"/>
              </w:rPr>
              <w:t>Përqindja e realizueshmërisë së buxhetit (%)</w:t>
            </w:r>
          </w:p>
        </w:tc>
        <w:tc>
          <w:tcPr>
            <w:tcW w:w="1260" w:type="dxa"/>
            <w:vAlign w:val="center"/>
          </w:tcPr>
          <w:p w14:paraId="08A3523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2340" w:type="dxa"/>
          </w:tcPr>
          <w:p w14:paraId="7C952A04"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paraqet shpenzimet në raport me planifikimet buxhetore të komunave.</w:t>
            </w:r>
          </w:p>
        </w:tc>
        <w:tc>
          <w:tcPr>
            <w:tcW w:w="2790" w:type="dxa"/>
            <w:vAlign w:val="center"/>
          </w:tcPr>
          <w:p w14:paraId="0179E434"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kalkulohet duke e pjesëtuar totalin e shpenzimeve të komunave  me totalin e buxhetit të planifikuar për atë vit. </w:t>
            </w:r>
          </w:p>
        </w:tc>
        <w:tc>
          <w:tcPr>
            <w:tcW w:w="1080" w:type="dxa"/>
            <w:vAlign w:val="center"/>
          </w:tcPr>
          <w:p w14:paraId="3C343F09"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3B63133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990" w:type="dxa"/>
            <w:vAlign w:val="center"/>
          </w:tcPr>
          <w:p w14:paraId="62E3F25A"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r>
      <w:tr w:rsidR="00BB2408" w:rsidRPr="009E674D" w14:paraId="15CB8E23" w14:textId="77777777" w:rsidTr="001D5E32">
        <w:tc>
          <w:tcPr>
            <w:tcW w:w="779" w:type="dxa"/>
            <w:vMerge/>
            <w:vAlign w:val="center"/>
          </w:tcPr>
          <w:p w14:paraId="58EB9B82" w14:textId="77777777" w:rsidR="00BB2408" w:rsidRPr="009E674D" w:rsidRDefault="00BB2408" w:rsidP="001D5E32">
            <w:pPr>
              <w:rPr>
                <w:rFonts w:cstheme="minorHAnsi"/>
                <w:sz w:val="20"/>
                <w:szCs w:val="20"/>
                <w:lang w:val="sq-AL"/>
              </w:rPr>
            </w:pPr>
          </w:p>
        </w:tc>
        <w:tc>
          <w:tcPr>
            <w:tcW w:w="1466" w:type="dxa"/>
            <w:vMerge/>
            <w:vAlign w:val="center"/>
          </w:tcPr>
          <w:p w14:paraId="61B9BF30" w14:textId="77777777" w:rsidR="00BB2408" w:rsidRPr="009E674D" w:rsidRDefault="00BB2408" w:rsidP="001D5E32">
            <w:pPr>
              <w:rPr>
                <w:rFonts w:ascii="Arial Narrow" w:eastAsia="Times New Roman" w:hAnsi="Arial Narrow" w:cs="Calibri"/>
                <w:b/>
                <w:color w:val="000000"/>
                <w:sz w:val="20"/>
                <w:szCs w:val="20"/>
                <w:lang w:val="sq-AL"/>
              </w:rPr>
            </w:pPr>
          </w:p>
        </w:tc>
        <w:tc>
          <w:tcPr>
            <w:tcW w:w="1620" w:type="dxa"/>
            <w:vAlign w:val="center"/>
          </w:tcPr>
          <w:p w14:paraId="2DE88308" w14:textId="77777777" w:rsidR="00BB2408" w:rsidRPr="009E674D" w:rsidRDefault="00BB2408" w:rsidP="001D5E32">
            <w:pPr>
              <w:rPr>
                <w:rFonts w:cstheme="minorHAnsi"/>
                <w:i/>
                <w:sz w:val="20"/>
                <w:szCs w:val="20"/>
                <w:lang w:val="sq-AL"/>
              </w:rPr>
            </w:pPr>
            <w:r w:rsidRPr="009E674D">
              <w:rPr>
                <w:rFonts w:cstheme="minorHAnsi"/>
                <w:i/>
                <w:sz w:val="20"/>
                <w:szCs w:val="20"/>
                <w:lang w:val="sq-AL"/>
              </w:rPr>
              <w:t>Borxhi komunal</w:t>
            </w:r>
          </w:p>
        </w:tc>
        <w:tc>
          <w:tcPr>
            <w:tcW w:w="1260" w:type="dxa"/>
            <w:vAlign w:val="center"/>
          </w:tcPr>
          <w:p w14:paraId="4BF7A7A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2340" w:type="dxa"/>
          </w:tcPr>
          <w:p w14:paraId="76E7215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2790" w:type="dxa"/>
            <w:vAlign w:val="center"/>
          </w:tcPr>
          <w:p w14:paraId="1BF6A32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5FDDF0F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607175B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990" w:type="dxa"/>
            <w:vAlign w:val="center"/>
          </w:tcPr>
          <w:p w14:paraId="7BBCD1DA"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r>
      <w:tr w:rsidR="00BB2408" w:rsidRPr="009E674D" w14:paraId="2673361A" w14:textId="77777777" w:rsidTr="001D5E32">
        <w:tc>
          <w:tcPr>
            <w:tcW w:w="779" w:type="dxa"/>
            <w:vMerge/>
          </w:tcPr>
          <w:p w14:paraId="3D188498" w14:textId="77777777" w:rsidR="00BB2408" w:rsidRPr="009E674D" w:rsidRDefault="00BB2408" w:rsidP="001D5E32">
            <w:pPr>
              <w:rPr>
                <w:rFonts w:cstheme="minorHAnsi"/>
                <w:sz w:val="20"/>
                <w:szCs w:val="20"/>
                <w:lang w:val="sq-AL"/>
              </w:rPr>
            </w:pPr>
          </w:p>
        </w:tc>
        <w:tc>
          <w:tcPr>
            <w:tcW w:w="1466" w:type="dxa"/>
            <w:vMerge w:val="restart"/>
            <w:vAlign w:val="center"/>
          </w:tcPr>
          <w:p w14:paraId="70A397AD" w14:textId="77777777" w:rsidR="00BB2408" w:rsidRPr="009E674D" w:rsidRDefault="00BB2408" w:rsidP="001D5E32">
            <w:pPr>
              <w:rPr>
                <w:rFonts w:ascii="Arial Narrow" w:eastAsia="Times New Roman" w:hAnsi="Arial Narrow" w:cs="Calibri"/>
                <w:b/>
                <w:color w:val="000000"/>
                <w:sz w:val="20"/>
                <w:szCs w:val="20"/>
                <w:lang w:val="sq-AL"/>
              </w:rPr>
            </w:pPr>
            <w:r w:rsidRPr="009E674D">
              <w:rPr>
                <w:rFonts w:ascii="Arial Narrow" w:eastAsia="Times New Roman" w:hAnsi="Arial Narrow" w:cs="Calibri"/>
                <w:b/>
                <w:color w:val="000000"/>
                <w:sz w:val="20"/>
                <w:szCs w:val="20"/>
                <w:lang w:val="sq-AL"/>
              </w:rPr>
              <w:t>4.2. Avancimi i proceseve dhe resurseve në planifikimin dhe zhvillimin e politikave lokale</w:t>
            </w:r>
          </w:p>
          <w:p w14:paraId="4EFECD98" w14:textId="77777777" w:rsidR="00BB2408" w:rsidRPr="009E674D" w:rsidRDefault="00BB2408" w:rsidP="001D5E32">
            <w:pPr>
              <w:rPr>
                <w:rFonts w:ascii="Arial Narrow" w:eastAsia="Times New Roman" w:hAnsi="Arial Narrow" w:cs="Calibri"/>
                <w:b/>
                <w:color w:val="000000"/>
                <w:sz w:val="20"/>
                <w:szCs w:val="20"/>
                <w:lang w:val="sq-AL"/>
              </w:rPr>
            </w:pPr>
          </w:p>
        </w:tc>
        <w:tc>
          <w:tcPr>
            <w:tcW w:w="1620" w:type="dxa"/>
            <w:vAlign w:val="center"/>
          </w:tcPr>
          <w:p w14:paraId="202222E7" w14:textId="77777777" w:rsidR="00BB2408" w:rsidRPr="009E674D" w:rsidRDefault="00BB2408" w:rsidP="001D5E32">
            <w:pPr>
              <w:rPr>
                <w:i/>
                <w:sz w:val="20"/>
                <w:szCs w:val="20"/>
                <w:lang w:val="sq-AL"/>
              </w:rPr>
            </w:pPr>
            <w:r w:rsidRPr="009E674D">
              <w:rPr>
                <w:i/>
                <w:sz w:val="20"/>
                <w:szCs w:val="20"/>
                <w:lang w:val="sq-AL"/>
              </w:rPr>
              <w:t xml:space="preserve">Niveli profesional i zyrtarëve lokalë </w:t>
            </w:r>
          </w:p>
          <w:p w14:paraId="58A1B3DC" w14:textId="77777777" w:rsidR="00BB2408" w:rsidRPr="009E674D" w:rsidRDefault="00BB2408" w:rsidP="001D5E32">
            <w:pPr>
              <w:rPr>
                <w:i/>
                <w:sz w:val="20"/>
                <w:szCs w:val="20"/>
                <w:lang w:val="sq-AL"/>
              </w:rPr>
            </w:pPr>
            <w:r w:rsidRPr="009E674D">
              <w:rPr>
                <w:i/>
                <w:sz w:val="20"/>
                <w:szCs w:val="20"/>
                <w:lang w:val="sq-AL"/>
              </w:rPr>
              <w:t>(1-5)</w:t>
            </w:r>
          </w:p>
          <w:p w14:paraId="4E7DE4C0" w14:textId="77777777" w:rsidR="00BB2408" w:rsidRPr="009E674D" w:rsidRDefault="00BB2408" w:rsidP="001D5E32">
            <w:pPr>
              <w:rPr>
                <w:rFonts w:cstheme="minorHAnsi"/>
                <w:i/>
                <w:sz w:val="20"/>
                <w:szCs w:val="20"/>
                <w:lang w:val="sq-AL"/>
              </w:rPr>
            </w:pPr>
          </w:p>
        </w:tc>
        <w:tc>
          <w:tcPr>
            <w:tcW w:w="1260" w:type="dxa"/>
            <w:vAlign w:val="center"/>
          </w:tcPr>
          <w:p w14:paraId="4EBD6DD2" w14:textId="77777777" w:rsidR="00BB2408" w:rsidRPr="009E674D" w:rsidRDefault="00BB2408" w:rsidP="001D5E32">
            <w:pPr>
              <w:jc w:val="center"/>
              <w:rPr>
                <w:rFonts w:cstheme="minorHAnsi"/>
                <w:sz w:val="20"/>
                <w:szCs w:val="20"/>
                <w:lang w:val="sq-AL"/>
              </w:rPr>
            </w:pPr>
            <w:r w:rsidRPr="009E674D">
              <w:rPr>
                <w:sz w:val="20"/>
                <w:szCs w:val="20"/>
                <w:lang w:val="sq-AL"/>
              </w:rPr>
              <w:t>Indeksi i konk. së komunave (USAID)</w:t>
            </w:r>
          </w:p>
        </w:tc>
        <w:tc>
          <w:tcPr>
            <w:tcW w:w="2340" w:type="dxa"/>
          </w:tcPr>
          <w:p w14:paraId="542AE37C"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paraqet nivelin profesional të zyrtarëve lokalë sipas perspektives së ndërmarrjeve. </w:t>
            </w:r>
          </w:p>
        </w:tc>
        <w:tc>
          <w:tcPr>
            <w:tcW w:w="2790" w:type="dxa"/>
            <w:vAlign w:val="center"/>
          </w:tcPr>
          <w:p w14:paraId="0C65EFDB" w14:textId="77777777" w:rsidR="00BB2408" w:rsidRPr="009E674D" w:rsidRDefault="00BB2408" w:rsidP="001D5E32">
            <w:pPr>
              <w:rPr>
                <w:rFonts w:cstheme="minorHAnsi"/>
                <w:sz w:val="20"/>
                <w:szCs w:val="20"/>
                <w:lang w:val="sq-AL"/>
              </w:rPr>
            </w:pPr>
            <w:r w:rsidRPr="009E674D">
              <w:rPr>
                <w:sz w:val="20"/>
                <w:szCs w:val="20"/>
                <w:lang w:val="sq-AL"/>
              </w:rPr>
              <w:t>Ky tregues është nxjerrë nga Indeksi i Konkurrueshmërisë së Komunave (IKK). Metodologjia e IKK-së bazohet në qasjen e standardizuar të Indeksit të Qeverisjes Ekonomike nga Fondacioni Aziatik. Të dhënat mblidhen përmes anketës me 3,337 firma në 38 komuna të Kosovës. Pyetja: Si e vlerësoni nivelin profesional të zyrtarëve lokalë?</w:t>
            </w:r>
          </w:p>
        </w:tc>
        <w:tc>
          <w:tcPr>
            <w:tcW w:w="1080" w:type="dxa"/>
            <w:vAlign w:val="center"/>
          </w:tcPr>
          <w:p w14:paraId="3DAF55F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3.36 (2020)</w:t>
            </w:r>
          </w:p>
        </w:tc>
        <w:tc>
          <w:tcPr>
            <w:tcW w:w="1080" w:type="dxa"/>
            <w:vAlign w:val="center"/>
          </w:tcPr>
          <w:p w14:paraId="0A80A69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3.8</w:t>
            </w:r>
          </w:p>
        </w:tc>
        <w:tc>
          <w:tcPr>
            <w:tcW w:w="990" w:type="dxa"/>
            <w:vAlign w:val="center"/>
          </w:tcPr>
          <w:p w14:paraId="0482BC0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4.2</w:t>
            </w:r>
          </w:p>
        </w:tc>
      </w:tr>
      <w:tr w:rsidR="00BB2408" w:rsidRPr="009E674D" w14:paraId="4D0C1782" w14:textId="77777777" w:rsidTr="001D5E32">
        <w:tc>
          <w:tcPr>
            <w:tcW w:w="779" w:type="dxa"/>
            <w:vMerge/>
          </w:tcPr>
          <w:p w14:paraId="2CEF3EB7" w14:textId="77777777" w:rsidR="00BB2408" w:rsidRPr="009E674D" w:rsidRDefault="00BB2408" w:rsidP="001D5E32">
            <w:pPr>
              <w:rPr>
                <w:rFonts w:cstheme="minorHAnsi"/>
                <w:sz w:val="20"/>
                <w:szCs w:val="20"/>
                <w:lang w:val="sq-AL"/>
              </w:rPr>
            </w:pPr>
          </w:p>
        </w:tc>
        <w:tc>
          <w:tcPr>
            <w:tcW w:w="1466" w:type="dxa"/>
            <w:vMerge/>
            <w:vAlign w:val="center"/>
          </w:tcPr>
          <w:p w14:paraId="7145BFF4" w14:textId="77777777" w:rsidR="00BB2408" w:rsidRPr="009E674D" w:rsidRDefault="00BB2408" w:rsidP="001D5E32">
            <w:pPr>
              <w:rPr>
                <w:rFonts w:ascii="Arial Narrow" w:eastAsia="Times New Roman" w:hAnsi="Arial Narrow" w:cs="Calibri"/>
                <w:b/>
                <w:color w:val="000000"/>
                <w:sz w:val="20"/>
                <w:szCs w:val="20"/>
                <w:lang w:val="sq-AL"/>
              </w:rPr>
            </w:pPr>
          </w:p>
        </w:tc>
        <w:tc>
          <w:tcPr>
            <w:tcW w:w="1620" w:type="dxa"/>
            <w:vAlign w:val="center"/>
          </w:tcPr>
          <w:p w14:paraId="1BE1ECCD" w14:textId="77777777" w:rsidR="00BB2408" w:rsidRPr="009E674D" w:rsidRDefault="00BB2408" w:rsidP="001D5E32">
            <w:pPr>
              <w:rPr>
                <w:i/>
                <w:sz w:val="20"/>
                <w:szCs w:val="20"/>
                <w:lang w:val="sq-AL"/>
              </w:rPr>
            </w:pPr>
            <w:r w:rsidRPr="009E674D">
              <w:rPr>
                <w:i/>
                <w:sz w:val="20"/>
                <w:szCs w:val="20"/>
                <w:lang w:val="sq-AL"/>
              </w:rPr>
              <w:t>Numri i komunave me njësi për planifikim dhe zhvillim te politikave</w:t>
            </w:r>
          </w:p>
        </w:tc>
        <w:tc>
          <w:tcPr>
            <w:tcW w:w="1260" w:type="dxa"/>
            <w:vAlign w:val="center"/>
          </w:tcPr>
          <w:p w14:paraId="4546435F" w14:textId="77777777" w:rsidR="00BB2408" w:rsidRPr="009E674D" w:rsidRDefault="00BB2408" w:rsidP="001D5E32">
            <w:pPr>
              <w:jc w:val="center"/>
              <w:rPr>
                <w:rFonts w:cstheme="minorHAnsi"/>
                <w:color w:val="FF0000"/>
                <w:sz w:val="20"/>
                <w:szCs w:val="20"/>
                <w:lang w:val="sq-AL"/>
              </w:rPr>
            </w:pPr>
            <w:r w:rsidRPr="009E674D">
              <w:rPr>
                <w:rFonts w:cstheme="minorHAnsi"/>
                <w:sz w:val="20"/>
                <w:szCs w:val="20"/>
                <w:lang w:val="sq-AL"/>
              </w:rPr>
              <w:t>MAPL</w:t>
            </w:r>
            <w:r w:rsidRPr="009E674D">
              <w:rPr>
                <w:rFonts w:cstheme="minorHAnsi"/>
                <w:color w:val="FF0000"/>
                <w:sz w:val="20"/>
                <w:szCs w:val="20"/>
                <w:lang w:val="sq-AL"/>
              </w:rPr>
              <w:t xml:space="preserve"> </w:t>
            </w:r>
          </w:p>
        </w:tc>
        <w:tc>
          <w:tcPr>
            <w:tcW w:w="2340" w:type="dxa"/>
            <w:vAlign w:val="center"/>
          </w:tcPr>
          <w:p w14:paraId="3393779E" w14:textId="77777777" w:rsidR="00BB2408" w:rsidRPr="009E674D" w:rsidRDefault="00BB2408" w:rsidP="001D5E32">
            <w:pPr>
              <w:rPr>
                <w:rFonts w:cstheme="minorHAnsi"/>
                <w:color w:val="FF0000"/>
                <w:sz w:val="20"/>
                <w:szCs w:val="20"/>
                <w:lang w:val="sq-AL"/>
              </w:rPr>
            </w:pPr>
            <w:r w:rsidRPr="009E674D">
              <w:rPr>
                <w:rFonts w:cstheme="minorHAnsi"/>
                <w:sz w:val="20"/>
                <w:szCs w:val="20"/>
                <w:lang w:val="sq-AL"/>
              </w:rPr>
              <w:t xml:space="preserve">Ky tregues paraqet numrin e komunave të cilat kanë njësi për planifikim dhe zhvillim të politikave. </w:t>
            </w:r>
          </w:p>
        </w:tc>
        <w:tc>
          <w:tcPr>
            <w:tcW w:w="2790" w:type="dxa"/>
            <w:vAlign w:val="center"/>
          </w:tcPr>
          <w:p w14:paraId="3B60B5A6" w14:textId="77777777" w:rsidR="00BB2408" w:rsidRPr="009E674D" w:rsidRDefault="00BB2408" w:rsidP="001D5E32">
            <w:pPr>
              <w:jc w:val="center"/>
              <w:rPr>
                <w:rFonts w:cstheme="minorHAnsi"/>
                <w:color w:val="FF0000"/>
                <w:sz w:val="20"/>
                <w:szCs w:val="20"/>
                <w:lang w:val="sq-AL"/>
              </w:rPr>
            </w:pPr>
            <w:r w:rsidRPr="009E674D">
              <w:rPr>
                <w:rFonts w:cstheme="minorHAnsi"/>
                <w:sz w:val="20"/>
                <w:szCs w:val="20"/>
                <w:lang w:val="sq-AL"/>
              </w:rPr>
              <w:t>n/a</w:t>
            </w:r>
          </w:p>
        </w:tc>
        <w:tc>
          <w:tcPr>
            <w:tcW w:w="1080" w:type="dxa"/>
            <w:vAlign w:val="center"/>
          </w:tcPr>
          <w:p w14:paraId="0825859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0</w:t>
            </w:r>
          </w:p>
        </w:tc>
        <w:tc>
          <w:tcPr>
            <w:tcW w:w="1080" w:type="dxa"/>
            <w:vAlign w:val="center"/>
          </w:tcPr>
          <w:p w14:paraId="22819A2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19</w:t>
            </w:r>
          </w:p>
        </w:tc>
        <w:tc>
          <w:tcPr>
            <w:tcW w:w="990" w:type="dxa"/>
            <w:vAlign w:val="center"/>
          </w:tcPr>
          <w:p w14:paraId="61030CBA"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38</w:t>
            </w:r>
          </w:p>
        </w:tc>
      </w:tr>
      <w:tr w:rsidR="00BB2408" w:rsidRPr="009E674D" w14:paraId="27B80B69" w14:textId="77777777" w:rsidTr="001D5E32">
        <w:tc>
          <w:tcPr>
            <w:tcW w:w="779" w:type="dxa"/>
            <w:vMerge/>
          </w:tcPr>
          <w:p w14:paraId="63EEAB32" w14:textId="77777777" w:rsidR="00BB2408" w:rsidRPr="009E674D" w:rsidRDefault="00BB2408" w:rsidP="001D5E32">
            <w:pPr>
              <w:rPr>
                <w:rFonts w:cstheme="minorHAnsi"/>
                <w:sz w:val="20"/>
                <w:szCs w:val="20"/>
                <w:lang w:val="sq-AL"/>
              </w:rPr>
            </w:pPr>
          </w:p>
        </w:tc>
        <w:tc>
          <w:tcPr>
            <w:tcW w:w="1466" w:type="dxa"/>
            <w:vMerge w:val="restart"/>
            <w:vAlign w:val="center"/>
          </w:tcPr>
          <w:p w14:paraId="562A7641" w14:textId="77777777" w:rsidR="00BB2408" w:rsidRPr="009E674D" w:rsidRDefault="00BB2408" w:rsidP="001D5E32">
            <w:pPr>
              <w:rPr>
                <w:rFonts w:ascii="Arial Narrow" w:eastAsia="Times New Roman" w:hAnsi="Arial Narrow" w:cs="Calibri"/>
                <w:b/>
                <w:sz w:val="20"/>
                <w:szCs w:val="20"/>
                <w:lang w:val="sq-AL"/>
              </w:rPr>
            </w:pPr>
            <w:r w:rsidRPr="009E674D">
              <w:rPr>
                <w:rFonts w:ascii="Arial Narrow" w:eastAsia="Times New Roman" w:hAnsi="Arial Narrow" w:cs="Calibri"/>
                <w:b/>
                <w:color w:val="000000"/>
                <w:sz w:val="20"/>
                <w:szCs w:val="20"/>
                <w:lang w:val="sq-AL"/>
              </w:rPr>
              <w:t xml:space="preserve">4.3. </w:t>
            </w:r>
            <w:r w:rsidRPr="009E674D">
              <w:rPr>
                <w:rFonts w:ascii="Arial Narrow" w:eastAsia="Times New Roman" w:hAnsi="Arial Narrow" w:cs="Calibri"/>
                <w:b/>
                <w:sz w:val="20"/>
                <w:szCs w:val="20"/>
                <w:lang w:val="sq-AL"/>
              </w:rPr>
              <w:t>Përmirësimi i shërbimit dhe p</w:t>
            </w:r>
            <w:r w:rsidRPr="009E674D">
              <w:rPr>
                <w:rFonts w:cstheme="minorHAnsi"/>
                <w:b/>
                <w:sz w:val="20"/>
                <w:szCs w:val="20"/>
                <w:lang w:val="sq-AL"/>
              </w:rPr>
              <w:t>ërgjegjësisë komunale</w:t>
            </w:r>
          </w:p>
          <w:p w14:paraId="36077454" w14:textId="77777777" w:rsidR="00BB2408" w:rsidRPr="009E674D" w:rsidRDefault="00BB2408" w:rsidP="001D5E32">
            <w:pPr>
              <w:rPr>
                <w:rFonts w:ascii="Arial Narrow" w:eastAsia="Times New Roman" w:hAnsi="Arial Narrow" w:cs="Calibri"/>
                <w:b/>
                <w:color w:val="000000"/>
                <w:sz w:val="20"/>
                <w:szCs w:val="20"/>
                <w:lang w:val="sq-AL"/>
              </w:rPr>
            </w:pPr>
          </w:p>
        </w:tc>
        <w:tc>
          <w:tcPr>
            <w:tcW w:w="1620" w:type="dxa"/>
            <w:vAlign w:val="center"/>
          </w:tcPr>
          <w:p w14:paraId="570696C0" w14:textId="77777777" w:rsidR="00BB2408" w:rsidRPr="009E674D" w:rsidRDefault="00BB2408" w:rsidP="001D5E32">
            <w:pPr>
              <w:rPr>
                <w:rFonts w:cstheme="minorHAnsi"/>
                <w:i/>
                <w:sz w:val="20"/>
                <w:szCs w:val="20"/>
                <w:lang w:val="sq-AL"/>
              </w:rPr>
            </w:pPr>
            <w:r w:rsidRPr="009E674D">
              <w:rPr>
                <w:i/>
                <w:sz w:val="20"/>
                <w:szCs w:val="20"/>
                <w:lang w:val="sq-AL"/>
              </w:rPr>
              <w:t>Shërbimet Publike Administrative</w:t>
            </w:r>
          </w:p>
        </w:tc>
        <w:tc>
          <w:tcPr>
            <w:tcW w:w="1260" w:type="dxa"/>
            <w:vAlign w:val="center"/>
          </w:tcPr>
          <w:p w14:paraId="32D2349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MAPL</w:t>
            </w:r>
          </w:p>
        </w:tc>
        <w:tc>
          <w:tcPr>
            <w:tcW w:w="2340" w:type="dxa"/>
          </w:tcPr>
          <w:p w14:paraId="453873D3"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mat shërbimet publike administrative, efikasitetin e tyre, dhe ato që ofrohen në formën online apo përmes e-kioskut. </w:t>
            </w:r>
          </w:p>
        </w:tc>
        <w:tc>
          <w:tcPr>
            <w:tcW w:w="2790" w:type="dxa"/>
            <w:vAlign w:val="center"/>
          </w:tcPr>
          <w:p w14:paraId="21C03FDE" w14:textId="77777777" w:rsidR="00BB2408" w:rsidRPr="009E674D" w:rsidRDefault="00BB2408" w:rsidP="001D5E32">
            <w:pPr>
              <w:rPr>
                <w:rFonts w:cstheme="minorHAnsi"/>
                <w:sz w:val="20"/>
                <w:szCs w:val="20"/>
                <w:lang w:val="sq-AL"/>
              </w:rPr>
            </w:pPr>
            <w:r w:rsidRPr="009E674D">
              <w:rPr>
                <w:sz w:val="20"/>
                <w:szCs w:val="20"/>
                <w:lang w:val="sq-AL"/>
              </w:rPr>
              <w:t>Matja e këtij treguesi b</w:t>
            </w:r>
            <w:r w:rsidRPr="009E674D">
              <w:rPr>
                <w:rFonts w:cstheme="minorHAnsi"/>
                <w:sz w:val="20"/>
                <w:szCs w:val="20"/>
                <w:lang w:val="sq-AL"/>
              </w:rPr>
              <w:t>ëhet</w:t>
            </w:r>
            <w:r w:rsidRPr="009E674D">
              <w:rPr>
                <w:sz w:val="20"/>
                <w:szCs w:val="20"/>
                <w:lang w:val="sq-AL"/>
              </w:rPr>
              <w:t xml:space="preserve"> përmes Sistemit për Menaxhimin e Performancës Komunale</w:t>
            </w:r>
            <w:r w:rsidRPr="009E674D">
              <w:rPr>
                <w:rFonts w:cstheme="minorHAnsi"/>
                <w:sz w:val="20"/>
                <w:szCs w:val="20"/>
                <w:lang w:val="sq-AL"/>
              </w:rPr>
              <w:t xml:space="preserve"> (SMPK). Ndahet në tri nën-fusha: shërbimet administrative gjatë vitit, shërbimet administrative brenda afateve ligjore dhe shërbimet administrative online. Për më shumë, konsulto Raportin e Performancës së Komunave.                                                         </w:t>
            </w:r>
          </w:p>
        </w:tc>
        <w:tc>
          <w:tcPr>
            <w:tcW w:w="1080" w:type="dxa"/>
            <w:vAlign w:val="center"/>
          </w:tcPr>
          <w:p w14:paraId="675EF5CC"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81.7% (2021)</w:t>
            </w:r>
          </w:p>
        </w:tc>
        <w:tc>
          <w:tcPr>
            <w:tcW w:w="1080" w:type="dxa"/>
            <w:vAlign w:val="center"/>
          </w:tcPr>
          <w:p w14:paraId="41087E42"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85%</w:t>
            </w:r>
          </w:p>
        </w:tc>
        <w:tc>
          <w:tcPr>
            <w:tcW w:w="990" w:type="dxa"/>
            <w:vAlign w:val="center"/>
          </w:tcPr>
          <w:p w14:paraId="7DE07A12"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95%</w:t>
            </w:r>
          </w:p>
        </w:tc>
      </w:tr>
      <w:tr w:rsidR="00BB2408" w:rsidRPr="009E674D" w14:paraId="7665A733" w14:textId="77777777" w:rsidTr="001D5E32">
        <w:tc>
          <w:tcPr>
            <w:tcW w:w="779" w:type="dxa"/>
            <w:vMerge/>
          </w:tcPr>
          <w:p w14:paraId="5A9A932F" w14:textId="77777777" w:rsidR="00BB2408" w:rsidRPr="009E674D" w:rsidRDefault="00BB2408" w:rsidP="001D5E32">
            <w:pPr>
              <w:rPr>
                <w:rFonts w:cstheme="minorHAnsi"/>
                <w:sz w:val="20"/>
                <w:szCs w:val="20"/>
                <w:lang w:val="sq-AL"/>
              </w:rPr>
            </w:pPr>
          </w:p>
        </w:tc>
        <w:tc>
          <w:tcPr>
            <w:tcW w:w="1466" w:type="dxa"/>
            <w:vMerge/>
          </w:tcPr>
          <w:p w14:paraId="770D5C52" w14:textId="77777777" w:rsidR="00BB2408" w:rsidRPr="009E674D" w:rsidRDefault="00BB2408" w:rsidP="001D5E32">
            <w:pPr>
              <w:rPr>
                <w:rFonts w:ascii="Arial Narrow" w:eastAsia="Times New Roman" w:hAnsi="Arial Narrow" w:cs="Calibri"/>
                <w:b/>
                <w:color w:val="000000"/>
                <w:sz w:val="20"/>
                <w:szCs w:val="20"/>
                <w:lang w:val="sq-AL"/>
              </w:rPr>
            </w:pPr>
          </w:p>
        </w:tc>
        <w:tc>
          <w:tcPr>
            <w:tcW w:w="1620" w:type="dxa"/>
            <w:vAlign w:val="center"/>
          </w:tcPr>
          <w:p w14:paraId="569BA55B" w14:textId="77777777" w:rsidR="00BB2408" w:rsidRPr="009E674D" w:rsidRDefault="00BB2408" w:rsidP="001D5E32">
            <w:pPr>
              <w:rPr>
                <w:rFonts w:cstheme="minorHAnsi"/>
                <w:i/>
                <w:sz w:val="20"/>
                <w:szCs w:val="20"/>
                <w:lang w:val="sq-AL"/>
              </w:rPr>
            </w:pPr>
            <w:r w:rsidRPr="009E674D">
              <w:rPr>
                <w:rFonts w:cstheme="minorHAnsi"/>
                <w:i/>
                <w:sz w:val="20"/>
                <w:szCs w:val="20"/>
                <w:lang w:val="sq-AL"/>
              </w:rPr>
              <w:t>Treguesi i përgjegjshmërisë komunale (%)</w:t>
            </w:r>
          </w:p>
          <w:p w14:paraId="2C237FBB" w14:textId="77777777" w:rsidR="00BB2408" w:rsidRPr="009E674D" w:rsidRDefault="00BB2408" w:rsidP="001D5E32">
            <w:pPr>
              <w:rPr>
                <w:rFonts w:cstheme="minorHAnsi"/>
                <w:i/>
                <w:sz w:val="20"/>
                <w:szCs w:val="20"/>
                <w:lang w:val="sq-AL"/>
              </w:rPr>
            </w:pPr>
          </w:p>
          <w:p w14:paraId="68E80372" w14:textId="77777777" w:rsidR="00BB2408" w:rsidRPr="009E674D" w:rsidRDefault="00BB2408" w:rsidP="001D5E32">
            <w:pPr>
              <w:rPr>
                <w:rFonts w:cstheme="minorHAnsi"/>
                <w:i/>
                <w:sz w:val="20"/>
                <w:szCs w:val="20"/>
                <w:lang w:val="sq-AL"/>
              </w:rPr>
            </w:pPr>
          </w:p>
        </w:tc>
        <w:tc>
          <w:tcPr>
            <w:tcW w:w="1260" w:type="dxa"/>
            <w:vAlign w:val="center"/>
          </w:tcPr>
          <w:p w14:paraId="27D91670"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MAPL</w:t>
            </w:r>
          </w:p>
        </w:tc>
        <w:tc>
          <w:tcPr>
            <w:tcW w:w="2340" w:type="dxa"/>
          </w:tcPr>
          <w:p w14:paraId="4E3EA15A"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mat nivelin e transparencës dhe llogaridhënies në nivel komunal. </w:t>
            </w:r>
          </w:p>
        </w:tc>
        <w:tc>
          <w:tcPr>
            <w:tcW w:w="2790" w:type="dxa"/>
            <w:vAlign w:val="center"/>
          </w:tcPr>
          <w:p w14:paraId="53C0CB4B" w14:textId="61D165BE" w:rsidR="00BB2408" w:rsidRPr="009E674D" w:rsidRDefault="00BB2408" w:rsidP="00D41466">
            <w:pPr>
              <w:rPr>
                <w:rFonts w:cstheme="minorHAnsi"/>
                <w:sz w:val="20"/>
                <w:szCs w:val="20"/>
                <w:lang w:val="sq-AL"/>
              </w:rPr>
            </w:pPr>
            <w:r w:rsidRPr="009E674D">
              <w:rPr>
                <w:sz w:val="20"/>
                <w:szCs w:val="20"/>
                <w:lang w:val="sq-AL"/>
              </w:rPr>
              <w:t>Matja e këtij treguesi b</w:t>
            </w:r>
            <w:r w:rsidRPr="009E674D">
              <w:rPr>
                <w:rFonts w:cstheme="minorHAnsi"/>
                <w:sz w:val="20"/>
                <w:szCs w:val="20"/>
                <w:lang w:val="sq-AL"/>
              </w:rPr>
              <w:t>ëhet</w:t>
            </w:r>
            <w:r w:rsidRPr="009E674D">
              <w:rPr>
                <w:sz w:val="20"/>
                <w:szCs w:val="20"/>
                <w:lang w:val="sq-AL"/>
              </w:rPr>
              <w:t xml:space="preserve"> përmes  Sistemit për Menaxhimin e Performancës Komunale</w:t>
            </w:r>
            <w:r w:rsidRPr="009E674D">
              <w:rPr>
                <w:rFonts w:cstheme="minorHAnsi"/>
                <w:sz w:val="20"/>
                <w:szCs w:val="20"/>
                <w:lang w:val="sq-AL"/>
              </w:rPr>
              <w:t xml:space="preserve"> (SMPK). Treguesi mat këto pika: publikimin e raporteve për procese të konsultimeve publike; dëgjimet </w:t>
            </w:r>
            <w:r w:rsidRPr="009E674D">
              <w:rPr>
                <w:rFonts w:cstheme="minorHAnsi"/>
                <w:sz w:val="20"/>
                <w:szCs w:val="20"/>
                <w:lang w:val="sq-AL"/>
              </w:rPr>
              <w:lastRenderedPageBreak/>
              <w:t xml:space="preserve">publike për KAB dhe buxhet, raportimin për plan të integritetit, diskutimin e raportit të auditorit të brendshëm, pjesëmarrjen e qytetarëve në konsultime publike, adresimin e rekomandimeve të ZKA, </w:t>
            </w:r>
            <w:r w:rsidR="00D41466" w:rsidRPr="009E674D">
              <w:rPr>
                <w:rFonts w:cstheme="minorHAnsi"/>
                <w:sz w:val="20"/>
                <w:szCs w:val="20"/>
                <w:lang w:val="sq-AL"/>
              </w:rPr>
              <w:t>disk</w:t>
            </w:r>
            <w:r w:rsidR="00D41466">
              <w:rPr>
                <w:rFonts w:cstheme="minorHAnsi"/>
                <w:sz w:val="20"/>
                <w:szCs w:val="20"/>
                <w:lang w:val="sq-AL"/>
              </w:rPr>
              <w:t>ut</w:t>
            </w:r>
            <w:r w:rsidR="00D41466" w:rsidRPr="009E674D">
              <w:rPr>
                <w:rFonts w:cstheme="minorHAnsi"/>
                <w:sz w:val="20"/>
                <w:szCs w:val="20"/>
                <w:lang w:val="sq-AL"/>
              </w:rPr>
              <w:t xml:space="preserve">imet </w:t>
            </w:r>
            <w:r w:rsidRPr="009E674D">
              <w:rPr>
                <w:rFonts w:cstheme="minorHAnsi"/>
                <w:sz w:val="20"/>
                <w:szCs w:val="20"/>
                <w:lang w:val="sq-AL"/>
              </w:rPr>
              <w:t xml:space="preserve">për raportet tremujore të buxhetit  në KK, dokumentet e politikave lokale të konsultuara me publikun, publikimin e njoftimeve për mbajtjen e dy takimeve publike, mbledhjet e KK me pjesëmarrje të Kryetarit, nivelin e zbatimit të planit të prokurimit dhe miratimin me kohë </w:t>
            </w:r>
            <w:r w:rsidR="00D41466">
              <w:rPr>
                <w:rFonts w:cstheme="minorHAnsi"/>
                <w:sz w:val="20"/>
                <w:szCs w:val="20"/>
                <w:lang w:val="sq-AL"/>
              </w:rPr>
              <w:t>të</w:t>
            </w:r>
            <w:r w:rsidR="00D41466" w:rsidRPr="009E674D">
              <w:rPr>
                <w:rFonts w:cstheme="minorHAnsi"/>
                <w:sz w:val="20"/>
                <w:szCs w:val="20"/>
                <w:lang w:val="sq-AL"/>
              </w:rPr>
              <w:t xml:space="preserve"> </w:t>
            </w:r>
            <w:r w:rsidRPr="009E674D">
              <w:rPr>
                <w:rFonts w:cstheme="minorHAnsi"/>
                <w:sz w:val="20"/>
                <w:szCs w:val="20"/>
                <w:lang w:val="sq-AL"/>
              </w:rPr>
              <w:t xml:space="preserve">propozim buxhetit. Për më shumë, konsulto Raportin e Performancës së Komunave.                                                          </w:t>
            </w:r>
          </w:p>
        </w:tc>
        <w:tc>
          <w:tcPr>
            <w:tcW w:w="1080" w:type="dxa"/>
            <w:vAlign w:val="center"/>
          </w:tcPr>
          <w:p w14:paraId="2643CEAB"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lastRenderedPageBreak/>
              <w:t>53.9%</w:t>
            </w:r>
          </w:p>
          <w:p w14:paraId="125C487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(2021)</w:t>
            </w:r>
          </w:p>
        </w:tc>
        <w:tc>
          <w:tcPr>
            <w:tcW w:w="1080" w:type="dxa"/>
            <w:vAlign w:val="center"/>
          </w:tcPr>
          <w:p w14:paraId="7954EEF8"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70%</w:t>
            </w:r>
          </w:p>
        </w:tc>
        <w:tc>
          <w:tcPr>
            <w:tcW w:w="990" w:type="dxa"/>
            <w:vAlign w:val="center"/>
          </w:tcPr>
          <w:p w14:paraId="4A6095F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80%</w:t>
            </w:r>
          </w:p>
        </w:tc>
      </w:tr>
      <w:tr w:rsidR="00BB2408" w:rsidRPr="009E674D" w14:paraId="04F4FFD6" w14:textId="77777777" w:rsidTr="001D5E32">
        <w:tc>
          <w:tcPr>
            <w:tcW w:w="779" w:type="dxa"/>
            <w:vMerge/>
          </w:tcPr>
          <w:p w14:paraId="34CC4F82" w14:textId="77777777" w:rsidR="00BB2408" w:rsidRPr="009E674D" w:rsidRDefault="00BB2408" w:rsidP="001D5E32">
            <w:pPr>
              <w:rPr>
                <w:rFonts w:cstheme="minorHAnsi"/>
                <w:lang w:val="sq-AL"/>
              </w:rPr>
            </w:pPr>
          </w:p>
        </w:tc>
        <w:tc>
          <w:tcPr>
            <w:tcW w:w="1466" w:type="dxa"/>
            <w:vMerge/>
          </w:tcPr>
          <w:p w14:paraId="1D12EAFF" w14:textId="77777777" w:rsidR="00BB2408" w:rsidRPr="009E674D" w:rsidRDefault="00BB2408" w:rsidP="001D5E32">
            <w:pPr>
              <w:rPr>
                <w:rFonts w:ascii="Arial Narrow" w:eastAsia="Times New Roman" w:hAnsi="Arial Narrow" w:cs="Calibri"/>
                <w:b/>
                <w:color w:val="000000"/>
                <w:lang w:val="sq-AL"/>
              </w:rPr>
            </w:pPr>
          </w:p>
        </w:tc>
        <w:tc>
          <w:tcPr>
            <w:tcW w:w="1620" w:type="dxa"/>
            <w:vAlign w:val="center"/>
          </w:tcPr>
          <w:p w14:paraId="79CDF806" w14:textId="77777777" w:rsidR="00BB2408" w:rsidRPr="009E674D" w:rsidRDefault="00BB2408" w:rsidP="001D5E32">
            <w:pPr>
              <w:rPr>
                <w:rFonts w:cstheme="minorHAnsi"/>
                <w:i/>
                <w:sz w:val="20"/>
                <w:szCs w:val="20"/>
                <w:lang w:val="sq-AL"/>
              </w:rPr>
            </w:pPr>
            <w:r w:rsidRPr="009E674D">
              <w:rPr>
                <w:rFonts w:cstheme="minorHAnsi"/>
                <w:i/>
                <w:sz w:val="20"/>
                <w:szCs w:val="20"/>
                <w:lang w:val="sq-AL"/>
              </w:rPr>
              <w:t>Shërbimet komunale në e-Kosova</w:t>
            </w:r>
          </w:p>
        </w:tc>
        <w:tc>
          <w:tcPr>
            <w:tcW w:w="1260" w:type="dxa"/>
            <w:vAlign w:val="center"/>
          </w:tcPr>
          <w:p w14:paraId="6DB0F1A4"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2340" w:type="dxa"/>
          </w:tcPr>
          <w:p w14:paraId="38331D56" w14:textId="77777777" w:rsidR="00BB2408" w:rsidRPr="009E674D" w:rsidRDefault="00BB2408" w:rsidP="001D5E32">
            <w:pPr>
              <w:rPr>
                <w:rFonts w:cstheme="minorHAnsi"/>
                <w:color w:val="FF0000"/>
                <w:sz w:val="20"/>
                <w:szCs w:val="20"/>
                <w:lang w:val="sq-AL"/>
              </w:rPr>
            </w:pPr>
            <w:r w:rsidRPr="009E674D">
              <w:rPr>
                <w:rFonts w:cstheme="minorHAnsi"/>
                <w:sz w:val="20"/>
                <w:szCs w:val="20"/>
                <w:lang w:val="sq-AL"/>
              </w:rPr>
              <w:t>Ky tregues paraqet numrin e shërbimeve komunale që ofrohen përmes e-Kosova.</w:t>
            </w:r>
          </w:p>
        </w:tc>
        <w:tc>
          <w:tcPr>
            <w:tcW w:w="2790" w:type="dxa"/>
            <w:vAlign w:val="center"/>
          </w:tcPr>
          <w:p w14:paraId="1BF9305B"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41C0CACE"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1C312013"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990" w:type="dxa"/>
            <w:vAlign w:val="center"/>
          </w:tcPr>
          <w:p w14:paraId="23A82736"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r>
      <w:tr w:rsidR="00BB2408" w:rsidRPr="009E674D" w14:paraId="660D3837" w14:textId="77777777" w:rsidTr="001D5E32">
        <w:tc>
          <w:tcPr>
            <w:tcW w:w="779" w:type="dxa"/>
            <w:vMerge/>
          </w:tcPr>
          <w:p w14:paraId="46077794" w14:textId="77777777" w:rsidR="00BB2408" w:rsidRPr="009E674D" w:rsidRDefault="00BB2408" w:rsidP="001D5E32">
            <w:pPr>
              <w:rPr>
                <w:rFonts w:cstheme="minorHAnsi"/>
                <w:lang w:val="sq-AL"/>
              </w:rPr>
            </w:pPr>
          </w:p>
        </w:tc>
        <w:tc>
          <w:tcPr>
            <w:tcW w:w="1466" w:type="dxa"/>
            <w:vMerge w:val="restart"/>
          </w:tcPr>
          <w:p w14:paraId="27834381" w14:textId="77777777" w:rsidR="00BB2408" w:rsidRPr="009E674D" w:rsidRDefault="00BB2408" w:rsidP="001D5E32">
            <w:pPr>
              <w:rPr>
                <w:rFonts w:ascii="Arial Narrow" w:eastAsia="Times New Roman" w:hAnsi="Arial Narrow" w:cs="Calibri"/>
                <w:b/>
                <w:color w:val="000000"/>
                <w:lang w:val="sq-AL"/>
              </w:rPr>
            </w:pPr>
            <w:r w:rsidRPr="009E674D">
              <w:rPr>
                <w:rFonts w:ascii="Arial Narrow" w:eastAsia="Times New Roman" w:hAnsi="Arial Narrow" w:cs="Calibri"/>
                <w:b/>
                <w:color w:val="000000"/>
                <w:lang w:val="sq-AL"/>
              </w:rPr>
              <w:t>4.4. Forcimi i partneritetit për zhvillim ekonomik lokal</w:t>
            </w:r>
          </w:p>
          <w:p w14:paraId="71C1846D" w14:textId="77777777" w:rsidR="00BB2408" w:rsidRPr="009E674D" w:rsidRDefault="00BB2408" w:rsidP="001D5E32">
            <w:pPr>
              <w:jc w:val="center"/>
              <w:rPr>
                <w:rFonts w:ascii="Arial Narrow" w:eastAsia="Times New Roman" w:hAnsi="Arial Narrow" w:cs="Calibri"/>
                <w:b/>
                <w:color w:val="000000"/>
                <w:lang w:val="sq-AL"/>
              </w:rPr>
            </w:pPr>
          </w:p>
        </w:tc>
        <w:tc>
          <w:tcPr>
            <w:tcW w:w="1620" w:type="dxa"/>
            <w:vAlign w:val="center"/>
          </w:tcPr>
          <w:p w14:paraId="28023E43" w14:textId="77777777" w:rsidR="00BB2408" w:rsidRPr="009E674D" w:rsidRDefault="00BB2408" w:rsidP="001D5E32">
            <w:pPr>
              <w:rPr>
                <w:rFonts w:cstheme="minorHAnsi"/>
                <w:sz w:val="20"/>
                <w:szCs w:val="20"/>
                <w:lang w:val="sq-AL"/>
              </w:rPr>
            </w:pPr>
            <w:r w:rsidRPr="009E674D">
              <w:rPr>
                <w:rFonts w:cstheme="minorHAnsi"/>
                <w:i/>
                <w:sz w:val="20"/>
                <w:szCs w:val="20"/>
                <w:lang w:val="sq-AL"/>
              </w:rPr>
              <w:t>Numri  i projekteve me komunat tjera (brenda dhe jashtë kufirit)</w:t>
            </w:r>
            <w:r w:rsidRPr="009E674D">
              <w:rPr>
                <w:rFonts w:asciiTheme="majorHAnsi" w:hAnsiTheme="majorHAnsi" w:cstheme="majorHAnsi"/>
                <w:sz w:val="20"/>
                <w:szCs w:val="20"/>
                <w:lang w:val="sq-AL"/>
              </w:rPr>
              <w:t xml:space="preserve"> </w:t>
            </w:r>
          </w:p>
        </w:tc>
        <w:tc>
          <w:tcPr>
            <w:tcW w:w="1260" w:type="dxa"/>
            <w:vAlign w:val="center"/>
          </w:tcPr>
          <w:p w14:paraId="791B6322"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MAPL</w:t>
            </w:r>
          </w:p>
        </w:tc>
        <w:tc>
          <w:tcPr>
            <w:tcW w:w="2340" w:type="dxa"/>
          </w:tcPr>
          <w:p w14:paraId="2AB7048B" w14:textId="77777777" w:rsidR="00BB2408" w:rsidRPr="009E674D" w:rsidRDefault="00BB2408" w:rsidP="001D5E32">
            <w:pPr>
              <w:rPr>
                <w:rFonts w:cstheme="minorHAnsi"/>
                <w:sz w:val="20"/>
                <w:szCs w:val="20"/>
                <w:lang w:val="sq-AL"/>
              </w:rPr>
            </w:pPr>
            <w:r w:rsidRPr="009E674D">
              <w:rPr>
                <w:rFonts w:cstheme="minorHAnsi"/>
                <w:sz w:val="20"/>
                <w:szCs w:val="20"/>
                <w:lang w:val="sq-AL"/>
              </w:rPr>
              <w:t>Ky tregues paraqet numrin e projekteve të reja me komunat tjera gjatë vitit, brenda dhe jashtë kufirit.</w:t>
            </w:r>
          </w:p>
        </w:tc>
        <w:tc>
          <w:tcPr>
            <w:tcW w:w="2790" w:type="dxa"/>
            <w:vAlign w:val="center"/>
          </w:tcPr>
          <w:p w14:paraId="4A35FF45"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148ECB7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n/a</w:t>
            </w:r>
          </w:p>
        </w:tc>
        <w:tc>
          <w:tcPr>
            <w:tcW w:w="1080" w:type="dxa"/>
            <w:vAlign w:val="center"/>
          </w:tcPr>
          <w:p w14:paraId="451F6B9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+40%</w:t>
            </w:r>
          </w:p>
        </w:tc>
        <w:tc>
          <w:tcPr>
            <w:tcW w:w="990" w:type="dxa"/>
            <w:vAlign w:val="center"/>
          </w:tcPr>
          <w:p w14:paraId="616E7862"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+80%</w:t>
            </w:r>
          </w:p>
        </w:tc>
      </w:tr>
      <w:tr w:rsidR="00BB2408" w:rsidRPr="009E674D" w14:paraId="5DD5F733" w14:textId="77777777" w:rsidTr="001D5E32">
        <w:trPr>
          <w:trHeight w:val="73"/>
        </w:trPr>
        <w:tc>
          <w:tcPr>
            <w:tcW w:w="779" w:type="dxa"/>
            <w:vMerge/>
          </w:tcPr>
          <w:p w14:paraId="24329669" w14:textId="77777777" w:rsidR="00BB2408" w:rsidRPr="009E674D" w:rsidRDefault="00BB2408" w:rsidP="001D5E32">
            <w:pPr>
              <w:rPr>
                <w:rFonts w:cstheme="minorHAnsi"/>
                <w:lang w:val="sq-AL"/>
              </w:rPr>
            </w:pPr>
          </w:p>
        </w:tc>
        <w:tc>
          <w:tcPr>
            <w:tcW w:w="1466" w:type="dxa"/>
            <w:vMerge/>
          </w:tcPr>
          <w:p w14:paraId="43C0FA5C" w14:textId="77777777" w:rsidR="00BB2408" w:rsidRPr="009E674D" w:rsidRDefault="00BB2408" w:rsidP="001D5E32">
            <w:pPr>
              <w:jc w:val="center"/>
              <w:rPr>
                <w:rFonts w:ascii="Arial Narrow" w:eastAsia="Times New Roman" w:hAnsi="Arial Narrow" w:cs="Calibri"/>
                <w:color w:val="000000"/>
                <w:lang w:val="sq-AL"/>
              </w:rPr>
            </w:pPr>
          </w:p>
        </w:tc>
        <w:tc>
          <w:tcPr>
            <w:tcW w:w="1620" w:type="dxa"/>
            <w:vAlign w:val="center"/>
          </w:tcPr>
          <w:p w14:paraId="5D516872" w14:textId="77777777" w:rsidR="00BB2408" w:rsidRPr="009E674D" w:rsidRDefault="00BB2408" w:rsidP="001D5E32">
            <w:pPr>
              <w:rPr>
                <w:rFonts w:cstheme="minorHAnsi"/>
                <w:i/>
                <w:sz w:val="20"/>
                <w:szCs w:val="20"/>
                <w:lang w:val="sq-AL"/>
              </w:rPr>
            </w:pPr>
            <w:r w:rsidRPr="009E674D">
              <w:rPr>
                <w:rFonts w:cstheme="minorHAnsi"/>
                <w:i/>
                <w:sz w:val="20"/>
                <w:szCs w:val="20"/>
                <w:lang w:val="sq-AL"/>
              </w:rPr>
              <w:t>Pjesëmarrja dhe parashikueshmëria (1-10)</w:t>
            </w:r>
          </w:p>
        </w:tc>
        <w:tc>
          <w:tcPr>
            <w:tcW w:w="1260" w:type="dxa"/>
            <w:vAlign w:val="center"/>
          </w:tcPr>
          <w:p w14:paraId="1720D321" w14:textId="77777777" w:rsidR="00BB2408" w:rsidRPr="009E674D" w:rsidRDefault="00BB2408" w:rsidP="001D5E32">
            <w:pPr>
              <w:jc w:val="center"/>
              <w:rPr>
                <w:rFonts w:cstheme="minorHAnsi"/>
                <w:sz w:val="20"/>
                <w:szCs w:val="20"/>
                <w:lang w:val="sq-AL"/>
              </w:rPr>
            </w:pPr>
            <w:r w:rsidRPr="009E674D">
              <w:rPr>
                <w:sz w:val="20"/>
                <w:szCs w:val="20"/>
                <w:lang w:val="sq-AL"/>
              </w:rPr>
              <w:t>Indeksi i konk. së komunave (USAID)</w:t>
            </w:r>
          </w:p>
        </w:tc>
        <w:tc>
          <w:tcPr>
            <w:tcW w:w="2340" w:type="dxa"/>
          </w:tcPr>
          <w:p w14:paraId="61505A2D" w14:textId="77777777" w:rsidR="00BB2408" w:rsidRPr="009E674D" w:rsidRDefault="00BB2408" w:rsidP="001D5E32">
            <w:pPr>
              <w:rPr>
                <w:rFonts w:cstheme="minorHAnsi"/>
                <w:sz w:val="20"/>
                <w:szCs w:val="20"/>
                <w:lang w:val="sq-AL"/>
              </w:rPr>
            </w:pPr>
            <w:r w:rsidRPr="009E674D">
              <w:rPr>
                <w:rFonts w:cstheme="minorHAnsi"/>
                <w:sz w:val="20"/>
                <w:szCs w:val="20"/>
                <w:lang w:val="sq-AL"/>
              </w:rPr>
              <w:t xml:space="preserve">Ky tregues paraqet </w:t>
            </w:r>
            <w:r w:rsidRPr="009E674D">
              <w:rPr>
                <w:sz w:val="20"/>
                <w:szCs w:val="20"/>
                <w:lang w:val="sq-AL"/>
              </w:rPr>
              <w:t xml:space="preserve"> masën në të cilën bizneset në Kosovë marrin pjesë në vendimmarrjen vendore dhe masën në të cilën ato konsiderojnë se qeveria është e hapur për të </w:t>
            </w:r>
            <w:r w:rsidRPr="009E674D">
              <w:rPr>
                <w:sz w:val="20"/>
                <w:szCs w:val="20"/>
                <w:lang w:val="sq-AL"/>
              </w:rPr>
              <w:lastRenderedPageBreak/>
              <w:t>bashkëpunuar me ta drejt arritjes së qëllimeve të përbashkëta.</w:t>
            </w:r>
          </w:p>
        </w:tc>
        <w:tc>
          <w:tcPr>
            <w:tcW w:w="2790" w:type="dxa"/>
            <w:vAlign w:val="center"/>
          </w:tcPr>
          <w:p w14:paraId="62A04B3C" w14:textId="6B607CF3" w:rsidR="00BB2408" w:rsidRPr="009E674D" w:rsidRDefault="00BB2408" w:rsidP="001D5E32">
            <w:pPr>
              <w:rPr>
                <w:rFonts w:cstheme="minorHAnsi"/>
                <w:sz w:val="20"/>
                <w:szCs w:val="20"/>
                <w:lang w:val="sq-AL"/>
              </w:rPr>
            </w:pPr>
            <w:r w:rsidRPr="009E674D">
              <w:rPr>
                <w:sz w:val="20"/>
                <w:szCs w:val="20"/>
                <w:lang w:val="sq-AL"/>
              </w:rPr>
              <w:lastRenderedPageBreak/>
              <w:t xml:space="preserve">Ky tregues është nxjerrë nga Indeksi i Konkurrueshmërisë së Komunave (IKK). Metodologjia e IKK-së bazohet në qasjen e standardizuar të Indeksit të Qeverisjes Ekonomike nga Fondacioni Aziatik. Të dhënat mblidhen përmes anketës me </w:t>
            </w:r>
            <w:r w:rsidRPr="009E674D">
              <w:rPr>
                <w:sz w:val="20"/>
                <w:szCs w:val="20"/>
                <w:lang w:val="sq-AL"/>
              </w:rPr>
              <w:lastRenderedPageBreak/>
              <w:t>3,337 firma në 38 komuna të Kosovës. Pyetjet: A jeni informuar me kohë për ndryshimet në rregulloret dhe udhëzimet administrative nga komuna? (1- kurrë, 5</w:t>
            </w:r>
            <w:r w:rsidR="00D41466">
              <w:rPr>
                <w:sz w:val="20"/>
                <w:szCs w:val="20"/>
                <w:lang w:val="sq-AL"/>
              </w:rPr>
              <w:t xml:space="preserve"> </w:t>
            </w:r>
            <w:r w:rsidRPr="009E674D">
              <w:rPr>
                <w:sz w:val="20"/>
                <w:szCs w:val="20"/>
                <w:lang w:val="sq-AL"/>
              </w:rPr>
              <w:t>- gjithnjë); Sa shpesh keni marrë pjesë në debatet publike që organizohen nga komuna? (1- kurrë, 5</w:t>
            </w:r>
            <w:r w:rsidR="00D41466">
              <w:rPr>
                <w:sz w:val="20"/>
                <w:szCs w:val="20"/>
                <w:lang w:val="sq-AL"/>
              </w:rPr>
              <w:t xml:space="preserve"> </w:t>
            </w:r>
            <w:r w:rsidRPr="009E674D">
              <w:rPr>
                <w:sz w:val="20"/>
                <w:szCs w:val="20"/>
                <w:lang w:val="sq-AL"/>
              </w:rPr>
              <w:t>- gjithnjë); Sa shpesh mendoni se rregulloret e reja komunale dhe udhëzimet administrative të ngritura gjatë debateve publike, mbrojnë interesat e bizneseve? (1- kurrë, 5</w:t>
            </w:r>
            <w:r w:rsidR="00D41466">
              <w:rPr>
                <w:sz w:val="20"/>
                <w:szCs w:val="20"/>
                <w:lang w:val="sq-AL"/>
              </w:rPr>
              <w:t xml:space="preserve"> </w:t>
            </w:r>
            <w:r w:rsidRPr="009E674D">
              <w:rPr>
                <w:sz w:val="20"/>
                <w:szCs w:val="20"/>
                <w:lang w:val="sq-AL"/>
              </w:rPr>
              <w:t>- gjithnjë); Sa shpesh prisni që rregulloret komunale të zbatohen? (1- kurrë, 5</w:t>
            </w:r>
            <w:r w:rsidR="00D41466">
              <w:rPr>
                <w:sz w:val="20"/>
                <w:szCs w:val="20"/>
                <w:lang w:val="sq-AL"/>
              </w:rPr>
              <w:t xml:space="preserve"> </w:t>
            </w:r>
            <w:r w:rsidRPr="009E674D">
              <w:rPr>
                <w:sz w:val="20"/>
                <w:szCs w:val="20"/>
                <w:lang w:val="sq-AL"/>
              </w:rPr>
              <w:t>- gjithnjë); A jeni informuar me kohë për debatet publike komunale lidhur me ndryshimet në politikat publike, rregullat dhe rregulloret komunale? (1- kurrë, 5</w:t>
            </w:r>
            <w:r w:rsidR="00D41466">
              <w:rPr>
                <w:sz w:val="20"/>
                <w:szCs w:val="20"/>
                <w:lang w:val="sq-AL"/>
              </w:rPr>
              <w:t xml:space="preserve"> </w:t>
            </w:r>
            <w:r w:rsidRPr="009E674D">
              <w:rPr>
                <w:sz w:val="20"/>
                <w:szCs w:val="20"/>
                <w:lang w:val="sq-AL"/>
              </w:rPr>
              <w:t>- gjithnjë)</w:t>
            </w:r>
          </w:p>
        </w:tc>
        <w:tc>
          <w:tcPr>
            <w:tcW w:w="1080" w:type="dxa"/>
            <w:vAlign w:val="center"/>
          </w:tcPr>
          <w:p w14:paraId="3A73234D"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lastRenderedPageBreak/>
              <w:t>4.94 (2020)</w:t>
            </w:r>
          </w:p>
        </w:tc>
        <w:tc>
          <w:tcPr>
            <w:tcW w:w="1080" w:type="dxa"/>
            <w:vAlign w:val="center"/>
          </w:tcPr>
          <w:p w14:paraId="6E1E0707"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6</w:t>
            </w:r>
          </w:p>
        </w:tc>
        <w:tc>
          <w:tcPr>
            <w:tcW w:w="990" w:type="dxa"/>
            <w:vAlign w:val="center"/>
          </w:tcPr>
          <w:p w14:paraId="11009161" w14:textId="77777777" w:rsidR="00BB2408" w:rsidRPr="009E674D" w:rsidRDefault="00BB2408" w:rsidP="001D5E32">
            <w:pPr>
              <w:jc w:val="center"/>
              <w:rPr>
                <w:rFonts w:cstheme="minorHAnsi"/>
                <w:sz w:val="20"/>
                <w:szCs w:val="20"/>
                <w:lang w:val="sq-AL"/>
              </w:rPr>
            </w:pPr>
            <w:r w:rsidRPr="009E674D">
              <w:rPr>
                <w:rFonts w:cstheme="minorHAnsi"/>
                <w:sz w:val="20"/>
                <w:szCs w:val="20"/>
                <w:lang w:val="sq-AL"/>
              </w:rPr>
              <w:t>8</w:t>
            </w:r>
          </w:p>
        </w:tc>
      </w:tr>
    </w:tbl>
    <w:p w14:paraId="74794BDF" w14:textId="77777777" w:rsidR="00B4243E" w:rsidRPr="009E674D" w:rsidRDefault="00B4243E" w:rsidP="00334D5D">
      <w:pPr>
        <w:rPr>
          <w:lang w:val="sq-AL"/>
        </w:rPr>
      </w:pPr>
    </w:p>
    <w:sectPr w:rsidR="00B4243E" w:rsidRPr="009E674D" w:rsidSect="00467AC9">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F7CF" w14:textId="77777777" w:rsidR="006A7130" w:rsidRDefault="006A7130" w:rsidP="002F1873">
      <w:pPr>
        <w:spacing w:after="0" w:line="240" w:lineRule="auto"/>
      </w:pPr>
      <w:r>
        <w:separator/>
      </w:r>
    </w:p>
  </w:endnote>
  <w:endnote w:type="continuationSeparator" w:id="0">
    <w:p w14:paraId="5B0737EC" w14:textId="77777777" w:rsidR="006A7130" w:rsidRDefault="006A7130" w:rsidP="002F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29035"/>
      <w:docPartObj>
        <w:docPartGallery w:val="Page Numbers (Bottom of Page)"/>
        <w:docPartUnique/>
      </w:docPartObj>
    </w:sdtPr>
    <w:sdtEndPr>
      <w:rPr>
        <w:noProof/>
      </w:rPr>
    </w:sdtEndPr>
    <w:sdtContent>
      <w:p w14:paraId="533F6922" w14:textId="3C5569C9" w:rsidR="00636E80" w:rsidRDefault="00636E80">
        <w:pPr>
          <w:pStyle w:val="Footer"/>
          <w:jc w:val="right"/>
        </w:pPr>
        <w:r>
          <w:fldChar w:fldCharType="begin"/>
        </w:r>
        <w:r>
          <w:instrText xml:space="preserve"> PAGE   \* MERGEFORMAT </w:instrText>
        </w:r>
        <w:r>
          <w:fldChar w:fldCharType="separate"/>
        </w:r>
        <w:r w:rsidR="00BC2E7C">
          <w:rPr>
            <w:noProof/>
          </w:rPr>
          <w:t>4</w:t>
        </w:r>
        <w:r>
          <w:rPr>
            <w:noProof/>
          </w:rPr>
          <w:fldChar w:fldCharType="end"/>
        </w:r>
      </w:p>
    </w:sdtContent>
  </w:sdt>
  <w:p w14:paraId="17D4B8C7" w14:textId="77777777" w:rsidR="00636E80" w:rsidRDefault="00636E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99844"/>
      <w:docPartObj>
        <w:docPartGallery w:val="Page Numbers (Bottom of Page)"/>
        <w:docPartUnique/>
      </w:docPartObj>
    </w:sdtPr>
    <w:sdtEndPr>
      <w:rPr>
        <w:noProof/>
      </w:rPr>
    </w:sdtEndPr>
    <w:sdtContent>
      <w:p w14:paraId="5CF29941" w14:textId="7FD6131A" w:rsidR="00636E80" w:rsidRDefault="00636E80">
        <w:pPr>
          <w:pStyle w:val="Footer"/>
          <w:jc w:val="right"/>
        </w:pPr>
        <w:r>
          <w:fldChar w:fldCharType="begin"/>
        </w:r>
        <w:r>
          <w:instrText xml:space="preserve"> PAGE   \* MERGEFORMAT </w:instrText>
        </w:r>
        <w:r>
          <w:fldChar w:fldCharType="separate"/>
        </w:r>
        <w:r w:rsidR="00BC2E7C">
          <w:rPr>
            <w:noProof/>
          </w:rPr>
          <w:t>0</w:t>
        </w:r>
        <w:r>
          <w:rPr>
            <w:noProof/>
          </w:rPr>
          <w:fldChar w:fldCharType="end"/>
        </w:r>
      </w:p>
    </w:sdtContent>
  </w:sdt>
  <w:p w14:paraId="76B9A660" w14:textId="77777777" w:rsidR="00636E80" w:rsidRDefault="00636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97F27" w14:textId="77777777" w:rsidR="006A7130" w:rsidRDefault="006A7130" w:rsidP="002F1873">
      <w:pPr>
        <w:spacing w:after="0" w:line="240" w:lineRule="auto"/>
      </w:pPr>
      <w:r>
        <w:separator/>
      </w:r>
    </w:p>
  </w:footnote>
  <w:footnote w:type="continuationSeparator" w:id="0">
    <w:p w14:paraId="571D2632" w14:textId="77777777" w:rsidR="006A7130" w:rsidRDefault="006A7130" w:rsidP="002F1873">
      <w:pPr>
        <w:spacing w:after="0" w:line="240" w:lineRule="auto"/>
      </w:pPr>
      <w:r>
        <w:continuationSeparator/>
      </w:r>
    </w:p>
  </w:footnote>
  <w:footnote w:id="1">
    <w:p w14:paraId="6DAAF158" w14:textId="77777777" w:rsidR="00636E80" w:rsidRDefault="00636E80">
      <w:pPr>
        <w:pStyle w:val="FootnoteText"/>
      </w:pPr>
      <w:r>
        <w:rPr>
          <w:rStyle w:val="FootnoteReference"/>
        </w:rPr>
        <w:footnoteRef/>
      </w:r>
      <w:r>
        <w:t xml:space="preserve"> Grupi punues kishte k</w:t>
      </w:r>
      <w:r w:rsidRPr="0023401F">
        <w:rPr>
          <w:lang w:val="sq-AL"/>
        </w:rPr>
        <w:t>ë</w:t>
      </w:r>
      <w:r>
        <w:rPr>
          <w:lang w:val="sq-AL"/>
        </w:rPr>
        <w:t>t</w:t>
      </w:r>
      <w:r w:rsidRPr="0023401F">
        <w:rPr>
          <w:lang w:val="sq-AL"/>
        </w:rPr>
        <w:t>ë</w:t>
      </w:r>
      <w:r>
        <w:rPr>
          <w:lang w:val="sq-AL"/>
        </w:rPr>
        <w:t xml:space="preserve"> p</w:t>
      </w:r>
      <w:r w:rsidRPr="0023401F">
        <w:rPr>
          <w:lang w:val="sq-AL"/>
        </w:rPr>
        <w:t>ë</w:t>
      </w:r>
      <w:r>
        <w:rPr>
          <w:lang w:val="sq-AL"/>
        </w:rPr>
        <w:t>rb</w:t>
      </w:r>
      <w:r w:rsidRPr="0023401F">
        <w:rPr>
          <w:lang w:val="sq-AL"/>
        </w:rPr>
        <w:t>ë</w:t>
      </w:r>
      <w:r>
        <w:rPr>
          <w:lang w:val="sq-AL"/>
        </w:rPr>
        <w:t xml:space="preserve">rje: MAPL, ZKM, MINT, MFPT, MMPHI, MBPZHR, ASK, MASHT, MSH, MEE, AKK, GIZ, OSBE, DEMOS, KLGI. </w:t>
      </w:r>
    </w:p>
  </w:footnote>
  <w:footnote w:id="2">
    <w:p w14:paraId="51F9B5FA" w14:textId="77777777" w:rsidR="00636E80" w:rsidRPr="00D160F6" w:rsidRDefault="00636E80" w:rsidP="002D6291">
      <w:pPr>
        <w:pStyle w:val="FootnoteText"/>
      </w:pPr>
      <w:r w:rsidRPr="00C47596">
        <w:rPr>
          <w:rStyle w:val="FootnoteReference"/>
        </w:rPr>
        <w:footnoteRef/>
      </w:r>
      <w:r w:rsidRPr="00C47596">
        <w:t xml:space="preserve"> </w:t>
      </w:r>
      <w:r w:rsidRPr="00D160F6">
        <w:t>BQK. Seritë kohore - Investimet e Huaja Direkte. Shkurt 2022.</w:t>
      </w:r>
    </w:p>
  </w:footnote>
  <w:footnote w:id="3">
    <w:p w14:paraId="73C71F25" w14:textId="77777777" w:rsidR="00636E80" w:rsidRDefault="00636E80" w:rsidP="006448E7">
      <w:pPr>
        <w:pStyle w:val="FootnoteText"/>
      </w:pPr>
      <w:r>
        <w:rPr>
          <w:rStyle w:val="FootnoteReference"/>
        </w:rPr>
        <w:footnoteRef/>
      </w:r>
      <w:r>
        <w:t xml:space="preserve"> </w:t>
      </w:r>
      <w:r w:rsidRPr="00664F0D">
        <w:rPr>
          <w:lang w:val="sq-AL"/>
        </w:rPr>
        <w:t>Oda Ekonomike e Kosovës</w:t>
      </w:r>
      <w:r>
        <w:rPr>
          <w:lang w:val="sq-AL"/>
        </w:rPr>
        <w:t xml:space="preserve"> (2019). </w:t>
      </w:r>
      <w:r w:rsidRPr="007B74B4">
        <w:rPr>
          <w:lang w:val="sq-AL"/>
        </w:rPr>
        <w:t>H</w:t>
      </w:r>
      <w:r>
        <w:rPr>
          <w:lang w:val="sq-AL"/>
        </w:rPr>
        <w:t>apja e rrug</w:t>
      </w:r>
      <w:r w:rsidRPr="008324AB">
        <w:rPr>
          <w:lang w:val="sq-AL"/>
        </w:rPr>
        <w:t>ë</w:t>
      </w:r>
      <w:r>
        <w:rPr>
          <w:lang w:val="sq-AL"/>
        </w:rPr>
        <w:t>s p</w:t>
      </w:r>
      <w:r w:rsidRPr="008324AB">
        <w:rPr>
          <w:lang w:val="sq-AL"/>
        </w:rPr>
        <w:t>ë</w:t>
      </w:r>
      <w:r>
        <w:rPr>
          <w:lang w:val="sq-AL"/>
        </w:rPr>
        <w:t>r biznes m</w:t>
      </w:r>
      <w:r w:rsidRPr="008324AB">
        <w:rPr>
          <w:lang w:val="sq-AL"/>
        </w:rPr>
        <w:t>ë</w:t>
      </w:r>
      <w:r>
        <w:rPr>
          <w:lang w:val="sq-AL"/>
        </w:rPr>
        <w:t xml:space="preserve"> t</w:t>
      </w:r>
      <w:r w:rsidRPr="008324AB">
        <w:rPr>
          <w:lang w:val="sq-AL"/>
        </w:rPr>
        <w:t>ë</w:t>
      </w:r>
      <w:r>
        <w:rPr>
          <w:lang w:val="sq-AL"/>
        </w:rPr>
        <w:t xml:space="preserve"> mir</w:t>
      </w:r>
      <w:r w:rsidRPr="008324AB">
        <w:rPr>
          <w:lang w:val="sq-AL"/>
        </w:rPr>
        <w:t>ë</w:t>
      </w:r>
      <w:r>
        <w:rPr>
          <w:lang w:val="sq-AL"/>
        </w:rPr>
        <w:t xml:space="preserve"> n</w:t>
      </w:r>
      <w:r w:rsidRPr="008324AB">
        <w:rPr>
          <w:lang w:val="sq-AL"/>
        </w:rPr>
        <w:t>ë</w:t>
      </w:r>
      <w:r>
        <w:rPr>
          <w:lang w:val="sq-AL"/>
        </w:rPr>
        <w:t xml:space="preserve"> Kosov</w:t>
      </w:r>
      <w:r w:rsidRPr="008324AB">
        <w:rPr>
          <w:lang w:val="sq-AL"/>
        </w:rPr>
        <w:t>ë</w:t>
      </w:r>
      <w:r>
        <w:rPr>
          <w:lang w:val="sq-AL"/>
        </w:rPr>
        <w:t xml:space="preserve">. Qasja: </w:t>
      </w:r>
      <w:r w:rsidRPr="00664F0D">
        <w:rPr>
          <w:lang w:val="sq-AL"/>
        </w:rPr>
        <w:t>https://</w:t>
      </w:r>
      <w:r>
        <w:rPr>
          <w:lang w:val="sq-AL"/>
        </w:rPr>
        <w:t>www</w:t>
      </w:r>
      <w:r w:rsidRPr="00664F0D">
        <w:rPr>
          <w:lang w:val="sq-AL"/>
        </w:rPr>
        <w:t>.oek-kcc.org/uploads/files/2019/June/28/Studimi_Bottleneck_2018_r1561707631.pdf</w:t>
      </w:r>
    </w:p>
  </w:footnote>
  <w:footnote w:id="4">
    <w:p w14:paraId="3902BACA" w14:textId="77777777" w:rsidR="00636E80" w:rsidRDefault="00636E80" w:rsidP="006448E7">
      <w:pPr>
        <w:pStyle w:val="FootnoteText"/>
      </w:pPr>
      <w:r>
        <w:rPr>
          <w:rStyle w:val="FootnoteReference"/>
        </w:rPr>
        <w:footnoteRef/>
      </w:r>
      <w:r>
        <w:t xml:space="preserve"> MAPL (2021). Studimi i gjithëpërfshirës së sistemit të vetqeverisjes lokale në kosovë. Qasja: MAPL</w:t>
      </w:r>
    </w:p>
  </w:footnote>
  <w:footnote w:id="5">
    <w:p w14:paraId="38C4A409" w14:textId="77777777" w:rsidR="00636E80" w:rsidRDefault="00636E80" w:rsidP="006448E7">
      <w:pPr>
        <w:pStyle w:val="FootnoteText"/>
      </w:pPr>
      <w:r>
        <w:rPr>
          <w:rStyle w:val="FootnoteReference"/>
        </w:rPr>
        <w:footnoteRef/>
      </w:r>
      <w:r>
        <w:t xml:space="preserve"> Instituti Riinvest (2020). </w:t>
      </w:r>
      <w:r>
        <w:rPr>
          <w:lang w:val="sq-AL"/>
        </w:rPr>
        <w:t xml:space="preserve">Indeksi i Konkurruesmërisë së Komunave. Qasja: </w:t>
      </w:r>
      <w:r w:rsidRPr="00C2700D">
        <w:rPr>
          <w:lang w:val="sq-AL"/>
        </w:rPr>
        <w:t>https://www.riinvestinstitute.org/uploads/files/2020/September/14/10_-__MCI_Index_2020_-_ALB_-_02_11600096544.pdf</w:t>
      </w:r>
    </w:p>
  </w:footnote>
  <w:footnote w:id="6">
    <w:p w14:paraId="6AD5C023" w14:textId="77777777" w:rsidR="00636E80" w:rsidRDefault="00636E80" w:rsidP="006448E7">
      <w:pPr>
        <w:pStyle w:val="FootnoteText"/>
      </w:pPr>
      <w:r>
        <w:rPr>
          <w:rStyle w:val="FootnoteReference"/>
        </w:rPr>
        <w:footnoteRef/>
      </w:r>
      <w:r>
        <w:t xml:space="preserve"> Instituti Riinvest dhe OEGJK (2022). “</w:t>
      </w:r>
      <w:r w:rsidRPr="00C2700D">
        <w:t>Kapacitetet Digjitale në sektorin e prodhimit në Kosovë</w:t>
      </w:r>
      <w:r>
        <w:t xml:space="preserve">”. Qasja: </w:t>
      </w:r>
      <w:r w:rsidRPr="00C2700D">
        <w:t>https://www.riinvestinstitute.org/uploads/files/2022/October/19/Digital_capacities_in_munufucturing_sector_in_Kosovo_Riinvest1666185819.pdf</w:t>
      </w:r>
    </w:p>
  </w:footnote>
  <w:footnote w:id="7">
    <w:p w14:paraId="2538FADF" w14:textId="77777777" w:rsidR="00636E80" w:rsidRDefault="00636E80" w:rsidP="006448E7">
      <w:pPr>
        <w:pStyle w:val="FootnoteText"/>
      </w:pPr>
      <w:r>
        <w:rPr>
          <w:rStyle w:val="FootnoteReference"/>
        </w:rPr>
        <w:footnoteRef/>
      </w:r>
      <w:r>
        <w:t xml:space="preserve"> Banka Bot</w:t>
      </w:r>
      <w:r w:rsidRPr="00C2700D">
        <w:t>ë</w:t>
      </w:r>
      <w:r>
        <w:t xml:space="preserve">rore (2019). “Enterprise Survey”. Qasja: </w:t>
      </w:r>
      <w:r w:rsidRPr="00917B17">
        <w:t>https://www.enterprisesurveys.org/content/dam/enterprisesurveys/documents/country/Kosovo-2019.pdf</w:t>
      </w:r>
    </w:p>
    <w:p w14:paraId="15FD161B" w14:textId="77777777" w:rsidR="00636E80" w:rsidRDefault="00636E80" w:rsidP="006448E7">
      <w:pPr>
        <w:pStyle w:val="FootnoteText"/>
      </w:pPr>
    </w:p>
  </w:footnote>
  <w:footnote w:id="8">
    <w:p w14:paraId="2945BC2A" w14:textId="77777777" w:rsidR="00636E80" w:rsidRDefault="00636E80" w:rsidP="006448E7">
      <w:pPr>
        <w:pStyle w:val="FootnoteText"/>
      </w:pPr>
      <w:r>
        <w:rPr>
          <w:rStyle w:val="FootnoteReference"/>
        </w:rPr>
        <w:footnoteRef/>
      </w:r>
      <w:r>
        <w:t xml:space="preserve"> Oda Ekonomike e Kosoves (2018). Mungesa e fuqisë punëtore të kualifikuar – sidë për bizneset. Qasja: </w:t>
      </w:r>
      <w:r w:rsidRPr="00917B17">
        <w:t>https://www.oek-kcc.org/uploads/files/2018/January/26/Mungesa_e_fuqise_punetore_te_kualifikuar_-_sfide_per_bizneset1516952028.pdf</w:t>
      </w:r>
    </w:p>
  </w:footnote>
  <w:footnote w:id="9">
    <w:p w14:paraId="73504D21" w14:textId="77777777" w:rsidR="00636E80" w:rsidRDefault="00636E80" w:rsidP="006448E7">
      <w:pPr>
        <w:pStyle w:val="FootnoteText"/>
      </w:pPr>
      <w:r>
        <w:rPr>
          <w:rStyle w:val="FootnoteReference"/>
        </w:rPr>
        <w:footnoteRef/>
      </w:r>
      <w:r>
        <w:t xml:space="preserve"> Ibid.</w:t>
      </w:r>
    </w:p>
  </w:footnote>
  <w:footnote w:id="10">
    <w:p w14:paraId="6AABDBD4" w14:textId="77777777" w:rsidR="00636E80" w:rsidRDefault="00636E80" w:rsidP="006448E7">
      <w:pPr>
        <w:pStyle w:val="FootnoteText"/>
      </w:pPr>
      <w:r>
        <w:rPr>
          <w:rStyle w:val="FootnoteReference"/>
        </w:rPr>
        <w:footnoteRef/>
      </w:r>
      <w:r>
        <w:t xml:space="preserve"> Banka Bot</w:t>
      </w:r>
      <w:r w:rsidRPr="00C2700D">
        <w:t>ë</w:t>
      </w:r>
      <w:r>
        <w:t xml:space="preserve">rore (2019). “Enterprise Survey”. Qasja: </w:t>
      </w:r>
      <w:r w:rsidRPr="00917B17">
        <w:t>https://www.enterprisesurveys.org/content/dam/enterprisesurveys/documents/country/Kosovo-2019.pdf</w:t>
      </w:r>
    </w:p>
  </w:footnote>
  <w:footnote w:id="11">
    <w:p w14:paraId="5E1D4322" w14:textId="77777777" w:rsidR="00636E80" w:rsidRDefault="00636E80" w:rsidP="006448E7">
      <w:pPr>
        <w:pStyle w:val="FootnoteText"/>
      </w:pPr>
      <w:r>
        <w:rPr>
          <w:rStyle w:val="FootnoteReference"/>
        </w:rPr>
        <w:footnoteRef/>
      </w:r>
      <w:r>
        <w:t xml:space="preserve"> Inspektorati i Pun</w:t>
      </w:r>
      <w:r w:rsidRPr="00C2700D">
        <w:t>ë</w:t>
      </w:r>
      <w:r>
        <w:t>s (2022). Raporti i pun</w:t>
      </w:r>
      <w:r w:rsidRPr="00C2700D">
        <w:t>ë</w:t>
      </w:r>
      <w:r>
        <w:t>s p</w:t>
      </w:r>
      <w:r w:rsidRPr="00C2700D">
        <w:t>ë</w:t>
      </w:r>
      <w:r>
        <w:t xml:space="preserve">r 2021. Qasja: </w:t>
      </w:r>
      <w:r w:rsidRPr="00917B17">
        <w:t>https://ip.rks-gov.net/wp-content/uploads/RAPORTI-VJETOR-2021.pdf</w:t>
      </w:r>
      <w:r>
        <w:t xml:space="preserve">  </w:t>
      </w:r>
    </w:p>
  </w:footnote>
  <w:footnote w:id="12">
    <w:p w14:paraId="23A55781" w14:textId="77777777" w:rsidR="00636E80" w:rsidRDefault="00636E80" w:rsidP="006448E7">
      <w:pPr>
        <w:pStyle w:val="FootnoteText"/>
      </w:pPr>
      <w:r>
        <w:rPr>
          <w:rStyle w:val="FootnoteReference"/>
        </w:rPr>
        <w:footnoteRef/>
      </w:r>
      <w:r>
        <w:t xml:space="preserve"> Agjencia e Statistikave t</w:t>
      </w:r>
      <w:r w:rsidRPr="00C2700D">
        <w:t>ë</w:t>
      </w:r>
      <w:r>
        <w:t xml:space="preserve"> Kosov</w:t>
      </w:r>
      <w:r w:rsidRPr="00C2700D">
        <w:t>ë</w:t>
      </w:r>
      <w:r>
        <w:t xml:space="preserve">s. ASK Data. </w:t>
      </w:r>
    </w:p>
  </w:footnote>
  <w:footnote w:id="13">
    <w:p w14:paraId="191AB5C6" w14:textId="77777777" w:rsidR="00636E80" w:rsidRDefault="00636E80" w:rsidP="007E2DB2">
      <w:pPr>
        <w:pStyle w:val="FootnoteText"/>
      </w:pPr>
      <w:r>
        <w:rPr>
          <w:rStyle w:val="FootnoteReference"/>
        </w:rPr>
        <w:footnoteRef/>
      </w:r>
      <w:r>
        <w:t xml:space="preserve"> Ibid.</w:t>
      </w:r>
    </w:p>
  </w:footnote>
  <w:footnote w:id="14">
    <w:p w14:paraId="30BC3277" w14:textId="77777777" w:rsidR="00636E80" w:rsidRDefault="00636E80">
      <w:pPr>
        <w:pStyle w:val="FootnoteText"/>
      </w:pPr>
      <w:r>
        <w:rPr>
          <w:rStyle w:val="FootnoteReference"/>
        </w:rPr>
        <w:footnoteRef/>
      </w:r>
      <w:r>
        <w:t xml:space="preserve"> MAPL (2021).  </w:t>
      </w:r>
      <w:r w:rsidRPr="005D5E21">
        <w:rPr>
          <w:rFonts w:ascii="Calibri" w:eastAsia="Times New Roman" w:hAnsi="Calibri" w:cs="Times New Roman"/>
          <w:color w:val="000000" w:themeColor="text1"/>
          <w:lang w:val="sq-AL"/>
        </w:rPr>
        <w:t>Studimit gjith</w:t>
      </w:r>
      <w:r>
        <w:rPr>
          <w:rFonts w:ascii="Calibri" w:eastAsia="Times New Roman" w:hAnsi="Calibri" w:cs="Times New Roman"/>
          <w:color w:val="000000" w:themeColor="text1"/>
          <w:lang w:val="sq-AL"/>
        </w:rPr>
        <w:t>ë</w:t>
      </w:r>
      <w:r w:rsidRPr="005D5E21">
        <w:rPr>
          <w:rFonts w:ascii="Calibri" w:eastAsia="Times New Roman" w:hAnsi="Calibri" w:cs="Times New Roman"/>
          <w:color w:val="000000" w:themeColor="text1"/>
          <w:lang w:val="sq-AL"/>
        </w:rPr>
        <w:t>p</w:t>
      </w:r>
      <w:r>
        <w:rPr>
          <w:rFonts w:ascii="Calibri" w:eastAsia="Times New Roman" w:hAnsi="Calibri" w:cs="Times New Roman"/>
          <w:color w:val="000000" w:themeColor="text1"/>
          <w:lang w:val="sq-AL"/>
        </w:rPr>
        <w:t>ë</w:t>
      </w:r>
      <w:r w:rsidRPr="005D5E21">
        <w:rPr>
          <w:rFonts w:ascii="Calibri" w:eastAsia="Times New Roman" w:hAnsi="Calibri" w:cs="Times New Roman"/>
          <w:color w:val="000000" w:themeColor="text1"/>
          <w:lang w:val="sq-AL"/>
        </w:rPr>
        <w:t>rfshir</w:t>
      </w:r>
      <w:r>
        <w:rPr>
          <w:rFonts w:ascii="Calibri" w:eastAsia="Times New Roman" w:hAnsi="Calibri" w:cs="Times New Roman"/>
          <w:color w:val="000000" w:themeColor="text1"/>
          <w:lang w:val="sq-AL"/>
        </w:rPr>
        <w:t>ë</w:t>
      </w:r>
      <w:r w:rsidRPr="005D5E21">
        <w:rPr>
          <w:rFonts w:ascii="Calibri" w:eastAsia="Times New Roman" w:hAnsi="Calibri" w:cs="Times New Roman"/>
          <w:color w:val="000000" w:themeColor="text1"/>
          <w:lang w:val="sq-AL"/>
        </w:rPr>
        <w:t>s s</w:t>
      </w:r>
      <w:r>
        <w:rPr>
          <w:rFonts w:ascii="Calibri" w:eastAsia="Times New Roman" w:hAnsi="Calibri" w:cs="Times New Roman"/>
          <w:color w:val="000000" w:themeColor="text1"/>
          <w:lang w:val="sq-AL"/>
        </w:rPr>
        <w:t>ë</w:t>
      </w:r>
      <w:r w:rsidRPr="005D5E21">
        <w:rPr>
          <w:rFonts w:ascii="Calibri" w:eastAsia="Times New Roman" w:hAnsi="Calibri" w:cs="Times New Roman"/>
          <w:color w:val="000000" w:themeColor="text1"/>
          <w:lang w:val="sq-AL"/>
        </w:rPr>
        <w:t xml:space="preserve"> sistemit t</w:t>
      </w:r>
      <w:r>
        <w:rPr>
          <w:rFonts w:ascii="Calibri" w:eastAsia="Times New Roman" w:hAnsi="Calibri" w:cs="Times New Roman"/>
          <w:color w:val="000000" w:themeColor="text1"/>
          <w:lang w:val="sq-AL"/>
        </w:rPr>
        <w:t>ë</w:t>
      </w:r>
      <w:r w:rsidRPr="005D5E21">
        <w:rPr>
          <w:rFonts w:ascii="Calibri" w:eastAsia="Times New Roman" w:hAnsi="Calibri" w:cs="Times New Roman"/>
          <w:color w:val="000000" w:themeColor="text1"/>
          <w:lang w:val="sq-AL"/>
        </w:rPr>
        <w:t xml:space="preserve"> vetëqeverisjes lokale n</w:t>
      </w:r>
      <w:r>
        <w:rPr>
          <w:rFonts w:ascii="Calibri" w:eastAsia="Times New Roman" w:hAnsi="Calibri" w:cs="Times New Roman"/>
          <w:color w:val="000000" w:themeColor="text1"/>
          <w:lang w:val="sq-AL"/>
        </w:rPr>
        <w:t>ë</w:t>
      </w:r>
      <w:r w:rsidRPr="005D5E21">
        <w:rPr>
          <w:rFonts w:ascii="Calibri" w:eastAsia="Times New Roman" w:hAnsi="Calibri" w:cs="Times New Roman"/>
          <w:color w:val="000000" w:themeColor="text1"/>
          <w:lang w:val="sq-AL"/>
        </w:rPr>
        <w:t xml:space="preserve"> Kosov</w:t>
      </w:r>
      <w:r>
        <w:rPr>
          <w:rFonts w:ascii="Calibri" w:eastAsia="Times New Roman" w:hAnsi="Calibri" w:cs="Times New Roman"/>
          <w:color w:val="000000" w:themeColor="text1"/>
          <w:lang w:val="sq-AL"/>
        </w:rPr>
        <w:t xml:space="preserve">ë. Qasja: </w:t>
      </w:r>
      <w:r w:rsidRPr="0063250B">
        <w:rPr>
          <w:rFonts w:ascii="Calibri" w:eastAsia="Times New Roman" w:hAnsi="Calibri" w:cs="Times New Roman"/>
          <w:color w:val="000000" w:themeColor="text1"/>
          <w:lang w:val="sq-AL"/>
        </w:rPr>
        <w:t>https://mapl.rks-gov.net/wp-content/uploads/2022/01/STUDIMI-GJITHEPERFSHIRES-I-SISTEMIT-TE-VETQEVERISJES-LOKALE-NE-KOSOVE.pdf</w:t>
      </w:r>
    </w:p>
  </w:footnote>
  <w:footnote w:id="15">
    <w:p w14:paraId="3EE8C849" w14:textId="77777777" w:rsidR="00636E80" w:rsidRDefault="00636E80" w:rsidP="006448E7">
      <w:pPr>
        <w:pStyle w:val="FootnoteText"/>
      </w:pPr>
      <w:r>
        <w:rPr>
          <w:rStyle w:val="FootnoteReference"/>
        </w:rPr>
        <w:footnoteRef/>
      </w:r>
      <w:r>
        <w:t xml:space="preserve"> Ibid.</w:t>
      </w:r>
    </w:p>
  </w:footnote>
  <w:footnote w:id="16">
    <w:p w14:paraId="0358762F" w14:textId="77777777" w:rsidR="00636E80" w:rsidRDefault="00636E80" w:rsidP="00BB2408">
      <w:pPr>
        <w:pStyle w:val="FootnoteText"/>
      </w:pPr>
      <w:r>
        <w:rPr>
          <w:rStyle w:val="FootnoteReference"/>
        </w:rPr>
        <w:footnoteRef/>
      </w:r>
      <w:r>
        <w:t xml:space="preserve"> </w:t>
      </w:r>
      <w:r w:rsidRPr="00FD5317">
        <w:t>T</w:t>
      </w:r>
      <w:r w:rsidRPr="00FD5317">
        <w:rPr>
          <w:rFonts w:ascii="Calibri" w:eastAsia="Times New Roman" w:hAnsi="Calibri" w:cs="Calibri"/>
          <w:bCs/>
          <w:color w:val="000000" w:themeColor="text1"/>
          <w:lang w:val="sq-AL"/>
        </w:rPr>
        <w:t>ë përfshira vetë</w:t>
      </w:r>
      <w:r>
        <w:rPr>
          <w:rFonts w:ascii="Calibri" w:eastAsia="Times New Roman" w:hAnsi="Calibri" w:cs="Calibri"/>
          <w:bCs/>
          <w:color w:val="000000" w:themeColor="text1"/>
          <w:lang w:val="sq-AL"/>
        </w:rPr>
        <w:t>m aktivitetet ekonomike (NACE: A-C, F-M, dhe S)</w:t>
      </w:r>
    </w:p>
  </w:footnote>
  <w:footnote w:id="17">
    <w:p w14:paraId="73BA9E7F" w14:textId="77777777" w:rsidR="00636E80" w:rsidRDefault="00636E80" w:rsidP="00BB2408">
      <w:pPr>
        <w:pStyle w:val="FootnoteText"/>
      </w:pPr>
      <w:r>
        <w:rPr>
          <w:rStyle w:val="FootnoteReference"/>
        </w:rPr>
        <w:footnoteRef/>
      </w:r>
      <w:r>
        <w:t xml:space="preserve"> </w:t>
      </w:r>
      <w:r w:rsidRPr="00FD5317">
        <w:t>T</w:t>
      </w:r>
      <w:r w:rsidRPr="00FD5317">
        <w:rPr>
          <w:rFonts w:ascii="Calibri" w:eastAsia="Times New Roman" w:hAnsi="Calibri" w:cs="Calibri"/>
          <w:bCs/>
          <w:color w:val="000000" w:themeColor="text1"/>
          <w:lang w:val="sq-AL"/>
        </w:rPr>
        <w:t>ë përfshira vetë</w:t>
      </w:r>
      <w:r>
        <w:rPr>
          <w:rFonts w:ascii="Calibri" w:eastAsia="Times New Roman" w:hAnsi="Calibri" w:cs="Calibri"/>
          <w:bCs/>
          <w:color w:val="000000" w:themeColor="text1"/>
          <w:lang w:val="sq-AL"/>
        </w:rPr>
        <w:t>m aktivitetet ekonomike (NACE: A-C, F-M, dhe 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41B"/>
    <w:multiLevelType w:val="multilevel"/>
    <w:tmpl w:val="700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8179F"/>
    <w:multiLevelType w:val="hybridMultilevel"/>
    <w:tmpl w:val="D1F09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9204B"/>
    <w:multiLevelType w:val="hybridMultilevel"/>
    <w:tmpl w:val="497A4394"/>
    <w:lvl w:ilvl="0" w:tplc="4A96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50127"/>
    <w:multiLevelType w:val="hybridMultilevel"/>
    <w:tmpl w:val="EA963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0621D"/>
    <w:multiLevelType w:val="multilevel"/>
    <w:tmpl w:val="861EB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950852"/>
    <w:multiLevelType w:val="hybridMultilevel"/>
    <w:tmpl w:val="22C41BB6"/>
    <w:lvl w:ilvl="0" w:tplc="AE22F52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F4406"/>
    <w:multiLevelType w:val="hybridMultilevel"/>
    <w:tmpl w:val="F79E1952"/>
    <w:lvl w:ilvl="0" w:tplc="487061C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45BFA"/>
    <w:multiLevelType w:val="hybridMultilevel"/>
    <w:tmpl w:val="8ED4C81A"/>
    <w:lvl w:ilvl="0" w:tplc="4846FDD2">
      <w:start w:val="1"/>
      <w:numFmt w:val="bullet"/>
      <w:lvlText w:val="•"/>
      <w:lvlJc w:val="left"/>
      <w:pPr>
        <w:tabs>
          <w:tab w:val="num" w:pos="720"/>
        </w:tabs>
        <w:ind w:left="720" w:hanging="360"/>
      </w:pPr>
      <w:rPr>
        <w:rFonts w:ascii="Times New Roman" w:hAnsi="Times New Roman" w:hint="default"/>
      </w:rPr>
    </w:lvl>
    <w:lvl w:ilvl="1" w:tplc="035429E8" w:tentative="1">
      <w:start w:val="1"/>
      <w:numFmt w:val="bullet"/>
      <w:lvlText w:val="•"/>
      <w:lvlJc w:val="left"/>
      <w:pPr>
        <w:tabs>
          <w:tab w:val="num" w:pos="1440"/>
        </w:tabs>
        <w:ind w:left="1440" w:hanging="360"/>
      </w:pPr>
      <w:rPr>
        <w:rFonts w:ascii="Times New Roman" w:hAnsi="Times New Roman" w:hint="default"/>
      </w:rPr>
    </w:lvl>
    <w:lvl w:ilvl="2" w:tplc="26C6FAFA" w:tentative="1">
      <w:start w:val="1"/>
      <w:numFmt w:val="bullet"/>
      <w:lvlText w:val="•"/>
      <w:lvlJc w:val="left"/>
      <w:pPr>
        <w:tabs>
          <w:tab w:val="num" w:pos="2160"/>
        </w:tabs>
        <w:ind w:left="2160" w:hanging="360"/>
      </w:pPr>
      <w:rPr>
        <w:rFonts w:ascii="Times New Roman" w:hAnsi="Times New Roman" w:hint="default"/>
      </w:rPr>
    </w:lvl>
    <w:lvl w:ilvl="3" w:tplc="DE8C2C64" w:tentative="1">
      <w:start w:val="1"/>
      <w:numFmt w:val="bullet"/>
      <w:lvlText w:val="•"/>
      <w:lvlJc w:val="left"/>
      <w:pPr>
        <w:tabs>
          <w:tab w:val="num" w:pos="2880"/>
        </w:tabs>
        <w:ind w:left="2880" w:hanging="360"/>
      </w:pPr>
      <w:rPr>
        <w:rFonts w:ascii="Times New Roman" w:hAnsi="Times New Roman" w:hint="default"/>
      </w:rPr>
    </w:lvl>
    <w:lvl w:ilvl="4" w:tplc="68A05B96" w:tentative="1">
      <w:start w:val="1"/>
      <w:numFmt w:val="bullet"/>
      <w:lvlText w:val="•"/>
      <w:lvlJc w:val="left"/>
      <w:pPr>
        <w:tabs>
          <w:tab w:val="num" w:pos="3600"/>
        </w:tabs>
        <w:ind w:left="3600" w:hanging="360"/>
      </w:pPr>
      <w:rPr>
        <w:rFonts w:ascii="Times New Roman" w:hAnsi="Times New Roman" w:hint="default"/>
      </w:rPr>
    </w:lvl>
    <w:lvl w:ilvl="5" w:tplc="F46A1052" w:tentative="1">
      <w:start w:val="1"/>
      <w:numFmt w:val="bullet"/>
      <w:lvlText w:val="•"/>
      <w:lvlJc w:val="left"/>
      <w:pPr>
        <w:tabs>
          <w:tab w:val="num" w:pos="4320"/>
        </w:tabs>
        <w:ind w:left="4320" w:hanging="360"/>
      </w:pPr>
      <w:rPr>
        <w:rFonts w:ascii="Times New Roman" w:hAnsi="Times New Roman" w:hint="default"/>
      </w:rPr>
    </w:lvl>
    <w:lvl w:ilvl="6" w:tplc="6504B80C" w:tentative="1">
      <w:start w:val="1"/>
      <w:numFmt w:val="bullet"/>
      <w:lvlText w:val="•"/>
      <w:lvlJc w:val="left"/>
      <w:pPr>
        <w:tabs>
          <w:tab w:val="num" w:pos="5040"/>
        </w:tabs>
        <w:ind w:left="5040" w:hanging="360"/>
      </w:pPr>
      <w:rPr>
        <w:rFonts w:ascii="Times New Roman" w:hAnsi="Times New Roman" w:hint="default"/>
      </w:rPr>
    </w:lvl>
    <w:lvl w:ilvl="7" w:tplc="15C6B592" w:tentative="1">
      <w:start w:val="1"/>
      <w:numFmt w:val="bullet"/>
      <w:lvlText w:val="•"/>
      <w:lvlJc w:val="left"/>
      <w:pPr>
        <w:tabs>
          <w:tab w:val="num" w:pos="5760"/>
        </w:tabs>
        <w:ind w:left="5760" w:hanging="360"/>
      </w:pPr>
      <w:rPr>
        <w:rFonts w:ascii="Times New Roman" w:hAnsi="Times New Roman" w:hint="default"/>
      </w:rPr>
    </w:lvl>
    <w:lvl w:ilvl="8" w:tplc="228472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B0658A"/>
    <w:multiLevelType w:val="hybridMultilevel"/>
    <w:tmpl w:val="1B6A2B76"/>
    <w:lvl w:ilvl="0" w:tplc="8E920A78">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9687B"/>
    <w:multiLevelType w:val="hybridMultilevel"/>
    <w:tmpl w:val="C220C9C4"/>
    <w:lvl w:ilvl="0" w:tplc="ED28A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B72D0"/>
    <w:multiLevelType w:val="multilevel"/>
    <w:tmpl w:val="9CAABEE0"/>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CE7669F"/>
    <w:multiLevelType w:val="hybridMultilevel"/>
    <w:tmpl w:val="5736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02A34"/>
    <w:multiLevelType w:val="hybridMultilevel"/>
    <w:tmpl w:val="850CA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53E26"/>
    <w:multiLevelType w:val="hybridMultilevel"/>
    <w:tmpl w:val="EA20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46BB4"/>
    <w:multiLevelType w:val="hybridMultilevel"/>
    <w:tmpl w:val="7EF28638"/>
    <w:lvl w:ilvl="0" w:tplc="86025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A6090"/>
    <w:multiLevelType w:val="hybridMultilevel"/>
    <w:tmpl w:val="A314C4FA"/>
    <w:lvl w:ilvl="0" w:tplc="43569964">
      <w:start w:val="1"/>
      <w:numFmt w:val="bullet"/>
      <w:lvlText w:val="•"/>
      <w:lvlJc w:val="left"/>
      <w:pPr>
        <w:tabs>
          <w:tab w:val="num" w:pos="720"/>
        </w:tabs>
        <w:ind w:left="720" w:hanging="360"/>
      </w:pPr>
      <w:rPr>
        <w:rFonts w:ascii="Arial" w:hAnsi="Arial" w:hint="default"/>
      </w:rPr>
    </w:lvl>
    <w:lvl w:ilvl="1" w:tplc="06D470A2" w:tentative="1">
      <w:start w:val="1"/>
      <w:numFmt w:val="bullet"/>
      <w:lvlText w:val="•"/>
      <w:lvlJc w:val="left"/>
      <w:pPr>
        <w:tabs>
          <w:tab w:val="num" w:pos="1440"/>
        </w:tabs>
        <w:ind w:left="1440" w:hanging="360"/>
      </w:pPr>
      <w:rPr>
        <w:rFonts w:ascii="Arial" w:hAnsi="Arial" w:hint="default"/>
      </w:rPr>
    </w:lvl>
    <w:lvl w:ilvl="2" w:tplc="6A7A676C" w:tentative="1">
      <w:start w:val="1"/>
      <w:numFmt w:val="bullet"/>
      <w:lvlText w:val="•"/>
      <w:lvlJc w:val="left"/>
      <w:pPr>
        <w:tabs>
          <w:tab w:val="num" w:pos="2160"/>
        </w:tabs>
        <w:ind w:left="2160" w:hanging="360"/>
      </w:pPr>
      <w:rPr>
        <w:rFonts w:ascii="Arial" w:hAnsi="Arial" w:hint="default"/>
      </w:rPr>
    </w:lvl>
    <w:lvl w:ilvl="3" w:tplc="23642A6C" w:tentative="1">
      <w:start w:val="1"/>
      <w:numFmt w:val="bullet"/>
      <w:lvlText w:val="•"/>
      <w:lvlJc w:val="left"/>
      <w:pPr>
        <w:tabs>
          <w:tab w:val="num" w:pos="2880"/>
        </w:tabs>
        <w:ind w:left="2880" w:hanging="360"/>
      </w:pPr>
      <w:rPr>
        <w:rFonts w:ascii="Arial" w:hAnsi="Arial" w:hint="default"/>
      </w:rPr>
    </w:lvl>
    <w:lvl w:ilvl="4" w:tplc="E820948C" w:tentative="1">
      <w:start w:val="1"/>
      <w:numFmt w:val="bullet"/>
      <w:lvlText w:val="•"/>
      <w:lvlJc w:val="left"/>
      <w:pPr>
        <w:tabs>
          <w:tab w:val="num" w:pos="3600"/>
        </w:tabs>
        <w:ind w:left="3600" w:hanging="360"/>
      </w:pPr>
      <w:rPr>
        <w:rFonts w:ascii="Arial" w:hAnsi="Arial" w:hint="default"/>
      </w:rPr>
    </w:lvl>
    <w:lvl w:ilvl="5" w:tplc="2E8AC730" w:tentative="1">
      <w:start w:val="1"/>
      <w:numFmt w:val="bullet"/>
      <w:lvlText w:val="•"/>
      <w:lvlJc w:val="left"/>
      <w:pPr>
        <w:tabs>
          <w:tab w:val="num" w:pos="4320"/>
        </w:tabs>
        <w:ind w:left="4320" w:hanging="360"/>
      </w:pPr>
      <w:rPr>
        <w:rFonts w:ascii="Arial" w:hAnsi="Arial" w:hint="default"/>
      </w:rPr>
    </w:lvl>
    <w:lvl w:ilvl="6" w:tplc="007E201A" w:tentative="1">
      <w:start w:val="1"/>
      <w:numFmt w:val="bullet"/>
      <w:lvlText w:val="•"/>
      <w:lvlJc w:val="left"/>
      <w:pPr>
        <w:tabs>
          <w:tab w:val="num" w:pos="5040"/>
        </w:tabs>
        <w:ind w:left="5040" w:hanging="360"/>
      </w:pPr>
      <w:rPr>
        <w:rFonts w:ascii="Arial" w:hAnsi="Arial" w:hint="default"/>
      </w:rPr>
    </w:lvl>
    <w:lvl w:ilvl="7" w:tplc="CA9E9FB2" w:tentative="1">
      <w:start w:val="1"/>
      <w:numFmt w:val="bullet"/>
      <w:lvlText w:val="•"/>
      <w:lvlJc w:val="left"/>
      <w:pPr>
        <w:tabs>
          <w:tab w:val="num" w:pos="5760"/>
        </w:tabs>
        <w:ind w:left="5760" w:hanging="360"/>
      </w:pPr>
      <w:rPr>
        <w:rFonts w:ascii="Arial" w:hAnsi="Arial" w:hint="default"/>
      </w:rPr>
    </w:lvl>
    <w:lvl w:ilvl="8" w:tplc="DB1420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524422"/>
    <w:multiLevelType w:val="hybridMultilevel"/>
    <w:tmpl w:val="01AEC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15"/>
  </w:num>
  <w:num w:numId="7">
    <w:abstractNumId w:val="5"/>
  </w:num>
  <w:num w:numId="8">
    <w:abstractNumId w:val="3"/>
  </w:num>
  <w:num w:numId="9">
    <w:abstractNumId w:val="16"/>
  </w:num>
  <w:num w:numId="10">
    <w:abstractNumId w:val="11"/>
  </w:num>
  <w:num w:numId="11">
    <w:abstractNumId w:val="12"/>
  </w:num>
  <w:num w:numId="12">
    <w:abstractNumId w:val="9"/>
  </w:num>
  <w:num w:numId="13">
    <w:abstractNumId w:val="10"/>
  </w:num>
  <w:num w:numId="14">
    <w:abstractNumId w:val="14"/>
  </w:num>
  <w:num w:numId="15">
    <w:abstractNumId w:val="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3E"/>
    <w:rsid w:val="0000526D"/>
    <w:rsid w:val="00007273"/>
    <w:rsid w:val="00007C41"/>
    <w:rsid w:val="00010B8B"/>
    <w:rsid w:val="0001223E"/>
    <w:rsid w:val="000220F2"/>
    <w:rsid w:val="0002327F"/>
    <w:rsid w:val="00025E2F"/>
    <w:rsid w:val="00047509"/>
    <w:rsid w:val="00052486"/>
    <w:rsid w:val="00063164"/>
    <w:rsid w:val="00066C9F"/>
    <w:rsid w:val="000815EA"/>
    <w:rsid w:val="000B32E0"/>
    <w:rsid w:val="000B401D"/>
    <w:rsid w:val="000E00B8"/>
    <w:rsid w:val="000E639E"/>
    <w:rsid w:val="000E7872"/>
    <w:rsid w:val="000F0A2E"/>
    <w:rsid w:val="000F11A0"/>
    <w:rsid w:val="000F4145"/>
    <w:rsid w:val="00103605"/>
    <w:rsid w:val="00116138"/>
    <w:rsid w:val="00117A85"/>
    <w:rsid w:val="00152BA0"/>
    <w:rsid w:val="001542D5"/>
    <w:rsid w:val="00154D4F"/>
    <w:rsid w:val="00163C0B"/>
    <w:rsid w:val="0016677B"/>
    <w:rsid w:val="001747E7"/>
    <w:rsid w:val="0017754D"/>
    <w:rsid w:val="00182098"/>
    <w:rsid w:val="00186658"/>
    <w:rsid w:val="00190BA7"/>
    <w:rsid w:val="00196F3B"/>
    <w:rsid w:val="001B1BA9"/>
    <w:rsid w:val="001B2326"/>
    <w:rsid w:val="001B6950"/>
    <w:rsid w:val="001D5E32"/>
    <w:rsid w:val="001F2F90"/>
    <w:rsid w:val="001F7FB9"/>
    <w:rsid w:val="00207262"/>
    <w:rsid w:val="00212340"/>
    <w:rsid w:val="00215D80"/>
    <w:rsid w:val="0022012B"/>
    <w:rsid w:val="00222FAF"/>
    <w:rsid w:val="00225F39"/>
    <w:rsid w:val="00227238"/>
    <w:rsid w:val="0023401F"/>
    <w:rsid w:val="00235B48"/>
    <w:rsid w:val="00241D05"/>
    <w:rsid w:val="002505C7"/>
    <w:rsid w:val="00251932"/>
    <w:rsid w:val="0025727C"/>
    <w:rsid w:val="00280B8D"/>
    <w:rsid w:val="002A044B"/>
    <w:rsid w:val="002A71C6"/>
    <w:rsid w:val="002B0CF6"/>
    <w:rsid w:val="002C63B7"/>
    <w:rsid w:val="002D3DC9"/>
    <w:rsid w:val="002D6291"/>
    <w:rsid w:val="002D7B48"/>
    <w:rsid w:val="002F1873"/>
    <w:rsid w:val="002F1E54"/>
    <w:rsid w:val="002F201B"/>
    <w:rsid w:val="002F793E"/>
    <w:rsid w:val="003113A4"/>
    <w:rsid w:val="00312D8F"/>
    <w:rsid w:val="00320A99"/>
    <w:rsid w:val="00334B7A"/>
    <w:rsid w:val="00334D5D"/>
    <w:rsid w:val="00341EB7"/>
    <w:rsid w:val="00354A66"/>
    <w:rsid w:val="0036401F"/>
    <w:rsid w:val="0037218F"/>
    <w:rsid w:val="00372399"/>
    <w:rsid w:val="00373316"/>
    <w:rsid w:val="0037494A"/>
    <w:rsid w:val="00387EC8"/>
    <w:rsid w:val="003916D5"/>
    <w:rsid w:val="00395A86"/>
    <w:rsid w:val="003A0787"/>
    <w:rsid w:val="003A1E16"/>
    <w:rsid w:val="003A236F"/>
    <w:rsid w:val="003A7BE4"/>
    <w:rsid w:val="003A7FAD"/>
    <w:rsid w:val="003C5C6C"/>
    <w:rsid w:val="003D18CF"/>
    <w:rsid w:val="003E10CD"/>
    <w:rsid w:val="003E4404"/>
    <w:rsid w:val="003F77A2"/>
    <w:rsid w:val="00413C2D"/>
    <w:rsid w:val="004261D2"/>
    <w:rsid w:val="00431294"/>
    <w:rsid w:val="004323BA"/>
    <w:rsid w:val="0044546C"/>
    <w:rsid w:val="00453D3E"/>
    <w:rsid w:val="00467AC9"/>
    <w:rsid w:val="00476B4C"/>
    <w:rsid w:val="0047764D"/>
    <w:rsid w:val="00481E2A"/>
    <w:rsid w:val="004847AD"/>
    <w:rsid w:val="00490F96"/>
    <w:rsid w:val="00497AF1"/>
    <w:rsid w:val="004B0905"/>
    <w:rsid w:val="004B1850"/>
    <w:rsid w:val="004B1C06"/>
    <w:rsid w:val="004C7D0A"/>
    <w:rsid w:val="004D236D"/>
    <w:rsid w:val="004E5337"/>
    <w:rsid w:val="005027F9"/>
    <w:rsid w:val="00506AAD"/>
    <w:rsid w:val="005138BF"/>
    <w:rsid w:val="00523C70"/>
    <w:rsid w:val="00524E30"/>
    <w:rsid w:val="00535550"/>
    <w:rsid w:val="005372EC"/>
    <w:rsid w:val="005418A9"/>
    <w:rsid w:val="00541E2E"/>
    <w:rsid w:val="00553C71"/>
    <w:rsid w:val="00563229"/>
    <w:rsid w:val="00575F76"/>
    <w:rsid w:val="00575FCF"/>
    <w:rsid w:val="00582287"/>
    <w:rsid w:val="00582CD9"/>
    <w:rsid w:val="005833CC"/>
    <w:rsid w:val="00583E64"/>
    <w:rsid w:val="00585F14"/>
    <w:rsid w:val="00586171"/>
    <w:rsid w:val="0059254F"/>
    <w:rsid w:val="005936E3"/>
    <w:rsid w:val="0059787A"/>
    <w:rsid w:val="005A6198"/>
    <w:rsid w:val="005B16F3"/>
    <w:rsid w:val="005B3F71"/>
    <w:rsid w:val="005B49AD"/>
    <w:rsid w:val="005D098E"/>
    <w:rsid w:val="005D37D6"/>
    <w:rsid w:val="005D5E21"/>
    <w:rsid w:val="005D61F5"/>
    <w:rsid w:val="005E0430"/>
    <w:rsid w:val="006045A3"/>
    <w:rsid w:val="006076AC"/>
    <w:rsid w:val="0061398D"/>
    <w:rsid w:val="00616EA7"/>
    <w:rsid w:val="00631944"/>
    <w:rsid w:val="00631A10"/>
    <w:rsid w:val="0063250B"/>
    <w:rsid w:val="00636E80"/>
    <w:rsid w:val="006448E7"/>
    <w:rsid w:val="0065267B"/>
    <w:rsid w:val="00652697"/>
    <w:rsid w:val="00655499"/>
    <w:rsid w:val="00665A18"/>
    <w:rsid w:val="00674A08"/>
    <w:rsid w:val="00686232"/>
    <w:rsid w:val="006942EC"/>
    <w:rsid w:val="006960A6"/>
    <w:rsid w:val="00696A7C"/>
    <w:rsid w:val="006A1D5A"/>
    <w:rsid w:val="006A7130"/>
    <w:rsid w:val="006B5484"/>
    <w:rsid w:val="006C4C16"/>
    <w:rsid w:val="006D2E9E"/>
    <w:rsid w:val="006D3062"/>
    <w:rsid w:val="006F0CA6"/>
    <w:rsid w:val="006F5076"/>
    <w:rsid w:val="006F6F6D"/>
    <w:rsid w:val="00700949"/>
    <w:rsid w:val="0071258E"/>
    <w:rsid w:val="00712F91"/>
    <w:rsid w:val="00723D5C"/>
    <w:rsid w:val="00724E53"/>
    <w:rsid w:val="007252C5"/>
    <w:rsid w:val="00726CD4"/>
    <w:rsid w:val="00730EA4"/>
    <w:rsid w:val="00732F17"/>
    <w:rsid w:val="00742868"/>
    <w:rsid w:val="00743CAB"/>
    <w:rsid w:val="00743F68"/>
    <w:rsid w:val="00745B6D"/>
    <w:rsid w:val="00751F67"/>
    <w:rsid w:val="0075730D"/>
    <w:rsid w:val="00760248"/>
    <w:rsid w:val="00770A14"/>
    <w:rsid w:val="00776E09"/>
    <w:rsid w:val="00777CA6"/>
    <w:rsid w:val="007827C3"/>
    <w:rsid w:val="00784752"/>
    <w:rsid w:val="007954AF"/>
    <w:rsid w:val="007A09B3"/>
    <w:rsid w:val="007A3817"/>
    <w:rsid w:val="007B3FF7"/>
    <w:rsid w:val="007C4EB3"/>
    <w:rsid w:val="007C52BC"/>
    <w:rsid w:val="007C54BD"/>
    <w:rsid w:val="007D2B37"/>
    <w:rsid w:val="007E0A71"/>
    <w:rsid w:val="007E2DB2"/>
    <w:rsid w:val="007F05F0"/>
    <w:rsid w:val="007F27E8"/>
    <w:rsid w:val="007F5215"/>
    <w:rsid w:val="00802F2E"/>
    <w:rsid w:val="00820D2B"/>
    <w:rsid w:val="008237F1"/>
    <w:rsid w:val="00824EB2"/>
    <w:rsid w:val="00826C26"/>
    <w:rsid w:val="00833C5F"/>
    <w:rsid w:val="00834A23"/>
    <w:rsid w:val="00844887"/>
    <w:rsid w:val="00844CE8"/>
    <w:rsid w:val="00853056"/>
    <w:rsid w:val="008553A7"/>
    <w:rsid w:val="0087131E"/>
    <w:rsid w:val="00872BFB"/>
    <w:rsid w:val="00875E6C"/>
    <w:rsid w:val="008852AE"/>
    <w:rsid w:val="008A784E"/>
    <w:rsid w:val="008B4706"/>
    <w:rsid w:val="008B5A40"/>
    <w:rsid w:val="008B79C5"/>
    <w:rsid w:val="008C20AD"/>
    <w:rsid w:val="008E3D6D"/>
    <w:rsid w:val="00902F3D"/>
    <w:rsid w:val="00912654"/>
    <w:rsid w:val="009213A8"/>
    <w:rsid w:val="00921A14"/>
    <w:rsid w:val="00933571"/>
    <w:rsid w:val="00935829"/>
    <w:rsid w:val="00947665"/>
    <w:rsid w:val="00947D08"/>
    <w:rsid w:val="00947DD1"/>
    <w:rsid w:val="00953CFF"/>
    <w:rsid w:val="00954306"/>
    <w:rsid w:val="0095463F"/>
    <w:rsid w:val="009601FF"/>
    <w:rsid w:val="00964C12"/>
    <w:rsid w:val="00965EF0"/>
    <w:rsid w:val="00977549"/>
    <w:rsid w:val="009865F3"/>
    <w:rsid w:val="00986AA3"/>
    <w:rsid w:val="00992DF8"/>
    <w:rsid w:val="0099751C"/>
    <w:rsid w:val="009A0159"/>
    <w:rsid w:val="009A659A"/>
    <w:rsid w:val="009C37D2"/>
    <w:rsid w:val="009C64FE"/>
    <w:rsid w:val="009E6205"/>
    <w:rsid w:val="009E674D"/>
    <w:rsid w:val="009F3049"/>
    <w:rsid w:val="009F5273"/>
    <w:rsid w:val="009F5696"/>
    <w:rsid w:val="00A01CDF"/>
    <w:rsid w:val="00A139E7"/>
    <w:rsid w:val="00A30871"/>
    <w:rsid w:val="00A3159B"/>
    <w:rsid w:val="00A32C9F"/>
    <w:rsid w:val="00A436A8"/>
    <w:rsid w:val="00A50ED1"/>
    <w:rsid w:val="00A548A5"/>
    <w:rsid w:val="00A55102"/>
    <w:rsid w:val="00A604A8"/>
    <w:rsid w:val="00A6213D"/>
    <w:rsid w:val="00A63731"/>
    <w:rsid w:val="00A64D95"/>
    <w:rsid w:val="00A64E08"/>
    <w:rsid w:val="00A65729"/>
    <w:rsid w:val="00A65E6A"/>
    <w:rsid w:val="00A660DF"/>
    <w:rsid w:val="00A726B1"/>
    <w:rsid w:val="00A7649D"/>
    <w:rsid w:val="00A85804"/>
    <w:rsid w:val="00A923DD"/>
    <w:rsid w:val="00AA7817"/>
    <w:rsid w:val="00AB3E9A"/>
    <w:rsid w:val="00AC2496"/>
    <w:rsid w:val="00AC377D"/>
    <w:rsid w:val="00AC767B"/>
    <w:rsid w:val="00AC7E43"/>
    <w:rsid w:val="00AE067C"/>
    <w:rsid w:val="00AE2FFC"/>
    <w:rsid w:val="00AE4C40"/>
    <w:rsid w:val="00AE6C39"/>
    <w:rsid w:val="00AE6DA0"/>
    <w:rsid w:val="00AF548E"/>
    <w:rsid w:val="00B046BA"/>
    <w:rsid w:val="00B25024"/>
    <w:rsid w:val="00B27C93"/>
    <w:rsid w:val="00B32F11"/>
    <w:rsid w:val="00B4243E"/>
    <w:rsid w:val="00B45AE2"/>
    <w:rsid w:val="00B46C3A"/>
    <w:rsid w:val="00B52DE8"/>
    <w:rsid w:val="00B6657C"/>
    <w:rsid w:val="00B7322D"/>
    <w:rsid w:val="00B76C50"/>
    <w:rsid w:val="00B77EEF"/>
    <w:rsid w:val="00B8540A"/>
    <w:rsid w:val="00B86FCC"/>
    <w:rsid w:val="00B8776A"/>
    <w:rsid w:val="00B92EA6"/>
    <w:rsid w:val="00BA0BCB"/>
    <w:rsid w:val="00BB079D"/>
    <w:rsid w:val="00BB2408"/>
    <w:rsid w:val="00BC2E7C"/>
    <w:rsid w:val="00BC4295"/>
    <w:rsid w:val="00BC712A"/>
    <w:rsid w:val="00BD07E3"/>
    <w:rsid w:val="00BE1CC8"/>
    <w:rsid w:val="00BE2315"/>
    <w:rsid w:val="00BF7DDE"/>
    <w:rsid w:val="00C032A9"/>
    <w:rsid w:val="00C0486B"/>
    <w:rsid w:val="00C0754B"/>
    <w:rsid w:val="00C22B77"/>
    <w:rsid w:val="00C273CA"/>
    <w:rsid w:val="00C425F7"/>
    <w:rsid w:val="00C46375"/>
    <w:rsid w:val="00C505A1"/>
    <w:rsid w:val="00C52A29"/>
    <w:rsid w:val="00C573B1"/>
    <w:rsid w:val="00C639C9"/>
    <w:rsid w:val="00C6560E"/>
    <w:rsid w:val="00C807FE"/>
    <w:rsid w:val="00C90ADF"/>
    <w:rsid w:val="00CA25DC"/>
    <w:rsid w:val="00CB16CF"/>
    <w:rsid w:val="00CB403C"/>
    <w:rsid w:val="00CC234C"/>
    <w:rsid w:val="00CC2745"/>
    <w:rsid w:val="00CC4E83"/>
    <w:rsid w:val="00CC5E6F"/>
    <w:rsid w:val="00CD2C12"/>
    <w:rsid w:val="00CE5587"/>
    <w:rsid w:val="00CE7C2C"/>
    <w:rsid w:val="00CF27AA"/>
    <w:rsid w:val="00D00752"/>
    <w:rsid w:val="00D01D9B"/>
    <w:rsid w:val="00D20E8E"/>
    <w:rsid w:val="00D21FE6"/>
    <w:rsid w:val="00D25687"/>
    <w:rsid w:val="00D32EAA"/>
    <w:rsid w:val="00D41466"/>
    <w:rsid w:val="00D41BC7"/>
    <w:rsid w:val="00D57806"/>
    <w:rsid w:val="00D91DB5"/>
    <w:rsid w:val="00DA66E3"/>
    <w:rsid w:val="00DB0A99"/>
    <w:rsid w:val="00DC1C34"/>
    <w:rsid w:val="00DC2076"/>
    <w:rsid w:val="00DC339A"/>
    <w:rsid w:val="00DC448B"/>
    <w:rsid w:val="00DC45C0"/>
    <w:rsid w:val="00DD4E43"/>
    <w:rsid w:val="00DE38EA"/>
    <w:rsid w:val="00DF0460"/>
    <w:rsid w:val="00E027CD"/>
    <w:rsid w:val="00E13193"/>
    <w:rsid w:val="00E2022F"/>
    <w:rsid w:val="00E234AE"/>
    <w:rsid w:val="00E2361A"/>
    <w:rsid w:val="00E31011"/>
    <w:rsid w:val="00E3537E"/>
    <w:rsid w:val="00E4499E"/>
    <w:rsid w:val="00E5016A"/>
    <w:rsid w:val="00E55C33"/>
    <w:rsid w:val="00E57DF6"/>
    <w:rsid w:val="00E636D8"/>
    <w:rsid w:val="00E64227"/>
    <w:rsid w:val="00E66A4F"/>
    <w:rsid w:val="00E702DA"/>
    <w:rsid w:val="00E74542"/>
    <w:rsid w:val="00E87264"/>
    <w:rsid w:val="00EC3620"/>
    <w:rsid w:val="00ED31A0"/>
    <w:rsid w:val="00EE3F80"/>
    <w:rsid w:val="00EF0749"/>
    <w:rsid w:val="00EF30E4"/>
    <w:rsid w:val="00EF31B1"/>
    <w:rsid w:val="00EF5611"/>
    <w:rsid w:val="00EF632C"/>
    <w:rsid w:val="00F030A7"/>
    <w:rsid w:val="00F2789A"/>
    <w:rsid w:val="00F51C48"/>
    <w:rsid w:val="00F53523"/>
    <w:rsid w:val="00F555D9"/>
    <w:rsid w:val="00F55F39"/>
    <w:rsid w:val="00F61FB7"/>
    <w:rsid w:val="00F70685"/>
    <w:rsid w:val="00F719E6"/>
    <w:rsid w:val="00F71EDC"/>
    <w:rsid w:val="00F75E56"/>
    <w:rsid w:val="00F84DDB"/>
    <w:rsid w:val="00F91A48"/>
    <w:rsid w:val="00FA196B"/>
    <w:rsid w:val="00FA4DCA"/>
    <w:rsid w:val="00FB1180"/>
    <w:rsid w:val="00FB781D"/>
    <w:rsid w:val="00FC428B"/>
    <w:rsid w:val="00FD28D2"/>
    <w:rsid w:val="00FE0BDC"/>
    <w:rsid w:val="00FE1F96"/>
    <w:rsid w:val="00FF08B0"/>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2134"/>
  <w15:chartTrackingRefBased/>
  <w15:docId w15:val="{49ACBC87-5CAF-49F5-8767-0DAC193C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6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25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03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F1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DB,Footnote Text Char Char Char,Footnote Text Char Char,single space,footnote text,FOOTNOTES,Fußnotentext Char,ft Char Char,single space Char Char,footnote text Char Char,ft,pod carou,Fußnote,ALTS FOOTNOTE,Footno,f,Footnote Text Char2"/>
    <w:basedOn w:val="Normal"/>
    <w:link w:val="FootnoteTextChar"/>
    <w:uiPriority w:val="99"/>
    <w:unhideWhenUsed/>
    <w:qFormat/>
    <w:rsid w:val="002F1873"/>
    <w:pPr>
      <w:spacing w:after="0" w:line="240" w:lineRule="auto"/>
    </w:pPr>
    <w:rPr>
      <w:sz w:val="20"/>
      <w:szCs w:val="20"/>
    </w:rPr>
  </w:style>
  <w:style w:type="character" w:customStyle="1" w:styleId="FootnoteTextChar">
    <w:name w:val="Footnote Text Char"/>
    <w:aliases w:val="fn Char,ADB Char,Footnote Text Char Char Char Char,Footnote Text Char Char Char1,single space Char,footnote text Char,FOOTNOTES Char,Fußnotentext Char Char,ft Char Char Char,single space Char Char Char,footnote text Char Char Char"/>
    <w:basedOn w:val="DefaultParagraphFont"/>
    <w:link w:val="FootnoteText"/>
    <w:uiPriority w:val="99"/>
    <w:qFormat/>
    <w:rsid w:val="002F1873"/>
    <w:rPr>
      <w:sz w:val="20"/>
      <w:szCs w:val="20"/>
    </w:rPr>
  </w:style>
  <w:style w:type="character" w:styleId="FootnoteReference">
    <w:name w:val="footnote reference"/>
    <w:aliases w:val="de nota al pie,Ref,16 Point,Superscript 6 Point,ftref,BVI fnr,Footnote symbol,-E Fußnotenzeichen,Footnote Refernece Char Char,Ref Char Car Car Char Char Char,de nota al pie Char Car Car Char Char Char,fr,R,SUPERS,BVI f,BVI fnr Car,f1"/>
    <w:basedOn w:val="DefaultParagraphFont"/>
    <w:link w:val="FootnoteReferneceChar"/>
    <w:uiPriority w:val="99"/>
    <w:unhideWhenUsed/>
    <w:qFormat/>
    <w:rsid w:val="002F1873"/>
    <w:rPr>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Footnote Refernece + (Latein) Arial Char"/>
    <w:basedOn w:val="Normal"/>
    <w:link w:val="FootnoteReference"/>
    <w:uiPriority w:val="99"/>
    <w:rsid w:val="002F1873"/>
    <w:pPr>
      <w:spacing w:line="240" w:lineRule="exact"/>
    </w:pPr>
    <w:rPr>
      <w:vertAlign w:val="superscript"/>
    </w:rPr>
  </w:style>
  <w:style w:type="paragraph" w:styleId="Caption">
    <w:name w:val="caption"/>
    <w:basedOn w:val="Normal"/>
    <w:next w:val="Normal"/>
    <w:uiPriority w:val="35"/>
    <w:unhideWhenUsed/>
    <w:qFormat/>
    <w:rsid w:val="00506AAD"/>
    <w:pPr>
      <w:spacing w:after="200" w:line="240" w:lineRule="auto"/>
    </w:pPr>
    <w:rPr>
      <w:i/>
      <w:iCs/>
      <w:color w:val="44546A" w:themeColor="text2"/>
      <w:sz w:val="18"/>
      <w:szCs w:val="18"/>
    </w:rPr>
  </w:style>
  <w:style w:type="paragraph" w:styleId="NoSpacing">
    <w:name w:val="No Spacing"/>
    <w:link w:val="NoSpacingChar"/>
    <w:uiPriority w:val="1"/>
    <w:qFormat/>
    <w:rsid w:val="000220F2"/>
    <w:pPr>
      <w:spacing w:after="0" w:line="240" w:lineRule="auto"/>
    </w:pPr>
    <w:rPr>
      <w:rFonts w:eastAsiaTheme="minorEastAsia"/>
    </w:rPr>
  </w:style>
  <w:style w:type="character" w:customStyle="1" w:styleId="NoSpacingChar">
    <w:name w:val="No Spacing Char"/>
    <w:basedOn w:val="DefaultParagraphFont"/>
    <w:link w:val="NoSpacing"/>
    <w:uiPriority w:val="1"/>
    <w:rsid w:val="000220F2"/>
    <w:rPr>
      <w:rFonts w:eastAsiaTheme="minorEastAsia"/>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
    <w:basedOn w:val="Normal"/>
    <w:uiPriority w:val="99"/>
    <w:rsid w:val="000220F2"/>
    <w:pPr>
      <w:spacing w:after="0" w:line="240" w:lineRule="exact"/>
    </w:pPr>
    <w:rPr>
      <w:vertAlign w:val="superscript"/>
    </w:rPr>
  </w:style>
  <w:style w:type="character" w:styleId="CommentReference">
    <w:name w:val="annotation reference"/>
    <w:basedOn w:val="DefaultParagraphFont"/>
    <w:uiPriority w:val="99"/>
    <w:semiHidden/>
    <w:unhideWhenUsed/>
    <w:rsid w:val="006B5484"/>
    <w:rPr>
      <w:sz w:val="16"/>
      <w:szCs w:val="16"/>
    </w:rPr>
  </w:style>
  <w:style w:type="paragraph" w:styleId="CommentText">
    <w:name w:val="annotation text"/>
    <w:basedOn w:val="Normal"/>
    <w:link w:val="CommentTextChar"/>
    <w:uiPriority w:val="99"/>
    <w:semiHidden/>
    <w:unhideWhenUsed/>
    <w:rsid w:val="006B5484"/>
    <w:pPr>
      <w:spacing w:line="240" w:lineRule="auto"/>
    </w:pPr>
    <w:rPr>
      <w:sz w:val="20"/>
      <w:szCs w:val="20"/>
    </w:rPr>
  </w:style>
  <w:style w:type="character" w:customStyle="1" w:styleId="CommentTextChar">
    <w:name w:val="Comment Text Char"/>
    <w:basedOn w:val="DefaultParagraphFont"/>
    <w:link w:val="CommentText"/>
    <w:uiPriority w:val="99"/>
    <w:semiHidden/>
    <w:rsid w:val="006B5484"/>
    <w:rPr>
      <w:sz w:val="20"/>
      <w:szCs w:val="20"/>
    </w:rPr>
  </w:style>
  <w:style w:type="paragraph" w:styleId="CommentSubject">
    <w:name w:val="annotation subject"/>
    <w:basedOn w:val="CommentText"/>
    <w:next w:val="CommentText"/>
    <w:link w:val="CommentSubjectChar"/>
    <w:uiPriority w:val="99"/>
    <w:semiHidden/>
    <w:unhideWhenUsed/>
    <w:rsid w:val="006B5484"/>
    <w:rPr>
      <w:b/>
      <w:bCs/>
    </w:rPr>
  </w:style>
  <w:style w:type="character" w:customStyle="1" w:styleId="CommentSubjectChar">
    <w:name w:val="Comment Subject Char"/>
    <w:basedOn w:val="CommentTextChar"/>
    <w:link w:val="CommentSubject"/>
    <w:uiPriority w:val="99"/>
    <w:semiHidden/>
    <w:rsid w:val="006B5484"/>
    <w:rPr>
      <w:b/>
      <w:bCs/>
      <w:sz w:val="20"/>
      <w:szCs w:val="20"/>
    </w:rPr>
  </w:style>
  <w:style w:type="paragraph" w:styleId="BalloonText">
    <w:name w:val="Balloon Text"/>
    <w:basedOn w:val="Normal"/>
    <w:link w:val="BalloonTextChar"/>
    <w:uiPriority w:val="99"/>
    <w:semiHidden/>
    <w:unhideWhenUsed/>
    <w:rsid w:val="006B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84"/>
    <w:rPr>
      <w:rFonts w:ascii="Segoe UI" w:hAnsi="Segoe UI" w:cs="Segoe UI"/>
      <w:sz w:val="18"/>
      <w:szCs w:val="18"/>
    </w:rPr>
  </w:style>
  <w:style w:type="paragraph" w:styleId="ListParagraph">
    <w:name w:val="List Paragraph"/>
    <w:basedOn w:val="Normal"/>
    <w:uiPriority w:val="34"/>
    <w:qFormat/>
    <w:rsid w:val="00190BA7"/>
    <w:pPr>
      <w:spacing w:line="300" w:lineRule="auto"/>
      <w:ind w:left="720"/>
      <w:contextualSpacing/>
    </w:pPr>
    <w:rPr>
      <w:rFonts w:eastAsiaTheme="minorEastAsia"/>
      <w:sz w:val="21"/>
      <w:szCs w:val="21"/>
    </w:rPr>
  </w:style>
  <w:style w:type="paragraph" w:styleId="TOCHeading">
    <w:name w:val="TOC Heading"/>
    <w:basedOn w:val="Heading1"/>
    <w:next w:val="Normal"/>
    <w:uiPriority w:val="39"/>
    <w:unhideWhenUsed/>
    <w:qFormat/>
    <w:rsid w:val="00467AC9"/>
    <w:pPr>
      <w:outlineLvl w:val="9"/>
    </w:pPr>
  </w:style>
  <w:style w:type="paragraph" w:styleId="TOC1">
    <w:name w:val="toc 1"/>
    <w:basedOn w:val="Normal"/>
    <w:next w:val="Normal"/>
    <w:autoRedefine/>
    <w:uiPriority w:val="39"/>
    <w:unhideWhenUsed/>
    <w:rsid w:val="00A604A8"/>
    <w:pPr>
      <w:tabs>
        <w:tab w:val="right" w:leader="dot" w:pos="9350"/>
      </w:tabs>
      <w:spacing w:after="100"/>
    </w:pPr>
    <w:rPr>
      <w:b/>
      <w:noProof/>
      <w:lang w:val="sq-AL"/>
    </w:rPr>
  </w:style>
  <w:style w:type="character" w:styleId="Hyperlink">
    <w:name w:val="Hyperlink"/>
    <w:basedOn w:val="DefaultParagraphFont"/>
    <w:uiPriority w:val="99"/>
    <w:unhideWhenUsed/>
    <w:rsid w:val="00467AC9"/>
    <w:rPr>
      <w:color w:val="0563C1" w:themeColor="hyperlink"/>
      <w:u w:val="single"/>
    </w:rPr>
  </w:style>
  <w:style w:type="table" w:styleId="GridTable1Light-Accent5">
    <w:name w:val="Grid Table 1 Light Accent 5"/>
    <w:basedOn w:val="TableNormal"/>
    <w:uiPriority w:val="46"/>
    <w:rsid w:val="007F27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68623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E7872"/>
    <w:pPr>
      <w:spacing w:after="100"/>
      <w:ind w:left="220"/>
    </w:pPr>
  </w:style>
  <w:style w:type="paragraph" w:styleId="Header">
    <w:name w:val="header"/>
    <w:basedOn w:val="Normal"/>
    <w:link w:val="HeaderChar"/>
    <w:uiPriority w:val="99"/>
    <w:unhideWhenUsed/>
    <w:rsid w:val="00BF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DE"/>
  </w:style>
  <w:style w:type="paragraph" w:styleId="Footer">
    <w:name w:val="footer"/>
    <w:basedOn w:val="Normal"/>
    <w:link w:val="FooterChar"/>
    <w:uiPriority w:val="99"/>
    <w:unhideWhenUsed/>
    <w:rsid w:val="00BF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DE"/>
  </w:style>
  <w:style w:type="character" w:customStyle="1" w:styleId="Heading3Char">
    <w:name w:val="Heading 3 Char"/>
    <w:basedOn w:val="DefaultParagraphFont"/>
    <w:link w:val="Heading3"/>
    <w:uiPriority w:val="9"/>
    <w:rsid w:val="0059254F"/>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9254F"/>
    <w:rPr>
      <w:i/>
      <w:iCs/>
    </w:rPr>
  </w:style>
  <w:style w:type="paragraph" w:styleId="TOC3">
    <w:name w:val="toc 3"/>
    <w:basedOn w:val="Normal"/>
    <w:next w:val="Normal"/>
    <w:autoRedefine/>
    <w:uiPriority w:val="39"/>
    <w:unhideWhenUsed/>
    <w:rsid w:val="00312D8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99885">
      <w:bodyDiv w:val="1"/>
      <w:marLeft w:val="0"/>
      <w:marRight w:val="0"/>
      <w:marTop w:val="0"/>
      <w:marBottom w:val="0"/>
      <w:divBdr>
        <w:top w:val="none" w:sz="0" w:space="0" w:color="auto"/>
        <w:left w:val="none" w:sz="0" w:space="0" w:color="auto"/>
        <w:bottom w:val="none" w:sz="0" w:space="0" w:color="auto"/>
        <w:right w:val="none" w:sz="0" w:space="0" w:color="auto"/>
      </w:divBdr>
    </w:div>
    <w:div w:id="195966035">
      <w:bodyDiv w:val="1"/>
      <w:marLeft w:val="0"/>
      <w:marRight w:val="0"/>
      <w:marTop w:val="0"/>
      <w:marBottom w:val="0"/>
      <w:divBdr>
        <w:top w:val="none" w:sz="0" w:space="0" w:color="auto"/>
        <w:left w:val="none" w:sz="0" w:space="0" w:color="auto"/>
        <w:bottom w:val="none" w:sz="0" w:space="0" w:color="auto"/>
        <w:right w:val="none" w:sz="0" w:space="0" w:color="auto"/>
      </w:divBdr>
    </w:div>
    <w:div w:id="218710132">
      <w:bodyDiv w:val="1"/>
      <w:marLeft w:val="0"/>
      <w:marRight w:val="0"/>
      <w:marTop w:val="0"/>
      <w:marBottom w:val="0"/>
      <w:divBdr>
        <w:top w:val="none" w:sz="0" w:space="0" w:color="auto"/>
        <w:left w:val="none" w:sz="0" w:space="0" w:color="auto"/>
        <w:bottom w:val="none" w:sz="0" w:space="0" w:color="auto"/>
        <w:right w:val="none" w:sz="0" w:space="0" w:color="auto"/>
      </w:divBdr>
    </w:div>
    <w:div w:id="225993987">
      <w:bodyDiv w:val="1"/>
      <w:marLeft w:val="0"/>
      <w:marRight w:val="0"/>
      <w:marTop w:val="0"/>
      <w:marBottom w:val="0"/>
      <w:divBdr>
        <w:top w:val="none" w:sz="0" w:space="0" w:color="auto"/>
        <w:left w:val="none" w:sz="0" w:space="0" w:color="auto"/>
        <w:bottom w:val="none" w:sz="0" w:space="0" w:color="auto"/>
        <w:right w:val="none" w:sz="0" w:space="0" w:color="auto"/>
      </w:divBdr>
    </w:div>
    <w:div w:id="232593139">
      <w:bodyDiv w:val="1"/>
      <w:marLeft w:val="0"/>
      <w:marRight w:val="0"/>
      <w:marTop w:val="0"/>
      <w:marBottom w:val="0"/>
      <w:divBdr>
        <w:top w:val="none" w:sz="0" w:space="0" w:color="auto"/>
        <w:left w:val="none" w:sz="0" w:space="0" w:color="auto"/>
        <w:bottom w:val="none" w:sz="0" w:space="0" w:color="auto"/>
        <w:right w:val="none" w:sz="0" w:space="0" w:color="auto"/>
      </w:divBdr>
    </w:div>
    <w:div w:id="236017386">
      <w:bodyDiv w:val="1"/>
      <w:marLeft w:val="0"/>
      <w:marRight w:val="0"/>
      <w:marTop w:val="0"/>
      <w:marBottom w:val="0"/>
      <w:divBdr>
        <w:top w:val="none" w:sz="0" w:space="0" w:color="auto"/>
        <w:left w:val="none" w:sz="0" w:space="0" w:color="auto"/>
        <w:bottom w:val="none" w:sz="0" w:space="0" w:color="auto"/>
        <w:right w:val="none" w:sz="0" w:space="0" w:color="auto"/>
      </w:divBdr>
    </w:div>
    <w:div w:id="241525314">
      <w:bodyDiv w:val="1"/>
      <w:marLeft w:val="0"/>
      <w:marRight w:val="0"/>
      <w:marTop w:val="0"/>
      <w:marBottom w:val="0"/>
      <w:divBdr>
        <w:top w:val="none" w:sz="0" w:space="0" w:color="auto"/>
        <w:left w:val="none" w:sz="0" w:space="0" w:color="auto"/>
        <w:bottom w:val="none" w:sz="0" w:space="0" w:color="auto"/>
        <w:right w:val="none" w:sz="0" w:space="0" w:color="auto"/>
      </w:divBdr>
    </w:div>
    <w:div w:id="262422964">
      <w:bodyDiv w:val="1"/>
      <w:marLeft w:val="0"/>
      <w:marRight w:val="0"/>
      <w:marTop w:val="0"/>
      <w:marBottom w:val="0"/>
      <w:divBdr>
        <w:top w:val="none" w:sz="0" w:space="0" w:color="auto"/>
        <w:left w:val="none" w:sz="0" w:space="0" w:color="auto"/>
        <w:bottom w:val="none" w:sz="0" w:space="0" w:color="auto"/>
        <w:right w:val="none" w:sz="0" w:space="0" w:color="auto"/>
      </w:divBdr>
    </w:div>
    <w:div w:id="266812652">
      <w:bodyDiv w:val="1"/>
      <w:marLeft w:val="0"/>
      <w:marRight w:val="0"/>
      <w:marTop w:val="0"/>
      <w:marBottom w:val="0"/>
      <w:divBdr>
        <w:top w:val="none" w:sz="0" w:space="0" w:color="auto"/>
        <w:left w:val="none" w:sz="0" w:space="0" w:color="auto"/>
        <w:bottom w:val="none" w:sz="0" w:space="0" w:color="auto"/>
        <w:right w:val="none" w:sz="0" w:space="0" w:color="auto"/>
      </w:divBdr>
    </w:div>
    <w:div w:id="278606374">
      <w:bodyDiv w:val="1"/>
      <w:marLeft w:val="0"/>
      <w:marRight w:val="0"/>
      <w:marTop w:val="0"/>
      <w:marBottom w:val="0"/>
      <w:divBdr>
        <w:top w:val="none" w:sz="0" w:space="0" w:color="auto"/>
        <w:left w:val="none" w:sz="0" w:space="0" w:color="auto"/>
        <w:bottom w:val="none" w:sz="0" w:space="0" w:color="auto"/>
        <w:right w:val="none" w:sz="0" w:space="0" w:color="auto"/>
      </w:divBdr>
    </w:div>
    <w:div w:id="296495911">
      <w:bodyDiv w:val="1"/>
      <w:marLeft w:val="0"/>
      <w:marRight w:val="0"/>
      <w:marTop w:val="0"/>
      <w:marBottom w:val="0"/>
      <w:divBdr>
        <w:top w:val="none" w:sz="0" w:space="0" w:color="auto"/>
        <w:left w:val="none" w:sz="0" w:space="0" w:color="auto"/>
        <w:bottom w:val="none" w:sz="0" w:space="0" w:color="auto"/>
        <w:right w:val="none" w:sz="0" w:space="0" w:color="auto"/>
      </w:divBdr>
    </w:div>
    <w:div w:id="314846369">
      <w:bodyDiv w:val="1"/>
      <w:marLeft w:val="0"/>
      <w:marRight w:val="0"/>
      <w:marTop w:val="0"/>
      <w:marBottom w:val="0"/>
      <w:divBdr>
        <w:top w:val="none" w:sz="0" w:space="0" w:color="auto"/>
        <w:left w:val="none" w:sz="0" w:space="0" w:color="auto"/>
        <w:bottom w:val="none" w:sz="0" w:space="0" w:color="auto"/>
        <w:right w:val="none" w:sz="0" w:space="0" w:color="auto"/>
      </w:divBdr>
    </w:div>
    <w:div w:id="316034858">
      <w:bodyDiv w:val="1"/>
      <w:marLeft w:val="0"/>
      <w:marRight w:val="0"/>
      <w:marTop w:val="0"/>
      <w:marBottom w:val="0"/>
      <w:divBdr>
        <w:top w:val="none" w:sz="0" w:space="0" w:color="auto"/>
        <w:left w:val="none" w:sz="0" w:space="0" w:color="auto"/>
        <w:bottom w:val="none" w:sz="0" w:space="0" w:color="auto"/>
        <w:right w:val="none" w:sz="0" w:space="0" w:color="auto"/>
      </w:divBdr>
    </w:div>
    <w:div w:id="318122811">
      <w:bodyDiv w:val="1"/>
      <w:marLeft w:val="0"/>
      <w:marRight w:val="0"/>
      <w:marTop w:val="0"/>
      <w:marBottom w:val="0"/>
      <w:divBdr>
        <w:top w:val="none" w:sz="0" w:space="0" w:color="auto"/>
        <w:left w:val="none" w:sz="0" w:space="0" w:color="auto"/>
        <w:bottom w:val="none" w:sz="0" w:space="0" w:color="auto"/>
        <w:right w:val="none" w:sz="0" w:space="0" w:color="auto"/>
      </w:divBdr>
    </w:div>
    <w:div w:id="330185792">
      <w:bodyDiv w:val="1"/>
      <w:marLeft w:val="0"/>
      <w:marRight w:val="0"/>
      <w:marTop w:val="0"/>
      <w:marBottom w:val="0"/>
      <w:divBdr>
        <w:top w:val="none" w:sz="0" w:space="0" w:color="auto"/>
        <w:left w:val="none" w:sz="0" w:space="0" w:color="auto"/>
        <w:bottom w:val="none" w:sz="0" w:space="0" w:color="auto"/>
        <w:right w:val="none" w:sz="0" w:space="0" w:color="auto"/>
      </w:divBdr>
    </w:div>
    <w:div w:id="337733876">
      <w:bodyDiv w:val="1"/>
      <w:marLeft w:val="0"/>
      <w:marRight w:val="0"/>
      <w:marTop w:val="0"/>
      <w:marBottom w:val="0"/>
      <w:divBdr>
        <w:top w:val="none" w:sz="0" w:space="0" w:color="auto"/>
        <w:left w:val="none" w:sz="0" w:space="0" w:color="auto"/>
        <w:bottom w:val="none" w:sz="0" w:space="0" w:color="auto"/>
        <w:right w:val="none" w:sz="0" w:space="0" w:color="auto"/>
      </w:divBdr>
    </w:div>
    <w:div w:id="361637310">
      <w:bodyDiv w:val="1"/>
      <w:marLeft w:val="0"/>
      <w:marRight w:val="0"/>
      <w:marTop w:val="0"/>
      <w:marBottom w:val="0"/>
      <w:divBdr>
        <w:top w:val="none" w:sz="0" w:space="0" w:color="auto"/>
        <w:left w:val="none" w:sz="0" w:space="0" w:color="auto"/>
        <w:bottom w:val="none" w:sz="0" w:space="0" w:color="auto"/>
        <w:right w:val="none" w:sz="0" w:space="0" w:color="auto"/>
      </w:divBdr>
    </w:div>
    <w:div w:id="383338048">
      <w:bodyDiv w:val="1"/>
      <w:marLeft w:val="0"/>
      <w:marRight w:val="0"/>
      <w:marTop w:val="0"/>
      <w:marBottom w:val="0"/>
      <w:divBdr>
        <w:top w:val="none" w:sz="0" w:space="0" w:color="auto"/>
        <w:left w:val="none" w:sz="0" w:space="0" w:color="auto"/>
        <w:bottom w:val="none" w:sz="0" w:space="0" w:color="auto"/>
        <w:right w:val="none" w:sz="0" w:space="0" w:color="auto"/>
      </w:divBdr>
      <w:divsChild>
        <w:div w:id="790324785">
          <w:marLeft w:val="360"/>
          <w:marRight w:val="0"/>
          <w:marTop w:val="200"/>
          <w:marBottom w:val="0"/>
          <w:divBdr>
            <w:top w:val="none" w:sz="0" w:space="0" w:color="auto"/>
            <w:left w:val="none" w:sz="0" w:space="0" w:color="auto"/>
            <w:bottom w:val="none" w:sz="0" w:space="0" w:color="auto"/>
            <w:right w:val="none" w:sz="0" w:space="0" w:color="auto"/>
          </w:divBdr>
        </w:div>
      </w:divsChild>
    </w:div>
    <w:div w:id="418522985">
      <w:bodyDiv w:val="1"/>
      <w:marLeft w:val="0"/>
      <w:marRight w:val="0"/>
      <w:marTop w:val="0"/>
      <w:marBottom w:val="0"/>
      <w:divBdr>
        <w:top w:val="none" w:sz="0" w:space="0" w:color="auto"/>
        <w:left w:val="none" w:sz="0" w:space="0" w:color="auto"/>
        <w:bottom w:val="none" w:sz="0" w:space="0" w:color="auto"/>
        <w:right w:val="none" w:sz="0" w:space="0" w:color="auto"/>
      </w:divBdr>
    </w:div>
    <w:div w:id="424300265">
      <w:bodyDiv w:val="1"/>
      <w:marLeft w:val="0"/>
      <w:marRight w:val="0"/>
      <w:marTop w:val="0"/>
      <w:marBottom w:val="0"/>
      <w:divBdr>
        <w:top w:val="none" w:sz="0" w:space="0" w:color="auto"/>
        <w:left w:val="none" w:sz="0" w:space="0" w:color="auto"/>
        <w:bottom w:val="none" w:sz="0" w:space="0" w:color="auto"/>
        <w:right w:val="none" w:sz="0" w:space="0" w:color="auto"/>
      </w:divBdr>
    </w:div>
    <w:div w:id="462118670">
      <w:bodyDiv w:val="1"/>
      <w:marLeft w:val="0"/>
      <w:marRight w:val="0"/>
      <w:marTop w:val="0"/>
      <w:marBottom w:val="0"/>
      <w:divBdr>
        <w:top w:val="none" w:sz="0" w:space="0" w:color="auto"/>
        <w:left w:val="none" w:sz="0" w:space="0" w:color="auto"/>
        <w:bottom w:val="none" w:sz="0" w:space="0" w:color="auto"/>
        <w:right w:val="none" w:sz="0" w:space="0" w:color="auto"/>
      </w:divBdr>
    </w:div>
    <w:div w:id="502821971">
      <w:bodyDiv w:val="1"/>
      <w:marLeft w:val="0"/>
      <w:marRight w:val="0"/>
      <w:marTop w:val="0"/>
      <w:marBottom w:val="0"/>
      <w:divBdr>
        <w:top w:val="none" w:sz="0" w:space="0" w:color="auto"/>
        <w:left w:val="none" w:sz="0" w:space="0" w:color="auto"/>
        <w:bottom w:val="none" w:sz="0" w:space="0" w:color="auto"/>
        <w:right w:val="none" w:sz="0" w:space="0" w:color="auto"/>
      </w:divBdr>
    </w:div>
    <w:div w:id="506216286">
      <w:bodyDiv w:val="1"/>
      <w:marLeft w:val="0"/>
      <w:marRight w:val="0"/>
      <w:marTop w:val="0"/>
      <w:marBottom w:val="0"/>
      <w:divBdr>
        <w:top w:val="none" w:sz="0" w:space="0" w:color="auto"/>
        <w:left w:val="none" w:sz="0" w:space="0" w:color="auto"/>
        <w:bottom w:val="none" w:sz="0" w:space="0" w:color="auto"/>
        <w:right w:val="none" w:sz="0" w:space="0" w:color="auto"/>
      </w:divBdr>
    </w:div>
    <w:div w:id="548230480">
      <w:bodyDiv w:val="1"/>
      <w:marLeft w:val="0"/>
      <w:marRight w:val="0"/>
      <w:marTop w:val="0"/>
      <w:marBottom w:val="0"/>
      <w:divBdr>
        <w:top w:val="none" w:sz="0" w:space="0" w:color="auto"/>
        <w:left w:val="none" w:sz="0" w:space="0" w:color="auto"/>
        <w:bottom w:val="none" w:sz="0" w:space="0" w:color="auto"/>
        <w:right w:val="none" w:sz="0" w:space="0" w:color="auto"/>
      </w:divBdr>
    </w:div>
    <w:div w:id="549154858">
      <w:bodyDiv w:val="1"/>
      <w:marLeft w:val="0"/>
      <w:marRight w:val="0"/>
      <w:marTop w:val="0"/>
      <w:marBottom w:val="0"/>
      <w:divBdr>
        <w:top w:val="none" w:sz="0" w:space="0" w:color="auto"/>
        <w:left w:val="none" w:sz="0" w:space="0" w:color="auto"/>
        <w:bottom w:val="none" w:sz="0" w:space="0" w:color="auto"/>
        <w:right w:val="none" w:sz="0" w:space="0" w:color="auto"/>
      </w:divBdr>
    </w:div>
    <w:div w:id="558245555">
      <w:bodyDiv w:val="1"/>
      <w:marLeft w:val="0"/>
      <w:marRight w:val="0"/>
      <w:marTop w:val="0"/>
      <w:marBottom w:val="0"/>
      <w:divBdr>
        <w:top w:val="none" w:sz="0" w:space="0" w:color="auto"/>
        <w:left w:val="none" w:sz="0" w:space="0" w:color="auto"/>
        <w:bottom w:val="none" w:sz="0" w:space="0" w:color="auto"/>
        <w:right w:val="none" w:sz="0" w:space="0" w:color="auto"/>
      </w:divBdr>
    </w:div>
    <w:div w:id="597754503">
      <w:bodyDiv w:val="1"/>
      <w:marLeft w:val="0"/>
      <w:marRight w:val="0"/>
      <w:marTop w:val="0"/>
      <w:marBottom w:val="0"/>
      <w:divBdr>
        <w:top w:val="none" w:sz="0" w:space="0" w:color="auto"/>
        <w:left w:val="none" w:sz="0" w:space="0" w:color="auto"/>
        <w:bottom w:val="none" w:sz="0" w:space="0" w:color="auto"/>
        <w:right w:val="none" w:sz="0" w:space="0" w:color="auto"/>
      </w:divBdr>
    </w:div>
    <w:div w:id="626277489">
      <w:bodyDiv w:val="1"/>
      <w:marLeft w:val="0"/>
      <w:marRight w:val="0"/>
      <w:marTop w:val="0"/>
      <w:marBottom w:val="0"/>
      <w:divBdr>
        <w:top w:val="none" w:sz="0" w:space="0" w:color="auto"/>
        <w:left w:val="none" w:sz="0" w:space="0" w:color="auto"/>
        <w:bottom w:val="none" w:sz="0" w:space="0" w:color="auto"/>
        <w:right w:val="none" w:sz="0" w:space="0" w:color="auto"/>
      </w:divBdr>
    </w:div>
    <w:div w:id="639650208">
      <w:bodyDiv w:val="1"/>
      <w:marLeft w:val="0"/>
      <w:marRight w:val="0"/>
      <w:marTop w:val="0"/>
      <w:marBottom w:val="0"/>
      <w:divBdr>
        <w:top w:val="none" w:sz="0" w:space="0" w:color="auto"/>
        <w:left w:val="none" w:sz="0" w:space="0" w:color="auto"/>
        <w:bottom w:val="none" w:sz="0" w:space="0" w:color="auto"/>
        <w:right w:val="none" w:sz="0" w:space="0" w:color="auto"/>
      </w:divBdr>
    </w:div>
    <w:div w:id="676544941">
      <w:bodyDiv w:val="1"/>
      <w:marLeft w:val="0"/>
      <w:marRight w:val="0"/>
      <w:marTop w:val="0"/>
      <w:marBottom w:val="0"/>
      <w:divBdr>
        <w:top w:val="none" w:sz="0" w:space="0" w:color="auto"/>
        <w:left w:val="none" w:sz="0" w:space="0" w:color="auto"/>
        <w:bottom w:val="none" w:sz="0" w:space="0" w:color="auto"/>
        <w:right w:val="none" w:sz="0" w:space="0" w:color="auto"/>
      </w:divBdr>
    </w:div>
    <w:div w:id="684013857">
      <w:bodyDiv w:val="1"/>
      <w:marLeft w:val="0"/>
      <w:marRight w:val="0"/>
      <w:marTop w:val="0"/>
      <w:marBottom w:val="0"/>
      <w:divBdr>
        <w:top w:val="none" w:sz="0" w:space="0" w:color="auto"/>
        <w:left w:val="none" w:sz="0" w:space="0" w:color="auto"/>
        <w:bottom w:val="none" w:sz="0" w:space="0" w:color="auto"/>
        <w:right w:val="none" w:sz="0" w:space="0" w:color="auto"/>
      </w:divBdr>
    </w:div>
    <w:div w:id="716244608">
      <w:bodyDiv w:val="1"/>
      <w:marLeft w:val="0"/>
      <w:marRight w:val="0"/>
      <w:marTop w:val="0"/>
      <w:marBottom w:val="0"/>
      <w:divBdr>
        <w:top w:val="none" w:sz="0" w:space="0" w:color="auto"/>
        <w:left w:val="none" w:sz="0" w:space="0" w:color="auto"/>
        <w:bottom w:val="none" w:sz="0" w:space="0" w:color="auto"/>
        <w:right w:val="none" w:sz="0" w:space="0" w:color="auto"/>
      </w:divBdr>
    </w:div>
    <w:div w:id="742677182">
      <w:bodyDiv w:val="1"/>
      <w:marLeft w:val="0"/>
      <w:marRight w:val="0"/>
      <w:marTop w:val="0"/>
      <w:marBottom w:val="0"/>
      <w:divBdr>
        <w:top w:val="none" w:sz="0" w:space="0" w:color="auto"/>
        <w:left w:val="none" w:sz="0" w:space="0" w:color="auto"/>
        <w:bottom w:val="none" w:sz="0" w:space="0" w:color="auto"/>
        <w:right w:val="none" w:sz="0" w:space="0" w:color="auto"/>
      </w:divBdr>
    </w:div>
    <w:div w:id="758915882">
      <w:bodyDiv w:val="1"/>
      <w:marLeft w:val="0"/>
      <w:marRight w:val="0"/>
      <w:marTop w:val="0"/>
      <w:marBottom w:val="0"/>
      <w:divBdr>
        <w:top w:val="none" w:sz="0" w:space="0" w:color="auto"/>
        <w:left w:val="none" w:sz="0" w:space="0" w:color="auto"/>
        <w:bottom w:val="none" w:sz="0" w:space="0" w:color="auto"/>
        <w:right w:val="none" w:sz="0" w:space="0" w:color="auto"/>
      </w:divBdr>
    </w:div>
    <w:div w:id="808397955">
      <w:bodyDiv w:val="1"/>
      <w:marLeft w:val="0"/>
      <w:marRight w:val="0"/>
      <w:marTop w:val="0"/>
      <w:marBottom w:val="0"/>
      <w:divBdr>
        <w:top w:val="none" w:sz="0" w:space="0" w:color="auto"/>
        <w:left w:val="none" w:sz="0" w:space="0" w:color="auto"/>
        <w:bottom w:val="none" w:sz="0" w:space="0" w:color="auto"/>
        <w:right w:val="none" w:sz="0" w:space="0" w:color="auto"/>
      </w:divBdr>
    </w:div>
    <w:div w:id="813645018">
      <w:bodyDiv w:val="1"/>
      <w:marLeft w:val="0"/>
      <w:marRight w:val="0"/>
      <w:marTop w:val="0"/>
      <w:marBottom w:val="0"/>
      <w:divBdr>
        <w:top w:val="none" w:sz="0" w:space="0" w:color="auto"/>
        <w:left w:val="none" w:sz="0" w:space="0" w:color="auto"/>
        <w:bottom w:val="none" w:sz="0" w:space="0" w:color="auto"/>
        <w:right w:val="none" w:sz="0" w:space="0" w:color="auto"/>
      </w:divBdr>
    </w:div>
    <w:div w:id="835460336">
      <w:bodyDiv w:val="1"/>
      <w:marLeft w:val="0"/>
      <w:marRight w:val="0"/>
      <w:marTop w:val="0"/>
      <w:marBottom w:val="0"/>
      <w:divBdr>
        <w:top w:val="none" w:sz="0" w:space="0" w:color="auto"/>
        <w:left w:val="none" w:sz="0" w:space="0" w:color="auto"/>
        <w:bottom w:val="none" w:sz="0" w:space="0" w:color="auto"/>
        <w:right w:val="none" w:sz="0" w:space="0" w:color="auto"/>
      </w:divBdr>
    </w:div>
    <w:div w:id="851651645">
      <w:bodyDiv w:val="1"/>
      <w:marLeft w:val="0"/>
      <w:marRight w:val="0"/>
      <w:marTop w:val="0"/>
      <w:marBottom w:val="0"/>
      <w:divBdr>
        <w:top w:val="none" w:sz="0" w:space="0" w:color="auto"/>
        <w:left w:val="none" w:sz="0" w:space="0" w:color="auto"/>
        <w:bottom w:val="none" w:sz="0" w:space="0" w:color="auto"/>
        <w:right w:val="none" w:sz="0" w:space="0" w:color="auto"/>
      </w:divBdr>
    </w:div>
    <w:div w:id="881988890">
      <w:bodyDiv w:val="1"/>
      <w:marLeft w:val="0"/>
      <w:marRight w:val="0"/>
      <w:marTop w:val="0"/>
      <w:marBottom w:val="0"/>
      <w:divBdr>
        <w:top w:val="none" w:sz="0" w:space="0" w:color="auto"/>
        <w:left w:val="none" w:sz="0" w:space="0" w:color="auto"/>
        <w:bottom w:val="none" w:sz="0" w:space="0" w:color="auto"/>
        <w:right w:val="none" w:sz="0" w:space="0" w:color="auto"/>
      </w:divBdr>
    </w:div>
    <w:div w:id="887569064">
      <w:bodyDiv w:val="1"/>
      <w:marLeft w:val="0"/>
      <w:marRight w:val="0"/>
      <w:marTop w:val="0"/>
      <w:marBottom w:val="0"/>
      <w:divBdr>
        <w:top w:val="none" w:sz="0" w:space="0" w:color="auto"/>
        <w:left w:val="none" w:sz="0" w:space="0" w:color="auto"/>
        <w:bottom w:val="none" w:sz="0" w:space="0" w:color="auto"/>
        <w:right w:val="none" w:sz="0" w:space="0" w:color="auto"/>
      </w:divBdr>
    </w:div>
    <w:div w:id="941837645">
      <w:bodyDiv w:val="1"/>
      <w:marLeft w:val="0"/>
      <w:marRight w:val="0"/>
      <w:marTop w:val="0"/>
      <w:marBottom w:val="0"/>
      <w:divBdr>
        <w:top w:val="none" w:sz="0" w:space="0" w:color="auto"/>
        <w:left w:val="none" w:sz="0" w:space="0" w:color="auto"/>
        <w:bottom w:val="none" w:sz="0" w:space="0" w:color="auto"/>
        <w:right w:val="none" w:sz="0" w:space="0" w:color="auto"/>
      </w:divBdr>
    </w:div>
    <w:div w:id="942227913">
      <w:bodyDiv w:val="1"/>
      <w:marLeft w:val="0"/>
      <w:marRight w:val="0"/>
      <w:marTop w:val="0"/>
      <w:marBottom w:val="0"/>
      <w:divBdr>
        <w:top w:val="none" w:sz="0" w:space="0" w:color="auto"/>
        <w:left w:val="none" w:sz="0" w:space="0" w:color="auto"/>
        <w:bottom w:val="none" w:sz="0" w:space="0" w:color="auto"/>
        <w:right w:val="none" w:sz="0" w:space="0" w:color="auto"/>
      </w:divBdr>
      <w:divsChild>
        <w:div w:id="690031241">
          <w:marLeft w:val="360"/>
          <w:marRight w:val="0"/>
          <w:marTop w:val="200"/>
          <w:marBottom w:val="0"/>
          <w:divBdr>
            <w:top w:val="none" w:sz="0" w:space="0" w:color="auto"/>
            <w:left w:val="none" w:sz="0" w:space="0" w:color="auto"/>
            <w:bottom w:val="none" w:sz="0" w:space="0" w:color="auto"/>
            <w:right w:val="none" w:sz="0" w:space="0" w:color="auto"/>
          </w:divBdr>
        </w:div>
      </w:divsChild>
    </w:div>
    <w:div w:id="944381732">
      <w:bodyDiv w:val="1"/>
      <w:marLeft w:val="0"/>
      <w:marRight w:val="0"/>
      <w:marTop w:val="0"/>
      <w:marBottom w:val="0"/>
      <w:divBdr>
        <w:top w:val="none" w:sz="0" w:space="0" w:color="auto"/>
        <w:left w:val="none" w:sz="0" w:space="0" w:color="auto"/>
        <w:bottom w:val="none" w:sz="0" w:space="0" w:color="auto"/>
        <w:right w:val="none" w:sz="0" w:space="0" w:color="auto"/>
      </w:divBdr>
    </w:div>
    <w:div w:id="951086449">
      <w:bodyDiv w:val="1"/>
      <w:marLeft w:val="0"/>
      <w:marRight w:val="0"/>
      <w:marTop w:val="0"/>
      <w:marBottom w:val="0"/>
      <w:divBdr>
        <w:top w:val="none" w:sz="0" w:space="0" w:color="auto"/>
        <w:left w:val="none" w:sz="0" w:space="0" w:color="auto"/>
        <w:bottom w:val="none" w:sz="0" w:space="0" w:color="auto"/>
        <w:right w:val="none" w:sz="0" w:space="0" w:color="auto"/>
      </w:divBdr>
    </w:div>
    <w:div w:id="1007562122">
      <w:bodyDiv w:val="1"/>
      <w:marLeft w:val="0"/>
      <w:marRight w:val="0"/>
      <w:marTop w:val="0"/>
      <w:marBottom w:val="0"/>
      <w:divBdr>
        <w:top w:val="none" w:sz="0" w:space="0" w:color="auto"/>
        <w:left w:val="none" w:sz="0" w:space="0" w:color="auto"/>
        <w:bottom w:val="none" w:sz="0" w:space="0" w:color="auto"/>
        <w:right w:val="none" w:sz="0" w:space="0" w:color="auto"/>
      </w:divBdr>
    </w:div>
    <w:div w:id="1016731278">
      <w:bodyDiv w:val="1"/>
      <w:marLeft w:val="0"/>
      <w:marRight w:val="0"/>
      <w:marTop w:val="0"/>
      <w:marBottom w:val="0"/>
      <w:divBdr>
        <w:top w:val="none" w:sz="0" w:space="0" w:color="auto"/>
        <w:left w:val="none" w:sz="0" w:space="0" w:color="auto"/>
        <w:bottom w:val="none" w:sz="0" w:space="0" w:color="auto"/>
        <w:right w:val="none" w:sz="0" w:space="0" w:color="auto"/>
      </w:divBdr>
    </w:div>
    <w:div w:id="1026718354">
      <w:bodyDiv w:val="1"/>
      <w:marLeft w:val="0"/>
      <w:marRight w:val="0"/>
      <w:marTop w:val="0"/>
      <w:marBottom w:val="0"/>
      <w:divBdr>
        <w:top w:val="none" w:sz="0" w:space="0" w:color="auto"/>
        <w:left w:val="none" w:sz="0" w:space="0" w:color="auto"/>
        <w:bottom w:val="none" w:sz="0" w:space="0" w:color="auto"/>
        <w:right w:val="none" w:sz="0" w:space="0" w:color="auto"/>
      </w:divBdr>
    </w:div>
    <w:div w:id="1027217364">
      <w:bodyDiv w:val="1"/>
      <w:marLeft w:val="0"/>
      <w:marRight w:val="0"/>
      <w:marTop w:val="0"/>
      <w:marBottom w:val="0"/>
      <w:divBdr>
        <w:top w:val="none" w:sz="0" w:space="0" w:color="auto"/>
        <w:left w:val="none" w:sz="0" w:space="0" w:color="auto"/>
        <w:bottom w:val="none" w:sz="0" w:space="0" w:color="auto"/>
        <w:right w:val="none" w:sz="0" w:space="0" w:color="auto"/>
      </w:divBdr>
    </w:div>
    <w:div w:id="1055157958">
      <w:bodyDiv w:val="1"/>
      <w:marLeft w:val="0"/>
      <w:marRight w:val="0"/>
      <w:marTop w:val="0"/>
      <w:marBottom w:val="0"/>
      <w:divBdr>
        <w:top w:val="none" w:sz="0" w:space="0" w:color="auto"/>
        <w:left w:val="none" w:sz="0" w:space="0" w:color="auto"/>
        <w:bottom w:val="none" w:sz="0" w:space="0" w:color="auto"/>
        <w:right w:val="none" w:sz="0" w:space="0" w:color="auto"/>
      </w:divBdr>
    </w:div>
    <w:div w:id="1070886811">
      <w:bodyDiv w:val="1"/>
      <w:marLeft w:val="0"/>
      <w:marRight w:val="0"/>
      <w:marTop w:val="0"/>
      <w:marBottom w:val="0"/>
      <w:divBdr>
        <w:top w:val="none" w:sz="0" w:space="0" w:color="auto"/>
        <w:left w:val="none" w:sz="0" w:space="0" w:color="auto"/>
        <w:bottom w:val="none" w:sz="0" w:space="0" w:color="auto"/>
        <w:right w:val="none" w:sz="0" w:space="0" w:color="auto"/>
      </w:divBdr>
    </w:div>
    <w:div w:id="1088236507">
      <w:bodyDiv w:val="1"/>
      <w:marLeft w:val="0"/>
      <w:marRight w:val="0"/>
      <w:marTop w:val="0"/>
      <w:marBottom w:val="0"/>
      <w:divBdr>
        <w:top w:val="none" w:sz="0" w:space="0" w:color="auto"/>
        <w:left w:val="none" w:sz="0" w:space="0" w:color="auto"/>
        <w:bottom w:val="none" w:sz="0" w:space="0" w:color="auto"/>
        <w:right w:val="none" w:sz="0" w:space="0" w:color="auto"/>
      </w:divBdr>
    </w:div>
    <w:div w:id="1110121995">
      <w:bodyDiv w:val="1"/>
      <w:marLeft w:val="0"/>
      <w:marRight w:val="0"/>
      <w:marTop w:val="0"/>
      <w:marBottom w:val="0"/>
      <w:divBdr>
        <w:top w:val="none" w:sz="0" w:space="0" w:color="auto"/>
        <w:left w:val="none" w:sz="0" w:space="0" w:color="auto"/>
        <w:bottom w:val="none" w:sz="0" w:space="0" w:color="auto"/>
        <w:right w:val="none" w:sz="0" w:space="0" w:color="auto"/>
      </w:divBdr>
    </w:div>
    <w:div w:id="1118569846">
      <w:bodyDiv w:val="1"/>
      <w:marLeft w:val="0"/>
      <w:marRight w:val="0"/>
      <w:marTop w:val="0"/>
      <w:marBottom w:val="0"/>
      <w:divBdr>
        <w:top w:val="none" w:sz="0" w:space="0" w:color="auto"/>
        <w:left w:val="none" w:sz="0" w:space="0" w:color="auto"/>
        <w:bottom w:val="none" w:sz="0" w:space="0" w:color="auto"/>
        <w:right w:val="none" w:sz="0" w:space="0" w:color="auto"/>
      </w:divBdr>
    </w:div>
    <w:div w:id="1128209387">
      <w:bodyDiv w:val="1"/>
      <w:marLeft w:val="0"/>
      <w:marRight w:val="0"/>
      <w:marTop w:val="0"/>
      <w:marBottom w:val="0"/>
      <w:divBdr>
        <w:top w:val="none" w:sz="0" w:space="0" w:color="auto"/>
        <w:left w:val="none" w:sz="0" w:space="0" w:color="auto"/>
        <w:bottom w:val="none" w:sz="0" w:space="0" w:color="auto"/>
        <w:right w:val="none" w:sz="0" w:space="0" w:color="auto"/>
      </w:divBdr>
    </w:div>
    <w:div w:id="1137648370">
      <w:bodyDiv w:val="1"/>
      <w:marLeft w:val="0"/>
      <w:marRight w:val="0"/>
      <w:marTop w:val="0"/>
      <w:marBottom w:val="0"/>
      <w:divBdr>
        <w:top w:val="none" w:sz="0" w:space="0" w:color="auto"/>
        <w:left w:val="none" w:sz="0" w:space="0" w:color="auto"/>
        <w:bottom w:val="none" w:sz="0" w:space="0" w:color="auto"/>
        <w:right w:val="none" w:sz="0" w:space="0" w:color="auto"/>
      </w:divBdr>
    </w:div>
    <w:div w:id="1258633791">
      <w:bodyDiv w:val="1"/>
      <w:marLeft w:val="0"/>
      <w:marRight w:val="0"/>
      <w:marTop w:val="0"/>
      <w:marBottom w:val="0"/>
      <w:divBdr>
        <w:top w:val="none" w:sz="0" w:space="0" w:color="auto"/>
        <w:left w:val="none" w:sz="0" w:space="0" w:color="auto"/>
        <w:bottom w:val="none" w:sz="0" w:space="0" w:color="auto"/>
        <w:right w:val="none" w:sz="0" w:space="0" w:color="auto"/>
      </w:divBdr>
    </w:div>
    <w:div w:id="1270356444">
      <w:bodyDiv w:val="1"/>
      <w:marLeft w:val="0"/>
      <w:marRight w:val="0"/>
      <w:marTop w:val="0"/>
      <w:marBottom w:val="0"/>
      <w:divBdr>
        <w:top w:val="none" w:sz="0" w:space="0" w:color="auto"/>
        <w:left w:val="none" w:sz="0" w:space="0" w:color="auto"/>
        <w:bottom w:val="none" w:sz="0" w:space="0" w:color="auto"/>
        <w:right w:val="none" w:sz="0" w:space="0" w:color="auto"/>
      </w:divBdr>
    </w:div>
    <w:div w:id="1279944534">
      <w:bodyDiv w:val="1"/>
      <w:marLeft w:val="0"/>
      <w:marRight w:val="0"/>
      <w:marTop w:val="0"/>
      <w:marBottom w:val="0"/>
      <w:divBdr>
        <w:top w:val="none" w:sz="0" w:space="0" w:color="auto"/>
        <w:left w:val="none" w:sz="0" w:space="0" w:color="auto"/>
        <w:bottom w:val="none" w:sz="0" w:space="0" w:color="auto"/>
        <w:right w:val="none" w:sz="0" w:space="0" w:color="auto"/>
      </w:divBdr>
    </w:div>
    <w:div w:id="1324359537">
      <w:bodyDiv w:val="1"/>
      <w:marLeft w:val="0"/>
      <w:marRight w:val="0"/>
      <w:marTop w:val="0"/>
      <w:marBottom w:val="0"/>
      <w:divBdr>
        <w:top w:val="none" w:sz="0" w:space="0" w:color="auto"/>
        <w:left w:val="none" w:sz="0" w:space="0" w:color="auto"/>
        <w:bottom w:val="none" w:sz="0" w:space="0" w:color="auto"/>
        <w:right w:val="none" w:sz="0" w:space="0" w:color="auto"/>
      </w:divBdr>
    </w:div>
    <w:div w:id="1327518247">
      <w:bodyDiv w:val="1"/>
      <w:marLeft w:val="0"/>
      <w:marRight w:val="0"/>
      <w:marTop w:val="0"/>
      <w:marBottom w:val="0"/>
      <w:divBdr>
        <w:top w:val="none" w:sz="0" w:space="0" w:color="auto"/>
        <w:left w:val="none" w:sz="0" w:space="0" w:color="auto"/>
        <w:bottom w:val="none" w:sz="0" w:space="0" w:color="auto"/>
        <w:right w:val="none" w:sz="0" w:space="0" w:color="auto"/>
      </w:divBdr>
    </w:div>
    <w:div w:id="1341587792">
      <w:bodyDiv w:val="1"/>
      <w:marLeft w:val="0"/>
      <w:marRight w:val="0"/>
      <w:marTop w:val="0"/>
      <w:marBottom w:val="0"/>
      <w:divBdr>
        <w:top w:val="none" w:sz="0" w:space="0" w:color="auto"/>
        <w:left w:val="none" w:sz="0" w:space="0" w:color="auto"/>
        <w:bottom w:val="none" w:sz="0" w:space="0" w:color="auto"/>
        <w:right w:val="none" w:sz="0" w:space="0" w:color="auto"/>
      </w:divBdr>
    </w:div>
    <w:div w:id="1353872803">
      <w:bodyDiv w:val="1"/>
      <w:marLeft w:val="0"/>
      <w:marRight w:val="0"/>
      <w:marTop w:val="0"/>
      <w:marBottom w:val="0"/>
      <w:divBdr>
        <w:top w:val="none" w:sz="0" w:space="0" w:color="auto"/>
        <w:left w:val="none" w:sz="0" w:space="0" w:color="auto"/>
        <w:bottom w:val="none" w:sz="0" w:space="0" w:color="auto"/>
        <w:right w:val="none" w:sz="0" w:space="0" w:color="auto"/>
      </w:divBdr>
    </w:div>
    <w:div w:id="1416324354">
      <w:bodyDiv w:val="1"/>
      <w:marLeft w:val="0"/>
      <w:marRight w:val="0"/>
      <w:marTop w:val="0"/>
      <w:marBottom w:val="0"/>
      <w:divBdr>
        <w:top w:val="none" w:sz="0" w:space="0" w:color="auto"/>
        <w:left w:val="none" w:sz="0" w:space="0" w:color="auto"/>
        <w:bottom w:val="none" w:sz="0" w:space="0" w:color="auto"/>
        <w:right w:val="none" w:sz="0" w:space="0" w:color="auto"/>
      </w:divBdr>
    </w:div>
    <w:div w:id="1439065249">
      <w:bodyDiv w:val="1"/>
      <w:marLeft w:val="0"/>
      <w:marRight w:val="0"/>
      <w:marTop w:val="0"/>
      <w:marBottom w:val="0"/>
      <w:divBdr>
        <w:top w:val="none" w:sz="0" w:space="0" w:color="auto"/>
        <w:left w:val="none" w:sz="0" w:space="0" w:color="auto"/>
        <w:bottom w:val="none" w:sz="0" w:space="0" w:color="auto"/>
        <w:right w:val="none" w:sz="0" w:space="0" w:color="auto"/>
      </w:divBdr>
    </w:div>
    <w:div w:id="1450051674">
      <w:bodyDiv w:val="1"/>
      <w:marLeft w:val="0"/>
      <w:marRight w:val="0"/>
      <w:marTop w:val="0"/>
      <w:marBottom w:val="0"/>
      <w:divBdr>
        <w:top w:val="none" w:sz="0" w:space="0" w:color="auto"/>
        <w:left w:val="none" w:sz="0" w:space="0" w:color="auto"/>
        <w:bottom w:val="none" w:sz="0" w:space="0" w:color="auto"/>
        <w:right w:val="none" w:sz="0" w:space="0" w:color="auto"/>
      </w:divBdr>
    </w:div>
    <w:div w:id="1513913420">
      <w:bodyDiv w:val="1"/>
      <w:marLeft w:val="0"/>
      <w:marRight w:val="0"/>
      <w:marTop w:val="0"/>
      <w:marBottom w:val="0"/>
      <w:divBdr>
        <w:top w:val="none" w:sz="0" w:space="0" w:color="auto"/>
        <w:left w:val="none" w:sz="0" w:space="0" w:color="auto"/>
        <w:bottom w:val="none" w:sz="0" w:space="0" w:color="auto"/>
        <w:right w:val="none" w:sz="0" w:space="0" w:color="auto"/>
      </w:divBdr>
      <w:divsChild>
        <w:div w:id="1978562060">
          <w:marLeft w:val="547"/>
          <w:marRight w:val="0"/>
          <w:marTop w:val="0"/>
          <w:marBottom w:val="0"/>
          <w:divBdr>
            <w:top w:val="none" w:sz="0" w:space="0" w:color="auto"/>
            <w:left w:val="none" w:sz="0" w:space="0" w:color="auto"/>
            <w:bottom w:val="none" w:sz="0" w:space="0" w:color="auto"/>
            <w:right w:val="none" w:sz="0" w:space="0" w:color="auto"/>
          </w:divBdr>
        </w:div>
      </w:divsChild>
    </w:div>
    <w:div w:id="1546020725">
      <w:bodyDiv w:val="1"/>
      <w:marLeft w:val="0"/>
      <w:marRight w:val="0"/>
      <w:marTop w:val="0"/>
      <w:marBottom w:val="0"/>
      <w:divBdr>
        <w:top w:val="none" w:sz="0" w:space="0" w:color="auto"/>
        <w:left w:val="none" w:sz="0" w:space="0" w:color="auto"/>
        <w:bottom w:val="none" w:sz="0" w:space="0" w:color="auto"/>
        <w:right w:val="none" w:sz="0" w:space="0" w:color="auto"/>
      </w:divBdr>
    </w:div>
    <w:div w:id="1562935059">
      <w:bodyDiv w:val="1"/>
      <w:marLeft w:val="0"/>
      <w:marRight w:val="0"/>
      <w:marTop w:val="0"/>
      <w:marBottom w:val="0"/>
      <w:divBdr>
        <w:top w:val="none" w:sz="0" w:space="0" w:color="auto"/>
        <w:left w:val="none" w:sz="0" w:space="0" w:color="auto"/>
        <w:bottom w:val="none" w:sz="0" w:space="0" w:color="auto"/>
        <w:right w:val="none" w:sz="0" w:space="0" w:color="auto"/>
      </w:divBdr>
    </w:div>
    <w:div w:id="1573344239">
      <w:bodyDiv w:val="1"/>
      <w:marLeft w:val="0"/>
      <w:marRight w:val="0"/>
      <w:marTop w:val="0"/>
      <w:marBottom w:val="0"/>
      <w:divBdr>
        <w:top w:val="none" w:sz="0" w:space="0" w:color="auto"/>
        <w:left w:val="none" w:sz="0" w:space="0" w:color="auto"/>
        <w:bottom w:val="none" w:sz="0" w:space="0" w:color="auto"/>
        <w:right w:val="none" w:sz="0" w:space="0" w:color="auto"/>
      </w:divBdr>
      <w:divsChild>
        <w:div w:id="572856110">
          <w:marLeft w:val="547"/>
          <w:marRight w:val="0"/>
          <w:marTop w:val="0"/>
          <w:marBottom w:val="0"/>
          <w:divBdr>
            <w:top w:val="none" w:sz="0" w:space="0" w:color="auto"/>
            <w:left w:val="none" w:sz="0" w:space="0" w:color="auto"/>
            <w:bottom w:val="none" w:sz="0" w:space="0" w:color="auto"/>
            <w:right w:val="none" w:sz="0" w:space="0" w:color="auto"/>
          </w:divBdr>
        </w:div>
      </w:divsChild>
    </w:div>
    <w:div w:id="1575050225">
      <w:bodyDiv w:val="1"/>
      <w:marLeft w:val="0"/>
      <w:marRight w:val="0"/>
      <w:marTop w:val="0"/>
      <w:marBottom w:val="0"/>
      <w:divBdr>
        <w:top w:val="none" w:sz="0" w:space="0" w:color="auto"/>
        <w:left w:val="none" w:sz="0" w:space="0" w:color="auto"/>
        <w:bottom w:val="none" w:sz="0" w:space="0" w:color="auto"/>
        <w:right w:val="none" w:sz="0" w:space="0" w:color="auto"/>
      </w:divBdr>
    </w:div>
    <w:div w:id="1623224308">
      <w:bodyDiv w:val="1"/>
      <w:marLeft w:val="0"/>
      <w:marRight w:val="0"/>
      <w:marTop w:val="0"/>
      <w:marBottom w:val="0"/>
      <w:divBdr>
        <w:top w:val="none" w:sz="0" w:space="0" w:color="auto"/>
        <w:left w:val="none" w:sz="0" w:space="0" w:color="auto"/>
        <w:bottom w:val="none" w:sz="0" w:space="0" w:color="auto"/>
        <w:right w:val="none" w:sz="0" w:space="0" w:color="auto"/>
      </w:divBdr>
    </w:div>
    <w:div w:id="1629238734">
      <w:bodyDiv w:val="1"/>
      <w:marLeft w:val="0"/>
      <w:marRight w:val="0"/>
      <w:marTop w:val="0"/>
      <w:marBottom w:val="0"/>
      <w:divBdr>
        <w:top w:val="none" w:sz="0" w:space="0" w:color="auto"/>
        <w:left w:val="none" w:sz="0" w:space="0" w:color="auto"/>
        <w:bottom w:val="none" w:sz="0" w:space="0" w:color="auto"/>
        <w:right w:val="none" w:sz="0" w:space="0" w:color="auto"/>
      </w:divBdr>
    </w:div>
    <w:div w:id="1662273214">
      <w:bodyDiv w:val="1"/>
      <w:marLeft w:val="0"/>
      <w:marRight w:val="0"/>
      <w:marTop w:val="0"/>
      <w:marBottom w:val="0"/>
      <w:divBdr>
        <w:top w:val="none" w:sz="0" w:space="0" w:color="auto"/>
        <w:left w:val="none" w:sz="0" w:space="0" w:color="auto"/>
        <w:bottom w:val="none" w:sz="0" w:space="0" w:color="auto"/>
        <w:right w:val="none" w:sz="0" w:space="0" w:color="auto"/>
      </w:divBdr>
    </w:div>
    <w:div w:id="1679501285">
      <w:bodyDiv w:val="1"/>
      <w:marLeft w:val="0"/>
      <w:marRight w:val="0"/>
      <w:marTop w:val="0"/>
      <w:marBottom w:val="0"/>
      <w:divBdr>
        <w:top w:val="none" w:sz="0" w:space="0" w:color="auto"/>
        <w:left w:val="none" w:sz="0" w:space="0" w:color="auto"/>
        <w:bottom w:val="none" w:sz="0" w:space="0" w:color="auto"/>
        <w:right w:val="none" w:sz="0" w:space="0" w:color="auto"/>
      </w:divBdr>
    </w:div>
    <w:div w:id="1686251779">
      <w:bodyDiv w:val="1"/>
      <w:marLeft w:val="0"/>
      <w:marRight w:val="0"/>
      <w:marTop w:val="0"/>
      <w:marBottom w:val="0"/>
      <w:divBdr>
        <w:top w:val="none" w:sz="0" w:space="0" w:color="auto"/>
        <w:left w:val="none" w:sz="0" w:space="0" w:color="auto"/>
        <w:bottom w:val="none" w:sz="0" w:space="0" w:color="auto"/>
        <w:right w:val="none" w:sz="0" w:space="0" w:color="auto"/>
      </w:divBdr>
      <w:divsChild>
        <w:div w:id="981033777">
          <w:marLeft w:val="360"/>
          <w:marRight w:val="0"/>
          <w:marTop w:val="200"/>
          <w:marBottom w:val="0"/>
          <w:divBdr>
            <w:top w:val="none" w:sz="0" w:space="0" w:color="auto"/>
            <w:left w:val="none" w:sz="0" w:space="0" w:color="auto"/>
            <w:bottom w:val="none" w:sz="0" w:space="0" w:color="auto"/>
            <w:right w:val="none" w:sz="0" w:space="0" w:color="auto"/>
          </w:divBdr>
        </w:div>
      </w:divsChild>
    </w:div>
    <w:div w:id="1702166653">
      <w:bodyDiv w:val="1"/>
      <w:marLeft w:val="0"/>
      <w:marRight w:val="0"/>
      <w:marTop w:val="0"/>
      <w:marBottom w:val="0"/>
      <w:divBdr>
        <w:top w:val="none" w:sz="0" w:space="0" w:color="auto"/>
        <w:left w:val="none" w:sz="0" w:space="0" w:color="auto"/>
        <w:bottom w:val="none" w:sz="0" w:space="0" w:color="auto"/>
        <w:right w:val="none" w:sz="0" w:space="0" w:color="auto"/>
      </w:divBdr>
    </w:div>
    <w:div w:id="1730837019">
      <w:bodyDiv w:val="1"/>
      <w:marLeft w:val="0"/>
      <w:marRight w:val="0"/>
      <w:marTop w:val="0"/>
      <w:marBottom w:val="0"/>
      <w:divBdr>
        <w:top w:val="none" w:sz="0" w:space="0" w:color="auto"/>
        <w:left w:val="none" w:sz="0" w:space="0" w:color="auto"/>
        <w:bottom w:val="none" w:sz="0" w:space="0" w:color="auto"/>
        <w:right w:val="none" w:sz="0" w:space="0" w:color="auto"/>
      </w:divBdr>
    </w:div>
    <w:div w:id="1732578767">
      <w:bodyDiv w:val="1"/>
      <w:marLeft w:val="0"/>
      <w:marRight w:val="0"/>
      <w:marTop w:val="0"/>
      <w:marBottom w:val="0"/>
      <w:divBdr>
        <w:top w:val="none" w:sz="0" w:space="0" w:color="auto"/>
        <w:left w:val="none" w:sz="0" w:space="0" w:color="auto"/>
        <w:bottom w:val="none" w:sz="0" w:space="0" w:color="auto"/>
        <w:right w:val="none" w:sz="0" w:space="0" w:color="auto"/>
      </w:divBdr>
    </w:div>
    <w:div w:id="1739357450">
      <w:bodyDiv w:val="1"/>
      <w:marLeft w:val="0"/>
      <w:marRight w:val="0"/>
      <w:marTop w:val="0"/>
      <w:marBottom w:val="0"/>
      <w:divBdr>
        <w:top w:val="none" w:sz="0" w:space="0" w:color="auto"/>
        <w:left w:val="none" w:sz="0" w:space="0" w:color="auto"/>
        <w:bottom w:val="none" w:sz="0" w:space="0" w:color="auto"/>
        <w:right w:val="none" w:sz="0" w:space="0" w:color="auto"/>
      </w:divBdr>
    </w:div>
    <w:div w:id="1742942434">
      <w:bodyDiv w:val="1"/>
      <w:marLeft w:val="0"/>
      <w:marRight w:val="0"/>
      <w:marTop w:val="0"/>
      <w:marBottom w:val="0"/>
      <w:divBdr>
        <w:top w:val="none" w:sz="0" w:space="0" w:color="auto"/>
        <w:left w:val="none" w:sz="0" w:space="0" w:color="auto"/>
        <w:bottom w:val="none" w:sz="0" w:space="0" w:color="auto"/>
        <w:right w:val="none" w:sz="0" w:space="0" w:color="auto"/>
      </w:divBdr>
    </w:div>
    <w:div w:id="1784808643">
      <w:bodyDiv w:val="1"/>
      <w:marLeft w:val="0"/>
      <w:marRight w:val="0"/>
      <w:marTop w:val="0"/>
      <w:marBottom w:val="0"/>
      <w:divBdr>
        <w:top w:val="none" w:sz="0" w:space="0" w:color="auto"/>
        <w:left w:val="none" w:sz="0" w:space="0" w:color="auto"/>
        <w:bottom w:val="none" w:sz="0" w:space="0" w:color="auto"/>
        <w:right w:val="none" w:sz="0" w:space="0" w:color="auto"/>
      </w:divBdr>
    </w:div>
    <w:div w:id="1807315650">
      <w:bodyDiv w:val="1"/>
      <w:marLeft w:val="0"/>
      <w:marRight w:val="0"/>
      <w:marTop w:val="0"/>
      <w:marBottom w:val="0"/>
      <w:divBdr>
        <w:top w:val="none" w:sz="0" w:space="0" w:color="auto"/>
        <w:left w:val="none" w:sz="0" w:space="0" w:color="auto"/>
        <w:bottom w:val="none" w:sz="0" w:space="0" w:color="auto"/>
        <w:right w:val="none" w:sz="0" w:space="0" w:color="auto"/>
      </w:divBdr>
    </w:div>
    <w:div w:id="1815640821">
      <w:bodyDiv w:val="1"/>
      <w:marLeft w:val="0"/>
      <w:marRight w:val="0"/>
      <w:marTop w:val="0"/>
      <w:marBottom w:val="0"/>
      <w:divBdr>
        <w:top w:val="none" w:sz="0" w:space="0" w:color="auto"/>
        <w:left w:val="none" w:sz="0" w:space="0" w:color="auto"/>
        <w:bottom w:val="none" w:sz="0" w:space="0" w:color="auto"/>
        <w:right w:val="none" w:sz="0" w:space="0" w:color="auto"/>
      </w:divBdr>
    </w:div>
    <w:div w:id="1850218464">
      <w:bodyDiv w:val="1"/>
      <w:marLeft w:val="0"/>
      <w:marRight w:val="0"/>
      <w:marTop w:val="0"/>
      <w:marBottom w:val="0"/>
      <w:divBdr>
        <w:top w:val="none" w:sz="0" w:space="0" w:color="auto"/>
        <w:left w:val="none" w:sz="0" w:space="0" w:color="auto"/>
        <w:bottom w:val="none" w:sz="0" w:space="0" w:color="auto"/>
        <w:right w:val="none" w:sz="0" w:space="0" w:color="auto"/>
      </w:divBdr>
    </w:div>
    <w:div w:id="1911036362">
      <w:bodyDiv w:val="1"/>
      <w:marLeft w:val="0"/>
      <w:marRight w:val="0"/>
      <w:marTop w:val="0"/>
      <w:marBottom w:val="0"/>
      <w:divBdr>
        <w:top w:val="none" w:sz="0" w:space="0" w:color="auto"/>
        <w:left w:val="none" w:sz="0" w:space="0" w:color="auto"/>
        <w:bottom w:val="none" w:sz="0" w:space="0" w:color="auto"/>
        <w:right w:val="none" w:sz="0" w:space="0" w:color="auto"/>
      </w:divBdr>
    </w:div>
    <w:div w:id="1928466643">
      <w:bodyDiv w:val="1"/>
      <w:marLeft w:val="0"/>
      <w:marRight w:val="0"/>
      <w:marTop w:val="0"/>
      <w:marBottom w:val="0"/>
      <w:divBdr>
        <w:top w:val="none" w:sz="0" w:space="0" w:color="auto"/>
        <w:left w:val="none" w:sz="0" w:space="0" w:color="auto"/>
        <w:bottom w:val="none" w:sz="0" w:space="0" w:color="auto"/>
        <w:right w:val="none" w:sz="0" w:space="0" w:color="auto"/>
      </w:divBdr>
    </w:div>
    <w:div w:id="1956255409">
      <w:bodyDiv w:val="1"/>
      <w:marLeft w:val="0"/>
      <w:marRight w:val="0"/>
      <w:marTop w:val="0"/>
      <w:marBottom w:val="0"/>
      <w:divBdr>
        <w:top w:val="none" w:sz="0" w:space="0" w:color="auto"/>
        <w:left w:val="none" w:sz="0" w:space="0" w:color="auto"/>
        <w:bottom w:val="none" w:sz="0" w:space="0" w:color="auto"/>
        <w:right w:val="none" w:sz="0" w:space="0" w:color="auto"/>
      </w:divBdr>
      <w:divsChild>
        <w:div w:id="2057778730">
          <w:marLeft w:val="360"/>
          <w:marRight w:val="0"/>
          <w:marTop w:val="200"/>
          <w:marBottom w:val="0"/>
          <w:divBdr>
            <w:top w:val="none" w:sz="0" w:space="0" w:color="auto"/>
            <w:left w:val="none" w:sz="0" w:space="0" w:color="auto"/>
            <w:bottom w:val="none" w:sz="0" w:space="0" w:color="auto"/>
            <w:right w:val="none" w:sz="0" w:space="0" w:color="auto"/>
          </w:divBdr>
        </w:div>
      </w:divsChild>
    </w:div>
    <w:div w:id="1981567155">
      <w:bodyDiv w:val="1"/>
      <w:marLeft w:val="0"/>
      <w:marRight w:val="0"/>
      <w:marTop w:val="0"/>
      <w:marBottom w:val="0"/>
      <w:divBdr>
        <w:top w:val="none" w:sz="0" w:space="0" w:color="auto"/>
        <w:left w:val="none" w:sz="0" w:space="0" w:color="auto"/>
        <w:bottom w:val="none" w:sz="0" w:space="0" w:color="auto"/>
        <w:right w:val="none" w:sz="0" w:space="0" w:color="auto"/>
      </w:divBdr>
    </w:div>
    <w:div w:id="2008172895">
      <w:bodyDiv w:val="1"/>
      <w:marLeft w:val="0"/>
      <w:marRight w:val="0"/>
      <w:marTop w:val="0"/>
      <w:marBottom w:val="0"/>
      <w:divBdr>
        <w:top w:val="none" w:sz="0" w:space="0" w:color="auto"/>
        <w:left w:val="none" w:sz="0" w:space="0" w:color="auto"/>
        <w:bottom w:val="none" w:sz="0" w:space="0" w:color="auto"/>
        <w:right w:val="none" w:sz="0" w:space="0" w:color="auto"/>
      </w:divBdr>
    </w:div>
    <w:div w:id="2098214198">
      <w:bodyDiv w:val="1"/>
      <w:marLeft w:val="0"/>
      <w:marRight w:val="0"/>
      <w:marTop w:val="0"/>
      <w:marBottom w:val="0"/>
      <w:divBdr>
        <w:top w:val="none" w:sz="0" w:space="0" w:color="auto"/>
        <w:left w:val="none" w:sz="0" w:space="0" w:color="auto"/>
        <w:bottom w:val="none" w:sz="0" w:space="0" w:color="auto"/>
        <w:right w:val="none" w:sz="0" w:space="0" w:color="auto"/>
      </w:divBdr>
    </w:div>
    <w:div w:id="2102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Agon\Desktop\Helvetas\Rezultatet%20e%20bizneseve.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gon\Desktop\Helvetas\Rezultatet%20(Recover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'P4'!$B$2</c:f>
              <c:strCache>
                <c:ptCount val="1"/>
                <c:pt idx="0">
                  <c:v>Perqindja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'P4'!$A$3:$A$5</c:f>
              <c:strCache>
                <c:ptCount val="3"/>
                <c:pt idx="0">
                  <c:v>Drejtor/Drejtoreshë</c:v>
                </c:pt>
                <c:pt idx="1">
                  <c:v>Udhëheqës sektori/departamenti</c:v>
                </c:pt>
                <c:pt idx="2">
                  <c:v>Zyrtar</c:v>
                </c:pt>
              </c:strCache>
            </c:strRef>
          </c:cat>
          <c:val>
            <c:numRef>
              <c:f>'P4'!$B$3:$B$5</c:f>
              <c:numCache>
                <c:formatCode>0.0%</c:formatCode>
                <c:ptCount val="3"/>
                <c:pt idx="0">
                  <c:v>0.77419354838709675</c:v>
                </c:pt>
                <c:pt idx="1">
                  <c:v>0.12903225806451613</c:v>
                </c:pt>
                <c:pt idx="2">
                  <c:v>9.6774193548387094E-2</c:v>
                </c:pt>
              </c:numCache>
            </c:numRef>
          </c:val>
          <c:extLst>
            <c:ext xmlns:c16="http://schemas.microsoft.com/office/drawing/2014/chart" uri="{C3380CC4-5D6E-409C-BE32-E72D297353CC}">
              <c16:uniqueId val="{00000000-9B31-4C3C-9FBC-8CF02D8BD711}"/>
            </c:ext>
          </c:extLst>
        </c:ser>
        <c:dLbls>
          <c:dLblPos val="outEnd"/>
          <c:showLegendKey val="0"/>
          <c:showVal val="1"/>
          <c:showCatName val="0"/>
          <c:showSerName val="0"/>
          <c:showPercent val="0"/>
          <c:showBubbleSize val="0"/>
        </c:dLbls>
        <c:gapWidth val="219"/>
        <c:overlap val="-27"/>
        <c:axId val="-1713892224"/>
        <c:axId val="-1713874816"/>
      </c:barChart>
      <c:catAx>
        <c:axId val="-171389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74816"/>
        <c:crosses val="autoZero"/>
        <c:auto val="1"/>
        <c:lblAlgn val="ctr"/>
        <c:lblOffset val="100"/>
        <c:noMultiLvlLbl val="0"/>
      </c:catAx>
      <c:valAx>
        <c:axId val="-1713874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9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'P11'!$B$1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'P11'!$A$2:$A$16</c:f>
              <c:strCache>
                <c:ptCount val="15"/>
                <c:pt idx="0">
                  <c:v>Tjetër</c:v>
                </c:pt>
                <c:pt idx="1">
                  <c:v>Koordinimi i kufizuar me nivelin qendror</c:v>
                </c:pt>
                <c:pt idx="2">
                  <c:v>Mungesa e planifkimit strategjik</c:v>
                </c:pt>
                <c:pt idx="3">
                  <c:v>Energjia elektrike (qasja dhe kostoja)</c:v>
                </c:pt>
                <c:pt idx="4">
                  <c:v>Inflacioni</c:v>
                </c:pt>
                <c:pt idx="5">
                  <c:v>Pandemia COVID-19</c:v>
                </c:pt>
                <c:pt idx="6">
                  <c:v>Infrastruktura e dobët</c:v>
                </c:pt>
                <c:pt idx="7">
                  <c:v>Mosfunksionalizimi i zonave ekonomike</c:v>
                </c:pt>
                <c:pt idx="8">
                  <c:v>Ngarkesat administrative/ligjore</c:v>
                </c:pt>
                <c:pt idx="9">
                  <c:v>Problemet që lidhen me shfrytëzimin e pronës</c:v>
                </c:pt>
                <c:pt idx="10">
                  <c:v>Përkrahja e kufizuar e bujqësisë, industrisë dhe NVM-ve</c:v>
                </c:pt>
                <c:pt idx="11">
                  <c:v>Ndihma e pamjaftueshme nga niveli qendror </c:v>
                </c:pt>
                <c:pt idx="12">
                  <c:v>Buxheti i pamjaftueshëm komunal</c:v>
                </c:pt>
                <c:pt idx="13">
                  <c:v>Niveli i ulët i investimeve </c:v>
                </c:pt>
                <c:pt idx="14">
                  <c:v>Vështirësitë në gjetjen e punëtorëve (shkathësitë dhe emigrimi)</c:v>
                </c:pt>
              </c:strCache>
            </c:strRef>
          </c:cat>
          <c:val>
            <c:numRef>
              <c:f>'P11'!$B$2:$B$16</c:f>
              <c:numCache>
                <c:formatCode>0%</c:formatCode>
                <c:ptCount val="15"/>
                <c:pt idx="0">
                  <c:v>0.45161290322580644</c:v>
                </c:pt>
                <c:pt idx="1">
                  <c:v>6.4516129032258063E-2</c:v>
                </c:pt>
                <c:pt idx="2">
                  <c:v>6.4516129032258063E-2</c:v>
                </c:pt>
                <c:pt idx="3">
                  <c:v>9.6774193548387094E-2</c:v>
                </c:pt>
                <c:pt idx="4">
                  <c:v>9.6774193548387094E-2</c:v>
                </c:pt>
                <c:pt idx="5">
                  <c:v>9.6774193548387094E-2</c:v>
                </c:pt>
                <c:pt idx="6">
                  <c:v>0.12903225806451613</c:v>
                </c:pt>
                <c:pt idx="7">
                  <c:v>0.12903225806451613</c:v>
                </c:pt>
                <c:pt idx="8">
                  <c:v>0.12903225806451613</c:v>
                </c:pt>
                <c:pt idx="9">
                  <c:v>0.16129032258064516</c:v>
                </c:pt>
                <c:pt idx="10">
                  <c:v>0.19354838709677419</c:v>
                </c:pt>
                <c:pt idx="11">
                  <c:v>0.25806451612903225</c:v>
                </c:pt>
                <c:pt idx="12">
                  <c:v>0.32258064516129031</c:v>
                </c:pt>
                <c:pt idx="13">
                  <c:v>0.32258064516129031</c:v>
                </c:pt>
                <c:pt idx="14">
                  <c:v>0.38709677419354838</c:v>
                </c:pt>
              </c:numCache>
            </c:numRef>
          </c:val>
          <c:extLst>
            <c:ext xmlns:c16="http://schemas.microsoft.com/office/drawing/2014/chart" uri="{C3380CC4-5D6E-409C-BE32-E72D297353CC}">
              <c16:uniqueId val="{00000000-6B69-4AF2-9205-18CD528E1664}"/>
            </c:ext>
          </c:extLst>
        </c:ser>
        <c:dLbls>
          <c:dLblPos val="outEnd"/>
          <c:showLegendKey val="0"/>
          <c:showVal val="1"/>
          <c:showCatName val="0"/>
          <c:showSerName val="0"/>
          <c:showPercent val="0"/>
          <c:showBubbleSize val="0"/>
        </c:dLbls>
        <c:gapWidth val="182"/>
        <c:axId val="-1713880800"/>
        <c:axId val="-1713884608"/>
      </c:barChart>
      <c:catAx>
        <c:axId val="-171388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4608"/>
        <c:crosses val="autoZero"/>
        <c:auto val="1"/>
        <c:lblAlgn val="ctr"/>
        <c:lblOffset val="100"/>
        <c:noMultiLvlLbl val="0"/>
      </c:catAx>
      <c:valAx>
        <c:axId val="-1713884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'P12'!$B$1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'P12'!$A$2:$A$15</c:f>
              <c:strCache>
                <c:ptCount val="14"/>
                <c:pt idx="0">
                  <c:v>Korrupsioni në nivel lokal</c:v>
                </c:pt>
                <c:pt idx="1">
                  <c:v>Efikasiteti i administratës komunale</c:v>
                </c:pt>
                <c:pt idx="2">
                  <c:v>Taksat komunale</c:v>
                </c:pt>
                <c:pt idx="3">
                  <c:v>Ngarkesat administrative në nivel lokal</c:v>
                </c:pt>
                <c:pt idx="4">
                  <c:v>Konkurrenca e padrejtë</c:v>
                </c:pt>
                <c:pt idx="5">
                  <c:v>Infrastruktura e transportit</c:v>
                </c:pt>
                <c:pt idx="6">
                  <c:v>Disponueshmëria e fuqisë punëtore të kualifikuar</c:v>
                </c:pt>
                <c:pt idx="7">
                  <c:v>Pasiguria e investimeve</c:v>
                </c:pt>
                <c:pt idx="8">
                  <c:v>Prona komunale për shfrytëzim</c:v>
                </c:pt>
                <c:pt idx="9">
                  <c:v>Infrastruktura mbështetëse për bizneset (ujë, rrymë, kanalizim, etj.)</c:v>
                </c:pt>
                <c:pt idx="10">
                  <c:v>Qëndrueshmëria financiare e komunave</c:v>
                </c:pt>
                <c:pt idx="11">
                  <c:v>Mungesa e përkrahjes për sektorët me potencial të rritjes</c:v>
                </c:pt>
                <c:pt idx="12">
                  <c:v>Qasja e kufizuar në financa</c:v>
                </c:pt>
                <c:pt idx="13">
                  <c:v>Paqartësia në mes të kompetencave të nivelit qendror dhe atij lokal</c:v>
                </c:pt>
              </c:strCache>
            </c:strRef>
          </c:cat>
          <c:val>
            <c:numRef>
              <c:f>'P12'!$B$2:$B$15</c:f>
              <c:numCache>
                <c:formatCode>0.00</c:formatCode>
                <c:ptCount val="14"/>
                <c:pt idx="0">
                  <c:v>1.4193548387096775</c:v>
                </c:pt>
                <c:pt idx="1">
                  <c:v>1.4193548387096775</c:v>
                </c:pt>
                <c:pt idx="2">
                  <c:v>1.7741935483870968</c:v>
                </c:pt>
                <c:pt idx="3">
                  <c:v>2.032258064516129</c:v>
                </c:pt>
                <c:pt idx="4">
                  <c:v>2.225806451612903</c:v>
                </c:pt>
                <c:pt idx="5">
                  <c:v>2.4516129032258065</c:v>
                </c:pt>
                <c:pt idx="6">
                  <c:v>2.4838709677419355</c:v>
                </c:pt>
                <c:pt idx="7">
                  <c:v>2.5806451612903225</c:v>
                </c:pt>
                <c:pt idx="8">
                  <c:v>2.7419354838709675</c:v>
                </c:pt>
                <c:pt idx="9">
                  <c:v>2.7419354838709675</c:v>
                </c:pt>
                <c:pt idx="10">
                  <c:v>2.935483870967742</c:v>
                </c:pt>
                <c:pt idx="11">
                  <c:v>3.032258064516129</c:v>
                </c:pt>
                <c:pt idx="12">
                  <c:v>3.064516129032258</c:v>
                </c:pt>
                <c:pt idx="13">
                  <c:v>3.064516129032258</c:v>
                </c:pt>
              </c:numCache>
            </c:numRef>
          </c:val>
          <c:extLst>
            <c:ext xmlns:c16="http://schemas.microsoft.com/office/drawing/2014/chart" uri="{C3380CC4-5D6E-409C-BE32-E72D297353CC}">
              <c16:uniqueId val="{00000000-7034-4748-ADC6-20D7D17FC6C4}"/>
            </c:ext>
          </c:extLst>
        </c:ser>
        <c:dLbls>
          <c:dLblPos val="outEnd"/>
          <c:showLegendKey val="0"/>
          <c:showVal val="1"/>
          <c:showCatName val="0"/>
          <c:showSerName val="0"/>
          <c:showPercent val="0"/>
          <c:showBubbleSize val="0"/>
        </c:dLbls>
        <c:gapWidth val="182"/>
        <c:axId val="-1713888416"/>
        <c:axId val="-1713893856"/>
      </c:barChart>
      <c:catAx>
        <c:axId val="-1713888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93856"/>
        <c:crosses val="autoZero"/>
        <c:auto val="1"/>
        <c:lblAlgn val="ctr"/>
        <c:lblOffset val="100"/>
        <c:noMultiLvlLbl val="0"/>
      </c:catAx>
      <c:valAx>
        <c:axId val="-17138938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'P13'!$B$1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'P13'!$A$2:$A$16</c:f>
              <c:strCache>
                <c:ptCount val="15"/>
                <c:pt idx="0">
                  <c:v>Tjetër</c:v>
                </c:pt>
                <c:pt idx="1">
                  <c:v>Krijimi i lehtësirave administrative për bizneset </c:v>
                </c:pt>
                <c:pt idx="2">
                  <c:v>Ngritja e fondeve nga donatorët</c:v>
                </c:pt>
                <c:pt idx="3">
                  <c:v>Përkrahja e bizneseve për shfrytëzim të burimve të energjisë së pastër</c:v>
                </c:pt>
                <c:pt idx="4">
                  <c:v>Rritja e investimeve kapitale </c:v>
                </c:pt>
                <c:pt idx="5">
                  <c:v>Ngritja e cilsisë së shërbimeve komunale</c:v>
                </c:pt>
                <c:pt idx="6">
                  <c:v>Koordinimi më i mirë me nivelin qendror</c:v>
                </c:pt>
                <c:pt idx="7">
                  <c:v>Ofrimi i pronave komunale për shfrytëzim</c:v>
                </c:pt>
                <c:pt idx="8">
                  <c:v>Përkrahja e bujqësisë</c:v>
                </c:pt>
                <c:pt idx="9">
                  <c:v>Promovimi i investimeve të huaja</c:v>
                </c:pt>
                <c:pt idx="10">
                  <c:v>Promovimi i turizmit </c:v>
                </c:pt>
                <c:pt idx="11">
                  <c:v>Ngritja e shkathtësive të fuqisë punëtore</c:v>
                </c:pt>
                <c:pt idx="12">
                  <c:v>Mbështetja teknike dhe financiare e NVM-ve</c:v>
                </c:pt>
                <c:pt idx="13">
                  <c:v>Rregullimi i infrastrukturës së përgjithshme</c:v>
                </c:pt>
                <c:pt idx="14">
                  <c:v>Krijimi dhe funksionalizimi i zonave ekonomike</c:v>
                </c:pt>
              </c:strCache>
            </c:strRef>
          </c:cat>
          <c:val>
            <c:numRef>
              <c:f>'P13'!$B$2:$B$16</c:f>
              <c:numCache>
                <c:formatCode>0%</c:formatCode>
                <c:ptCount val="15"/>
                <c:pt idx="0">
                  <c:v>0.5161290322580645</c:v>
                </c:pt>
                <c:pt idx="1">
                  <c:v>6.4516129032258063E-2</c:v>
                </c:pt>
                <c:pt idx="2">
                  <c:v>6.4516129032258063E-2</c:v>
                </c:pt>
                <c:pt idx="3">
                  <c:v>6.4516129032258063E-2</c:v>
                </c:pt>
                <c:pt idx="4">
                  <c:v>6.4516129032258063E-2</c:v>
                </c:pt>
                <c:pt idx="5">
                  <c:v>6.4516129032258063E-2</c:v>
                </c:pt>
                <c:pt idx="6">
                  <c:v>0.12903225806451613</c:v>
                </c:pt>
                <c:pt idx="7">
                  <c:v>0.16129032258064516</c:v>
                </c:pt>
                <c:pt idx="8">
                  <c:v>0.19354838709677419</c:v>
                </c:pt>
                <c:pt idx="9">
                  <c:v>0.22580645161290322</c:v>
                </c:pt>
                <c:pt idx="10">
                  <c:v>0.22580645161290322</c:v>
                </c:pt>
                <c:pt idx="11">
                  <c:v>0.25806451612903225</c:v>
                </c:pt>
                <c:pt idx="12">
                  <c:v>0.29032258064516131</c:v>
                </c:pt>
                <c:pt idx="13">
                  <c:v>0.29032258064516131</c:v>
                </c:pt>
                <c:pt idx="14">
                  <c:v>0.38709677419354838</c:v>
                </c:pt>
              </c:numCache>
            </c:numRef>
          </c:val>
          <c:extLst>
            <c:ext xmlns:c16="http://schemas.microsoft.com/office/drawing/2014/chart" uri="{C3380CC4-5D6E-409C-BE32-E72D297353CC}">
              <c16:uniqueId val="{00000000-D572-45DF-BB57-D5B8F9B29488}"/>
            </c:ext>
          </c:extLst>
        </c:ser>
        <c:dLbls>
          <c:dLblPos val="outEnd"/>
          <c:showLegendKey val="0"/>
          <c:showVal val="1"/>
          <c:showCatName val="0"/>
          <c:showSerName val="0"/>
          <c:showPercent val="0"/>
          <c:showBubbleSize val="0"/>
        </c:dLbls>
        <c:gapWidth val="182"/>
        <c:axId val="-1713891680"/>
        <c:axId val="-1713887328"/>
      </c:barChart>
      <c:catAx>
        <c:axId val="-1713891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7328"/>
        <c:crosses val="autoZero"/>
        <c:auto val="1"/>
        <c:lblAlgn val="ctr"/>
        <c:lblOffset val="100"/>
        <c:noMultiLvlLbl val="0"/>
      </c:catAx>
      <c:valAx>
        <c:axId val="-1713887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9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'P14'!$B$1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'P14'!$A$2:$A$18</c:f>
              <c:strCache>
                <c:ptCount val="17"/>
                <c:pt idx="0">
                  <c:v>Tjetër</c:v>
                </c:pt>
                <c:pt idx="1">
                  <c:v>Përmirësimi i infrastrukturës së përgjithshme</c:v>
                </c:pt>
                <c:pt idx="2">
                  <c:v>Përkrahja në zhvillim të turizmit</c:v>
                </c:pt>
                <c:pt idx="3">
                  <c:v>Përmirësimi i infrastrukturës së transportit </c:v>
                </c:pt>
                <c:pt idx="4">
                  <c:v>Promovimi i Kosovës si destinacion turistik </c:v>
                </c:pt>
                <c:pt idx="5">
                  <c:v>Rritja e mbështejtes për projekte të mëdha zhvillimore </c:v>
                </c:pt>
                <c:pt idx="6">
                  <c:v>Thjeshtimi i procedurave administrative </c:v>
                </c:pt>
                <c:pt idx="7">
                  <c:v>Largimi i pengesave për marrjen e pelqimit nga niveli qendror </c:v>
                </c:pt>
                <c:pt idx="8">
                  <c:v>Krijimi i zonave ekonomike të profilizuara</c:v>
                </c:pt>
                <c:pt idx="9">
                  <c:v>Mbështetja e NVM-ve</c:v>
                </c:pt>
                <c:pt idx="10">
                  <c:v>Rritja e investimeve kapitale </c:v>
                </c:pt>
                <c:pt idx="11">
                  <c:v>Rritja e subvencioneve dhe granteve për bujqësi</c:v>
                </c:pt>
                <c:pt idx="12">
                  <c:v>Mbështetja për biznese të reja</c:v>
                </c:pt>
                <c:pt idx="13">
                  <c:v>Përkrahja e komunave përmes granteve specifike</c:v>
                </c:pt>
                <c:pt idx="14">
                  <c:v>Lehtësira për menaxhim dhe shfrytëzim të pronës publike/shoqërore</c:v>
                </c:pt>
                <c:pt idx="15">
                  <c:v>Ofrimi i kushteve të favorshme për tërheqje të barazpeshuar të investimeve të huaja</c:v>
                </c:pt>
                <c:pt idx="16">
                  <c:v>Rritja e buxhetit komunal </c:v>
                </c:pt>
              </c:strCache>
            </c:strRef>
          </c:cat>
          <c:val>
            <c:numRef>
              <c:f>'P14'!$B$2:$B$18</c:f>
              <c:numCache>
                <c:formatCode>0%</c:formatCode>
                <c:ptCount val="17"/>
                <c:pt idx="0">
                  <c:v>0.58064516129032262</c:v>
                </c:pt>
                <c:pt idx="1">
                  <c:v>6.4516129032258063E-2</c:v>
                </c:pt>
                <c:pt idx="2">
                  <c:v>9.6774193548387094E-2</c:v>
                </c:pt>
                <c:pt idx="3">
                  <c:v>9.6774193548387094E-2</c:v>
                </c:pt>
                <c:pt idx="4">
                  <c:v>9.6774193548387094E-2</c:v>
                </c:pt>
                <c:pt idx="5">
                  <c:v>9.6774193548387094E-2</c:v>
                </c:pt>
                <c:pt idx="6">
                  <c:v>9.6774193548387094E-2</c:v>
                </c:pt>
                <c:pt idx="7">
                  <c:v>9.6774193548387094E-2</c:v>
                </c:pt>
                <c:pt idx="8">
                  <c:v>9.6774193548387094E-2</c:v>
                </c:pt>
                <c:pt idx="9">
                  <c:v>0.12903225806451613</c:v>
                </c:pt>
                <c:pt idx="10">
                  <c:v>0.12903225806451613</c:v>
                </c:pt>
                <c:pt idx="11">
                  <c:v>0.12903225806451613</c:v>
                </c:pt>
                <c:pt idx="12">
                  <c:v>0.12903225806451613</c:v>
                </c:pt>
                <c:pt idx="13">
                  <c:v>0.12903225806451613</c:v>
                </c:pt>
                <c:pt idx="14">
                  <c:v>0.12903225806451613</c:v>
                </c:pt>
                <c:pt idx="15">
                  <c:v>0.22580645161290322</c:v>
                </c:pt>
                <c:pt idx="16">
                  <c:v>0.25806451612903225</c:v>
                </c:pt>
              </c:numCache>
            </c:numRef>
          </c:val>
          <c:extLst>
            <c:ext xmlns:c16="http://schemas.microsoft.com/office/drawing/2014/chart" uri="{C3380CC4-5D6E-409C-BE32-E72D297353CC}">
              <c16:uniqueId val="{00000000-9493-4702-9C3E-D7EC5AA3C499}"/>
            </c:ext>
          </c:extLst>
        </c:ser>
        <c:dLbls>
          <c:dLblPos val="outEnd"/>
          <c:showLegendKey val="0"/>
          <c:showVal val="1"/>
          <c:showCatName val="0"/>
          <c:showSerName val="0"/>
          <c:showPercent val="0"/>
          <c:showBubbleSize val="0"/>
        </c:dLbls>
        <c:gapWidth val="182"/>
        <c:axId val="-1713879168"/>
        <c:axId val="-1713882976"/>
      </c:barChart>
      <c:catAx>
        <c:axId val="-171387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2976"/>
        <c:crosses val="autoZero"/>
        <c:auto val="1"/>
        <c:lblAlgn val="ctr"/>
        <c:lblOffset val="100"/>
        <c:noMultiLvlLbl val="0"/>
      </c:catAx>
      <c:valAx>
        <c:axId val="-1713882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7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'P15'!$A$3:$A$11</c:f>
              <c:strCache>
                <c:ptCount val="9"/>
                <c:pt idx="0">
                  <c:v>Turizmi</c:v>
                </c:pt>
                <c:pt idx="1">
                  <c:v>Bujqësia</c:v>
                </c:pt>
                <c:pt idx="2">
                  <c:v>Industria</c:v>
                </c:pt>
                <c:pt idx="3">
                  <c:v>Arismi profesional</c:v>
                </c:pt>
                <c:pt idx="4">
                  <c:v>Infrastruktura </c:v>
                </c:pt>
                <c:pt idx="5">
                  <c:v>NVM</c:v>
                </c:pt>
                <c:pt idx="6">
                  <c:v>ICT dhe shërbimet tjera</c:v>
                </c:pt>
                <c:pt idx="7">
                  <c:v>Investimet e huaja</c:v>
                </c:pt>
                <c:pt idx="8">
                  <c:v>Tjetër</c:v>
                </c:pt>
              </c:strCache>
            </c:strRef>
          </c:cat>
          <c:val>
            <c:numRef>
              <c:f>'P15'!$B$3:$B$11</c:f>
              <c:numCache>
                <c:formatCode>0.0%</c:formatCode>
                <c:ptCount val="9"/>
                <c:pt idx="0">
                  <c:v>0.61290322580645162</c:v>
                </c:pt>
                <c:pt idx="1">
                  <c:v>0.58064516129032262</c:v>
                </c:pt>
                <c:pt idx="2">
                  <c:v>0.25806451612903225</c:v>
                </c:pt>
                <c:pt idx="3">
                  <c:v>0.12903225806451613</c:v>
                </c:pt>
                <c:pt idx="4">
                  <c:v>0.12903225806451613</c:v>
                </c:pt>
                <c:pt idx="5">
                  <c:v>0.12903225806451613</c:v>
                </c:pt>
                <c:pt idx="6">
                  <c:v>0.12903225806451613</c:v>
                </c:pt>
                <c:pt idx="7">
                  <c:v>6.4516129032258063E-2</c:v>
                </c:pt>
                <c:pt idx="8">
                  <c:v>0.58064516129032262</c:v>
                </c:pt>
              </c:numCache>
            </c:numRef>
          </c:val>
          <c:extLst>
            <c:ext xmlns:c16="http://schemas.microsoft.com/office/drawing/2014/chart" uri="{C3380CC4-5D6E-409C-BE32-E72D297353CC}">
              <c16:uniqueId val="{00000000-6E5B-442E-B229-922142450C13}"/>
            </c:ext>
          </c:extLst>
        </c:ser>
        <c:dLbls>
          <c:showLegendKey val="0"/>
          <c:showVal val="0"/>
          <c:showCatName val="0"/>
          <c:showSerName val="0"/>
          <c:showPercent val="0"/>
          <c:showBubbleSize val="0"/>
        </c:dLbls>
        <c:gapWidth val="219"/>
        <c:overlap val="-27"/>
        <c:axId val="-1713893312"/>
        <c:axId val="-1713886784"/>
      </c:barChart>
      <c:catAx>
        <c:axId val="-171389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13886784"/>
        <c:crosses val="autoZero"/>
        <c:auto val="1"/>
        <c:lblAlgn val="ctr"/>
        <c:lblOffset val="100"/>
        <c:noMultiLvlLbl val="0"/>
      </c:catAx>
      <c:valAx>
        <c:axId val="-1713886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13893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'P18'!$B$2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EF-4D16-BC3F-6E19EAC234A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3EF-4D16-BC3F-6E19EAC234A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3EF-4D16-BC3F-6E19EAC234A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EF-4D16-BC3F-6E19EAC234AE}"/>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EF-4D16-BC3F-6E19EAC234AE}"/>
                </c:ext>
              </c:extLst>
            </c:dLbl>
            <c:dLbl>
              <c:idx val="2"/>
              <c:layout>
                <c:manualLayout>
                  <c:x val="8.2923452726134661E-2"/>
                  <c:y val="0.128612386109350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EF-4D16-BC3F-6E19EAC234A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'P18'!$A$3:$A$5</c:f>
              <c:strCache>
                <c:ptCount val="3"/>
                <c:pt idx="0">
                  <c:v>Po</c:v>
                </c:pt>
                <c:pt idx="1">
                  <c:v>Jo</c:v>
                </c:pt>
                <c:pt idx="2">
                  <c:v>Nuk e di </c:v>
                </c:pt>
              </c:strCache>
            </c:strRef>
          </c:cat>
          <c:val>
            <c:numRef>
              <c:f>'P18'!$B$3:$B$5</c:f>
              <c:numCache>
                <c:formatCode>0.0%</c:formatCode>
                <c:ptCount val="3"/>
                <c:pt idx="0">
                  <c:v>0.41935483870967744</c:v>
                </c:pt>
                <c:pt idx="1">
                  <c:v>0.4838709677419355</c:v>
                </c:pt>
                <c:pt idx="2">
                  <c:v>9.6774193548387094E-2</c:v>
                </c:pt>
              </c:numCache>
            </c:numRef>
          </c:val>
          <c:extLst>
            <c:ext xmlns:c16="http://schemas.microsoft.com/office/drawing/2014/chart" uri="{C3380CC4-5D6E-409C-BE32-E72D297353CC}">
              <c16:uniqueId val="{00000006-73EF-4D16-BC3F-6E19EAC234A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'P17'!$B$2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BD-49A3-9421-C4F57A488C6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1BD-49A3-9421-C4F57A488C6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1BD-49A3-9421-C4F57A488C64}"/>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BD-49A3-9421-C4F57A488C64}"/>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BD-49A3-9421-C4F57A488C64}"/>
                </c:ext>
              </c:extLst>
            </c:dLbl>
            <c:dLbl>
              <c:idx val="2"/>
              <c:layout>
                <c:manualLayout>
                  <c:x val="8.2923452726134661E-2"/>
                  <c:y val="0.128612386109350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BD-49A3-9421-C4F57A488C6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'P17'!$A$3:$A$5</c:f>
              <c:strCache>
                <c:ptCount val="3"/>
                <c:pt idx="0">
                  <c:v>Shumë problem i madh</c:v>
                </c:pt>
                <c:pt idx="1">
                  <c:v>Problem i madh</c:v>
                </c:pt>
                <c:pt idx="2">
                  <c:v>Problem i vogël</c:v>
                </c:pt>
              </c:strCache>
            </c:strRef>
          </c:cat>
          <c:val>
            <c:numRef>
              <c:f>'P17'!$B$3:$B$5</c:f>
              <c:numCache>
                <c:formatCode>0.0%</c:formatCode>
                <c:ptCount val="3"/>
                <c:pt idx="0">
                  <c:v>0.4838709677419355</c:v>
                </c:pt>
                <c:pt idx="1">
                  <c:v>0.35483870967741937</c:v>
                </c:pt>
                <c:pt idx="2">
                  <c:v>0.16129032258064516</c:v>
                </c:pt>
              </c:numCache>
            </c:numRef>
          </c:val>
          <c:extLst>
            <c:ext xmlns:c16="http://schemas.microsoft.com/office/drawing/2014/chart" uri="{C3380CC4-5D6E-409C-BE32-E72D297353CC}">
              <c16:uniqueId val="{00000006-81BD-49A3-9421-C4F57A488C6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'P3'!$A$3:$A$9</c:f>
              <c:strCache>
                <c:ptCount val="7"/>
                <c:pt idx="0">
                  <c:v>Veprimtari tjetër</c:v>
                </c:pt>
                <c:pt idx="1">
                  <c:v>Shërbime tjera </c:v>
                </c:pt>
                <c:pt idx="2">
                  <c:v>TIK</c:v>
                </c:pt>
                <c:pt idx="3">
                  <c:v>Ndërtimtari</c:v>
                </c:pt>
                <c:pt idx="4">
                  <c:v>Kontabilitet dhe financa</c:v>
                </c:pt>
                <c:pt idx="5">
                  <c:v>Industri përpunuese </c:v>
                </c:pt>
                <c:pt idx="6">
                  <c:v>Tregti me shumicë dhe pakicë</c:v>
                </c:pt>
              </c:strCache>
            </c:strRef>
          </c:cat>
          <c:val>
            <c:numRef>
              <c:f>'P3'!$B$3:$B$9</c:f>
              <c:numCache>
                <c:formatCode>0.0%</c:formatCode>
                <c:ptCount val="7"/>
                <c:pt idx="0">
                  <c:v>8.771929824561403E-2</c:v>
                </c:pt>
                <c:pt idx="1">
                  <c:v>0.24561403508771928</c:v>
                </c:pt>
                <c:pt idx="2">
                  <c:v>0.10526315789473684</c:v>
                </c:pt>
                <c:pt idx="3">
                  <c:v>0.12280701754385964</c:v>
                </c:pt>
                <c:pt idx="4">
                  <c:v>0.12280701754385964</c:v>
                </c:pt>
                <c:pt idx="5">
                  <c:v>0.14035087719298245</c:v>
                </c:pt>
                <c:pt idx="6">
                  <c:v>0.17543859649122806</c:v>
                </c:pt>
              </c:numCache>
            </c:numRef>
          </c:val>
          <c:extLst>
            <c:ext xmlns:c16="http://schemas.microsoft.com/office/drawing/2014/chart" uri="{C3380CC4-5D6E-409C-BE32-E72D297353CC}">
              <c16:uniqueId val="{00000000-AC6D-4FBE-ABE7-556B4C44D269}"/>
            </c:ext>
          </c:extLst>
        </c:ser>
        <c:dLbls>
          <c:showLegendKey val="0"/>
          <c:showVal val="0"/>
          <c:showCatName val="0"/>
          <c:showSerName val="0"/>
          <c:showPercent val="0"/>
          <c:showBubbleSize val="0"/>
        </c:dLbls>
        <c:gapWidth val="182"/>
        <c:axId val="-1713897664"/>
        <c:axId val="-1713885152"/>
      </c:barChart>
      <c:catAx>
        <c:axId val="-1713897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5152"/>
        <c:crosses val="autoZero"/>
        <c:auto val="1"/>
        <c:lblAlgn val="ctr"/>
        <c:lblOffset val="100"/>
        <c:noMultiLvlLbl val="0"/>
      </c:catAx>
      <c:valAx>
        <c:axId val="-171388515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71389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'P2'!$B$2</c:f>
              <c:strCache>
                <c:ptCount val="1"/>
                <c:pt idx="0">
                  <c:v>Perqindja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'P2'!$A$3:$A$9</c:f>
              <c:strCache>
                <c:ptCount val="7"/>
                <c:pt idx="0">
                  <c:v>Prishtinë</c:v>
                </c:pt>
                <c:pt idx="1">
                  <c:v>Gjilan</c:v>
                </c:pt>
                <c:pt idx="2">
                  <c:v>Ferizaj</c:v>
                </c:pt>
                <c:pt idx="3">
                  <c:v>Mitrovicë</c:v>
                </c:pt>
                <c:pt idx="4">
                  <c:v>Prizren</c:v>
                </c:pt>
                <c:pt idx="5">
                  <c:v>Pejë</c:v>
                </c:pt>
                <c:pt idx="6">
                  <c:v>Gjakovë</c:v>
                </c:pt>
              </c:strCache>
            </c:strRef>
          </c:cat>
          <c:val>
            <c:numRef>
              <c:f>'P2'!$B$3:$B$9</c:f>
              <c:numCache>
                <c:formatCode>0.0%</c:formatCode>
                <c:ptCount val="7"/>
                <c:pt idx="0">
                  <c:v>0.49122807017543857</c:v>
                </c:pt>
                <c:pt idx="1">
                  <c:v>0.17543859649122806</c:v>
                </c:pt>
                <c:pt idx="2">
                  <c:v>0.10526315789473684</c:v>
                </c:pt>
                <c:pt idx="3">
                  <c:v>8.771929824561403E-2</c:v>
                </c:pt>
                <c:pt idx="4">
                  <c:v>7.0175438596491224E-2</c:v>
                </c:pt>
                <c:pt idx="5">
                  <c:v>5.2631578947368418E-2</c:v>
                </c:pt>
                <c:pt idx="6">
                  <c:v>1.7543859649122806E-2</c:v>
                </c:pt>
              </c:numCache>
            </c:numRef>
          </c:val>
          <c:extLst>
            <c:ext xmlns:c16="http://schemas.microsoft.com/office/drawing/2014/chart" uri="{C3380CC4-5D6E-409C-BE32-E72D297353CC}">
              <c16:uniqueId val="{00000000-7697-4A5F-949F-8FBEFF8BFD63}"/>
            </c:ext>
          </c:extLst>
        </c:ser>
        <c:dLbls>
          <c:dLblPos val="outEnd"/>
          <c:showLegendKey val="0"/>
          <c:showVal val="1"/>
          <c:showCatName val="0"/>
          <c:showSerName val="0"/>
          <c:showPercent val="0"/>
          <c:showBubbleSize val="0"/>
        </c:dLbls>
        <c:gapWidth val="219"/>
        <c:overlap val="-27"/>
        <c:axId val="-1713891136"/>
        <c:axId val="-1713882432"/>
      </c:barChart>
      <c:catAx>
        <c:axId val="-171389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2432"/>
        <c:crosses val="autoZero"/>
        <c:auto val="1"/>
        <c:lblAlgn val="ctr"/>
        <c:lblOffset val="100"/>
        <c:noMultiLvlLbl val="0"/>
      </c:catAx>
      <c:valAx>
        <c:axId val="-171388243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71389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'P5'!$A$3:$A$6</c:f>
              <c:strCache>
                <c:ptCount val="4"/>
                <c:pt idx="0">
                  <c:v>1 deri në 5 punëtorë</c:v>
                </c:pt>
                <c:pt idx="1">
                  <c:v>6 deri në 10 punëtorë</c:v>
                </c:pt>
                <c:pt idx="2">
                  <c:v>11 deri në 50 punëtorë</c:v>
                </c:pt>
                <c:pt idx="3">
                  <c:v>&gt;50</c:v>
                </c:pt>
              </c:strCache>
            </c:strRef>
          </c:cat>
          <c:val>
            <c:numRef>
              <c:f>'P5'!$B$3:$B$6</c:f>
              <c:numCache>
                <c:formatCode>0.0%</c:formatCode>
                <c:ptCount val="4"/>
                <c:pt idx="0">
                  <c:v>0.63157894736842102</c:v>
                </c:pt>
                <c:pt idx="1">
                  <c:v>0.14035087719298245</c:v>
                </c:pt>
                <c:pt idx="2">
                  <c:v>0.10526315789473684</c:v>
                </c:pt>
                <c:pt idx="3">
                  <c:v>0.12280701754385964</c:v>
                </c:pt>
              </c:numCache>
            </c:numRef>
          </c:val>
          <c:extLst>
            <c:ext xmlns:c16="http://schemas.microsoft.com/office/drawing/2014/chart" uri="{C3380CC4-5D6E-409C-BE32-E72D297353CC}">
              <c16:uniqueId val="{00000000-CECD-45C7-AA53-7A38C679B243}"/>
            </c:ext>
          </c:extLst>
        </c:ser>
        <c:dLbls>
          <c:showLegendKey val="0"/>
          <c:showVal val="0"/>
          <c:showCatName val="0"/>
          <c:showSerName val="0"/>
          <c:showPercent val="0"/>
          <c:showBubbleSize val="0"/>
        </c:dLbls>
        <c:gapWidth val="219"/>
        <c:overlap val="-27"/>
        <c:axId val="-1713873728"/>
        <c:axId val="-1713886240"/>
      </c:barChart>
      <c:catAx>
        <c:axId val="-171387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13886240"/>
        <c:crosses val="autoZero"/>
        <c:auto val="1"/>
        <c:lblAlgn val="ctr"/>
        <c:lblOffset val="100"/>
        <c:noMultiLvlLbl val="0"/>
      </c:catAx>
      <c:valAx>
        <c:axId val="-171388624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71387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'P5'!$B$2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2B-4401-B484-FAA611A63136}"/>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82B-4401-B484-FAA611A63136}"/>
              </c:ext>
            </c:extLst>
          </c:dPt>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2B-4401-B484-FAA611A63136}"/>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2B-4401-B484-FAA611A6313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0"/>
            <c:showBubbleSize val="0"/>
            <c:extLst>
              <c:ext xmlns:c15="http://schemas.microsoft.com/office/drawing/2012/chart" uri="{CE6537A1-D6FC-4f65-9D91-7224C49458BB}"/>
            </c:extLst>
          </c:dLbls>
          <c:cat>
            <c:strRef>
              <c:f>'P5'!$A$3:$A$4</c:f>
              <c:strCache>
                <c:ptCount val="2"/>
                <c:pt idx="0">
                  <c:v>Po</c:v>
                </c:pt>
                <c:pt idx="1">
                  <c:v>Jo</c:v>
                </c:pt>
              </c:strCache>
            </c:strRef>
          </c:cat>
          <c:val>
            <c:numRef>
              <c:f>'P5'!$B$3:$B$4</c:f>
              <c:numCache>
                <c:formatCode>0.0%</c:formatCode>
                <c:ptCount val="2"/>
                <c:pt idx="0">
                  <c:v>0.4838709677419355</c:v>
                </c:pt>
                <c:pt idx="1">
                  <c:v>0.5161290322580645</c:v>
                </c:pt>
              </c:numCache>
            </c:numRef>
          </c:val>
          <c:extLst>
            <c:ext xmlns:c16="http://schemas.microsoft.com/office/drawing/2014/chart" uri="{C3380CC4-5D6E-409C-BE32-E72D297353CC}">
              <c16:uniqueId val="{00000004-B82B-4401-B484-FAA611A6313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'P6'!$B$2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20-4DB1-A6BC-C357999F7E0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D20-4DB1-A6BC-C357999F7E0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D20-4DB1-A6BC-C357999F7E0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D20-4DB1-A6BC-C357999F7E0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D20-4DB1-A6BC-C357999F7E0A}"/>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9D20-4DB1-A6BC-C357999F7E0A}"/>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9D20-4DB1-A6BC-C357999F7E0A}"/>
                </c:ext>
              </c:extLst>
            </c:dLbl>
            <c:dLbl>
              <c:idx val="2"/>
              <c:layout>
                <c:manualLayout>
                  <c:x val="-4.3608789208493558E-2"/>
                  <c:y val="-0.1198048971516968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20-4DB1-A6BC-C357999F7E0A}"/>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7-9D20-4DB1-A6BC-C357999F7E0A}"/>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9-9D20-4DB1-A6BC-C357999F7E0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'P6'!$A$3:$A$7</c:f>
              <c:strCache>
                <c:ptCount val="5"/>
                <c:pt idx="0">
                  <c:v>Shumë më mirë</c:v>
                </c:pt>
                <c:pt idx="1">
                  <c:v>Më mirë</c:v>
                </c:pt>
                <c:pt idx="2">
                  <c:v>Njëjtë</c:v>
                </c:pt>
                <c:pt idx="3">
                  <c:v>Më keq</c:v>
                </c:pt>
                <c:pt idx="4">
                  <c:v>Shumë më keq</c:v>
                </c:pt>
              </c:strCache>
            </c:strRef>
          </c:cat>
          <c:val>
            <c:numRef>
              <c:f>'P6'!$B$3:$B$7</c:f>
              <c:numCache>
                <c:formatCode>0.0%</c:formatCode>
                <c:ptCount val="5"/>
                <c:pt idx="0">
                  <c:v>7.0175438596491224E-2</c:v>
                </c:pt>
                <c:pt idx="1">
                  <c:v>0.31578947368421051</c:v>
                </c:pt>
                <c:pt idx="2">
                  <c:v>0.15789473684210525</c:v>
                </c:pt>
                <c:pt idx="3">
                  <c:v>0.2982456140350877</c:v>
                </c:pt>
                <c:pt idx="4">
                  <c:v>0.15789473684210525</c:v>
                </c:pt>
              </c:numCache>
            </c:numRef>
          </c:val>
          <c:extLst>
            <c:ext xmlns:c16="http://schemas.microsoft.com/office/drawing/2014/chart" uri="{C3380CC4-5D6E-409C-BE32-E72D297353CC}">
              <c16:uniqueId val="{0000000A-9D20-4DB1-A6BC-C357999F7E0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'P7'!$B$1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'P7'!$A$2:$A$17</c:f>
              <c:strCache>
                <c:ptCount val="16"/>
                <c:pt idx="0">
                  <c:v>Tjetër</c:v>
                </c:pt>
                <c:pt idx="1">
                  <c:v>Mungesa e lëndës së parë</c:v>
                </c:pt>
                <c:pt idx="2">
                  <c:v>Mungesa e planifikimit (hartat zonale e papërfunduara)</c:v>
                </c:pt>
                <c:pt idx="3">
                  <c:v>Pandemia Covid-19</c:v>
                </c:pt>
                <c:pt idx="4">
                  <c:v>Pasiguria për të investuar</c:v>
                </c:pt>
                <c:pt idx="5">
                  <c:v>Kontrolli i kufizuar i cilësisë</c:v>
                </c:pt>
                <c:pt idx="6">
                  <c:v>Burokracia në komunë </c:v>
                </c:pt>
                <c:pt idx="7">
                  <c:v>Energjia elektrike</c:v>
                </c:pt>
                <c:pt idx="8">
                  <c:v>Kërkesa e kufizuar/tregu i vogël </c:v>
                </c:pt>
                <c:pt idx="9">
                  <c:v>Mbështejta e kufizuar për bizneset</c:v>
                </c:pt>
                <c:pt idx="10">
                  <c:v>Infrastruktura e dobët fizike</c:v>
                </c:pt>
                <c:pt idx="11">
                  <c:v>Praktikat korruptive</c:v>
                </c:pt>
                <c:pt idx="12">
                  <c:v>Qasja e kufizuar në financa dhe normat e larta</c:v>
                </c:pt>
                <c:pt idx="13">
                  <c:v>Konkurrenca e padrejtë</c:v>
                </c:pt>
                <c:pt idx="14">
                  <c:v>Vështirësitë në gjetjen e punëtorëve (mungesa e kualifikimit dhe migrimi)</c:v>
                </c:pt>
                <c:pt idx="15">
                  <c:v>Inflacioni/rritja e kostove</c:v>
                </c:pt>
              </c:strCache>
            </c:strRef>
          </c:cat>
          <c:val>
            <c:numRef>
              <c:f>'P7'!$B$2:$B$17</c:f>
              <c:numCache>
                <c:formatCode>0%</c:formatCode>
                <c:ptCount val="16"/>
                <c:pt idx="0">
                  <c:v>0.32258064516129031</c:v>
                </c:pt>
                <c:pt idx="1">
                  <c:v>6.4516129032258063E-2</c:v>
                </c:pt>
                <c:pt idx="2">
                  <c:v>6.4516129032258063E-2</c:v>
                </c:pt>
                <c:pt idx="3">
                  <c:v>6.4516129032258063E-2</c:v>
                </c:pt>
                <c:pt idx="4">
                  <c:v>6.4516129032258063E-2</c:v>
                </c:pt>
                <c:pt idx="5">
                  <c:v>9.6774193548387094E-2</c:v>
                </c:pt>
                <c:pt idx="6">
                  <c:v>0.12903225806451613</c:v>
                </c:pt>
                <c:pt idx="7">
                  <c:v>0.12903225806451613</c:v>
                </c:pt>
                <c:pt idx="8">
                  <c:v>0.12903225806451613</c:v>
                </c:pt>
                <c:pt idx="9">
                  <c:v>0.12903225806451613</c:v>
                </c:pt>
                <c:pt idx="10">
                  <c:v>0.25806451612903225</c:v>
                </c:pt>
                <c:pt idx="11">
                  <c:v>0.25806451612903225</c:v>
                </c:pt>
                <c:pt idx="12">
                  <c:v>0.25806451612903225</c:v>
                </c:pt>
                <c:pt idx="13">
                  <c:v>0.32258064516129031</c:v>
                </c:pt>
                <c:pt idx="14">
                  <c:v>0.38709677419354838</c:v>
                </c:pt>
                <c:pt idx="15">
                  <c:v>0.54838709677419351</c:v>
                </c:pt>
              </c:numCache>
            </c:numRef>
          </c:val>
          <c:extLst>
            <c:ext xmlns:c16="http://schemas.microsoft.com/office/drawing/2014/chart" uri="{C3380CC4-5D6E-409C-BE32-E72D297353CC}">
              <c16:uniqueId val="{00000000-83AA-4620-908D-B9CCDC4EB8FC}"/>
            </c:ext>
          </c:extLst>
        </c:ser>
        <c:dLbls>
          <c:dLblPos val="outEnd"/>
          <c:showLegendKey val="0"/>
          <c:showVal val="1"/>
          <c:showCatName val="0"/>
          <c:showSerName val="0"/>
          <c:showPercent val="0"/>
          <c:showBubbleSize val="0"/>
        </c:dLbls>
        <c:gapWidth val="182"/>
        <c:axId val="-1713890048"/>
        <c:axId val="-1713897120"/>
      </c:barChart>
      <c:catAx>
        <c:axId val="-171389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713897120"/>
        <c:crosses val="autoZero"/>
        <c:auto val="1"/>
        <c:lblAlgn val="ctr"/>
        <c:lblOffset val="100"/>
        <c:noMultiLvlLbl val="0"/>
      </c:catAx>
      <c:valAx>
        <c:axId val="-171389712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1389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'P8'!$B$1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'P8'!$A$2:$A$15</c:f>
              <c:strCache>
                <c:ptCount val="14"/>
                <c:pt idx="0">
                  <c:v>Paqartësia në mes të kompetencave në mes të nivelit qendror dhe atij lokal</c:v>
                </c:pt>
                <c:pt idx="1">
                  <c:v>Prona komunale për shfrytëzim për komunitetin e biznesit</c:v>
                </c:pt>
                <c:pt idx="2">
                  <c:v>Ngarkesat administrative në nivel lokal</c:v>
                </c:pt>
                <c:pt idx="3">
                  <c:v>Efikasiteti i administratës komunale</c:v>
                </c:pt>
                <c:pt idx="4">
                  <c:v>Tatimet dhe taksat komunale</c:v>
                </c:pt>
                <c:pt idx="5">
                  <c:v>Infrastruktura mbështetëse për bizneset (ujë, rrymë, kanalizim, etj.)</c:v>
                </c:pt>
                <c:pt idx="6">
                  <c:v>Korrupsioni në nivel lokal</c:v>
                </c:pt>
                <c:pt idx="7">
                  <c:v>Infrastruktura e transportit</c:v>
                </c:pt>
                <c:pt idx="8">
                  <c:v>Disponueshmëria e fuqisë punëtore të kualifikuar</c:v>
                </c:pt>
                <c:pt idx="9">
                  <c:v>Mungesa e përkrahjes për sektorët me potencial të rritjes</c:v>
                </c:pt>
                <c:pt idx="10">
                  <c:v>Qëndrueshmëri financiare e biznesit</c:v>
                </c:pt>
                <c:pt idx="11">
                  <c:v>Mbështetja financiare nga komuna për biznesin</c:v>
                </c:pt>
                <c:pt idx="12">
                  <c:v>Pasiguria në investime</c:v>
                </c:pt>
                <c:pt idx="13">
                  <c:v>Konkurrenca e padrejtë (pandershme)</c:v>
                </c:pt>
              </c:strCache>
            </c:strRef>
          </c:cat>
          <c:val>
            <c:numRef>
              <c:f>'P8'!$B$2:$B$15</c:f>
              <c:numCache>
                <c:formatCode>0.00</c:formatCode>
                <c:ptCount val="14"/>
                <c:pt idx="0">
                  <c:v>2.3157894736842106</c:v>
                </c:pt>
                <c:pt idx="1">
                  <c:v>2.4035087719298245</c:v>
                </c:pt>
                <c:pt idx="2">
                  <c:v>2.4035087719298245</c:v>
                </c:pt>
                <c:pt idx="3">
                  <c:v>2.4912280701754388</c:v>
                </c:pt>
                <c:pt idx="4">
                  <c:v>2.4912280701754388</c:v>
                </c:pt>
                <c:pt idx="5">
                  <c:v>2.5789473684210527</c:v>
                </c:pt>
                <c:pt idx="6">
                  <c:v>2.6140350877192984</c:v>
                </c:pt>
                <c:pt idx="7">
                  <c:v>2.8596491228070176</c:v>
                </c:pt>
                <c:pt idx="8">
                  <c:v>2.9298245614035086</c:v>
                </c:pt>
                <c:pt idx="9">
                  <c:v>3.1052631578947367</c:v>
                </c:pt>
                <c:pt idx="10">
                  <c:v>3.1228070175438596</c:v>
                </c:pt>
                <c:pt idx="11">
                  <c:v>3.1228070175438596</c:v>
                </c:pt>
                <c:pt idx="12">
                  <c:v>3.5087719298245612</c:v>
                </c:pt>
                <c:pt idx="13">
                  <c:v>3.5964912280701755</c:v>
                </c:pt>
              </c:numCache>
            </c:numRef>
          </c:val>
          <c:extLst>
            <c:ext xmlns:c16="http://schemas.microsoft.com/office/drawing/2014/chart" uri="{C3380CC4-5D6E-409C-BE32-E72D297353CC}">
              <c16:uniqueId val="{00000000-398C-4FEB-9014-A0FAF88406F7}"/>
            </c:ext>
          </c:extLst>
        </c:ser>
        <c:dLbls>
          <c:dLblPos val="outEnd"/>
          <c:showLegendKey val="0"/>
          <c:showVal val="1"/>
          <c:showCatName val="0"/>
          <c:showSerName val="0"/>
          <c:showPercent val="0"/>
          <c:showBubbleSize val="0"/>
        </c:dLbls>
        <c:gapWidth val="182"/>
        <c:axId val="-1713896576"/>
        <c:axId val="-1713871008"/>
      </c:barChart>
      <c:catAx>
        <c:axId val="-171389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713871008"/>
        <c:crosses val="autoZero"/>
        <c:auto val="1"/>
        <c:lblAlgn val="ctr"/>
        <c:lblOffset val="100"/>
        <c:noMultiLvlLbl val="0"/>
      </c:catAx>
      <c:valAx>
        <c:axId val="-171387100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71389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'P9'!$B$1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'P9'!$A$2:$A$13</c:f>
              <c:strCache>
                <c:ptCount val="12"/>
                <c:pt idx="0">
                  <c:v>Tjetër</c:v>
                </c:pt>
                <c:pt idx="1">
                  <c:v>Krijimi dhe funksionalizimi i zonave ekonomike </c:v>
                </c:pt>
                <c:pt idx="2">
                  <c:v>Ofrimi i pronave komunale për shfrytëzim</c:v>
                </c:pt>
                <c:pt idx="3">
                  <c:v>Përkrahje në ofrimin e ndihmës teknike (konsulencës)</c:v>
                </c:pt>
                <c:pt idx="4">
                  <c:v>Rritja e investimeve kapitale</c:v>
                </c:pt>
                <c:pt idx="5">
                  <c:v>Përmiërsimi i dialogut në mes të komunës dhe komunitetit të biznesit</c:v>
                </c:pt>
                <c:pt idx="6">
                  <c:v>Të rritjet përpjekja në luftën kundër korrupsionit dhe konkurrencës së pandershme</c:v>
                </c:pt>
                <c:pt idx="7">
                  <c:v>Krijimi i lehtësirave administrative për bizneset </c:v>
                </c:pt>
                <c:pt idx="8">
                  <c:v>Zvogëlimi i ngarkesave tatimore </c:v>
                </c:pt>
                <c:pt idx="9">
                  <c:v>Ndihmë për ngritjen e shkathtësive të fuqisë punëtore</c:v>
                </c:pt>
                <c:pt idx="10">
                  <c:v>Rregullimi i infrastrukturës së përgjithshme</c:v>
                </c:pt>
                <c:pt idx="11">
                  <c:v>Mbështetja bizneseve përmes granteve dhe subvencioneve</c:v>
                </c:pt>
              </c:strCache>
            </c:strRef>
          </c:cat>
          <c:val>
            <c:numRef>
              <c:f>'P9'!$B$2:$B$13</c:f>
              <c:numCache>
                <c:formatCode>0%</c:formatCode>
                <c:ptCount val="12"/>
                <c:pt idx="0">
                  <c:v>0.2807017543859649</c:v>
                </c:pt>
                <c:pt idx="1">
                  <c:v>5.2631578947368418E-2</c:v>
                </c:pt>
                <c:pt idx="2">
                  <c:v>5.2631578947368418E-2</c:v>
                </c:pt>
                <c:pt idx="3">
                  <c:v>5.2631578947368418E-2</c:v>
                </c:pt>
                <c:pt idx="4">
                  <c:v>5.2631578947368418E-2</c:v>
                </c:pt>
                <c:pt idx="5">
                  <c:v>7.0175438596491224E-2</c:v>
                </c:pt>
                <c:pt idx="6">
                  <c:v>8.771929824561403E-2</c:v>
                </c:pt>
                <c:pt idx="7">
                  <c:v>0.10526315789473684</c:v>
                </c:pt>
                <c:pt idx="8">
                  <c:v>0.12280701754385964</c:v>
                </c:pt>
                <c:pt idx="9">
                  <c:v>0.12280701754385964</c:v>
                </c:pt>
                <c:pt idx="10">
                  <c:v>0.12280701754385964</c:v>
                </c:pt>
                <c:pt idx="11">
                  <c:v>0.21052631578947367</c:v>
                </c:pt>
              </c:numCache>
            </c:numRef>
          </c:val>
          <c:extLst>
            <c:ext xmlns:c16="http://schemas.microsoft.com/office/drawing/2014/chart" uri="{C3380CC4-5D6E-409C-BE32-E72D297353CC}">
              <c16:uniqueId val="{00000000-D56C-403B-A026-2855C3A79CC2}"/>
            </c:ext>
          </c:extLst>
        </c:ser>
        <c:dLbls>
          <c:dLblPos val="outEnd"/>
          <c:showLegendKey val="0"/>
          <c:showVal val="1"/>
          <c:showCatName val="0"/>
          <c:showSerName val="0"/>
          <c:showPercent val="0"/>
          <c:showBubbleSize val="0"/>
        </c:dLbls>
        <c:gapWidth val="182"/>
        <c:axId val="-1713896032"/>
        <c:axId val="-1713895488"/>
      </c:barChart>
      <c:catAx>
        <c:axId val="-171389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713895488"/>
        <c:crosses val="autoZero"/>
        <c:auto val="1"/>
        <c:lblAlgn val="ctr"/>
        <c:lblOffset val="100"/>
        <c:noMultiLvlLbl val="0"/>
      </c:catAx>
      <c:valAx>
        <c:axId val="-1713895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9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'P10'!$B$1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'P10'!$A$2:$A$12</c:f>
              <c:strCache>
                <c:ptCount val="11"/>
                <c:pt idx="0">
                  <c:v>Tjetër</c:v>
                </c:pt>
                <c:pt idx="1">
                  <c:v>Zvogëlimi i detyrimeve tatimore </c:v>
                </c:pt>
                <c:pt idx="2">
                  <c:v>Rritja e buxhetit komunal</c:v>
                </c:pt>
                <c:pt idx="3">
                  <c:v>Të përmirësohet qajsa në kredi të favorshme</c:v>
                </c:pt>
                <c:pt idx="4">
                  <c:v>Ngritja e infrastrukturës</c:v>
                </c:pt>
                <c:pt idx="5">
                  <c:v>Të lehtësohen procedurat për marrje të lejes</c:v>
                </c:pt>
                <c:pt idx="6">
                  <c:v>Zhvillimi dhe funksionalizimi i zonave ekonomike </c:v>
                </c:pt>
                <c:pt idx="7">
                  <c:v>Subvencionimi i bujqësisë</c:v>
                </c:pt>
                <c:pt idx="8">
                  <c:v>Krijimi i mundësive për ngritje të shkakthësive tek të rinjtë</c:v>
                </c:pt>
                <c:pt idx="9">
                  <c:v>Luftimi i korrupsionit dhe informalitetit </c:v>
                </c:pt>
                <c:pt idx="10">
                  <c:v>Fonde për mbështetjen e sektorit privat</c:v>
                </c:pt>
              </c:strCache>
            </c:strRef>
          </c:cat>
          <c:val>
            <c:numRef>
              <c:f>'P10'!$B$2:$B$12</c:f>
              <c:numCache>
                <c:formatCode>0%</c:formatCode>
                <c:ptCount val="11"/>
                <c:pt idx="0">
                  <c:v>0.35087719298245612</c:v>
                </c:pt>
                <c:pt idx="1">
                  <c:v>3.5087719298245612E-2</c:v>
                </c:pt>
                <c:pt idx="2">
                  <c:v>3.5087719298245612E-2</c:v>
                </c:pt>
                <c:pt idx="3">
                  <c:v>3.5087719298245612E-2</c:v>
                </c:pt>
                <c:pt idx="4">
                  <c:v>3.5087719298245612E-2</c:v>
                </c:pt>
                <c:pt idx="5">
                  <c:v>3.5087719298245612E-2</c:v>
                </c:pt>
                <c:pt idx="6">
                  <c:v>5.2631578947368418E-2</c:v>
                </c:pt>
                <c:pt idx="7">
                  <c:v>5.2631578947368418E-2</c:v>
                </c:pt>
                <c:pt idx="8">
                  <c:v>7.0175438596491224E-2</c:v>
                </c:pt>
                <c:pt idx="9">
                  <c:v>0.10526315789473684</c:v>
                </c:pt>
                <c:pt idx="10">
                  <c:v>0.21052631578947367</c:v>
                </c:pt>
              </c:numCache>
            </c:numRef>
          </c:val>
          <c:extLst>
            <c:ext xmlns:c16="http://schemas.microsoft.com/office/drawing/2014/chart" uri="{C3380CC4-5D6E-409C-BE32-E72D297353CC}">
              <c16:uniqueId val="{00000000-C860-411A-BDA4-7B4F14DB37AA}"/>
            </c:ext>
          </c:extLst>
        </c:ser>
        <c:dLbls>
          <c:dLblPos val="outEnd"/>
          <c:showLegendKey val="0"/>
          <c:showVal val="1"/>
          <c:showCatName val="0"/>
          <c:showSerName val="0"/>
          <c:showPercent val="0"/>
          <c:showBubbleSize val="0"/>
        </c:dLbls>
        <c:gapWidth val="182"/>
        <c:axId val="-1713885696"/>
        <c:axId val="-1713881888"/>
      </c:barChart>
      <c:catAx>
        <c:axId val="-1713885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713881888"/>
        <c:crosses val="autoZero"/>
        <c:auto val="1"/>
        <c:lblAlgn val="ctr"/>
        <c:lblOffset val="100"/>
        <c:noMultiLvlLbl val="0"/>
      </c:catAx>
      <c:valAx>
        <c:axId val="-1713881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1388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'P13'!$B$2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F2-4733-AA3C-709568CC118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0F2-4733-AA3C-709568CC118D}"/>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F2-4733-AA3C-709568CC118D}"/>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F2-4733-AA3C-709568CC118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'P13'!$A$3:$A$4</c:f>
              <c:strCache>
                <c:ptCount val="2"/>
                <c:pt idx="0">
                  <c:v>Po</c:v>
                </c:pt>
                <c:pt idx="1">
                  <c:v>Jo</c:v>
                </c:pt>
              </c:strCache>
            </c:strRef>
          </c:cat>
          <c:val>
            <c:numRef>
              <c:f>'P13'!$B$3:$B$4</c:f>
              <c:numCache>
                <c:formatCode>0.0%</c:formatCode>
                <c:ptCount val="2"/>
                <c:pt idx="0">
                  <c:v>0.56140350877192979</c:v>
                </c:pt>
                <c:pt idx="1">
                  <c:v>0.43859649122807015</c:v>
                </c:pt>
              </c:numCache>
            </c:numRef>
          </c:val>
          <c:extLst>
            <c:ext xmlns:c16="http://schemas.microsoft.com/office/drawing/2014/chart" uri="{C3380CC4-5D6E-409C-BE32-E72D297353CC}">
              <c16:uniqueId val="{00000004-80F2-4733-AA3C-709568CC118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286284677119855E-2"/>
          <c:y val="0.1398846773639231"/>
          <c:w val="0.58723439126409449"/>
          <c:h val="0.72023064527215375"/>
        </c:manualLayout>
      </c:layout>
      <c:pieChart>
        <c:varyColors val="1"/>
        <c:ser>
          <c:idx val="0"/>
          <c:order val="0"/>
          <c:tx>
            <c:strRef>
              <c:f>'P14'!$B$2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97B-4256-9229-AF58936425E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97B-4256-9229-AF58936425E3}"/>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97B-4256-9229-AF58936425E3}"/>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97B-4256-9229-AF58936425E3}"/>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597B-4256-9229-AF58936425E3}"/>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597B-4256-9229-AF58936425E3}"/>
                </c:ext>
              </c:extLst>
            </c:dLbl>
            <c:dLbl>
              <c:idx val="2"/>
              <c:layout>
                <c:manualLayout>
                  <c:x val="9.5576676919597481E-2"/>
                  <c:y val="0.11256253007171388"/>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7B-4256-9229-AF58936425E3}"/>
                </c:ext>
              </c:extLst>
            </c:dLbl>
            <c:dLbl>
              <c:idx val="3"/>
              <c:layout>
                <c:manualLayout>
                  <c:x val="2.2058704484198041E-2"/>
                  <c:y val="-4.822166385360907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7B-4256-9229-AF58936425E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'P14'!$A$3:$A$6</c:f>
              <c:strCache>
                <c:ptCount val="4"/>
                <c:pt idx="0">
                  <c:v>Shumë problem i madh</c:v>
                </c:pt>
                <c:pt idx="1">
                  <c:v>Problem i madh</c:v>
                </c:pt>
                <c:pt idx="2">
                  <c:v>Problem i vogël</c:v>
                </c:pt>
                <c:pt idx="3">
                  <c:v>Aspak problem</c:v>
                </c:pt>
              </c:strCache>
            </c:strRef>
          </c:cat>
          <c:val>
            <c:numRef>
              <c:f>'P14'!$B$3:$B$6</c:f>
              <c:numCache>
                <c:formatCode>0.0%</c:formatCode>
                <c:ptCount val="4"/>
                <c:pt idx="0">
                  <c:v>0.56140350877192979</c:v>
                </c:pt>
                <c:pt idx="1">
                  <c:v>0.2982456140350877</c:v>
                </c:pt>
                <c:pt idx="2">
                  <c:v>0.10526315789473684</c:v>
                </c:pt>
                <c:pt idx="3">
                  <c:v>3.5087719298245612E-2</c:v>
                </c:pt>
              </c:numCache>
            </c:numRef>
          </c:val>
          <c:extLst>
            <c:ext xmlns:c16="http://schemas.microsoft.com/office/drawing/2014/chart" uri="{C3380CC4-5D6E-409C-BE32-E72D297353CC}">
              <c16:uniqueId val="{00000008-597B-4256-9229-AF58936425E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'P15'!$B$2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92-4B87-AE72-C8717CC2CBD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892-4B87-AE72-C8717CC2CBD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892-4B87-AE72-C8717CC2CBDA}"/>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92-4B87-AE72-C8717CC2CBDA}"/>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92-4B87-AE72-C8717CC2CBDA}"/>
                </c:ext>
              </c:extLst>
            </c:dLbl>
            <c:dLbl>
              <c:idx val="2"/>
              <c:layout>
                <c:manualLayout>
                  <c:x val="9.8739982967963186E-2"/>
                  <c:y val="0.1238074051542343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92-4B87-AE72-C8717CC2CB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'P15'!$A$3:$A$5</c:f>
              <c:strCache>
                <c:ptCount val="3"/>
                <c:pt idx="0">
                  <c:v>Po</c:v>
                </c:pt>
                <c:pt idx="1">
                  <c:v>Jo</c:v>
                </c:pt>
                <c:pt idx="2">
                  <c:v>Nuk e di </c:v>
                </c:pt>
              </c:strCache>
            </c:strRef>
          </c:cat>
          <c:val>
            <c:numRef>
              <c:f>'P15'!$B$3:$B$5</c:f>
              <c:numCache>
                <c:formatCode>0.0%</c:formatCode>
                <c:ptCount val="3"/>
                <c:pt idx="0">
                  <c:v>0.15789473684210525</c:v>
                </c:pt>
                <c:pt idx="1">
                  <c:v>0.43859649122807015</c:v>
                </c:pt>
                <c:pt idx="2">
                  <c:v>0.40350877192982454</c:v>
                </c:pt>
              </c:numCache>
            </c:numRef>
          </c:val>
          <c:extLst>
            <c:ext xmlns:c16="http://schemas.microsoft.com/office/drawing/2014/chart" uri="{C3380CC4-5D6E-409C-BE32-E72D297353CC}">
              <c16:uniqueId val="{00000006-3892-4B87-AE72-C8717CC2CBD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'P5.1'!$B$2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99-45A0-9574-22F0167E52A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899-45A0-9574-22F0167E52AA}"/>
              </c:ext>
            </c:extLst>
          </c:dPt>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99-45A0-9574-22F0167E52AA}"/>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99-45A0-9574-22F0167E52A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0"/>
            <c:showBubbleSize val="0"/>
            <c:extLst>
              <c:ext xmlns:c15="http://schemas.microsoft.com/office/drawing/2012/chart" uri="{CE6537A1-D6FC-4f65-9D91-7224C49458BB}"/>
            </c:extLst>
          </c:dLbls>
          <c:cat>
            <c:strRef>
              <c:f>'P5.1'!$A$3:$A$4</c:f>
              <c:strCache>
                <c:ptCount val="2"/>
                <c:pt idx="0">
                  <c:v>Po</c:v>
                </c:pt>
                <c:pt idx="1">
                  <c:v>Jo</c:v>
                </c:pt>
              </c:strCache>
            </c:strRef>
          </c:cat>
          <c:val>
            <c:numRef>
              <c:f>'P5.1'!$B$3:$B$4</c:f>
              <c:numCache>
                <c:formatCode>0.0%</c:formatCode>
                <c:ptCount val="2"/>
                <c:pt idx="0">
                  <c:v>0.8666666666666667</c:v>
                </c:pt>
                <c:pt idx="1">
                  <c:v>0.13333333333333333</c:v>
                </c:pt>
              </c:numCache>
            </c:numRef>
          </c:val>
          <c:extLst>
            <c:ext xmlns:c16="http://schemas.microsoft.com/office/drawing/2014/chart" uri="{C3380CC4-5D6E-409C-BE32-E72D297353CC}">
              <c16:uniqueId val="{00000004-4899-45A0-9574-22F0167E52A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'P6'!$B$2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F5-4084-AD6E-80F049F24E9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3F5-4084-AD6E-80F049F24E9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3F5-4084-AD6E-80F049F24E90}"/>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F5-4084-AD6E-80F049F24E90}"/>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F5-4084-AD6E-80F049F24E90}"/>
                </c:ext>
              </c:extLst>
            </c:dLbl>
            <c:dLbl>
              <c:idx val="2"/>
              <c:layout>
                <c:manualLayout>
                  <c:x val="-3.659132937819546E-2"/>
                  <c:y val="0"/>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F5-4084-AD6E-80F049F24E9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'P6'!$A$3:$A$5</c:f>
              <c:strCache>
                <c:ptCount val="3"/>
                <c:pt idx="0">
                  <c:v>Po</c:v>
                </c:pt>
                <c:pt idx="1">
                  <c:v>Jo</c:v>
                </c:pt>
                <c:pt idx="2">
                  <c:v>Nuk e di </c:v>
                </c:pt>
              </c:strCache>
            </c:strRef>
          </c:cat>
          <c:val>
            <c:numRef>
              <c:f>'P6'!$B$3:$B$5</c:f>
              <c:numCache>
                <c:formatCode>0.0%</c:formatCode>
                <c:ptCount val="3"/>
                <c:pt idx="0">
                  <c:v>0.80645161290322576</c:v>
                </c:pt>
                <c:pt idx="1">
                  <c:v>0.16129032258064516</c:v>
                </c:pt>
                <c:pt idx="2">
                  <c:v>3.2258064516129031E-2</c:v>
                </c:pt>
              </c:numCache>
            </c:numRef>
          </c:val>
          <c:extLst>
            <c:ext xmlns:c16="http://schemas.microsoft.com/office/drawing/2014/chart" uri="{C3380CC4-5D6E-409C-BE32-E72D297353CC}">
              <c16:uniqueId val="{00000006-73F5-4084-AD6E-80F049F24E9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'P7'!$B$2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E0-4596-9E0F-0F9D7A3F143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2E0-4596-9E0F-0F9D7A3F143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2E0-4596-9E0F-0F9D7A3F1434}"/>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E0-4596-9E0F-0F9D7A3F1434}"/>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E0-4596-9E0F-0F9D7A3F1434}"/>
                </c:ext>
              </c:extLst>
            </c:dLbl>
            <c:dLbl>
              <c:idx val="2"/>
              <c:layout>
                <c:manualLayout>
                  <c:x val="1.0167413613723409E-2"/>
                  <c:y val="-3.298281573648398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E0-4596-9E0F-0F9D7A3F143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'P7'!$A$3:$A$5</c:f>
              <c:strCache>
                <c:ptCount val="3"/>
                <c:pt idx="0">
                  <c:v>Po</c:v>
                </c:pt>
                <c:pt idx="1">
                  <c:v>Jo</c:v>
                </c:pt>
                <c:pt idx="2">
                  <c:v>Nuk e di </c:v>
                </c:pt>
              </c:strCache>
            </c:strRef>
          </c:cat>
          <c:val>
            <c:numRef>
              <c:f>'P7'!$B$3:$B$5</c:f>
              <c:numCache>
                <c:formatCode>0.0%</c:formatCode>
                <c:ptCount val="3"/>
                <c:pt idx="0">
                  <c:v>0.5161290322580645</c:v>
                </c:pt>
                <c:pt idx="1">
                  <c:v>0.45161290322580644</c:v>
                </c:pt>
                <c:pt idx="2">
                  <c:v>3.2258064516129031E-2</c:v>
                </c:pt>
              </c:numCache>
            </c:numRef>
          </c:val>
          <c:extLst>
            <c:ext xmlns:c16="http://schemas.microsoft.com/office/drawing/2014/chart" uri="{C3380CC4-5D6E-409C-BE32-E72D297353CC}">
              <c16:uniqueId val="{00000006-12E0-4596-9E0F-0F9D7A3F143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'P8'!$B$2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2C-49E7-87DE-45FC1704BE7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12C-49E7-87DE-45FC1704BE7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412C-49E7-87DE-45FC1704BE75}"/>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2C-49E7-87DE-45FC1704BE75}"/>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2C-49E7-87DE-45FC1704BE75}"/>
                </c:ext>
              </c:extLst>
            </c:dLbl>
            <c:dLbl>
              <c:idx val="2"/>
              <c:layout>
                <c:manualLayout>
                  <c:x val="1.0167413613723409E-2"/>
                  <c:y val="-3.298281573648398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2C-49E7-87DE-45FC1704BE7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'P8'!$A$3:$A$5</c:f>
              <c:strCache>
                <c:ptCount val="3"/>
                <c:pt idx="0">
                  <c:v>Po</c:v>
                </c:pt>
                <c:pt idx="1">
                  <c:v>Jo</c:v>
                </c:pt>
                <c:pt idx="2">
                  <c:v>Nuk e di </c:v>
                </c:pt>
              </c:strCache>
            </c:strRef>
          </c:cat>
          <c:val>
            <c:numRef>
              <c:f>'P8'!$B$3:$B$5</c:f>
              <c:numCache>
                <c:formatCode>0.0%</c:formatCode>
                <c:ptCount val="3"/>
                <c:pt idx="0">
                  <c:v>0.61290322580645162</c:v>
                </c:pt>
                <c:pt idx="1">
                  <c:v>0.32258064516129031</c:v>
                </c:pt>
                <c:pt idx="2">
                  <c:v>6.4516129032258063E-2</c:v>
                </c:pt>
              </c:numCache>
            </c:numRef>
          </c:val>
          <c:extLst>
            <c:ext xmlns:c16="http://schemas.microsoft.com/office/drawing/2014/chart" uri="{C3380CC4-5D6E-409C-BE32-E72D297353CC}">
              <c16:uniqueId val="{00000006-412C-49E7-87DE-45FC1704BE7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'P9'!$B$2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35-4F20-8903-D3C48F1B92B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335-4F20-8903-D3C48F1B92B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335-4F20-8903-D3C48F1B92B0}"/>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35-4F20-8903-D3C48F1B92B0}"/>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35-4F20-8903-D3C48F1B92B0}"/>
                </c:ext>
              </c:extLst>
            </c:dLbl>
            <c:dLbl>
              <c:idx val="2"/>
              <c:layout>
                <c:manualLayout>
                  <c:x val="7.9760146677768956E-2"/>
                  <c:y val="0.11610477794753264"/>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35-4F20-8903-D3C48F1B92B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'P9'!$A$3:$A$5</c:f>
              <c:strCache>
                <c:ptCount val="3"/>
                <c:pt idx="0">
                  <c:v>Të shkëlqyeshme</c:v>
                </c:pt>
                <c:pt idx="1">
                  <c:v>Të kënaqshme</c:v>
                </c:pt>
                <c:pt idx="2">
                  <c:v>Të dobëta</c:v>
                </c:pt>
              </c:strCache>
            </c:strRef>
          </c:cat>
          <c:val>
            <c:numRef>
              <c:f>'P9'!$B$3:$B$5</c:f>
              <c:numCache>
                <c:formatCode>0.0%</c:formatCode>
                <c:ptCount val="3"/>
                <c:pt idx="0">
                  <c:v>0.19354838709677419</c:v>
                </c:pt>
                <c:pt idx="1">
                  <c:v>0.67741935483870963</c:v>
                </c:pt>
                <c:pt idx="2">
                  <c:v>0.12903225806451613</c:v>
                </c:pt>
              </c:numCache>
            </c:numRef>
          </c:val>
          <c:extLst>
            <c:ext xmlns:c16="http://schemas.microsoft.com/office/drawing/2014/chart" uri="{C3380CC4-5D6E-409C-BE32-E72D297353CC}">
              <c16:uniqueId val="{00000006-2335-4F20-8903-D3C48F1B92B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'P10'!$B$2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D1-48FB-8E2C-498B61C3ADE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1D1-48FB-8E2C-498B61C3ADE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1D1-48FB-8E2C-498B61C3ADED}"/>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D1-48FB-8E2C-498B61C3ADED}"/>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D1-48FB-8E2C-498B61C3ADED}"/>
                </c:ext>
              </c:extLst>
            </c:dLbl>
            <c:dLbl>
              <c:idx val="2"/>
              <c:layout>
                <c:manualLayout>
                  <c:x val="1.0167413613723409E-2"/>
                  <c:y val="-3.298281573648398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D1-48FB-8E2C-498B61C3ADE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'P10'!$A$3:$A$5</c:f>
              <c:strCache>
                <c:ptCount val="3"/>
                <c:pt idx="0">
                  <c:v>Po</c:v>
                </c:pt>
                <c:pt idx="1">
                  <c:v>Jo</c:v>
                </c:pt>
                <c:pt idx="2">
                  <c:v>Nuk e di </c:v>
                </c:pt>
              </c:strCache>
            </c:strRef>
          </c:cat>
          <c:val>
            <c:numRef>
              <c:f>'P10'!$B$3:$B$5</c:f>
              <c:numCache>
                <c:formatCode>0.0%</c:formatCode>
                <c:ptCount val="3"/>
                <c:pt idx="0">
                  <c:v>0.90322580645161288</c:v>
                </c:pt>
                <c:pt idx="1">
                  <c:v>6.4516129032258063E-2</c:v>
                </c:pt>
                <c:pt idx="2">
                  <c:v>3.2258064516129031E-2</c:v>
                </c:pt>
              </c:numCache>
            </c:numRef>
          </c:val>
          <c:extLst>
            <c:ext xmlns:c16="http://schemas.microsoft.com/office/drawing/2014/chart" uri="{C3380CC4-5D6E-409C-BE32-E72D297353CC}">
              <c16:uniqueId val="{00000006-D1D1-48FB-8E2C-498B61C3ADE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'P10.1'!$B$2</c:f>
              <c:strCache>
                <c:ptCount val="1"/>
                <c:pt idx="0">
                  <c:v>Përqindja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94-491B-BB43-49180EA40D7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394-491B-BB43-49180EA40D73}"/>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394-491B-BB43-49180EA40D73}"/>
              </c:ext>
            </c:extLst>
          </c:dPt>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94-491B-BB43-49180EA40D73}"/>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94-491B-BB43-49180EA40D73}"/>
                </c:ext>
              </c:extLst>
            </c:dLbl>
            <c:dLbl>
              <c:idx val="2"/>
              <c:layout>
                <c:manualLayout>
                  <c:x val="0.11903568756105534"/>
                  <c:y val="0.1344866867794149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94-491B-BB43-49180EA40D7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'P10.1'!$A$3:$A$5</c:f>
              <c:strCache>
                <c:ptCount val="3"/>
                <c:pt idx="0">
                  <c:v>Po</c:v>
                </c:pt>
                <c:pt idx="1">
                  <c:v>Jo</c:v>
                </c:pt>
                <c:pt idx="2">
                  <c:v>Nuk e di </c:v>
                </c:pt>
              </c:strCache>
            </c:strRef>
          </c:cat>
          <c:val>
            <c:numRef>
              <c:f>'P10.1'!$B$3:$B$5</c:f>
              <c:numCache>
                <c:formatCode>0.0%</c:formatCode>
                <c:ptCount val="3"/>
                <c:pt idx="0">
                  <c:v>0.75</c:v>
                </c:pt>
                <c:pt idx="1">
                  <c:v>0.10714285714285714</c:v>
                </c:pt>
                <c:pt idx="2">
                  <c:v>0.14285714285714285</c:v>
                </c:pt>
              </c:numCache>
            </c:numRef>
          </c:val>
          <c:extLst>
            <c:ext xmlns:c16="http://schemas.microsoft.com/office/drawing/2014/chart" uri="{C3380CC4-5D6E-409C-BE32-E72D297353CC}">
              <c16:uniqueId val="{00000006-B394-491B-BB43-49180EA40D7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BE53-4E48-484A-8185-FC4AD51E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61</Pages>
  <Words>17448</Words>
  <Characters>99455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Agon</dc:creator>
  <cp:keywords/>
  <dc:description/>
  <cp:lastModifiedBy>Agon</cp:lastModifiedBy>
  <cp:revision>5</cp:revision>
  <dcterms:created xsi:type="dcterms:W3CDTF">2023-04-18T15:36:00Z</dcterms:created>
  <dcterms:modified xsi:type="dcterms:W3CDTF">2023-04-25T07:10:00Z</dcterms:modified>
</cp:coreProperties>
</file>