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BD1" w:rsidRPr="000D2904" w:rsidRDefault="00935BD1" w:rsidP="00935BD1">
      <w:pPr>
        <w:jc w:val="center"/>
        <w:rPr>
          <w:rFonts w:ascii="Book Antiqua" w:hAnsi="Book Antiqua" w:cs="Book Antiqua"/>
          <w:b/>
          <w:bCs/>
          <w:lang w:val="sv-SE"/>
        </w:rPr>
      </w:pPr>
      <w:bookmarkStart w:id="0" w:name="OLE_LINK3"/>
      <w:r w:rsidRPr="000D2904">
        <w:rPr>
          <w:rFonts w:ascii="Book Antiqua" w:hAnsi="Book Antiqua"/>
          <w:noProof/>
          <w:lang w:eastAsia="sq-AL"/>
        </w:rPr>
        <w:drawing>
          <wp:inline distT="0" distB="0" distL="0" distR="0" wp14:anchorId="11109D71" wp14:editId="4574AE73">
            <wp:extent cx="670144" cy="836295"/>
            <wp:effectExtent l="0" t="0" r="0" b="190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2664" cy="839440"/>
                    </a:xfrm>
                    <a:prstGeom prst="rect">
                      <a:avLst/>
                    </a:prstGeom>
                    <a:noFill/>
                    <a:ln>
                      <a:noFill/>
                    </a:ln>
                  </pic:spPr>
                </pic:pic>
              </a:graphicData>
            </a:graphic>
          </wp:inline>
        </w:drawing>
      </w:r>
    </w:p>
    <w:bookmarkEnd w:id="0"/>
    <w:p w:rsidR="00935BD1" w:rsidRPr="000D2904" w:rsidRDefault="00935BD1" w:rsidP="00935BD1">
      <w:pPr>
        <w:jc w:val="center"/>
        <w:rPr>
          <w:rFonts w:ascii="Book Antiqua" w:eastAsia="Batang" w:hAnsi="Book Antiqua"/>
          <w:b/>
          <w:bCs/>
          <w:lang w:val="sv-SE"/>
        </w:rPr>
      </w:pPr>
      <w:r w:rsidRPr="000D2904">
        <w:rPr>
          <w:rFonts w:ascii="Book Antiqua" w:hAnsi="Book Antiqua" w:cs="Book Antiqua"/>
          <w:b/>
          <w:bCs/>
          <w:lang w:val="sv-SE"/>
        </w:rPr>
        <w:t>Republika e Kosovës</w:t>
      </w:r>
    </w:p>
    <w:p w:rsidR="00935BD1" w:rsidRPr="000D2904" w:rsidRDefault="00935BD1" w:rsidP="00935BD1">
      <w:pPr>
        <w:jc w:val="center"/>
        <w:rPr>
          <w:rFonts w:ascii="Book Antiqua" w:hAnsi="Book Antiqua" w:cs="Book Antiqua"/>
          <w:b/>
          <w:bCs/>
          <w:lang w:val="sv-SE"/>
        </w:rPr>
      </w:pPr>
      <w:r w:rsidRPr="000D2904">
        <w:rPr>
          <w:rFonts w:ascii="Book Antiqua" w:eastAsia="Batang" w:hAnsi="Book Antiqua" w:cs="Book Antiqua"/>
          <w:b/>
          <w:bCs/>
          <w:lang w:val="sv-SE"/>
        </w:rPr>
        <w:t>Republika Kosova-</w:t>
      </w:r>
      <w:r w:rsidRPr="000D2904">
        <w:rPr>
          <w:rFonts w:ascii="Book Antiqua" w:hAnsi="Book Antiqua" w:cs="Book Antiqua"/>
          <w:b/>
          <w:bCs/>
          <w:lang w:val="sv-SE"/>
        </w:rPr>
        <w:t>Republic of Kosovo</w:t>
      </w:r>
    </w:p>
    <w:p w:rsidR="00935BD1" w:rsidRPr="000D2904" w:rsidRDefault="00935BD1" w:rsidP="00935BD1">
      <w:pPr>
        <w:jc w:val="center"/>
        <w:rPr>
          <w:rFonts w:ascii="Book Antiqua" w:hAnsi="Book Antiqua" w:cs="Book Antiqua"/>
          <w:b/>
          <w:bCs/>
          <w:i/>
          <w:iCs/>
          <w:lang w:val="sv-SE"/>
        </w:rPr>
      </w:pPr>
      <w:r w:rsidRPr="000D2904">
        <w:rPr>
          <w:rFonts w:ascii="Book Antiqua" w:hAnsi="Book Antiqua" w:cs="Book Antiqua"/>
          <w:b/>
          <w:bCs/>
          <w:i/>
          <w:iCs/>
          <w:lang w:val="sv-SE"/>
        </w:rPr>
        <w:t xml:space="preserve">Qeveria-Vlada-Government </w:t>
      </w:r>
    </w:p>
    <w:p w:rsidR="00935BD1" w:rsidRPr="000D2904" w:rsidRDefault="00935BD1" w:rsidP="00935BD1">
      <w:pPr>
        <w:tabs>
          <w:tab w:val="left" w:pos="3834"/>
        </w:tabs>
        <w:jc w:val="center"/>
        <w:rPr>
          <w:rFonts w:ascii="Book Antiqua" w:hAnsi="Book Antiqua"/>
          <w:b/>
          <w:lang w:val="sv-SE"/>
        </w:rPr>
      </w:pPr>
    </w:p>
    <w:p w:rsidR="00935BD1" w:rsidRPr="000D2904" w:rsidRDefault="00935BD1" w:rsidP="00935BD1">
      <w:pPr>
        <w:jc w:val="center"/>
        <w:rPr>
          <w:rFonts w:ascii="Book Antiqua" w:hAnsi="Book Antiqua" w:cs="Book Antiqua"/>
          <w:b/>
          <w:bCs/>
          <w:i/>
          <w:iCs/>
        </w:rPr>
      </w:pPr>
      <w:r w:rsidRPr="000D2904">
        <w:rPr>
          <w:rFonts w:ascii="Book Antiqua" w:hAnsi="Book Antiqua" w:cs="Book Antiqua"/>
          <w:b/>
          <w:bCs/>
          <w:i/>
          <w:iCs/>
        </w:rPr>
        <w:t>Ministria e Ekonomisë</w:t>
      </w:r>
    </w:p>
    <w:p w:rsidR="00935BD1" w:rsidRPr="000D2904" w:rsidRDefault="00935BD1" w:rsidP="00935BD1">
      <w:pPr>
        <w:jc w:val="center"/>
        <w:rPr>
          <w:rFonts w:ascii="Book Antiqua" w:hAnsi="Book Antiqua"/>
          <w:b/>
        </w:rPr>
      </w:pPr>
      <w:proofErr w:type="spellStart"/>
      <w:r w:rsidRPr="000D2904">
        <w:rPr>
          <w:rFonts w:ascii="Book Antiqua" w:hAnsi="Book Antiqua" w:cs="Book Antiqua"/>
          <w:b/>
          <w:bCs/>
          <w:i/>
          <w:iCs/>
          <w:color w:val="000000"/>
        </w:rPr>
        <w:t>Ministarstvo</w:t>
      </w:r>
      <w:proofErr w:type="spellEnd"/>
      <w:r w:rsidRPr="000D2904">
        <w:rPr>
          <w:rFonts w:ascii="Book Antiqua" w:hAnsi="Book Antiqua" w:cs="Book Antiqua"/>
          <w:b/>
          <w:bCs/>
          <w:i/>
          <w:iCs/>
          <w:color w:val="000000"/>
        </w:rPr>
        <w:t xml:space="preserve"> </w:t>
      </w:r>
      <w:proofErr w:type="spellStart"/>
      <w:r w:rsidRPr="000D2904">
        <w:rPr>
          <w:rFonts w:ascii="Book Antiqua" w:hAnsi="Book Antiqua" w:cs="Book Antiqua"/>
          <w:b/>
          <w:bCs/>
          <w:i/>
          <w:iCs/>
          <w:color w:val="000000"/>
        </w:rPr>
        <w:t>Ekonomije</w:t>
      </w:r>
      <w:proofErr w:type="spellEnd"/>
      <w:r w:rsidRPr="000D2904">
        <w:rPr>
          <w:rFonts w:ascii="Book Antiqua" w:hAnsi="Book Antiqua" w:cs="Book Antiqua"/>
          <w:b/>
          <w:bCs/>
          <w:i/>
          <w:iCs/>
          <w:color w:val="000000"/>
        </w:rPr>
        <w:t xml:space="preserve"> </w:t>
      </w:r>
      <w:r w:rsidRPr="000D2904">
        <w:rPr>
          <w:rFonts w:ascii="Book Antiqua" w:hAnsi="Book Antiqua" w:cs="Book Antiqua"/>
          <w:b/>
          <w:bCs/>
          <w:i/>
          <w:iCs/>
        </w:rPr>
        <w:t>-</w:t>
      </w:r>
      <w:proofErr w:type="spellStart"/>
      <w:r w:rsidRPr="000D2904">
        <w:rPr>
          <w:rFonts w:ascii="Book Antiqua" w:hAnsi="Book Antiqua" w:cs="Book Antiqua"/>
          <w:b/>
          <w:bCs/>
          <w:i/>
          <w:iCs/>
        </w:rPr>
        <w:t>Ministry</w:t>
      </w:r>
      <w:proofErr w:type="spellEnd"/>
      <w:r w:rsidRPr="000D2904">
        <w:rPr>
          <w:rFonts w:ascii="Book Antiqua" w:hAnsi="Book Antiqua" w:cs="Book Antiqua"/>
          <w:b/>
          <w:bCs/>
          <w:i/>
          <w:iCs/>
        </w:rPr>
        <w:t xml:space="preserve"> </w:t>
      </w:r>
      <w:proofErr w:type="spellStart"/>
      <w:r w:rsidRPr="000D2904">
        <w:rPr>
          <w:rFonts w:ascii="Book Antiqua" w:hAnsi="Book Antiqua" w:cs="Book Antiqua"/>
          <w:b/>
          <w:bCs/>
          <w:i/>
          <w:iCs/>
        </w:rPr>
        <w:t>of</w:t>
      </w:r>
      <w:proofErr w:type="spellEnd"/>
      <w:r w:rsidRPr="000D2904">
        <w:rPr>
          <w:rFonts w:ascii="Book Antiqua" w:hAnsi="Book Antiqua" w:cs="Book Antiqua"/>
          <w:b/>
          <w:bCs/>
          <w:i/>
          <w:iCs/>
        </w:rPr>
        <w:t xml:space="preserve"> </w:t>
      </w:r>
      <w:proofErr w:type="spellStart"/>
      <w:r w:rsidRPr="000D2904">
        <w:rPr>
          <w:rFonts w:ascii="Book Antiqua" w:hAnsi="Book Antiqua" w:cs="Book Antiqua"/>
          <w:b/>
          <w:bCs/>
          <w:i/>
          <w:iCs/>
        </w:rPr>
        <w:t>Economy</w:t>
      </w:r>
      <w:proofErr w:type="spellEnd"/>
    </w:p>
    <w:p w:rsidR="00935BD1" w:rsidRPr="000D2904" w:rsidRDefault="00935BD1" w:rsidP="00935BD1">
      <w:pPr>
        <w:tabs>
          <w:tab w:val="left" w:pos="7020"/>
        </w:tabs>
        <w:jc w:val="both"/>
        <w:rPr>
          <w:rFonts w:ascii="Book Antiqua" w:hAnsi="Book Antiqua"/>
          <w:b/>
        </w:rPr>
      </w:pPr>
    </w:p>
    <w:p w:rsidR="00935BD1" w:rsidRPr="000D2904" w:rsidRDefault="00935BD1" w:rsidP="00935BD1">
      <w:pPr>
        <w:tabs>
          <w:tab w:val="left" w:pos="7020"/>
        </w:tabs>
        <w:jc w:val="both"/>
        <w:rPr>
          <w:rFonts w:ascii="Book Antiqua" w:hAnsi="Book Antiqua"/>
          <w:b/>
        </w:rPr>
      </w:pPr>
    </w:p>
    <w:p w:rsidR="00935BD1" w:rsidRPr="000D2904" w:rsidRDefault="00935BD1" w:rsidP="00935BD1">
      <w:pPr>
        <w:spacing w:before="240" w:after="120" w:line="312" w:lineRule="auto"/>
        <w:jc w:val="center"/>
        <w:rPr>
          <w:rFonts w:ascii="Book Antiqua" w:hAnsi="Book Antiqua"/>
          <w:b/>
        </w:rPr>
      </w:pPr>
    </w:p>
    <w:p w:rsidR="00935BD1" w:rsidRPr="000D2904" w:rsidRDefault="00935BD1" w:rsidP="00935BD1">
      <w:pPr>
        <w:spacing w:before="240" w:after="120" w:line="312" w:lineRule="auto"/>
        <w:rPr>
          <w:rFonts w:ascii="Book Antiqua" w:hAnsi="Book Antiqua"/>
        </w:rPr>
      </w:pPr>
    </w:p>
    <w:p w:rsidR="00935BD1" w:rsidRPr="000D2904" w:rsidRDefault="00935BD1" w:rsidP="00935BD1">
      <w:pPr>
        <w:pStyle w:val="Title"/>
        <w:rPr>
          <w:rFonts w:ascii="Book Antiqua" w:hAnsi="Book Antiqua"/>
          <w:sz w:val="22"/>
          <w:szCs w:val="22"/>
        </w:rPr>
      </w:pPr>
      <w:bookmarkStart w:id="1" w:name="_GoBack"/>
      <w:r w:rsidRPr="000D2904">
        <w:rPr>
          <w:rFonts w:ascii="Book Antiqua" w:hAnsi="Book Antiqua"/>
          <w:sz w:val="22"/>
          <w:szCs w:val="22"/>
        </w:rPr>
        <w:t xml:space="preserve">DOKUMENT </w:t>
      </w:r>
      <w:r>
        <w:rPr>
          <w:rFonts w:ascii="Book Antiqua" w:hAnsi="Book Antiqua"/>
          <w:sz w:val="22"/>
          <w:szCs w:val="22"/>
        </w:rPr>
        <w:t xml:space="preserve">I </w:t>
      </w:r>
      <w:r w:rsidRPr="000D2904">
        <w:rPr>
          <w:rFonts w:ascii="Book Antiqua" w:hAnsi="Book Antiqua"/>
          <w:sz w:val="22"/>
          <w:szCs w:val="22"/>
        </w:rPr>
        <w:t>KONSULTIMIT PARAPRAK DHE PUBLIK TË DRAFT STRATEGJISË SË ENERGJISË TË REPUBLIKËS SË KOSOVËS 2022-2031</w:t>
      </w:r>
    </w:p>
    <w:bookmarkEnd w:id="1"/>
    <w:p w:rsidR="00935BD1" w:rsidRPr="000D2904" w:rsidRDefault="00935BD1" w:rsidP="00935BD1">
      <w:pPr>
        <w:spacing w:before="240" w:after="120" w:line="312" w:lineRule="auto"/>
        <w:jc w:val="center"/>
        <w:rPr>
          <w:rFonts w:ascii="Book Antiqua" w:hAnsi="Book Antiqua"/>
        </w:rPr>
      </w:pPr>
    </w:p>
    <w:p w:rsidR="00935BD1" w:rsidRPr="000D2904" w:rsidRDefault="00935BD1" w:rsidP="00935BD1">
      <w:pPr>
        <w:spacing w:before="240" w:after="120" w:line="312" w:lineRule="auto"/>
        <w:jc w:val="center"/>
        <w:rPr>
          <w:rFonts w:ascii="Book Antiqua" w:hAnsi="Book Antiqua"/>
        </w:rPr>
      </w:pPr>
    </w:p>
    <w:p w:rsidR="00935BD1" w:rsidRPr="000D2904" w:rsidRDefault="00935BD1" w:rsidP="00935BD1">
      <w:pPr>
        <w:spacing w:before="240" w:after="120" w:line="312" w:lineRule="auto"/>
        <w:rPr>
          <w:rFonts w:ascii="Book Antiqua" w:hAnsi="Book Antiqua"/>
        </w:rPr>
      </w:pPr>
    </w:p>
    <w:p w:rsidR="00935BD1" w:rsidRPr="000D2904" w:rsidRDefault="00935BD1" w:rsidP="00935BD1">
      <w:pPr>
        <w:spacing w:before="240" w:after="120" w:line="312" w:lineRule="auto"/>
        <w:jc w:val="center"/>
        <w:rPr>
          <w:rFonts w:ascii="Book Antiqua" w:hAnsi="Book Antiqua"/>
        </w:rPr>
      </w:pPr>
    </w:p>
    <w:p w:rsidR="00935BD1" w:rsidRPr="000D2904" w:rsidRDefault="00935BD1" w:rsidP="00935BD1">
      <w:pPr>
        <w:spacing w:before="240" w:after="120" w:line="312" w:lineRule="auto"/>
        <w:jc w:val="center"/>
        <w:rPr>
          <w:rFonts w:ascii="Book Antiqua" w:hAnsi="Book Antiqua"/>
        </w:rPr>
      </w:pPr>
    </w:p>
    <w:p w:rsidR="00935BD1" w:rsidRDefault="00935BD1" w:rsidP="00935BD1">
      <w:pPr>
        <w:spacing w:before="240" w:after="120" w:line="312" w:lineRule="auto"/>
        <w:jc w:val="center"/>
        <w:rPr>
          <w:rFonts w:ascii="Book Antiqua" w:hAnsi="Book Antiqua"/>
        </w:rPr>
      </w:pPr>
    </w:p>
    <w:p w:rsidR="00935BD1" w:rsidRDefault="00935BD1" w:rsidP="00935BD1">
      <w:pPr>
        <w:spacing w:before="240" w:after="120" w:line="312" w:lineRule="auto"/>
        <w:jc w:val="center"/>
        <w:rPr>
          <w:rFonts w:ascii="Book Antiqua" w:hAnsi="Book Antiqua"/>
        </w:rPr>
      </w:pPr>
    </w:p>
    <w:p w:rsidR="00935BD1" w:rsidRDefault="00935BD1" w:rsidP="00935BD1">
      <w:pPr>
        <w:spacing w:before="240" w:after="120" w:line="312" w:lineRule="auto"/>
        <w:jc w:val="center"/>
        <w:rPr>
          <w:rFonts w:ascii="Book Antiqua" w:hAnsi="Book Antiqua"/>
        </w:rPr>
      </w:pPr>
    </w:p>
    <w:p w:rsidR="00935BD1" w:rsidRPr="000D2904" w:rsidRDefault="00935BD1" w:rsidP="00935BD1">
      <w:pPr>
        <w:spacing w:before="240" w:after="120" w:line="312" w:lineRule="auto"/>
        <w:jc w:val="center"/>
        <w:rPr>
          <w:rFonts w:ascii="Book Antiqua" w:hAnsi="Book Antiqua"/>
        </w:rPr>
      </w:pPr>
    </w:p>
    <w:p w:rsidR="00935BD1" w:rsidRPr="000D2904" w:rsidRDefault="00935BD1" w:rsidP="00935BD1">
      <w:pPr>
        <w:spacing w:before="240" w:after="120" w:line="312" w:lineRule="auto"/>
        <w:jc w:val="center"/>
        <w:rPr>
          <w:rFonts w:ascii="Book Antiqua" w:hAnsi="Book Antiqua"/>
        </w:rPr>
      </w:pPr>
    </w:p>
    <w:p w:rsidR="00935BD1" w:rsidRPr="000D2904" w:rsidRDefault="00935BD1" w:rsidP="00935BD1">
      <w:pPr>
        <w:spacing w:before="240" w:after="120" w:line="312" w:lineRule="auto"/>
        <w:jc w:val="center"/>
        <w:rPr>
          <w:rFonts w:ascii="Book Antiqua" w:hAnsi="Book Antiqua"/>
        </w:rPr>
      </w:pPr>
    </w:p>
    <w:p w:rsidR="00935BD1" w:rsidRPr="000D2904" w:rsidRDefault="00935BD1" w:rsidP="00935BD1">
      <w:pPr>
        <w:spacing w:after="0" w:line="240" w:lineRule="auto"/>
        <w:rPr>
          <w:rFonts w:ascii="Book Antiqua" w:hAnsi="Book Antiqua"/>
          <w:b/>
          <w:bCs/>
        </w:rPr>
      </w:pPr>
      <w:r w:rsidRPr="000D2904">
        <w:rPr>
          <w:rFonts w:ascii="Book Antiqua" w:hAnsi="Book Antiqua"/>
          <w:b/>
          <w:bCs/>
        </w:rPr>
        <w:lastRenderedPageBreak/>
        <w:t xml:space="preserve">Përmbledhje e shkurtër  hartimit të Strategjisë së Energjisë të Republikës së Kosovës 2022-2031 </w:t>
      </w:r>
    </w:p>
    <w:p w:rsidR="00935BD1" w:rsidRPr="000D2904" w:rsidRDefault="00935BD1" w:rsidP="00935BD1">
      <w:pPr>
        <w:pBdr>
          <w:bottom w:val="single" w:sz="4" w:space="1" w:color="auto"/>
        </w:pBdr>
        <w:spacing w:before="240" w:after="120" w:line="312" w:lineRule="auto"/>
        <w:rPr>
          <w:rFonts w:ascii="Book Antiqua" w:hAnsi="Book Antiqua"/>
        </w:rPr>
      </w:pPr>
    </w:p>
    <w:p w:rsidR="00935BD1" w:rsidRPr="000D2904" w:rsidRDefault="00935BD1" w:rsidP="00935BD1">
      <w:pPr>
        <w:spacing w:after="120" w:line="252" w:lineRule="auto"/>
        <w:jc w:val="both"/>
        <w:rPr>
          <w:rFonts w:ascii="Book Antiqua" w:hAnsi="Book Antiqua"/>
        </w:rPr>
      </w:pPr>
      <w:r w:rsidRPr="000D2904">
        <w:rPr>
          <w:rFonts w:ascii="Book Antiqua" w:eastAsia="Calibri" w:hAnsi="Book Antiqua" w:cs="Calibri"/>
          <w:color w:val="000000"/>
        </w:rPr>
        <w:t xml:space="preserve">Strategjia e Energjisë e Republikës së Kosovës 2022-2031 është një dokument themelor i cili përcakton drejtimet dhe veprimet kryesore për zhvillimin e sektorit të energjisë gjatë 10 viteve të ardhshme. </w:t>
      </w:r>
      <w:r w:rsidRPr="000D2904">
        <w:rPr>
          <w:rFonts w:ascii="Book Antiqua" w:hAnsi="Book Antiqua"/>
        </w:rPr>
        <w:t>Strategjia  e Energjisë pasqyron nevojën për zhvillime të shpejta e bindëse  të sektorit të energjisë, siç parashihet në vizionin e Kosovës dhe në përputhje me qëllimet e BE-së.</w:t>
      </w:r>
    </w:p>
    <w:p w:rsidR="00935BD1" w:rsidRPr="000D2904" w:rsidRDefault="00935BD1" w:rsidP="00935BD1">
      <w:pPr>
        <w:pBdr>
          <w:bottom w:val="single" w:sz="4" w:space="1" w:color="auto"/>
        </w:pBdr>
        <w:autoSpaceDE w:val="0"/>
        <w:autoSpaceDN w:val="0"/>
        <w:adjustRightInd w:val="0"/>
        <w:spacing w:before="240" w:after="120" w:line="312" w:lineRule="auto"/>
        <w:jc w:val="both"/>
        <w:rPr>
          <w:rFonts w:ascii="Book Antiqua" w:hAnsi="Book Antiqua"/>
          <w:b/>
        </w:rPr>
      </w:pPr>
      <w:r w:rsidRPr="000D2904">
        <w:rPr>
          <w:rFonts w:ascii="Book Antiqua" w:hAnsi="Book Antiqua"/>
          <w:b/>
        </w:rPr>
        <w:t>Përshkrimi i shkurtër i çështjes</w:t>
      </w:r>
    </w:p>
    <w:p w:rsidR="00935BD1" w:rsidRPr="000D2904" w:rsidRDefault="00935BD1" w:rsidP="00935BD1">
      <w:pPr>
        <w:pBdr>
          <w:top w:val="nil"/>
          <w:left w:val="nil"/>
          <w:bottom w:val="nil"/>
          <w:right w:val="nil"/>
          <w:between w:val="nil"/>
        </w:pBdr>
        <w:spacing w:after="120" w:line="252" w:lineRule="auto"/>
        <w:jc w:val="both"/>
        <w:rPr>
          <w:rFonts w:ascii="Book Antiqua" w:eastAsia="Calibri" w:hAnsi="Book Antiqua" w:cs="Calibri"/>
          <w:color w:val="000000"/>
        </w:rPr>
      </w:pPr>
    </w:p>
    <w:p w:rsidR="00935BD1" w:rsidRPr="000D2904" w:rsidRDefault="00935BD1" w:rsidP="00935BD1">
      <w:pPr>
        <w:pBdr>
          <w:top w:val="nil"/>
          <w:left w:val="nil"/>
          <w:bottom w:val="nil"/>
          <w:right w:val="nil"/>
          <w:between w:val="nil"/>
        </w:pBdr>
        <w:spacing w:after="120" w:line="252" w:lineRule="auto"/>
        <w:jc w:val="both"/>
        <w:rPr>
          <w:rFonts w:ascii="Book Antiqua" w:eastAsia="Calibri" w:hAnsi="Book Antiqua" w:cs="Calibri"/>
          <w:color w:val="000000"/>
        </w:rPr>
      </w:pPr>
      <w:r w:rsidRPr="000D2904">
        <w:rPr>
          <w:rFonts w:ascii="Book Antiqua" w:eastAsia="Calibri" w:hAnsi="Book Antiqua" w:cs="Calibri"/>
          <w:color w:val="000000"/>
        </w:rPr>
        <w:t xml:space="preserve">Vizioni i Qeverisë së Republikës së Kosovës është të zhvillojë një sektor </w:t>
      </w:r>
      <w:r>
        <w:rPr>
          <w:rFonts w:ascii="Book Antiqua" w:eastAsia="Calibri" w:hAnsi="Book Antiqua" w:cs="Calibri"/>
          <w:color w:val="000000"/>
        </w:rPr>
        <w:t>të energjisë</w:t>
      </w:r>
      <w:r w:rsidRPr="000D2904">
        <w:rPr>
          <w:rFonts w:ascii="Book Antiqua" w:eastAsia="Calibri" w:hAnsi="Book Antiqua" w:cs="Calibri"/>
          <w:color w:val="000000"/>
        </w:rPr>
        <w:t xml:space="preserve"> pa emetim të </w:t>
      </w:r>
      <w:proofErr w:type="spellStart"/>
      <w:r w:rsidRPr="000D2904">
        <w:rPr>
          <w:rFonts w:ascii="Book Antiqua" w:eastAsia="Calibri" w:hAnsi="Book Antiqua" w:cs="Calibri"/>
          <w:color w:val="000000"/>
        </w:rPr>
        <w:t>dioksidit</w:t>
      </w:r>
      <w:proofErr w:type="spellEnd"/>
      <w:r w:rsidRPr="000D2904">
        <w:rPr>
          <w:rFonts w:ascii="Book Antiqua" w:eastAsia="Calibri" w:hAnsi="Book Antiqua" w:cs="Calibri"/>
          <w:color w:val="000000"/>
        </w:rPr>
        <w:t xml:space="preserve"> të karbonit CO2 deri në vitin 2050, të integruar në tregun Pan-Evropian, duke garantuar siguri të furnizimit me energji elektrike dhe </w:t>
      </w:r>
      <w:proofErr w:type="spellStart"/>
      <w:r w:rsidRPr="000D2904">
        <w:rPr>
          <w:rFonts w:ascii="Book Antiqua" w:eastAsia="Calibri" w:hAnsi="Book Antiqua" w:cs="Calibri"/>
          <w:color w:val="000000"/>
        </w:rPr>
        <w:t>përballueshmëri</w:t>
      </w:r>
      <w:proofErr w:type="spellEnd"/>
      <w:r w:rsidRPr="000D2904">
        <w:rPr>
          <w:rFonts w:ascii="Book Antiqua" w:eastAsia="Calibri" w:hAnsi="Book Antiqua" w:cs="Calibri"/>
          <w:color w:val="000000"/>
        </w:rPr>
        <w:t xml:space="preserve"> për qytetarët. </w:t>
      </w:r>
    </w:p>
    <w:p w:rsidR="00935BD1" w:rsidRPr="000D2904" w:rsidRDefault="00935BD1" w:rsidP="00935BD1">
      <w:pPr>
        <w:pBdr>
          <w:top w:val="nil"/>
          <w:left w:val="nil"/>
          <w:bottom w:val="nil"/>
          <w:right w:val="nil"/>
          <w:between w:val="nil"/>
        </w:pBdr>
        <w:spacing w:after="120" w:line="252" w:lineRule="auto"/>
        <w:jc w:val="both"/>
        <w:rPr>
          <w:rFonts w:ascii="Book Antiqua" w:eastAsia="Calibri" w:hAnsi="Book Antiqua" w:cs="Calibri"/>
          <w:color w:val="000000"/>
        </w:rPr>
      </w:pPr>
      <w:r w:rsidRPr="000D2904">
        <w:rPr>
          <w:rFonts w:ascii="Book Antiqua" w:eastAsia="Calibri" w:hAnsi="Book Antiqua" w:cs="Calibri"/>
          <w:color w:val="000000"/>
        </w:rPr>
        <w:t>Bazuar në këtë vizion dhe në analizat e bëra për sektorin e energjisë, janë përcaktuar pesë objektiva strategjikë (drejtimet kryesore të politikave) që sigurojnë arritjen e këtij vizioni.</w:t>
      </w:r>
    </w:p>
    <w:p w:rsidR="00935BD1" w:rsidRPr="000D2904" w:rsidRDefault="00935BD1" w:rsidP="00935BD1">
      <w:pPr>
        <w:pBdr>
          <w:top w:val="nil"/>
          <w:left w:val="nil"/>
          <w:bottom w:val="nil"/>
          <w:right w:val="nil"/>
          <w:between w:val="nil"/>
        </w:pBdr>
        <w:spacing w:after="120" w:line="252" w:lineRule="auto"/>
        <w:jc w:val="both"/>
        <w:rPr>
          <w:rFonts w:ascii="Book Antiqua" w:eastAsia="Calibri" w:hAnsi="Book Antiqua" w:cs="Calibri"/>
          <w:b/>
          <w:color w:val="000000"/>
        </w:rPr>
      </w:pPr>
      <w:r w:rsidRPr="000D2904">
        <w:rPr>
          <w:rFonts w:ascii="Book Antiqua" w:eastAsia="Calibri" w:hAnsi="Book Antiqua" w:cs="Calibri"/>
          <w:b/>
          <w:color w:val="000000"/>
        </w:rPr>
        <w:t>Objektivat strategjike:</w:t>
      </w:r>
    </w:p>
    <w:p w:rsidR="00935BD1" w:rsidRPr="000D2904" w:rsidRDefault="00935BD1" w:rsidP="00935BD1">
      <w:pPr>
        <w:numPr>
          <w:ilvl w:val="0"/>
          <w:numId w:val="1"/>
        </w:numPr>
        <w:pBdr>
          <w:top w:val="nil"/>
          <w:left w:val="nil"/>
          <w:bottom w:val="nil"/>
          <w:right w:val="nil"/>
          <w:between w:val="nil"/>
        </w:pBdr>
        <w:spacing w:after="120" w:line="252" w:lineRule="auto"/>
        <w:ind w:left="573"/>
        <w:jc w:val="both"/>
        <w:rPr>
          <w:rFonts w:ascii="Book Antiqua" w:eastAsia="Calibri" w:hAnsi="Book Antiqua" w:cs="Calibri"/>
          <w:color w:val="000000"/>
        </w:rPr>
      </w:pPr>
      <w:r w:rsidRPr="000D2904">
        <w:rPr>
          <w:rFonts w:ascii="Book Antiqua" w:eastAsia="Calibri" w:hAnsi="Book Antiqua" w:cs="Calibri"/>
          <w:color w:val="000000"/>
        </w:rPr>
        <w:t>Përmirësimi i besueshmërisë së sistemit</w:t>
      </w:r>
    </w:p>
    <w:p w:rsidR="00935BD1" w:rsidRPr="000D2904" w:rsidRDefault="00935BD1" w:rsidP="00935BD1">
      <w:pPr>
        <w:numPr>
          <w:ilvl w:val="0"/>
          <w:numId w:val="1"/>
        </w:numPr>
        <w:pBdr>
          <w:top w:val="nil"/>
          <w:left w:val="nil"/>
          <w:bottom w:val="nil"/>
          <w:right w:val="nil"/>
          <w:between w:val="nil"/>
        </w:pBdr>
        <w:spacing w:after="120" w:line="252" w:lineRule="auto"/>
        <w:ind w:left="573"/>
        <w:jc w:val="both"/>
        <w:rPr>
          <w:rFonts w:ascii="Book Antiqua" w:eastAsia="Calibri" w:hAnsi="Book Antiqua" w:cs="Calibri"/>
          <w:color w:val="000000"/>
        </w:rPr>
      </w:pPr>
      <w:proofErr w:type="spellStart"/>
      <w:r w:rsidRPr="000D2904">
        <w:rPr>
          <w:rFonts w:ascii="Book Antiqua" w:eastAsia="Calibri" w:hAnsi="Book Antiqua" w:cs="Calibri"/>
          <w:color w:val="000000"/>
        </w:rPr>
        <w:t>Dekarbonizimi</w:t>
      </w:r>
      <w:proofErr w:type="spellEnd"/>
      <w:r w:rsidRPr="000D2904">
        <w:rPr>
          <w:rFonts w:ascii="Book Antiqua" w:eastAsia="Calibri" w:hAnsi="Book Antiqua" w:cs="Calibri"/>
          <w:color w:val="000000"/>
        </w:rPr>
        <w:t xml:space="preserve"> dhe promovimi i energjisë së </w:t>
      </w:r>
      <w:proofErr w:type="spellStart"/>
      <w:r w:rsidRPr="000D2904">
        <w:rPr>
          <w:rFonts w:ascii="Book Antiqua" w:eastAsia="Calibri" w:hAnsi="Book Antiqua" w:cs="Calibri"/>
          <w:color w:val="000000"/>
        </w:rPr>
        <w:t>ripërtëritshme</w:t>
      </w:r>
      <w:proofErr w:type="spellEnd"/>
    </w:p>
    <w:p w:rsidR="00935BD1" w:rsidRPr="000D2904" w:rsidRDefault="00935BD1" w:rsidP="00935BD1">
      <w:pPr>
        <w:numPr>
          <w:ilvl w:val="0"/>
          <w:numId w:val="1"/>
        </w:numPr>
        <w:pBdr>
          <w:top w:val="nil"/>
          <w:left w:val="nil"/>
          <w:bottom w:val="nil"/>
          <w:right w:val="nil"/>
          <w:between w:val="nil"/>
        </w:pBdr>
        <w:spacing w:after="120" w:line="252" w:lineRule="auto"/>
        <w:ind w:left="573"/>
        <w:jc w:val="both"/>
        <w:rPr>
          <w:rFonts w:ascii="Book Antiqua" w:eastAsia="Calibri" w:hAnsi="Book Antiqua" w:cs="Calibri"/>
          <w:color w:val="000000"/>
        </w:rPr>
      </w:pPr>
      <w:r w:rsidRPr="000D2904">
        <w:rPr>
          <w:rFonts w:ascii="Book Antiqua" w:eastAsia="Calibri" w:hAnsi="Book Antiqua" w:cs="Calibri"/>
          <w:color w:val="000000"/>
        </w:rPr>
        <w:t xml:space="preserve">Rritja e </w:t>
      </w:r>
      <w:proofErr w:type="spellStart"/>
      <w:r w:rsidRPr="000D2904">
        <w:rPr>
          <w:rFonts w:ascii="Book Antiqua" w:eastAsia="Calibri" w:hAnsi="Book Antiqua" w:cs="Calibri"/>
          <w:color w:val="000000"/>
        </w:rPr>
        <w:t>efiçiencës</w:t>
      </w:r>
      <w:proofErr w:type="spellEnd"/>
      <w:r w:rsidRPr="000D2904">
        <w:rPr>
          <w:rFonts w:ascii="Book Antiqua" w:eastAsia="Calibri" w:hAnsi="Book Antiqua" w:cs="Calibri"/>
          <w:color w:val="000000"/>
        </w:rPr>
        <w:t xml:space="preserve"> së energjisë</w:t>
      </w:r>
    </w:p>
    <w:p w:rsidR="00935BD1" w:rsidRPr="000D2904" w:rsidRDefault="00935BD1" w:rsidP="00935BD1">
      <w:pPr>
        <w:numPr>
          <w:ilvl w:val="0"/>
          <w:numId w:val="1"/>
        </w:numPr>
        <w:pBdr>
          <w:top w:val="nil"/>
          <w:left w:val="nil"/>
          <w:bottom w:val="nil"/>
          <w:right w:val="nil"/>
          <w:between w:val="nil"/>
        </w:pBdr>
        <w:spacing w:after="120" w:line="252" w:lineRule="auto"/>
        <w:ind w:left="573"/>
        <w:jc w:val="both"/>
        <w:rPr>
          <w:rFonts w:ascii="Book Antiqua" w:eastAsia="Calibri" w:hAnsi="Book Antiqua" w:cs="Calibri"/>
          <w:color w:val="000000"/>
        </w:rPr>
      </w:pPr>
      <w:r w:rsidRPr="000D2904">
        <w:rPr>
          <w:rFonts w:ascii="Book Antiqua" w:eastAsia="Calibri" w:hAnsi="Book Antiqua" w:cs="Calibri"/>
          <w:color w:val="000000"/>
        </w:rPr>
        <w:t>Forcimi i bashkëpunimit rajonal dhe funksionimi i tregut</w:t>
      </w:r>
    </w:p>
    <w:p w:rsidR="00935BD1" w:rsidRPr="000D2904" w:rsidRDefault="00935BD1" w:rsidP="00935BD1">
      <w:pPr>
        <w:numPr>
          <w:ilvl w:val="0"/>
          <w:numId w:val="1"/>
        </w:numPr>
        <w:pBdr>
          <w:top w:val="nil"/>
          <w:left w:val="nil"/>
          <w:bottom w:val="nil"/>
          <w:right w:val="nil"/>
          <w:between w:val="nil"/>
        </w:pBdr>
        <w:spacing w:after="120" w:line="252" w:lineRule="auto"/>
        <w:ind w:left="573"/>
        <w:jc w:val="both"/>
        <w:rPr>
          <w:rFonts w:ascii="Book Antiqua" w:eastAsia="Calibri" w:hAnsi="Book Antiqua" w:cs="Calibri"/>
          <w:color w:val="000000"/>
        </w:rPr>
      </w:pPr>
      <w:r w:rsidRPr="000D2904">
        <w:rPr>
          <w:rFonts w:ascii="Book Antiqua" w:eastAsia="Calibri" w:hAnsi="Book Antiqua" w:cs="Calibri"/>
          <w:color w:val="000000"/>
        </w:rPr>
        <w:t>Mbrojtja dhe fuqizimi i konsumatorëve dhe zhvillimi i fuqisë punëtore</w:t>
      </w:r>
    </w:p>
    <w:p w:rsidR="00935BD1" w:rsidRPr="000D2904" w:rsidRDefault="00935BD1" w:rsidP="00935BD1">
      <w:pPr>
        <w:pBdr>
          <w:top w:val="nil"/>
          <w:left w:val="nil"/>
          <w:bottom w:val="nil"/>
          <w:right w:val="nil"/>
          <w:between w:val="nil"/>
        </w:pBdr>
        <w:spacing w:after="120" w:line="252" w:lineRule="auto"/>
        <w:jc w:val="both"/>
        <w:rPr>
          <w:rFonts w:ascii="Book Antiqua" w:eastAsia="Calibri" w:hAnsi="Book Antiqua" w:cs="Calibri"/>
          <w:color w:val="000000"/>
        </w:rPr>
      </w:pPr>
    </w:p>
    <w:p w:rsidR="00935BD1" w:rsidRPr="000D2904" w:rsidRDefault="00935BD1" w:rsidP="00935BD1">
      <w:pPr>
        <w:pBdr>
          <w:bottom w:val="single" w:sz="4" w:space="1" w:color="auto"/>
        </w:pBdr>
        <w:autoSpaceDE w:val="0"/>
        <w:autoSpaceDN w:val="0"/>
        <w:adjustRightInd w:val="0"/>
        <w:spacing w:before="240" w:after="120" w:line="312" w:lineRule="auto"/>
        <w:jc w:val="both"/>
        <w:rPr>
          <w:rFonts w:ascii="Book Antiqua" w:hAnsi="Book Antiqua"/>
          <w:b/>
          <w:color w:val="000000"/>
        </w:rPr>
      </w:pPr>
      <w:r w:rsidRPr="000D2904">
        <w:rPr>
          <w:rFonts w:ascii="Book Antiqua" w:hAnsi="Book Antiqua"/>
          <w:b/>
          <w:color w:val="000000"/>
        </w:rPr>
        <w:t>Qëllimi i konsultimit</w:t>
      </w:r>
    </w:p>
    <w:p w:rsidR="00935BD1" w:rsidRPr="000D2904" w:rsidRDefault="00935BD1" w:rsidP="00935BD1">
      <w:pPr>
        <w:spacing w:before="120" w:after="120" w:line="240" w:lineRule="auto"/>
        <w:jc w:val="both"/>
        <w:rPr>
          <w:rFonts w:ascii="Book Antiqua" w:hAnsi="Book Antiqua"/>
        </w:rPr>
      </w:pPr>
      <w:r w:rsidRPr="000D2904">
        <w:rPr>
          <w:rFonts w:ascii="Book Antiqua" w:hAnsi="Book Antiqua"/>
        </w:rPr>
        <w:t xml:space="preserve">Ministria e Ekonomisë  e vlerëson shumë konsultimin me palët e interesit. Roli i palëve të interesit dhe i publikut të gjerë në çështjen të cilën i adreson Strategjia e Energjisë  është shumë domethënës për sektorin e energjisë si institucion </w:t>
      </w:r>
      <w:proofErr w:type="spellStart"/>
      <w:r w:rsidRPr="000D2904">
        <w:rPr>
          <w:rFonts w:ascii="Book Antiqua" w:hAnsi="Book Antiqua"/>
        </w:rPr>
        <w:t>sponzorizues</w:t>
      </w:r>
      <w:proofErr w:type="spellEnd"/>
      <w:r w:rsidRPr="000D2904">
        <w:rPr>
          <w:rFonts w:ascii="Book Antiqua" w:hAnsi="Book Antiqua"/>
        </w:rPr>
        <w:t>. Prandaj, kontributi juaj me shkrim do të jetë shumë domethënës dhe përmbajtjesor. Ministria e Ekonomisë mbetet e përkushtuar që kontributin tuaj përmes komenteve dhe sugjerimeve të ofruara t’i përfshijë për aq sa është e mundur në Strategjinë e Energjisë.</w:t>
      </w:r>
    </w:p>
    <w:p w:rsidR="00935BD1" w:rsidRPr="000D2904" w:rsidRDefault="00935BD1" w:rsidP="00935BD1">
      <w:pPr>
        <w:pBdr>
          <w:bottom w:val="single" w:sz="4" w:space="1" w:color="auto"/>
        </w:pBdr>
        <w:spacing w:before="240" w:after="120" w:line="312" w:lineRule="auto"/>
        <w:ind w:right="936"/>
        <w:rPr>
          <w:rFonts w:ascii="Book Antiqua" w:hAnsi="Book Antiqua"/>
          <w:b/>
          <w:bCs/>
          <w:iCs/>
        </w:rPr>
      </w:pPr>
      <w:r w:rsidRPr="000D2904">
        <w:rPr>
          <w:rFonts w:ascii="Book Antiqua" w:hAnsi="Book Antiqua"/>
          <w:b/>
          <w:bCs/>
          <w:iCs/>
        </w:rPr>
        <w:t>Afati përfundimtar për dorëzimin e përgjigjeve</w:t>
      </w:r>
    </w:p>
    <w:p w:rsidR="00935BD1" w:rsidRPr="000D2904" w:rsidRDefault="00935BD1" w:rsidP="00935BD1">
      <w:pPr>
        <w:spacing w:before="120" w:after="120" w:line="240" w:lineRule="auto"/>
        <w:jc w:val="both"/>
        <w:rPr>
          <w:rFonts w:ascii="Book Antiqua" w:hAnsi="Book Antiqua" w:cs="Calibri"/>
        </w:rPr>
      </w:pPr>
      <w:r w:rsidRPr="000D2904">
        <w:rPr>
          <w:rFonts w:ascii="Book Antiqua" w:hAnsi="Book Antiqua"/>
        </w:rPr>
        <w:t xml:space="preserve">Afati përfundimtar i dorëzimit të kontributit me shkrim në kuadër të procesit të konsultimit publik është </w:t>
      </w:r>
      <w:r w:rsidRPr="000D2904">
        <w:rPr>
          <w:rFonts w:ascii="Book Antiqua" w:hAnsi="Book Antiqua" w:cs="Calibri"/>
          <w:b/>
        </w:rPr>
        <w:t>15 ditë pune nga momenti i pub</w:t>
      </w:r>
      <w:r>
        <w:rPr>
          <w:rFonts w:ascii="Book Antiqua" w:hAnsi="Book Antiqua" w:cs="Calibri"/>
          <w:b/>
        </w:rPr>
        <w:t>likimit përkatësisht deri me datë</w:t>
      </w:r>
      <w:r w:rsidRPr="000D2904">
        <w:rPr>
          <w:rFonts w:ascii="Book Antiqua" w:hAnsi="Book Antiqua" w:cs="Calibri"/>
          <w:b/>
        </w:rPr>
        <w:t xml:space="preserve"> 2</w:t>
      </w:r>
      <w:r>
        <w:rPr>
          <w:rFonts w:ascii="Book Antiqua" w:hAnsi="Book Antiqua" w:cs="Calibri"/>
          <w:b/>
        </w:rPr>
        <w:t>7</w:t>
      </w:r>
      <w:r w:rsidRPr="000D2904">
        <w:rPr>
          <w:rFonts w:ascii="Book Antiqua" w:hAnsi="Book Antiqua" w:cs="Calibri"/>
          <w:b/>
        </w:rPr>
        <w:t xml:space="preserve"> qershor 2022, në orën 16:00</w:t>
      </w:r>
      <w:r w:rsidRPr="000D2904">
        <w:rPr>
          <w:rFonts w:ascii="Book Antiqua" w:hAnsi="Book Antiqua" w:cs="Calibri"/>
        </w:rPr>
        <w:t>.</w:t>
      </w:r>
    </w:p>
    <w:p w:rsidR="00935BD1" w:rsidRPr="000D2904" w:rsidRDefault="00935BD1" w:rsidP="00935BD1">
      <w:pPr>
        <w:spacing w:before="120" w:after="120" w:line="240" w:lineRule="auto"/>
        <w:jc w:val="both"/>
        <w:rPr>
          <w:rFonts w:ascii="Book Antiqua" w:hAnsi="Book Antiqua"/>
        </w:rPr>
      </w:pPr>
      <w:r w:rsidRPr="000D2904">
        <w:rPr>
          <w:rFonts w:ascii="Book Antiqua" w:hAnsi="Book Antiqua"/>
        </w:rPr>
        <w:t>Të gjitha kontributet me shkrim duhet të dorëzohen në formë elektronike në e-</w:t>
      </w:r>
      <w:proofErr w:type="spellStart"/>
      <w:r w:rsidRPr="000D2904">
        <w:rPr>
          <w:rFonts w:ascii="Book Antiqua" w:hAnsi="Book Antiqua"/>
        </w:rPr>
        <w:t>mail</w:t>
      </w:r>
      <w:proofErr w:type="spellEnd"/>
      <w:r w:rsidRPr="000D2904">
        <w:rPr>
          <w:rFonts w:ascii="Book Antiqua" w:hAnsi="Book Antiqua"/>
        </w:rPr>
        <w:t xml:space="preserve"> adresën </w:t>
      </w:r>
      <w:hyperlink r:id="rId6" w:history="1">
        <w:r w:rsidRPr="000D2904">
          <w:rPr>
            <w:rFonts w:ascii="Book Antiqua" w:hAnsi="Book Antiqua"/>
            <w:color w:val="0000FF"/>
            <w:u w:val="single"/>
          </w:rPr>
          <w:t>adnan.preniqi@rks-gov.net</w:t>
        </w:r>
      </w:hyperlink>
      <w:r w:rsidRPr="000D2904">
        <w:rPr>
          <w:rFonts w:ascii="Book Antiqua" w:hAnsi="Book Antiqua"/>
        </w:rPr>
        <w:t xml:space="preserve"> me titull: Kontribut ndaj procesit të konsultimit publik për Strategjinë e Energjisë të Republikës së Kosovës 2022-2031.</w:t>
      </w:r>
    </w:p>
    <w:p w:rsidR="00935BD1" w:rsidRPr="000D2904" w:rsidRDefault="00935BD1" w:rsidP="00935BD1">
      <w:pPr>
        <w:spacing w:before="120" w:after="120" w:line="240" w:lineRule="auto"/>
        <w:jc w:val="both"/>
        <w:rPr>
          <w:rFonts w:ascii="Book Antiqua" w:hAnsi="Book Antiqua"/>
        </w:rPr>
      </w:pPr>
      <w:r w:rsidRPr="000D2904">
        <w:rPr>
          <w:rFonts w:ascii="Book Antiqua" w:eastAsiaTheme="minorEastAsia" w:hAnsi="Book Antiqua" w:cstheme="minorHAnsi"/>
        </w:rPr>
        <w:t xml:space="preserve">Procesi i konsultimit paraprak dhe publik për Strategjinë e Energjisë do të realizohet paralelisht meqenëse kërkesës së Ministrisë së Ekonomisë për lejimin e zhvillimit të </w:t>
      </w:r>
      <w:r w:rsidRPr="000D2904">
        <w:rPr>
          <w:rFonts w:ascii="Book Antiqua" w:eastAsiaTheme="minorEastAsia" w:hAnsi="Book Antiqua" w:cstheme="minorHAnsi"/>
        </w:rPr>
        <w:lastRenderedPageBreak/>
        <w:t xml:space="preserve">procedurës së konsultimit paraprak dhe publik, zyra e Kryeministrit i  është përgjigjur në mënyrë pozitive (shkresa nr. </w:t>
      </w:r>
      <w:proofErr w:type="spellStart"/>
      <w:r w:rsidRPr="000D2904">
        <w:rPr>
          <w:rFonts w:ascii="Book Antiqua" w:eastAsiaTheme="minorEastAsia" w:hAnsi="Book Antiqua" w:cstheme="minorHAnsi"/>
        </w:rPr>
        <w:t>prot</w:t>
      </w:r>
      <w:proofErr w:type="spellEnd"/>
      <w:r w:rsidRPr="000D2904">
        <w:rPr>
          <w:rFonts w:ascii="Book Antiqua" w:eastAsiaTheme="minorEastAsia" w:hAnsi="Book Antiqua" w:cstheme="minorHAnsi"/>
        </w:rPr>
        <w:t>. 1263/2, të datës 31.05.2022).</w:t>
      </w:r>
      <w:r w:rsidRPr="000D2904">
        <w:rPr>
          <w:rFonts w:ascii="Book Antiqua" w:hAnsi="Book Antiqua"/>
        </w:rPr>
        <w:t xml:space="preserve"> </w:t>
      </w:r>
    </w:p>
    <w:p w:rsidR="00935BD1" w:rsidRPr="000D2904" w:rsidRDefault="00935BD1" w:rsidP="00935BD1">
      <w:pPr>
        <w:spacing w:before="120" w:after="120" w:line="240" w:lineRule="auto"/>
        <w:jc w:val="both"/>
        <w:rPr>
          <w:rFonts w:ascii="Book Antiqua" w:hAnsi="Book Antiqua"/>
        </w:rPr>
      </w:pPr>
      <w:r w:rsidRPr="000D2904">
        <w:rPr>
          <w:rFonts w:ascii="Book Antiqua" w:hAnsi="Book Antiqua"/>
        </w:rPr>
        <w:t>Ju lutemi që në kuadër të kontributit tuaj me shkrim, të specifikoni qartë së në çfarë cilësie jeni duke kontribuar në këtë proces konsultimi (p.sh. në cilësi të përfaqësuesit të organizatës, kompanisë, në cilësi individuale, etj.).</w:t>
      </w:r>
    </w:p>
    <w:p w:rsidR="00935BD1" w:rsidRPr="000D2904" w:rsidRDefault="00935BD1" w:rsidP="00935BD1">
      <w:pPr>
        <w:spacing w:before="120" w:after="120" w:line="240" w:lineRule="auto"/>
        <w:jc w:val="both"/>
        <w:rPr>
          <w:rFonts w:ascii="Book Antiqua" w:eastAsiaTheme="minorEastAsia" w:hAnsi="Book Antiqua" w:cstheme="minorHAnsi"/>
        </w:rPr>
      </w:pPr>
    </w:p>
    <w:p w:rsidR="00935BD1" w:rsidRPr="000D2904" w:rsidRDefault="00935BD1" w:rsidP="00935BD1">
      <w:pPr>
        <w:pBdr>
          <w:bottom w:val="single" w:sz="4" w:space="1" w:color="auto"/>
        </w:pBdr>
        <w:spacing w:before="240" w:after="120" w:line="312" w:lineRule="auto"/>
        <w:ind w:right="936"/>
        <w:rPr>
          <w:rFonts w:ascii="Book Antiqua" w:hAnsi="Book Antiqua"/>
          <w:b/>
          <w:bCs/>
          <w:iCs/>
        </w:rPr>
      </w:pPr>
      <w:r w:rsidRPr="000D2904">
        <w:rPr>
          <w:rFonts w:ascii="Book Antiqua" w:hAnsi="Book Antiqua"/>
          <w:b/>
          <w:bCs/>
          <w:iCs/>
        </w:rPr>
        <w:t>Komentet nga organizatat</w:t>
      </w:r>
    </w:p>
    <w:p w:rsidR="00935BD1" w:rsidRPr="000D2904" w:rsidRDefault="00935BD1" w:rsidP="00935BD1">
      <w:pPr>
        <w:spacing w:before="240" w:after="120" w:line="312" w:lineRule="auto"/>
        <w:contextualSpacing/>
        <w:jc w:val="both"/>
        <w:rPr>
          <w:rFonts w:ascii="Book Antiqua" w:hAnsi="Book Antiqua"/>
        </w:rPr>
      </w:pPr>
      <w:r w:rsidRPr="000D2904">
        <w:rPr>
          <w:rFonts w:ascii="Book Antiqua" w:hAnsi="Book Antiqua"/>
        </w:rPr>
        <w:t>Ju lutem, që komentet tuaja të ofrohen sipas udhëzimeve të shënuara më poshtë:</w:t>
      </w:r>
    </w:p>
    <w:p w:rsidR="00935BD1" w:rsidRPr="000D2904" w:rsidRDefault="00935BD1" w:rsidP="00935BD1">
      <w:pPr>
        <w:spacing w:before="240" w:after="120" w:line="312" w:lineRule="auto"/>
        <w:contextualSpacing/>
        <w:jc w:val="both"/>
        <w:rPr>
          <w:rFonts w:ascii="Book Antiqua" w:hAnsi="Book Antiqua"/>
          <w:b/>
        </w:rPr>
      </w:pPr>
    </w:p>
    <w:p w:rsidR="00935BD1" w:rsidRPr="000D2904" w:rsidRDefault="00935BD1" w:rsidP="00935BD1">
      <w:pPr>
        <w:spacing w:before="240" w:after="120" w:line="312" w:lineRule="auto"/>
        <w:contextualSpacing/>
        <w:jc w:val="both"/>
        <w:rPr>
          <w:rFonts w:ascii="Book Antiqua" w:hAnsi="Book Antiqua"/>
          <w:b/>
        </w:rPr>
      </w:pPr>
      <w:r w:rsidRPr="000D2904">
        <w:rPr>
          <w:rFonts w:ascii="Book Antiqua" w:hAnsi="Book Antiqua"/>
          <w:b/>
        </w:rPr>
        <w:t>Emri i organizatës që jep komente:</w:t>
      </w:r>
    </w:p>
    <w:p w:rsidR="00935BD1" w:rsidRPr="000D2904" w:rsidRDefault="00935BD1" w:rsidP="00935BD1">
      <w:pPr>
        <w:spacing w:before="240" w:after="120" w:line="312" w:lineRule="auto"/>
        <w:contextualSpacing/>
        <w:jc w:val="both"/>
        <w:rPr>
          <w:rFonts w:ascii="Book Antiqua" w:hAnsi="Book Antiqua"/>
          <w:b/>
        </w:rPr>
      </w:pPr>
      <w:r w:rsidRPr="000D2904">
        <w:rPr>
          <w:rFonts w:ascii="Book Antiqua" w:hAnsi="Book Antiqua"/>
          <w:b/>
        </w:rPr>
        <w:t>Fushat kryesore të veprimit të organizatës:</w:t>
      </w:r>
    </w:p>
    <w:p w:rsidR="00935BD1" w:rsidRPr="000D2904" w:rsidRDefault="00935BD1" w:rsidP="00935BD1">
      <w:pPr>
        <w:spacing w:before="240" w:after="120" w:line="312" w:lineRule="auto"/>
        <w:contextualSpacing/>
        <w:jc w:val="both"/>
        <w:rPr>
          <w:rFonts w:ascii="Book Antiqua" w:hAnsi="Book Antiqua"/>
          <w:b/>
        </w:rPr>
      </w:pPr>
      <w:r w:rsidRPr="000D2904">
        <w:rPr>
          <w:rFonts w:ascii="Book Antiqua" w:hAnsi="Book Antiqua"/>
          <w:b/>
        </w:rPr>
        <w:t>Informatat e kontaktit të organizatës (adresa, e-</w:t>
      </w:r>
      <w:proofErr w:type="spellStart"/>
      <w:r w:rsidRPr="000D2904">
        <w:rPr>
          <w:rFonts w:ascii="Book Antiqua" w:hAnsi="Book Antiqua"/>
          <w:b/>
        </w:rPr>
        <w:t>mail</w:t>
      </w:r>
      <w:proofErr w:type="spellEnd"/>
      <w:r w:rsidRPr="000D2904">
        <w:rPr>
          <w:rFonts w:ascii="Book Antiqua" w:hAnsi="Book Antiqua"/>
          <w:b/>
        </w:rPr>
        <w:t>, telefoni):</w:t>
      </w:r>
    </w:p>
    <w:p w:rsidR="00935BD1" w:rsidRPr="000D2904" w:rsidRDefault="00935BD1" w:rsidP="00935BD1">
      <w:pPr>
        <w:spacing w:before="240" w:after="120" w:line="312" w:lineRule="auto"/>
        <w:contextualSpacing/>
        <w:jc w:val="both"/>
        <w:rPr>
          <w:rFonts w:ascii="Book Antiqua" w:hAnsi="Book Antiqua"/>
          <w:b/>
        </w:rPr>
      </w:pPr>
      <w:r w:rsidRPr="000D2904">
        <w:rPr>
          <w:rFonts w:ascii="Book Antiqua" w:hAnsi="Book Antiqua"/>
          <w:b/>
        </w:rPr>
        <w:t xml:space="preserve">Data e dërgimit të komenteve: </w:t>
      </w:r>
    </w:p>
    <w:p w:rsidR="00935BD1" w:rsidRPr="000D2904" w:rsidRDefault="00935BD1" w:rsidP="00935BD1">
      <w:pPr>
        <w:spacing w:before="240" w:after="120" w:line="312" w:lineRule="auto"/>
        <w:contextualSpacing/>
        <w:jc w:val="both"/>
        <w:rPr>
          <w:rFonts w:ascii="Book Antiqua" w:hAnsi="Book Antiqua"/>
        </w:rPr>
      </w:pPr>
    </w:p>
    <w:p w:rsidR="00935BD1" w:rsidRPr="000D2904" w:rsidRDefault="00935BD1" w:rsidP="00935BD1">
      <w:pPr>
        <w:spacing w:before="120" w:after="120" w:line="240" w:lineRule="auto"/>
        <w:contextualSpacing/>
        <w:jc w:val="both"/>
        <w:rPr>
          <w:rFonts w:ascii="Book Antiqua" w:hAnsi="Book Antiqua"/>
        </w:rPr>
      </w:pPr>
      <w:r w:rsidRPr="000D2904">
        <w:rPr>
          <w:rFonts w:ascii="Book Antiqua" w:hAnsi="Book Antiqua"/>
        </w:rPr>
        <w:t>Forma e kontributit është e hapur, mirëpo preferohet që kontributet tuaja t’i përfshini në kuadër të tabelës së bashkëngjitur më poshtë në këtë dokument, e cila përfshin çështjet kyçe të këtij dokumenti.</w:t>
      </w:r>
    </w:p>
    <w:p w:rsidR="00935BD1" w:rsidRPr="000D2904" w:rsidRDefault="00935BD1" w:rsidP="00935BD1">
      <w:pPr>
        <w:spacing w:before="240" w:after="120" w:line="312" w:lineRule="auto"/>
        <w:contextualSpacing/>
        <w:jc w:val="both"/>
        <w:rPr>
          <w:rFonts w:ascii="Book Antiqua"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8"/>
        <w:gridCol w:w="3036"/>
        <w:gridCol w:w="2689"/>
      </w:tblGrid>
      <w:tr w:rsidR="00935BD1" w:rsidRPr="000D2904" w:rsidTr="00290CC3">
        <w:tc>
          <w:tcPr>
            <w:tcW w:w="393" w:type="dxa"/>
            <w:shd w:val="clear" w:color="auto" w:fill="8DB3E2"/>
          </w:tcPr>
          <w:p w:rsidR="00935BD1" w:rsidRPr="000D2904" w:rsidRDefault="00935BD1" w:rsidP="00290CC3">
            <w:pPr>
              <w:spacing w:before="240" w:after="120" w:line="312" w:lineRule="auto"/>
              <w:jc w:val="both"/>
              <w:rPr>
                <w:rFonts w:ascii="Book Antiqua" w:hAnsi="Book Antiqua"/>
                <w:b/>
              </w:rPr>
            </w:pPr>
          </w:p>
        </w:tc>
        <w:tc>
          <w:tcPr>
            <w:tcW w:w="2898" w:type="dxa"/>
            <w:shd w:val="clear" w:color="auto" w:fill="8DB3E2"/>
          </w:tcPr>
          <w:p w:rsidR="00935BD1" w:rsidRPr="000D2904" w:rsidRDefault="00935BD1" w:rsidP="00290CC3">
            <w:pPr>
              <w:spacing w:before="240" w:after="120" w:line="312" w:lineRule="auto"/>
              <w:jc w:val="both"/>
              <w:rPr>
                <w:rFonts w:ascii="Book Antiqua" w:hAnsi="Book Antiqua"/>
                <w:b/>
              </w:rPr>
            </w:pPr>
            <w:r w:rsidRPr="000D2904">
              <w:rPr>
                <w:rFonts w:ascii="Book Antiqua" w:hAnsi="Book Antiqua"/>
                <w:b/>
              </w:rPr>
              <w:t>Çështjet kyçe</w:t>
            </w:r>
          </w:p>
        </w:tc>
        <w:tc>
          <w:tcPr>
            <w:tcW w:w="3036" w:type="dxa"/>
            <w:shd w:val="clear" w:color="auto" w:fill="8DB3E2"/>
          </w:tcPr>
          <w:p w:rsidR="00935BD1" w:rsidRPr="000D2904" w:rsidRDefault="00935BD1" w:rsidP="00290CC3">
            <w:pPr>
              <w:spacing w:before="240" w:after="120" w:line="312" w:lineRule="auto"/>
              <w:jc w:val="both"/>
              <w:rPr>
                <w:rFonts w:ascii="Book Antiqua" w:hAnsi="Book Antiqua"/>
                <w:b/>
              </w:rPr>
            </w:pPr>
            <w:r w:rsidRPr="000D2904">
              <w:rPr>
                <w:rFonts w:ascii="Book Antiqua" w:hAnsi="Book Antiqua"/>
                <w:b/>
              </w:rPr>
              <w:t>Komente rreth draftit aktual</w:t>
            </w:r>
          </w:p>
        </w:tc>
        <w:tc>
          <w:tcPr>
            <w:tcW w:w="2689" w:type="dxa"/>
            <w:shd w:val="clear" w:color="auto" w:fill="8DB3E2"/>
          </w:tcPr>
          <w:p w:rsidR="00935BD1" w:rsidRPr="000D2904" w:rsidRDefault="00935BD1" w:rsidP="00290CC3">
            <w:pPr>
              <w:spacing w:before="240" w:after="120" w:line="312" w:lineRule="auto"/>
              <w:jc w:val="both"/>
              <w:rPr>
                <w:rFonts w:ascii="Book Antiqua" w:hAnsi="Book Antiqua"/>
                <w:b/>
              </w:rPr>
            </w:pPr>
            <w:r w:rsidRPr="000D2904">
              <w:rPr>
                <w:rFonts w:ascii="Book Antiqua" w:hAnsi="Book Antiqua"/>
                <w:b/>
              </w:rPr>
              <w:t>Komente shtesë</w:t>
            </w:r>
          </w:p>
        </w:tc>
      </w:tr>
      <w:tr w:rsidR="00935BD1" w:rsidRPr="000D2904" w:rsidTr="00290CC3">
        <w:tc>
          <w:tcPr>
            <w:tcW w:w="393" w:type="dxa"/>
            <w:shd w:val="clear" w:color="auto" w:fill="D6E3BC"/>
          </w:tcPr>
          <w:p w:rsidR="00935BD1" w:rsidRPr="000D2904" w:rsidRDefault="00935BD1" w:rsidP="00290CC3">
            <w:pPr>
              <w:spacing w:before="240" w:after="120" w:line="312" w:lineRule="auto"/>
              <w:jc w:val="both"/>
              <w:rPr>
                <w:rFonts w:ascii="Book Antiqua" w:hAnsi="Book Antiqua"/>
                <w:b/>
              </w:rPr>
            </w:pPr>
            <w:r w:rsidRPr="000D2904">
              <w:rPr>
                <w:rFonts w:ascii="Book Antiqua" w:hAnsi="Book Antiqua"/>
                <w:b/>
              </w:rPr>
              <w:t>1</w:t>
            </w:r>
          </w:p>
        </w:tc>
        <w:tc>
          <w:tcPr>
            <w:tcW w:w="2898" w:type="dxa"/>
          </w:tcPr>
          <w:p w:rsidR="00935BD1" w:rsidRPr="000D2904" w:rsidRDefault="00935BD1" w:rsidP="00290CC3">
            <w:pPr>
              <w:widowControl w:val="0"/>
              <w:autoSpaceDE w:val="0"/>
              <w:autoSpaceDN w:val="0"/>
              <w:adjustRightInd w:val="0"/>
              <w:spacing w:before="240" w:after="120" w:line="312" w:lineRule="auto"/>
              <w:jc w:val="both"/>
              <w:rPr>
                <w:rFonts w:ascii="Book Antiqua" w:eastAsia="Times New Roman" w:hAnsi="Book Antiqua"/>
              </w:rPr>
            </w:pPr>
          </w:p>
        </w:tc>
        <w:tc>
          <w:tcPr>
            <w:tcW w:w="3036" w:type="dxa"/>
          </w:tcPr>
          <w:p w:rsidR="00935BD1" w:rsidRPr="000D2904" w:rsidRDefault="00935BD1" w:rsidP="00290CC3">
            <w:pPr>
              <w:spacing w:before="240" w:after="120" w:line="312" w:lineRule="auto"/>
              <w:jc w:val="both"/>
              <w:rPr>
                <w:rFonts w:ascii="Book Antiqua" w:hAnsi="Book Antiqua"/>
              </w:rPr>
            </w:pPr>
          </w:p>
        </w:tc>
        <w:tc>
          <w:tcPr>
            <w:tcW w:w="2689" w:type="dxa"/>
          </w:tcPr>
          <w:p w:rsidR="00935BD1" w:rsidRPr="000D2904" w:rsidRDefault="00935BD1" w:rsidP="00290CC3">
            <w:pPr>
              <w:spacing w:before="240" w:after="120" w:line="312" w:lineRule="auto"/>
              <w:jc w:val="both"/>
              <w:rPr>
                <w:rFonts w:ascii="Book Antiqua" w:hAnsi="Book Antiqua"/>
              </w:rPr>
            </w:pPr>
          </w:p>
        </w:tc>
      </w:tr>
      <w:tr w:rsidR="00935BD1" w:rsidRPr="000D2904" w:rsidTr="00290CC3">
        <w:tc>
          <w:tcPr>
            <w:tcW w:w="393" w:type="dxa"/>
            <w:shd w:val="clear" w:color="auto" w:fill="D6E3BC"/>
          </w:tcPr>
          <w:p w:rsidR="00935BD1" w:rsidRPr="000D2904" w:rsidRDefault="00935BD1" w:rsidP="00290CC3">
            <w:pPr>
              <w:spacing w:before="240" w:after="120" w:line="312" w:lineRule="auto"/>
              <w:jc w:val="both"/>
              <w:rPr>
                <w:rFonts w:ascii="Book Antiqua" w:hAnsi="Book Antiqua"/>
                <w:b/>
              </w:rPr>
            </w:pPr>
            <w:r w:rsidRPr="000D2904">
              <w:rPr>
                <w:rFonts w:ascii="Book Antiqua" w:hAnsi="Book Antiqua"/>
                <w:b/>
              </w:rPr>
              <w:t>2</w:t>
            </w:r>
          </w:p>
        </w:tc>
        <w:tc>
          <w:tcPr>
            <w:tcW w:w="2898" w:type="dxa"/>
          </w:tcPr>
          <w:p w:rsidR="00935BD1" w:rsidRPr="000D2904" w:rsidRDefault="00935BD1" w:rsidP="00290CC3">
            <w:pPr>
              <w:spacing w:before="240" w:after="120" w:line="312" w:lineRule="auto"/>
              <w:jc w:val="both"/>
              <w:rPr>
                <w:rFonts w:ascii="Book Antiqua" w:hAnsi="Book Antiqua"/>
              </w:rPr>
            </w:pPr>
          </w:p>
        </w:tc>
        <w:tc>
          <w:tcPr>
            <w:tcW w:w="3036" w:type="dxa"/>
          </w:tcPr>
          <w:p w:rsidR="00935BD1" w:rsidRPr="000D2904" w:rsidRDefault="00935BD1" w:rsidP="00290CC3">
            <w:pPr>
              <w:spacing w:before="240" w:after="120" w:line="312" w:lineRule="auto"/>
              <w:jc w:val="both"/>
              <w:rPr>
                <w:rFonts w:ascii="Book Antiqua" w:hAnsi="Book Antiqua"/>
              </w:rPr>
            </w:pPr>
          </w:p>
        </w:tc>
        <w:tc>
          <w:tcPr>
            <w:tcW w:w="2689" w:type="dxa"/>
          </w:tcPr>
          <w:p w:rsidR="00935BD1" w:rsidRPr="000D2904" w:rsidRDefault="00935BD1" w:rsidP="00290CC3">
            <w:pPr>
              <w:spacing w:before="240" w:after="120" w:line="312" w:lineRule="auto"/>
              <w:jc w:val="both"/>
              <w:rPr>
                <w:rFonts w:ascii="Book Antiqua" w:hAnsi="Book Antiqua"/>
              </w:rPr>
            </w:pPr>
          </w:p>
        </w:tc>
      </w:tr>
      <w:tr w:rsidR="00935BD1" w:rsidRPr="000D2904" w:rsidTr="00290CC3">
        <w:tc>
          <w:tcPr>
            <w:tcW w:w="393" w:type="dxa"/>
            <w:shd w:val="clear" w:color="auto" w:fill="D6E3BC"/>
          </w:tcPr>
          <w:p w:rsidR="00935BD1" w:rsidRPr="000D2904" w:rsidRDefault="00935BD1" w:rsidP="00290CC3">
            <w:pPr>
              <w:spacing w:before="240" w:after="120" w:line="312" w:lineRule="auto"/>
              <w:jc w:val="both"/>
              <w:rPr>
                <w:rFonts w:ascii="Book Antiqua" w:hAnsi="Book Antiqua"/>
                <w:b/>
              </w:rPr>
            </w:pPr>
            <w:r w:rsidRPr="000D2904">
              <w:rPr>
                <w:rFonts w:ascii="Book Antiqua" w:hAnsi="Book Antiqua"/>
                <w:b/>
              </w:rPr>
              <w:t>3</w:t>
            </w:r>
          </w:p>
        </w:tc>
        <w:tc>
          <w:tcPr>
            <w:tcW w:w="2898" w:type="dxa"/>
          </w:tcPr>
          <w:p w:rsidR="00935BD1" w:rsidRPr="000D2904" w:rsidRDefault="00935BD1" w:rsidP="00290CC3">
            <w:pPr>
              <w:spacing w:before="240" w:after="120" w:line="312" w:lineRule="auto"/>
              <w:jc w:val="both"/>
              <w:rPr>
                <w:rFonts w:ascii="Book Antiqua" w:hAnsi="Book Antiqua"/>
              </w:rPr>
            </w:pPr>
          </w:p>
        </w:tc>
        <w:tc>
          <w:tcPr>
            <w:tcW w:w="3036" w:type="dxa"/>
          </w:tcPr>
          <w:p w:rsidR="00935BD1" w:rsidRPr="000D2904" w:rsidRDefault="00935BD1" w:rsidP="00290CC3">
            <w:pPr>
              <w:spacing w:before="240" w:after="120" w:line="312" w:lineRule="auto"/>
              <w:jc w:val="both"/>
              <w:rPr>
                <w:rFonts w:ascii="Book Antiqua" w:hAnsi="Book Antiqua"/>
              </w:rPr>
            </w:pPr>
          </w:p>
        </w:tc>
        <w:tc>
          <w:tcPr>
            <w:tcW w:w="2689" w:type="dxa"/>
          </w:tcPr>
          <w:p w:rsidR="00935BD1" w:rsidRPr="000D2904" w:rsidRDefault="00935BD1" w:rsidP="00290CC3">
            <w:pPr>
              <w:spacing w:before="240" w:after="120" w:line="312" w:lineRule="auto"/>
              <w:jc w:val="both"/>
              <w:rPr>
                <w:rFonts w:ascii="Book Antiqua" w:hAnsi="Book Antiqua"/>
              </w:rPr>
            </w:pPr>
          </w:p>
        </w:tc>
      </w:tr>
    </w:tbl>
    <w:p w:rsidR="00935BD1" w:rsidRPr="000D2904" w:rsidRDefault="00935BD1" w:rsidP="00935BD1">
      <w:pPr>
        <w:spacing w:before="240" w:after="120" w:line="312" w:lineRule="auto"/>
        <w:rPr>
          <w:rFonts w:ascii="Book Antiqua" w:hAnsi="Book Antiqua"/>
        </w:rPr>
      </w:pPr>
    </w:p>
    <w:p w:rsidR="00935BD1" w:rsidRPr="000D2904" w:rsidRDefault="00935BD1" w:rsidP="00935BD1">
      <w:pPr>
        <w:spacing w:before="240" w:after="120" w:line="312" w:lineRule="auto"/>
        <w:rPr>
          <w:rFonts w:ascii="Book Antiqua" w:hAnsi="Book Antiqua"/>
        </w:rPr>
      </w:pPr>
    </w:p>
    <w:p w:rsidR="00935BD1" w:rsidRPr="000D2904" w:rsidRDefault="00935BD1" w:rsidP="00935BD1">
      <w:pPr>
        <w:spacing w:before="240" w:after="120" w:line="312" w:lineRule="auto"/>
        <w:rPr>
          <w:rFonts w:ascii="Book Antiqua" w:hAnsi="Book Antiqua"/>
        </w:rPr>
      </w:pPr>
    </w:p>
    <w:p w:rsidR="00BA7ADD" w:rsidRDefault="00935BD1"/>
    <w:sectPr w:rsidR="00BA7AD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86461"/>
    <w:multiLevelType w:val="multilevel"/>
    <w:tmpl w:val="A7A845BC"/>
    <w:lvl w:ilvl="0">
      <w:start w:val="1"/>
      <w:numFmt w:val="decimal"/>
      <w:lvlText w:val="%1."/>
      <w:lvlJc w:val="left"/>
      <w:pPr>
        <w:ind w:left="720" w:hanging="360"/>
      </w:pPr>
      <w:rPr>
        <w:rFonts w:ascii="Noto Sans Symbols" w:eastAsia="Noto Sans Symbols" w:hAnsi="Noto Sans Symbols" w:cs="Noto Sans Symbols"/>
        <w:b/>
        <w:i w:val="0"/>
        <w:color w:val="auto"/>
        <w:sz w:val="20"/>
        <w:szCs w:val="20"/>
        <w:vertAlign w:val="baseline"/>
      </w:rPr>
    </w:lvl>
    <w:lvl w:ilvl="1">
      <w:start w:val="1"/>
      <w:numFmt w:val="bullet"/>
      <w:lvlText w:val="o"/>
      <w:lvlJc w:val="left"/>
      <w:pPr>
        <w:ind w:left="1440" w:hanging="360"/>
      </w:pPr>
      <w:rPr>
        <w:rFonts w:ascii="@Yu Mincho" w:eastAsia="@Yu Mincho" w:hAnsi="@Yu Mincho" w:cs="@Yu Mincho"/>
      </w:rPr>
    </w:lvl>
    <w:lvl w:ilvl="2">
      <w:start w:val="1"/>
      <w:numFmt w:val="bullet"/>
      <w:lvlText w:val=""/>
      <w:lvlJc w:val="left"/>
      <w:pPr>
        <w:ind w:left="2160" w:hanging="360"/>
      </w:pPr>
      <w:rPr>
        <w:rFonts w:ascii="Yu Gothic Light" w:eastAsia="Yu Gothic Light" w:hAnsi="Yu Gothic Light" w:cs="Yu Gothic Light"/>
      </w:rPr>
    </w:lvl>
    <w:lvl w:ilvl="3">
      <w:start w:val="1"/>
      <w:numFmt w:val="bullet"/>
      <w:lvlText w:val=""/>
      <w:lvlJc w:val="left"/>
      <w:pPr>
        <w:ind w:left="2880" w:hanging="360"/>
      </w:pPr>
      <w:rPr>
        <w:rFonts w:ascii="MS Mincho" w:eastAsia="MS Mincho" w:hAnsi="MS Mincho" w:cs="MS Mincho"/>
      </w:rPr>
    </w:lvl>
    <w:lvl w:ilvl="4">
      <w:start w:val="1"/>
      <w:numFmt w:val="bullet"/>
      <w:lvlText w:val="o"/>
      <w:lvlJc w:val="left"/>
      <w:pPr>
        <w:ind w:left="3600" w:hanging="360"/>
      </w:pPr>
      <w:rPr>
        <w:rFonts w:ascii="@Yu Mincho" w:eastAsia="@Yu Mincho" w:hAnsi="@Yu Mincho" w:cs="@Yu Mincho"/>
      </w:rPr>
    </w:lvl>
    <w:lvl w:ilvl="5">
      <w:start w:val="1"/>
      <w:numFmt w:val="bullet"/>
      <w:lvlText w:val=""/>
      <w:lvlJc w:val="left"/>
      <w:pPr>
        <w:ind w:left="4320" w:hanging="360"/>
      </w:pPr>
      <w:rPr>
        <w:rFonts w:ascii="Yu Gothic Light" w:eastAsia="Yu Gothic Light" w:hAnsi="Yu Gothic Light" w:cs="Yu Gothic Light"/>
      </w:rPr>
    </w:lvl>
    <w:lvl w:ilvl="6">
      <w:start w:val="1"/>
      <w:numFmt w:val="bullet"/>
      <w:lvlText w:val=""/>
      <w:lvlJc w:val="left"/>
      <w:pPr>
        <w:ind w:left="5040" w:hanging="360"/>
      </w:pPr>
      <w:rPr>
        <w:rFonts w:ascii="MS Mincho" w:eastAsia="MS Mincho" w:hAnsi="MS Mincho" w:cs="MS Mincho"/>
      </w:rPr>
    </w:lvl>
    <w:lvl w:ilvl="7">
      <w:start w:val="1"/>
      <w:numFmt w:val="bullet"/>
      <w:lvlText w:val="o"/>
      <w:lvlJc w:val="left"/>
      <w:pPr>
        <w:ind w:left="5760" w:hanging="360"/>
      </w:pPr>
      <w:rPr>
        <w:rFonts w:ascii="@Yu Mincho" w:eastAsia="@Yu Mincho" w:hAnsi="@Yu Mincho" w:cs="@Yu Mincho"/>
      </w:rPr>
    </w:lvl>
    <w:lvl w:ilvl="8">
      <w:start w:val="1"/>
      <w:numFmt w:val="bullet"/>
      <w:lvlText w:val=""/>
      <w:lvlJc w:val="left"/>
      <w:pPr>
        <w:ind w:left="6480" w:hanging="360"/>
      </w:pPr>
      <w:rPr>
        <w:rFonts w:ascii="Yu Gothic Light" w:eastAsia="Yu Gothic Light" w:hAnsi="Yu Gothic Light" w:cs="Yu Gothic Ligh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D1"/>
    <w:rsid w:val="000456E5"/>
    <w:rsid w:val="00735605"/>
    <w:rsid w:val="00935BD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73E65-E28C-462D-9A96-7B7CFFB1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BD1"/>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35BD1"/>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99"/>
    <w:rsid w:val="00935BD1"/>
    <w:rPr>
      <w:rFonts w:ascii="Times New Roman" w:eastAsia="MS Mincho"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nan.preniqi@rks-gov.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1</cp:revision>
  <dcterms:created xsi:type="dcterms:W3CDTF">2022-06-07T06:00:00Z</dcterms:created>
  <dcterms:modified xsi:type="dcterms:W3CDTF">2022-06-07T06:01:00Z</dcterms:modified>
</cp:coreProperties>
</file>