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A4" w:rsidRPr="003D320F" w:rsidRDefault="005622A4" w:rsidP="005622A4">
      <w:pPr>
        <w:tabs>
          <w:tab w:val="center" w:pos="6480"/>
        </w:tabs>
        <w:spacing w:after="0" w:line="240" w:lineRule="auto"/>
        <w:rPr>
          <w:rFonts w:ascii="Sylfaen" w:eastAsia="Calibri" w:hAnsi="Sylfaen" w:cs="Times New Roman"/>
          <w:sz w:val="24"/>
          <w:szCs w:val="24"/>
          <w:lang w:val="en-GB"/>
        </w:rPr>
      </w:pPr>
    </w:p>
    <w:p w:rsidR="005622A4" w:rsidRPr="007E47A8" w:rsidRDefault="005622A4" w:rsidP="00562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3D320F">
        <w:rPr>
          <w:rFonts w:ascii="Sylfaen" w:eastAsia="Calibri" w:hAnsi="Sylfaen" w:cs="Times New Roman"/>
          <w:b/>
          <w:bCs/>
          <w:smallCaps/>
          <w:sz w:val="32"/>
          <w:szCs w:val="24"/>
        </w:rPr>
        <w:t xml:space="preserve"> </w:t>
      </w:r>
      <w:r w:rsidRPr="003D320F">
        <w:rPr>
          <w:rFonts w:ascii="Times New Roman" w:eastAsia="Calibri" w:hAnsi="Times New Roman" w:cs="Times New Roman"/>
          <w:b/>
          <w:bCs/>
          <w:smallCaps/>
          <w:sz w:val="32"/>
          <w:szCs w:val="24"/>
        </w:rPr>
        <w:t xml:space="preserve">Raporti nga procesi i konsultimit </w:t>
      </w:r>
      <w:r w:rsidRPr="007E47A8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TË</w:t>
      </w:r>
      <w:r w:rsidRPr="003D320F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 xml:space="preserve"> </w:t>
      </w:r>
      <w:r w:rsidRPr="007E47A8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UDHËZI</w:t>
      </w:r>
      <w:r w:rsidR="00597640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M ADMINISTRATIV (MTI) NR.00/2019</w:t>
      </w:r>
    </w:p>
    <w:p w:rsidR="005622A4" w:rsidRPr="00007DC9" w:rsidRDefault="005622A4" w:rsidP="005622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007DC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 xml:space="preserve">PËR </w:t>
      </w:r>
      <w:r w:rsidR="00597640" w:rsidRPr="00597640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MBAJTJEN E REGJISTRIT ELEKTRONIK TË PADIVE KOLEKTIVE TË FINALIZUAR</w:t>
      </w:r>
      <w:r w:rsidR="00597640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 xml:space="preserve">A ME AKTGJYKIM TË PLOTFUQISHËM </w:t>
      </w: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sz w:val="24"/>
          <w:szCs w:val="24"/>
          <w:lang w:val="hr-HR"/>
        </w:rPr>
      </w:pP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da-DK"/>
        </w:rPr>
      </w:pPr>
      <w:r w:rsidRPr="003D320F">
        <w:rPr>
          <w:rFonts w:ascii="Sylfaen" w:eastAsia="Calibri" w:hAnsi="Sylfaen" w:cs="Times New Roman"/>
          <w:b/>
          <w:sz w:val="24"/>
          <w:szCs w:val="24"/>
          <w:lang w:val="hr-HR"/>
        </w:rPr>
        <w:t>Hyrja/sfond</w:t>
      </w:r>
      <w:r w:rsidRPr="003D320F">
        <w:rPr>
          <w:rFonts w:ascii="Sylfaen" w:eastAsia="Calibri" w:hAnsi="Sylfaen" w:cs="Times New Roman"/>
          <w:b/>
          <w:sz w:val="24"/>
          <w:szCs w:val="24"/>
          <w:lang w:val="da-DK"/>
        </w:rPr>
        <w:t>i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sz w:val="24"/>
          <w:szCs w:val="24"/>
          <w:lang w:val="hr-HR"/>
        </w:rPr>
      </w:pPr>
    </w:p>
    <w:p w:rsidR="005622A4" w:rsidRPr="00BB5880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sz w:val="24"/>
          <w:szCs w:val="24"/>
          <w:lang w:val="hr-HR"/>
        </w:rPr>
      </w:pP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Ministria e Tregtisë dhe Industrisë respektivisht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Departamenti per Mbrojtjen e Konsumatorit,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në cilësinë e Organit Propozues për hartimin e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Udhezimit Administrativ per </w:t>
      </w:r>
      <w:r w:rsidR="0059764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Mbajtjen e Regjistrit Elektronik te Padive Kolektive te Finalizuara me Aktgjykim te Plotfuqishem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, ka propozuar  hartimin e kë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tij Udhezimi Administrativ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me qëllim që të mundëson implementimin  e Ligjit </w:t>
      </w:r>
      <w:r>
        <w:rPr>
          <w:rFonts w:ascii="Sylfaen" w:eastAsia="Calibri" w:hAnsi="Sylfaen" w:cs="Times New Roman"/>
          <w:i/>
          <w:noProof/>
          <w:sz w:val="24"/>
          <w:szCs w:val="24"/>
        </w:rPr>
        <w:t>Nr. 06/L-034 për Mbrojtjen e Konsumatorit</w:t>
      </w:r>
      <w:r w:rsidRPr="003D320F">
        <w:rPr>
          <w:rFonts w:ascii="Sylfaen" w:eastAsia="Calibri" w:hAnsi="Sylfaen" w:cs="Times New Roman"/>
          <w:i/>
          <w:sz w:val="24"/>
          <w:szCs w:val="24"/>
        </w:rPr>
        <w:t>. Prandaj</w:t>
      </w:r>
      <w:r w:rsidRPr="003D320F"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 përmes hartimit të </w:t>
      </w:r>
      <w:r>
        <w:rPr>
          <w:rFonts w:ascii="Sylfaen" w:eastAsia="Calibri" w:hAnsi="Sylfaen" w:cs="Times New Roman"/>
          <w:i/>
          <w:sz w:val="24"/>
          <w:szCs w:val="24"/>
          <w:lang w:val="hr-HR"/>
        </w:rPr>
        <w:t>Udhezimit Administrativ</w:t>
      </w:r>
      <w:r w:rsidRPr="003D320F"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 në fjalë</w:t>
      </w:r>
      <w:r>
        <w:rPr>
          <w:rFonts w:ascii="Sylfaen" w:eastAsia="Calibri" w:hAnsi="Sylfaen" w:cs="Times New Roman"/>
          <w:i/>
          <w:sz w:val="24"/>
          <w:szCs w:val="24"/>
          <w:lang w:val="hr-HR"/>
        </w:rPr>
        <w:t>,</w:t>
      </w:r>
      <w:r w:rsidRPr="003D320F"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 do të </w:t>
      </w:r>
      <w:r>
        <w:rPr>
          <w:rFonts w:ascii="Sylfaen" w:eastAsia="Calibri" w:hAnsi="Sylfaen" w:cs="Times New Roman"/>
          <w:i/>
          <w:sz w:val="24"/>
          <w:szCs w:val="24"/>
          <w:lang w:val="hr-HR"/>
        </w:rPr>
        <w:t>parashihet procedura</w:t>
      </w:r>
      <w:r w:rsidRPr="00007DC9"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 për </w:t>
      </w:r>
      <w:r w:rsidR="00597640"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mbajtjen e regjistrit elektronik te padive kolektive me aktgjykim te plotfuqishem nga </w:t>
      </w:r>
      <w:r w:rsidR="00597640" w:rsidRPr="00597640">
        <w:rPr>
          <w:rFonts w:ascii="Sylfaen" w:eastAsia="Calibri" w:hAnsi="Sylfaen" w:cs="Times New Roman"/>
          <w:i/>
          <w:sz w:val="24"/>
          <w:szCs w:val="24"/>
        </w:rPr>
        <w:t>Departamenti për Mbrojtjen e Konsumatorit në Ministrin e Tregtisë dhe Industrisë</w:t>
      </w:r>
      <w:r w:rsidR="00597640"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. </w:t>
      </w:r>
      <w:r w:rsidR="00597640" w:rsidRPr="00597640">
        <w:rPr>
          <w:rFonts w:ascii="Sylfaen" w:eastAsia="Calibri" w:hAnsi="Sylfaen" w:cs="Times New Roman"/>
          <w:i/>
          <w:sz w:val="24"/>
          <w:szCs w:val="24"/>
        </w:rPr>
        <w:t>Ky udhëzim administrativ zbatohet për çdo padi kolektive të konsumatorëve të paraqitur pran Gjykatës Themelore të Prishtinës në Departamentin për Çështje Ekonomike, në pajtim me Ligjin për Mbrojtjen e Konsumatorit dhe ligjet e tjera relevante të Republikës së Kosovës.</w:t>
      </w:r>
      <w:r>
        <w:rPr>
          <w:rFonts w:ascii="Sylfaen" w:eastAsia="Calibri" w:hAnsi="Sylfaen" w:cs="Times New Roman"/>
          <w:i/>
          <w:sz w:val="24"/>
          <w:szCs w:val="24"/>
          <w:lang w:val="hr-HR"/>
        </w:rPr>
        <w:t xml:space="preserve">, duke plotesuar keshtu kete </w:t>
      </w:r>
      <w:r w:rsidR="00BB5880">
        <w:rPr>
          <w:rFonts w:ascii="Sylfaen" w:eastAsia="Calibri" w:hAnsi="Sylfaen" w:cs="Times New Roman"/>
          <w:i/>
          <w:sz w:val="24"/>
          <w:szCs w:val="24"/>
          <w:lang w:val="hr-HR"/>
        </w:rPr>
        <w:t>fushe me Udhezim Administrativ</w:t>
      </w:r>
      <w:r>
        <w:rPr>
          <w:rFonts w:ascii="Sylfaen" w:eastAsia="Calibri" w:hAnsi="Sylfaen" w:cs="Times New Roman"/>
          <w:i/>
          <w:sz w:val="24"/>
          <w:szCs w:val="24"/>
        </w:rPr>
        <w:t xml:space="preserve">. </w:t>
      </w:r>
      <w:r w:rsidRPr="00E23D79">
        <w:rPr>
          <w:rFonts w:ascii="Sylfaen" w:eastAsia="Calibri" w:hAnsi="Sylfaen" w:cs="Times New Roman"/>
          <w:i/>
          <w:sz w:val="24"/>
          <w:szCs w:val="24"/>
        </w:rPr>
        <w:t xml:space="preserve"> 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sz w:val="24"/>
          <w:szCs w:val="24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i/>
          <w:sz w:val="24"/>
          <w:szCs w:val="24"/>
        </w:rPr>
        <w:t>Bazuar në Rregulloren nr. 09/2011 të Punës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së Qeverisë, Rregulloren nr.13/2013 Për Shërbimin Ligjor Qeveritar, Ministria i ka kaluar hapat e mëposhtëm të procesit legjislativ si:  formimin e grupit punues, pjesëmarrjen në disa takime me grupin punues për hartimin draftit fillestar të </w:t>
      </w:r>
      <w:r w:rsidRPr="00F00B68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Udhezimit Administrativ per </w:t>
      </w:r>
      <w:r w:rsidR="00BB5880" w:rsidRP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Mbajtjen e Regjistrit Elektronik te Padive Kolektive te Finalizuara me Aktgjykim te Plotfuqishem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, dhe pas p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ërfundimit të Udhezimit Administrativ</w:t>
      </w:r>
      <w:r w:rsidR="006558E5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, i njejti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është dërguar për komente te palët e interesit.</w:t>
      </w:r>
      <w:r w:rsid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Qëllimi dhe fushëveprimi i konsultimit gjatë hartimit të politikave është me rëndësi që të gjithë ata që janë të përfshirë në procesin e konsult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imit të jenë të njohur qysh nga fillimi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me qëllimin dhe fushëveprimin e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këtij Udhezimi Administrativ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. Kjo do ti ndihmoi Ministrisë për të analizuar gjendjen, identifikimin e problemeve, opsioneve, përgatitjen e rekomandimeve dhe propozimeve nga palët, për ti përfshirë në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Udhezimin Administrativ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për</w:t>
      </w:r>
      <w:r w:rsidRPr="00442AFD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</w:t>
      </w:r>
      <w:r w:rsidR="00BB5880" w:rsidRP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Mbajtjen e Regjistrit Elektronik te Padive Kolektive te Finalizuara me Aktgjykim te Plotfuqishem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.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b/>
          <w:noProof/>
          <w:sz w:val="24"/>
          <w:szCs w:val="24"/>
          <w:lang w:val="en-US"/>
        </w:rPr>
        <w:t>Ecuria e procesit të konsultimit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Duke pasur parasysh se procesi i konsultimeve është realizuar dhe është zhvilluar konform rregullave dhe procedurave të përcaktuara në Rregulloren për Punën e Qeverisë nr. 09/2011, Rregulloren Nr. 05/2016 Për standardet minimale për procesin e konsultimit publik, Udhëzuesin për procesin e konsultimeve Nr.062/2011 dt. 26.09.2011,</w:t>
      </w:r>
      <w:r w:rsidRPr="003D320F">
        <w:rPr>
          <w:rFonts w:ascii="Calibri" w:eastAsia="Times New Roman" w:hAnsi="Calibri" w:cs="Times New Roman"/>
          <w:noProof/>
          <w:lang w:val="en-US"/>
        </w:rPr>
        <w:t xml:space="preserve"> 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Ministria e 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lastRenderedPageBreak/>
        <w:t xml:space="preserve">Tregtisë dhe Industrisë, si organ propozues i këtij akti nënligjor ka zhvilluar procesin e konsultimeve paraprake dhe publike në të cilën periudhë e  ka dërguar në Konsultim te të gjitha institucionet përkatëse dhe shoqatat relevante, që t’ju ofrojë informata për publikun e në veçanti për grupet e interesit me qëllim të merret mendimi i publikut dhe grupeve të interesit rreth hartimit të </w:t>
      </w:r>
      <w:r w:rsidRPr="00FC3289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Udhezimit Administrativ per </w:t>
      </w:r>
      <w:r w:rsidR="00BB5880" w:rsidRP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Mbajtjen e Regjistrit Elektronik te Padive Kolektive te Finalizuara me Aktgjykim te Plotfuqishem</w:t>
      </w:r>
      <w:r w:rsid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.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Gjatë kësaj periudhe lidhur me projekt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Udhezimin</w:t>
      </w:r>
      <w:r w:rsidRPr="00A531E7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Administrativ per </w:t>
      </w:r>
      <w:r w:rsidR="00BB5880" w:rsidRP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Mbajtjen e Regjistrit Elektronik te Padive Kolektive te Finalizuara me Aktgjykim te Plotfuqishem</w:t>
      </w:r>
      <w:r w:rsidR="006558E5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,</w:t>
      </w:r>
      <w:r w:rsidR="00BB5880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kemi pranuar </w:t>
      </w:r>
      <w:r w:rsidR="006558E5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disa 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komente </w:t>
      </w:r>
      <w:r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konstruktive </w:t>
      </w:r>
      <w:r w:rsidR="006558E5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nga 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palë</w:t>
      </w:r>
      <w:r w:rsidR="006558E5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t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 xml:space="preserve"> e interesit. Kohëzgjatja e procesit të konsultimit të dokumentit në fjalë, është bërë konform Rregullores për Punën e Qeverisë nr. 09/2011.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5622A4" w:rsidRPr="003D320F" w:rsidTr="0094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 xml:space="preserve">Numri i pjesëmarrësve 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 xml:space="preserve">Numri i pjesëmarrësve te cilet kane kontribuar 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</w:rPr>
            </w:pPr>
            <w:r w:rsidRPr="003D320F">
              <w:rPr>
                <w:rFonts w:ascii="Sylfaen" w:hAnsi="Sylfaen"/>
                <w:noProof/>
                <w:sz w:val="20"/>
              </w:rPr>
              <w:t>Numri i komenteve  te pranuara</w:t>
            </w: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BB5880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>
              <w:rPr>
                <w:rFonts w:ascii="Sylfaen" w:hAnsi="Sylfaen"/>
                <w:noProof/>
                <w:sz w:val="21"/>
              </w:rPr>
              <w:t>Data e fillimit: 16.07.2019</w:t>
            </w:r>
            <w:r w:rsidR="005622A4" w:rsidRPr="003D320F">
              <w:rPr>
                <w:rFonts w:ascii="Sylfaen" w:hAnsi="Sylfaen"/>
                <w:noProof/>
                <w:sz w:val="21"/>
              </w:rPr>
              <w:t xml:space="preserve">    Data e përfundimit: </w:t>
            </w:r>
            <w:r w:rsidR="005622A4">
              <w:rPr>
                <w:rFonts w:ascii="Sylfaen" w:hAnsi="Sylfaen"/>
                <w:noProof/>
                <w:sz w:val="21"/>
              </w:rPr>
              <w:t>01</w:t>
            </w:r>
            <w:r w:rsidR="005622A4" w:rsidRPr="003D320F">
              <w:rPr>
                <w:rFonts w:ascii="Sylfaen" w:hAnsi="Sylfaen"/>
                <w:noProof/>
                <w:sz w:val="21"/>
              </w:rPr>
              <w:t>.</w:t>
            </w:r>
            <w:r>
              <w:rPr>
                <w:rFonts w:ascii="Sylfaen" w:hAnsi="Sylfaen"/>
                <w:noProof/>
                <w:sz w:val="21"/>
              </w:rPr>
              <w:t>08.2019</w:t>
            </w:r>
            <w:r w:rsidR="005622A4" w:rsidRPr="003D320F">
              <w:rPr>
                <w:rFonts w:ascii="Sylfaen" w:hAnsi="Sylfaen"/>
                <w:noProof/>
                <w:sz w:val="21"/>
              </w:rPr>
              <w:t xml:space="preserve">  </w:t>
            </w:r>
          </w:p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sz w:val="21"/>
              </w:rPr>
              <w:t>15 ditë pune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>
              <w:rPr>
                <w:rFonts w:ascii="Sylfaen" w:hAnsi="Sylfaen"/>
                <w:noProof/>
                <w:sz w:val="21"/>
              </w:rPr>
              <w:t>78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>
              <w:rPr>
                <w:rFonts w:ascii="Sylfaen" w:hAnsi="Sylfaen"/>
                <w:noProof/>
                <w:sz w:val="21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sz w:val="21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</w:rPr>
              <w:t xml:space="preserve">Panelet me qytetarë 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</w:rPr>
              <w:t>Stendat në rrugë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  <w:tr w:rsidR="005622A4" w:rsidRPr="003D320F" w:rsidTr="00947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619" w:type="dxa"/>
            <w:shd w:val="clear" w:color="auto" w:fill="FBE4D5"/>
          </w:tcPr>
          <w:p w:rsidR="005622A4" w:rsidRPr="003D320F" w:rsidRDefault="005622A4" w:rsidP="009478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</w:rPr>
            </w:pPr>
            <w:r w:rsidRPr="003D320F">
              <w:rPr>
                <w:rFonts w:ascii="Sylfaen" w:hAnsi="Sylfaen"/>
                <w:noProof/>
                <w:color w:val="000000"/>
                <w:sz w:val="21"/>
              </w:rPr>
              <w:t>tjetër</w:t>
            </w:r>
          </w:p>
        </w:tc>
        <w:tc>
          <w:tcPr>
            <w:tcW w:w="1679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483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1300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  <w:tc>
          <w:tcPr>
            <w:tcW w:w="2162" w:type="dxa"/>
          </w:tcPr>
          <w:p w:rsidR="005622A4" w:rsidRPr="003D320F" w:rsidRDefault="005622A4" w:rsidP="0094787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</w:rPr>
            </w:pPr>
          </w:p>
        </w:tc>
      </w:tr>
    </w:tbl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b/>
          <w:noProof/>
          <w:sz w:val="24"/>
          <w:szCs w:val="24"/>
          <w:lang w:val="en-US"/>
        </w:rPr>
        <w:t xml:space="preserve">Përmbledhje e  kontributeve të pranuara gjatë procesit të konsultimit dhe kategoritë e kontribuesve </w:t>
      </w: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q-AL"/>
        </w:rPr>
      </w:pPr>
      <w:r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Komente konstruktive janë parashtruar nga </w:t>
      </w:r>
      <w:r w:rsidR="002250D8">
        <w:rPr>
          <w:rFonts w:ascii="Times New Roman" w:eastAsia="Calibri" w:hAnsi="Times New Roman" w:cs="Times New Roman"/>
          <w:sz w:val="24"/>
          <w:szCs w:val="24"/>
          <w:lang w:eastAsia="sq-AL"/>
        </w:rPr>
        <w:t>Zyra Ligjore ne kuadër te Ministrisë se Bujqësisë, Pylltarisë dhe Zhvillimit Rural</w:t>
      </w:r>
      <w:r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, konkretisht kur behet fjalë për: </w:t>
      </w:r>
      <w:r w:rsidR="003C5A47">
        <w:rPr>
          <w:rFonts w:ascii="Times New Roman" w:eastAsia="Calibri" w:hAnsi="Times New Roman" w:cs="Times New Roman"/>
          <w:sz w:val="24"/>
          <w:szCs w:val="24"/>
          <w:lang w:eastAsia="sq-AL"/>
        </w:rPr>
        <w:t>Pjesën fillestar / preambulën e draft-Udhëzimit Administrativ, si dhe</w:t>
      </w:r>
      <w:r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 </w:t>
      </w:r>
      <w:r w:rsidR="003C5A47"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me disa </w:t>
      </w:r>
      <w:proofErr w:type="spellStart"/>
      <w:r w:rsidR="003C5A47">
        <w:rPr>
          <w:rFonts w:ascii="Times New Roman" w:eastAsia="Calibri" w:hAnsi="Times New Roman" w:cs="Times New Roman"/>
          <w:sz w:val="24"/>
          <w:szCs w:val="24"/>
          <w:lang w:eastAsia="sq-AL"/>
        </w:rPr>
        <w:t>korrektësime</w:t>
      </w:r>
      <w:proofErr w:type="spellEnd"/>
      <w:r w:rsidR="003C5A47"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 drejtshkrimore, konkretisht; </w:t>
      </w: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b/>
          <w:noProof/>
          <w:sz w:val="24"/>
          <w:szCs w:val="24"/>
          <w:lang w:val="en-US"/>
        </w:rPr>
        <w:t>Hapat e ardhshëm</w:t>
      </w:r>
    </w:p>
    <w:p w:rsidR="005622A4" w:rsidRPr="003D320F" w:rsidRDefault="005622A4" w:rsidP="005622A4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Pas përfundimit të procesit të konsultimit paraprak dhe konsultimit publik i cili është bërë në pajtim me udhëzuesit dhe standardet përkatëse për konsultime publike të nxjerra në pajtim me RRPQ, zyrtari përgjegjës për hartimin e projektrregullores ia dërgon projekt aktin normativ drejtorit të departamentit Ligjor të ministrisë përkatëse</w:t>
      </w:r>
      <w:r w:rsidRPr="003D320F">
        <w:rPr>
          <w:rFonts w:ascii="Calibri" w:eastAsia="Times New Roman" w:hAnsi="Calibri" w:cs="Times New Roman"/>
          <w:noProof/>
          <w:lang w:val="en-US"/>
        </w:rPr>
        <w:t xml:space="preserve"> </w:t>
      </w:r>
      <w:r w:rsidRPr="003D320F">
        <w:rPr>
          <w:rFonts w:ascii="Sylfaen" w:eastAsia="Times New Roman" w:hAnsi="Sylfaen" w:cs="Times New Roman"/>
          <w:i/>
          <w:noProof/>
          <w:sz w:val="24"/>
          <w:szCs w:val="24"/>
          <w:lang w:val="en-US"/>
        </w:rPr>
        <w:t xml:space="preserve">i cili </w:t>
      </w:r>
      <w:r w:rsidRPr="003D320F">
        <w:rPr>
          <w:rFonts w:ascii="Calibri" w:eastAsia="Times New Roman" w:hAnsi="Calibri" w:cs="Times New Roman"/>
          <w:noProof/>
          <w:lang w:val="en-US"/>
        </w:rPr>
        <w:t xml:space="preserve"> </w:t>
      </w:r>
      <w:r w:rsidRPr="003D320F">
        <w:rPr>
          <w:rFonts w:ascii="Sylfaen" w:eastAsia="Calibri" w:hAnsi="Sylfaen" w:cs="Times New Roman"/>
          <w:i/>
          <w:noProof/>
          <w:sz w:val="24"/>
          <w:szCs w:val="24"/>
          <w:lang w:val="en-US"/>
        </w:rPr>
        <w:t>nëse nuk ka vërejtje, ia dërgon projekt aktin normativ për shqyrtim dhe miratim Ministrit përkatës përmes Sekretarit të Përgjithshëm të ministrisë përkatëse.</w:t>
      </w: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jc w:val="both"/>
        <w:rPr>
          <w:rFonts w:ascii="Sylfaen" w:eastAsia="Calibri" w:hAnsi="Sylfaen" w:cs="Times New Roman"/>
          <w:noProof/>
          <w:sz w:val="24"/>
          <w:szCs w:val="24"/>
          <w:lang w:val="en-US"/>
        </w:rPr>
      </w:pPr>
    </w:p>
    <w:p w:rsidR="005622A4" w:rsidRPr="003D320F" w:rsidRDefault="005622A4" w:rsidP="005622A4">
      <w:pPr>
        <w:spacing w:after="0" w:line="240" w:lineRule="auto"/>
        <w:rPr>
          <w:rFonts w:ascii="Sylfaen" w:eastAsia="Calibri" w:hAnsi="Sylfaen" w:cs="Times New Roman"/>
          <w:noProof/>
          <w:sz w:val="24"/>
          <w:szCs w:val="24"/>
          <w:lang w:val="en-US"/>
        </w:rPr>
      </w:pPr>
      <w:r w:rsidRPr="003D320F">
        <w:rPr>
          <w:rFonts w:ascii="Sylfaen" w:eastAsia="Calibri" w:hAnsi="Sylfaen" w:cs="Times New Roman"/>
          <w:noProof/>
          <w:sz w:val="24"/>
          <w:szCs w:val="24"/>
          <w:lang w:val="en-US"/>
        </w:rPr>
        <w:t xml:space="preserve">Tabela e detajuar me informatat per kontribuesit, arsyetimet për përgjigjet e pranuara dhe të refuzuara.  </w:t>
      </w:r>
    </w:p>
    <w:p w:rsidR="005622A4" w:rsidRPr="003D320F" w:rsidRDefault="005622A4" w:rsidP="005622A4">
      <w:pPr>
        <w:spacing w:after="0" w:line="240" w:lineRule="auto"/>
        <w:rPr>
          <w:rFonts w:ascii="Sylfaen" w:eastAsia="Calibri" w:hAnsi="Sylfaen" w:cs="Times New Roman"/>
          <w:noProof/>
          <w:sz w:val="24"/>
          <w:szCs w:val="24"/>
          <w:lang w:val="en-US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72"/>
        <w:gridCol w:w="3376"/>
        <w:gridCol w:w="2880"/>
        <w:gridCol w:w="2441"/>
      </w:tblGrid>
      <w:tr w:rsidR="005622A4" w:rsidRPr="003D320F" w:rsidTr="0094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72" w:type="dxa"/>
            <w:shd w:val="clear" w:color="auto" w:fill="FBE4D5"/>
            <w:hideMark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>Emri   i organizatës /individit</w:t>
            </w:r>
          </w:p>
        </w:tc>
        <w:tc>
          <w:tcPr>
            <w:tcW w:w="3376" w:type="dxa"/>
            <w:shd w:val="clear" w:color="auto" w:fill="FBE4D5"/>
            <w:hideMark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>Koment i organizatës /individit</w:t>
            </w:r>
          </w:p>
        </w:tc>
        <w:tc>
          <w:tcPr>
            <w:tcW w:w="2880" w:type="dxa"/>
            <w:shd w:val="clear" w:color="auto" w:fill="FBE4D5"/>
            <w:hideMark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>Përgjigja nga Ministria</w:t>
            </w:r>
          </w:p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>E pranuar plotësisht</w:t>
            </w:r>
          </w:p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 xml:space="preserve">E pranuar pjesërisht </w:t>
            </w:r>
          </w:p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>E refuzuar</w:t>
            </w:r>
          </w:p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  <w:shd w:val="clear" w:color="auto" w:fill="FBE4D5"/>
            <w:hideMark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 xml:space="preserve">Sqarim nga Ministria </w:t>
            </w:r>
          </w:p>
          <w:p w:rsidR="005622A4" w:rsidRPr="003D320F" w:rsidRDefault="005622A4" w:rsidP="0094787D">
            <w:pPr>
              <w:tabs>
                <w:tab w:val="left" w:pos="2556"/>
              </w:tabs>
              <w:ind w:right="541"/>
              <w:rPr>
                <w:rFonts w:ascii="Sylfaen" w:eastAsia="MS Mincho" w:hAnsi="Sylfaen"/>
                <w:noProof/>
              </w:rPr>
            </w:pPr>
            <w:r w:rsidRPr="003D320F">
              <w:rPr>
                <w:rFonts w:ascii="Sylfaen" w:eastAsia="MS Mincho" w:hAnsi="Sylfaen"/>
                <w:noProof/>
              </w:rPr>
              <w:t>(veçanërisht arsyet për të mos pranuar komente të caktuara)</w:t>
            </w:r>
          </w:p>
        </w:tc>
      </w:tr>
      <w:tr w:rsidR="005622A4" w:rsidRPr="003D320F" w:rsidTr="0094787D">
        <w:trPr>
          <w:trHeight w:val="510"/>
        </w:trPr>
        <w:tc>
          <w:tcPr>
            <w:tcW w:w="1772" w:type="dxa"/>
          </w:tcPr>
          <w:p w:rsidR="005622A4" w:rsidRPr="003D320F" w:rsidRDefault="003C5A47" w:rsidP="0094787D">
            <w:pPr>
              <w:rPr>
                <w:rFonts w:ascii="Sylfaen" w:eastAsia="MS Mincho" w:hAnsi="Sylfaen"/>
                <w:noProof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Ministria e Bujqesis, Pylltaris dhe Zhvillimit Rural.</w:t>
            </w:r>
          </w:p>
        </w:tc>
        <w:tc>
          <w:tcPr>
            <w:tcW w:w="3376" w:type="dxa"/>
          </w:tcPr>
          <w:p w:rsidR="005622A4" w:rsidRPr="003D320F" w:rsidRDefault="005622A4" w:rsidP="003C5A47">
            <w:pPr>
              <w:rPr>
                <w:rFonts w:ascii="Sylfaen" w:eastAsia="MS Mincho" w:hAnsi="Sylfaen"/>
                <w:noProof/>
              </w:rPr>
            </w:pPr>
            <w:r>
              <w:rPr>
                <w:rFonts w:ascii="Sylfaen" w:eastAsia="MS Mincho" w:hAnsi="Sylfaen"/>
                <w:noProof/>
              </w:rPr>
              <w:t xml:space="preserve">Komentet e Organizatates kishin te bejn kryesisht me teknikalitete gjuhesore dhe teknike, respektivisht: </w:t>
            </w:r>
            <w:r w:rsidR="003C5A47">
              <w:rPr>
                <w:rFonts w:ascii="Sylfaen" w:eastAsia="MS Mincho" w:hAnsi="Sylfaen"/>
                <w:noProof/>
                <w:lang w:val="sq-AL"/>
              </w:rPr>
              <w:t>Nenet 1</w:t>
            </w:r>
            <w:r w:rsidRPr="00D104FF">
              <w:rPr>
                <w:rFonts w:ascii="Sylfaen" w:eastAsia="MS Mincho" w:hAnsi="Sylfaen"/>
                <w:noProof/>
                <w:lang w:val="sq-AL"/>
              </w:rPr>
              <w:t>,</w:t>
            </w:r>
            <w:r w:rsidR="003C5A47">
              <w:rPr>
                <w:rFonts w:ascii="Sylfaen" w:eastAsia="MS Mincho" w:hAnsi="Sylfaen"/>
                <w:noProof/>
                <w:lang w:val="sq-AL"/>
              </w:rPr>
              <w:t>3,4, 6 dhe 9 te Udhezimit Administrativ</w:t>
            </w:r>
            <w:r w:rsidRPr="00D104FF">
              <w:rPr>
                <w:rFonts w:ascii="Sylfaen" w:eastAsia="MS Mincho" w:hAnsi="Sylfaen"/>
                <w:noProof/>
                <w:lang w:val="sq-AL"/>
              </w:rPr>
              <w:t>.</w:t>
            </w:r>
          </w:p>
        </w:tc>
        <w:tc>
          <w:tcPr>
            <w:tcW w:w="2880" w:type="dxa"/>
          </w:tcPr>
          <w:p w:rsidR="005622A4" w:rsidRPr="003D320F" w:rsidRDefault="005622A4" w:rsidP="0094787D">
            <w:pPr>
              <w:jc w:val="both"/>
              <w:rPr>
                <w:rFonts w:ascii="Sylfaen" w:eastAsia="MS Mincho" w:hAnsi="Sylfaen"/>
                <w:noProof/>
              </w:rPr>
            </w:pPr>
            <w:r>
              <w:rPr>
                <w:rFonts w:ascii="Sylfaen" w:eastAsia="MS Mincho" w:hAnsi="Sylfaen"/>
                <w:noProof/>
              </w:rPr>
              <w:t>Pranuar plotesisht</w:t>
            </w:r>
            <w:r w:rsidR="003C5A47">
              <w:rPr>
                <w:rFonts w:ascii="Sylfaen" w:eastAsia="MS Mincho" w:hAnsi="Sylfaen"/>
                <w:noProof/>
              </w:rPr>
              <w:t>, konsiderohet te plotesohen me formatizimin e tekstit.</w:t>
            </w:r>
            <w:bookmarkStart w:id="0" w:name="_GoBack"/>
            <w:bookmarkEnd w:id="0"/>
          </w:p>
        </w:tc>
        <w:tc>
          <w:tcPr>
            <w:tcW w:w="2441" w:type="dxa"/>
          </w:tcPr>
          <w:p w:rsidR="005622A4" w:rsidRPr="003D320F" w:rsidRDefault="005622A4" w:rsidP="0094787D">
            <w:pPr>
              <w:ind w:right="667"/>
              <w:jc w:val="both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rPr>
          <w:trHeight w:val="440"/>
        </w:trPr>
        <w:tc>
          <w:tcPr>
            <w:tcW w:w="1772" w:type="dxa"/>
            <w:hideMark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  <w:hideMark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rPr>
          <w:trHeight w:val="530"/>
        </w:trPr>
        <w:tc>
          <w:tcPr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  <w:tr w:rsidR="005622A4" w:rsidRPr="003D320F" w:rsidTr="0094787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dxa"/>
          </w:tcPr>
          <w:p w:rsidR="005622A4" w:rsidRPr="003D320F" w:rsidRDefault="005622A4" w:rsidP="0094787D">
            <w:pPr>
              <w:rPr>
                <w:rFonts w:ascii="Sylfaen" w:eastAsia="MS Mincho" w:hAnsi="Sylfaen"/>
                <w:noProof/>
              </w:rPr>
            </w:pPr>
          </w:p>
        </w:tc>
        <w:tc>
          <w:tcPr>
            <w:tcW w:w="3376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880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  <w:tc>
          <w:tcPr>
            <w:tcW w:w="2441" w:type="dxa"/>
          </w:tcPr>
          <w:p w:rsidR="005622A4" w:rsidRPr="003D320F" w:rsidRDefault="005622A4" w:rsidP="00947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</w:rPr>
            </w:pPr>
          </w:p>
        </w:tc>
      </w:tr>
    </w:tbl>
    <w:p w:rsidR="005622A4" w:rsidRPr="003D320F" w:rsidRDefault="005622A4" w:rsidP="005622A4">
      <w:pPr>
        <w:tabs>
          <w:tab w:val="left" w:pos="0"/>
        </w:tabs>
        <w:spacing w:after="20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en-US"/>
        </w:rPr>
      </w:pPr>
    </w:p>
    <w:p w:rsidR="005622A4" w:rsidRDefault="005622A4" w:rsidP="005622A4"/>
    <w:p w:rsidR="00CA00D5" w:rsidRDefault="00CA00D5"/>
    <w:sectPr w:rsidR="00CA00D5" w:rsidSect="00CF5A43">
      <w:headerReference w:type="default" r:id="rId5"/>
      <w:footerReference w:type="default" r:id="rId6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3C5A47">
    <w:pPr>
      <w:pStyle w:val="Footer"/>
    </w:pPr>
  </w:p>
  <w:p w:rsidR="007B4CDD" w:rsidRDefault="003C5A4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3C5A47">
    <w:pPr>
      <w:pStyle w:val="Header"/>
    </w:pPr>
  </w:p>
  <w:p w:rsidR="007B4CDD" w:rsidRDefault="003C5A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A4"/>
    <w:rsid w:val="002250D8"/>
    <w:rsid w:val="003C5A47"/>
    <w:rsid w:val="005622A4"/>
    <w:rsid w:val="00597640"/>
    <w:rsid w:val="006558E5"/>
    <w:rsid w:val="00BB5880"/>
    <w:rsid w:val="00C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A39F1-3AB3-4C19-A15F-151345B5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2A4"/>
  </w:style>
  <w:style w:type="paragraph" w:styleId="Footer">
    <w:name w:val="footer"/>
    <w:basedOn w:val="Normal"/>
    <w:link w:val="FooterChar"/>
    <w:uiPriority w:val="99"/>
    <w:semiHidden/>
    <w:unhideWhenUsed/>
    <w:rsid w:val="0056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2A4"/>
  </w:style>
  <w:style w:type="table" w:customStyle="1" w:styleId="GridTable1Light-Accent51">
    <w:name w:val="Grid Table 1 Light - Accent 51"/>
    <w:basedOn w:val="TableNormal"/>
    <w:uiPriority w:val="46"/>
    <w:rsid w:val="005622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Nijazi Shala</dc:creator>
  <cp:keywords/>
  <dc:description/>
  <cp:lastModifiedBy>Nijazi Shala</cp:lastModifiedBy>
  <cp:revision>5</cp:revision>
  <dcterms:created xsi:type="dcterms:W3CDTF">2019-08-02T12:44:00Z</dcterms:created>
  <dcterms:modified xsi:type="dcterms:W3CDTF">2019-08-02T13:14:00Z</dcterms:modified>
</cp:coreProperties>
</file>