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AC" w:rsidRPr="00666060" w:rsidRDefault="004A2CAC" w:rsidP="003F1791">
      <w:pPr>
        <w:pStyle w:val="Heading1"/>
        <w:rPr>
          <w:lang w:val="sq-AL"/>
        </w:rPr>
      </w:pPr>
      <w:r w:rsidRPr="00666060">
        <w:rPr>
          <w:lang w:val="sq-AL"/>
        </w:rPr>
        <w:t>Shtojca 3. Formati i Raportit nga procesi i konsultimit</w:t>
      </w:r>
    </w:p>
    <w:p w:rsidR="004A2CAC" w:rsidRPr="00666060" w:rsidRDefault="004A2CAC" w:rsidP="004A2CAC">
      <w:pPr>
        <w:rPr>
          <w:lang w:val="sq-AL"/>
        </w:rPr>
      </w:pPr>
    </w:p>
    <w:p w:rsidR="004A2CAC" w:rsidRPr="00666060" w:rsidRDefault="004A2CAC" w:rsidP="004A2CAC">
      <w:pPr>
        <w:rPr>
          <w:lang w:val="sq-AL"/>
        </w:rPr>
      </w:pPr>
    </w:p>
    <w:p w:rsidR="004A2CAC" w:rsidRPr="00666060" w:rsidRDefault="004A2CAC" w:rsidP="004A2CAC">
      <w:pPr>
        <w:rPr>
          <w:lang w:val="sq-AL"/>
        </w:rPr>
      </w:pPr>
    </w:p>
    <w:p w:rsidR="004A2CAC" w:rsidRPr="00666060" w:rsidRDefault="004A2CAC" w:rsidP="004A2CAC">
      <w:pPr>
        <w:jc w:val="center"/>
        <w:rPr>
          <w:b/>
          <w:lang w:val="sq-AL"/>
        </w:rPr>
      </w:pPr>
      <w:r w:rsidRPr="00666060">
        <w:rPr>
          <w:b/>
          <w:lang w:val="sq-AL"/>
        </w:rPr>
        <w:t>Hyrja/sfondi</w:t>
      </w:r>
    </w:p>
    <w:p w:rsidR="004A2CAC" w:rsidRPr="00666060" w:rsidRDefault="004A2CAC" w:rsidP="004A2CAC">
      <w:pPr>
        <w:jc w:val="center"/>
        <w:rPr>
          <w:b/>
          <w:lang w:val="sq-AL"/>
        </w:rPr>
      </w:pPr>
    </w:p>
    <w:p w:rsidR="004A2CAC" w:rsidRPr="00666060" w:rsidRDefault="00846F93" w:rsidP="006F1882">
      <w:pPr>
        <w:jc w:val="both"/>
        <w:rPr>
          <w:i/>
          <w:lang w:val="sq-AL"/>
        </w:rPr>
      </w:pPr>
      <w:r w:rsidRPr="00846F93">
        <w:rPr>
          <w:lang w:val="sq-AL"/>
        </w:rPr>
        <w:t>UDHËZIM ADMINISTRATIV (MZHE) NR. XX/2019 PËR METODOLOGJINË LIDHUR ME PËRCAKTIMIN E EFIÇIENCËS NGA PROCESI I BASHKËPRODHIMIT</w:t>
      </w:r>
      <w:r>
        <w:rPr>
          <w:lang w:val="sq-AL"/>
        </w:rPr>
        <w:t xml:space="preserve">- </w:t>
      </w:r>
      <w:bookmarkStart w:id="0" w:name="_GoBack"/>
      <w:bookmarkEnd w:id="0"/>
      <w:r w:rsidRPr="008F76D3">
        <w:rPr>
          <w:lang w:val="sq-AL"/>
        </w:rPr>
        <w:t xml:space="preserve">Ky Udhëzim </w:t>
      </w:r>
      <w:r>
        <w:rPr>
          <w:lang w:val="sq-AL"/>
        </w:rPr>
        <w:t>A</w:t>
      </w:r>
      <w:r w:rsidRPr="008F76D3">
        <w:rPr>
          <w:lang w:val="sq-AL"/>
        </w:rPr>
        <w:t xml:space="preserve">dministrativ përcakton metodologjinë lidhur me përcaktimin e </w:t>
      </w:r>
      <w:proofErr w:type="spellStart"/>
      <w:r w:rsidRPr="008F76D3">
        <w:rPr>
          <w:lang w:val="sq-AL"/>
        </w:rPr>
        <w:t>efiçiencës</w:t>
      </w:r>
      <w:proofErr w:type="spellEnd"/>
      <w:r w:rsidRPr="008F76D3">
        <w:rPr>
          <w:lang w:val="sq-AL"/>
        </w:rPr>
        <w:t xml:space="preserve"> nga  procesi i bashkëprodhimit</w:t>
      </w:r>
      <w:r w:rsidR="006F1882" w:rsidRPr="006F1882">
        <w:rPr>
          <w:i/>
          <w:lang w:val="sq-AL"/>
        </w:rPr>
        <w:t>.</w:t>
      </w:r>
    </w:p>
    <w:p w:rsidR="004A2CAC" w:rsidRPr="00666060" w:rsidRDefault="004A2CAC" w:rsidP="004A2CAC">
      <w:pPr>
        <w:jc w:val="both"/>
        <w:rPr>
          <w:i/>
          <w:lang w:val="sq-AL"/>
        </w:rPr>
      </w:pPr>
    </w:p>
    <w:p w:rsidR="004A2CAC" w:rsidRPr="00666060" w:rsidRDefault="004A2CAC" w:rsidP="004A2CAC">
      <w:pPr>
        <w:jc w:val="center"/>
        <w:rPr>
          <w:b/>
          <w:lang w:val="sq-AL"/>
        </w:rPr>
      </w:pPr>
      <w:r w:rsidRPr="00666060">
        <w:rPr>
          <w:b/>
          <w:lang w:val="sq-AL"/>
        </w:rPr>
        <w:t>Ecuria procesit të konsultimit</w:t>
      </w:r>
    </w:p>
    <w:p w:rsidR="004A2CAC" w:rsidRPr="00666060" w:rsidRDefault="004A2CAC" w:rsidP="004A2CAC">
      <w:pPr>
        <w:jc w:val="center"/>
        <w:rPr>
          <w:b/>
          <w:lang w:val="sq-AL"/>
        </w:rPr>
      </w:pPr>
    </w:p>
    <w:p w:rsidR="0063279C" w:rsidRDefault="00846F93" w:rsidP="00A876A4">
      <w:pPr>
        <w:jc w:val="both"/>
        <w:rPr>
          <w:i/>
          <w:lang w:val="sq-AL"/>
        </w:rPr>
      </w:pPr>
      <w:r>
        <w:rPr>
          <w:i/>
          <w:lang w:val="sq-AL"/>
        </w:rPr>
        <w:t>Faza e konsultimit të draft</w:t>
      </w:r>
      <w:r w:rsidR="00A876A4" w:rsidRPr="00A876A4">
        <w:rPr>
          <w:i/>
          <w:lang w:val="sq-AL"/>
        </w:rPr>
        <w:t xml:space="preserve"> </w:t>
      </w:r>
      <w:r w:rsidR="00A876A4">
        <w:rPr>
          <w:i/>
          <w:lang w:val="sq-AL"/>
        </w:rPr>
        <w:t xml:space="preserve">Udhëzimit Administrativ filloj me diskutime mes anëtarëve të </w:t>
      </w:r>
      <w:r w:rsidR="00A876A4" w:rsidRPr="00A876A4">
        <w:rPr>
          <w:i/>
          <w:lang w:val="sq-AL"/>
        </w:rPr>
        <w:t>GP</w:t>
      </w:r>
      <w:r w:rsidR="00A876A4">
        <w:rPr>
          <w:i/>
          <w:lang w:val="sq-AL"/>
        </w:rPr>
        <w:t xml:space="preserve"> për konsultim të brendshëm.</w:t>
      </w:r>
      <w:r w:rsidR="00A876A4" w:rsidRPr="00A876A4">
        <w:rPr>
          <w:i/>
          <w:lang w:val="sq-AL"/>
        </w:rPr>
        <w:t xml:space="preserve"> </w:t>
      </w:r>
      <w:r w:rsidR="00A876A4">
        <w:rPr>
          <w:i/>
          <w:lang w:val="sq-AL"/>
        </w:rPr>
        <w:t xml:space="preserve">Konsultimi paraprak filloj me </w:t>
      </w:r>
      <w:r w:rsidR="00BF2DD1">
        <w:rPr>
          <w:i/>
          <w:lang w:val="sq-AL"/>
        </w:rPr>
        <w:t>20 Qershor</w:t>
      </w:r>
      <w:r w:rsidR="00A876A4">
        <w:rPr>
          <w:i/>
          <w:lang w:val="sq-AL"/>
        </w:rPr>
        <w:t xml:space="preserve"> dhe zgjati 15 ditë pune deri më datë </w:t>
      </w:r>
      <w:r w:rsidR="00BF2DD1">
        <w:rPr>
          <w:i/>
          <w:lang w:val="sq-AL"/>
        </w:rPr>
        <w:t>11</w:t>
      </w:r>
      <w:r w:rsidR="00A876A4">
        <w:rPr>
          <w:i/>
          <w:lang w:val="sq-AL"/>
        </w:rPr>
        <w:t xml:space="preserve"> Korrik 2019. Faza e konsultimit publik në platformën </w:t>
      </w:r>
      <w:proofErr w:type="spellStart"/>
      <w:r w:rsidR="00A876A4">
        <w:rPr>
          <w:i/>
          <w:lang w:val="sq-AL"/>
        </w:rPr>
        <w:t>online</w:t>
      </w:r>
      <w:proofErr w:type="spellEnd"/>
      <w:r w:rsidR="00A876A4">
        <w:rPr>
          <w:i/>
          <w:lang w:val="sq-AL"/>
        </w:rPr>
        <w:t xml:space="preserve"> për konsultime filloj me </w:t>
      </w:r>
      <w:r w:rsidR="00BF2DD1">
        <w:rPr>
          <w:i/>
          <w:lang w:val="sq-AL"/>
        </w:rPr>
        <w:t>15</w:t>
      </w:r>
      <w:r w:rsidR="00A876A4">
        <w:rPr>
          <w:i/>
          <w:lang w:val="sq-AL"/>
        </w:rPr>
        <w:t xml:space="preserve"> Korrik dhe zgjati 15 ditë pune deri më datë </w:t>
      </w:r>
      <w:r w:rsidR="00BF2DD1">
        <w:rPr>
          <w:i/>
          <w:lang w:val="sq-AL"/>
        </w:rPr>
        <w:t>5</w:t>
      </w:r>
      <w:r w:rsidR="00A876A4">
        <w:rPr>
          <w:i/>
          <w:lang w:val="sq-AL"/>
        </w:rPr>
        <w:t xml:space="preserve"> Gusht 2019. </w:t>
      </w:r>
    </w:p>
    <w:p w:rsidR="004A2CAC" w:rsidRDefault="004A2CAC" w:rsidP="004A2CAC">
      <w:pPr>
        <w:jc w:val="both"/>
        <w:rPr>
          <w:i/>
          <w:lang w:val="sq-AL"/>
        </w:rPr>
      </w:pPr>
    </w:p>
    <w:p w:rsidR="00BE58E4" w:rsidRPr="00666060" w:rsidRDefault="00BE58E4" w:rsidP="004A2CAC">
      <w:pPr>
        <w:jc w:val="both"/>
        <w:rPr>
          <w:i/>
          <w:lang w:val="sq-AL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371"/>
        <w:gridCol w:w="2292"/>
        <w:gridCol w:w="2967"/>
      </w:tblGrid>
      <w:tr w:rsidR="004A2CAC" w:rsidRPr="00666060" w:rsidTr="00411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1115B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666060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666060" w:rsidRDefault="004A2CAC" w:rsidP="0041115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666060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666060" w:rsidRDefault="004A2CAC" w:rsidP="0041115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666060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proofErr w:type="spellStart"/>
            <w:r w:rsidRPr="00666060">
              <w:rPr>
                <w:rFonts w:asciiTheme="minorHAnsi" w:hAnsiTheme="minorHAnsi"/>
                <w:color w:val="auto"/>
                <w:sz w:val="20"/>
                <w:lang w:val="sq-AL"/>
              </w:rPr>
              <w:t>pjesmarrësve</w:t>
            </w:r>
            <w:proofErr w:type="spellEnd"/>
            <w:r w:rsidRPr="00666060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proofErr w:type="spellStart"/>
            <w:r w:rsidRPr="00666060">
              <w:rPr>
                <w:rFonts w:asciiTheme="minorHAnsi" w:hAnsiTheme="minorHAnsi"/>
                <w:color w:val="auto"/>
                <w:sz w:val="20"/>
                <w:lang w:val="sq-AL"/>
              </w:rPr>
              <w:t>kontribuesve</w:t>
            </w:r>
            <w:proofErr w:type="spellEnd"/>
          </w:p>
        </w:tc>
      </w:tr>
      <w:tr w:rsidR="004A2CAC" w:rsidRPr="00666060" w:rsidTr="0041115B">
        <w:trPr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83" w:type="dxa"/>
            <w:vAlign w:val="center"/>
          </w:tcPr>
          <w:p w:rsidR="006D792B" w:rsidRPr="00666060" w:rsidRDefault="00BF2DD1" w:rsidP="00CC5D9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20 Qershor </w:t>
            </w:r>
            <w:r w:rsidR="00D922F4"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11</w:t>
            </w:r>
            <w:r w:rsidR="00D922F4"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Korrik 2019</w:t>
            </w:r>
          </w:p>
          <w:p w:rsidR="00D922F4" w:rsidRPr="00666060" w:rsidRDefault="00D922F4" w:rsidP="00CC5D9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>15 ditë pune</w:t>
            </w:r>
            <w:r w:rsidR="00CC5D92"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>.</w:t>
            </w:r>
          </w:p>
        </w:tc>
        <w:tc>
          <w:tcPr>
            <w:tcW w:w="3044" w:type="dxa"/>
          </w:tcPr>
          <w:p w:rsidR="004A2CAC" w:rsidRPr="00666060" w:rsidRDefault="00D922F4" w:rsidP="00BF2DD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Konsultim paraprak sipas listës së grupeve të </w:t>
            </w:r>
            <w:proofErr w:type="spellStart"/>
            <w:r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>interest</w:t>
            </w:r>
            <w:proofErr w:type="spellEnd"/>
            <w:r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. </w:t>
            </w:r>
            <w:r w:rsidR="00BF2DD1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Nuk ka pasur komente </w:t>
            </w:r>
          </w:p>
        </w:tc>
      </w:tr>
      <w:tr w:rsidR="004A2CAC" w:rsidRPr="00666060" w:rsidTr="00CC5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483" w:type="dxa"/>
            <w:vAlign w:val="center"/>
          </w:tcPr>
          <w:p w:rsidR="007E7253" w:rsidRPr="00666060" w:rsidRDefault="00BF2DD1" w:rsidP="00BF2DD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15</w:t>
            </w:r>
            <w:r w:rsidR="00D922F4"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Korrik </w:t>
            </w:r>
            <w:r w:rsidR="00CC5D92"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>–</w:t>
            </w:r>
            <w:r w:rsidR="00D922F4"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5 </w:t>
            </w:r>
            <w:r w:rsidR="00CC5D92"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>Gusht 2019 15 ditë pune.</w:t>
            </w:r>
          </w:p>
        </w:tc>
        <w:tc>
          <w:tcPr>
            <w:tcW w:w="3044" w:type="dxa"/>
          </w:tcPr>
          <w:p w:rsidR="004A2CAC" w:rsidRPr="00666060" w:rsidRDefault="00CC5D92" w:rsidP="00BF2DD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Konsultim publik në platformën </w:t>
            </w:r>
            <w:proofErr w:type="spellStart"/>
            <w:r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>online</w:t>
            </w:r>
            <w:proofErr w:type="spellEnd"/>
            <w:r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për konsultime. </w:t>
            </w:r>
            <w:r w:rsidR="00BF2DD1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Nuk ka pasur komente </w:t>
            </w:r>
            <w:r w:rsidRPr="00666060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</w:p>
        </w:tc>
      </w:tr>
      <w:tr w:rsidR="004A2CAC" w:rsidRPr="00666060" w:rsidTr="00CC5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483" w:type="dxa"/>
            <w:vAlign w:val="center"/>
          </w:tcPr>
          <w:p w:rsidR="004A2CAC" w:rsidRPr="00666060" w:rsidRDefault="004A2CAC" w:rsidP="00CC5D9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666060" w:rsidTr="00CC5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483" w:type="dxa"/>
            <w:vAlign w:val="center"/>
          </w:tcPr>
          <w:p w:rsidR="004A2CAC" w:rsidRPr="00666060" w:rsidRDefault="004A2CAC" w:rsidP="00CC5D9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666060" w:rsidTr="00CC5D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483" w:type="dxa"/>
            <w:vAlign w:val="center"/>
          </w:tcPr>
          <w:p w:rsidR="004A2CAC" w:rsidRPr="00666060" w:rsidRDefault="004A2CAC" w:rsidP="00CC5D9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666060" w:rsidTr="00CC5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483" w:type="dxa"/>
            <w:vAlign w:val="center"/>
          </w:tcPr>
          <w:p w:rsidR="004A2CAC" w:rsidRPr="00666060" w:rsidRDefault="004A2CAC" w:rsidP="00CC5D9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666060" w:rsidTr="00CC5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483" w:type="dxa"/>
            <w:vAlign w:val="center"/>
          </w:tcPr>
          <w:p w:rsidR="004A2CAC" w:rsidRPr="00666060" w:rsidRDefault="004A2CAC" w:rsidP="00CC5D9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  <w:vAlign w:val="center"/>
          </w:tcPr>
          <w:p w:rsidR="004A2CAC" w:rsidRPr="00666060" w:rsidRDefault="004A2CAC" w:rsidP="00CC5D9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color w:val="auto"/>
                <w:sz w:val="21"/>
                <w:lang w:val="sq-AL" w:eastAsia="ja-JP"/>
              </w:rPr>
            </w:pPr>
          </w:p>
        </w:tc>
      </w:tr>
      <w:tr w:rsidR="004A2CAC" w:rsidRPr="00666060" w:rsidTr="0041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483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666060" w:rsidTr="0041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483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666060" w:rsidTr="0041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483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666060" w:rsidTr="0041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483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666060" w:rsidTr="0041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666060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666060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483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666060" w:rsidRDefault="004A2CAC" w:rsidP="004111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666060" w:rsidRDefault="004A2CAC" w:rsidP="004A2CAC">
      <w:pPr>
        <w:jc w:val="both"/>
        <w:rPr>
          <w:lang w:val="sq-AL"/>
        </w:rPr>
      </w:pPr>
    </w:p>
    <w:p w:rsidR="004A2CAC" w:rsidRPr="00666060" w:rsidRDefault="004A2CAC" w:rsidP="004A2CAC">
      <w:pPr>
        <w:jc w:val="both"/>
        <w:rPr>
          <w:lang w:val="sq-AL"/>
        </w:rPr>
      </w:pPr>
    </w:p>
    <w:p w:rsidR="004A2CAC" w:rsidRPr="00666060" w:rsidRDefault="004A2CAC" w:rsidP="004A2CAC">
      <w:pPr>
        <w:jc w:val="center"/>
        <w:rPr>
          <w:b/>
          <w:lang w:val="sq-AL"/>
        </w:rPr>
      </w:pPr>
      <w:r w:rsidRPr="00666060">
        <w:rPr>
          <w:b/>
          <w:lang w:val="sq-AL"/>
        </w:rPr>
        <w:t>Përmbledhje e  kontributeve të pranuara gjatë procesit të konsultimit</w:t>
      </w:r>
    </w:p>
    <w:p w:rsidR="004A2CAC" w:rsidRPr="00666060" w:rsidRDefault="004A2CAC" w:rsidP="004A2CAC">
      <w:pPr>
        <w:jc w:val="center"/>
        <w:rPr>
          <w:b/>
          <w:lang w:val="sq-AL"/>
        </w:rPr>
      </w:pPr>
    </w:p>
    <w:p w:rsidR="004A2CAC" w:rsidRDefault="0063279C" w:rsidP="004A2CAC">
      <w:pPr>
        <w:jc w:val="both"/>
        <w:rPr>
          <w:i/>
          <w:lang w:val="sq-AL"/>
        </w:rPr>
      </w:pPr>
      <w:r w:rsidRPr="0063279C">
        <w:rPr>
          <w:i/>
          <w:lang w:val="sq-AL"/>
        </w:rPr>
        <w:lastRenderedPageBreak/>
        <w:t xml:space="preserve">Gjatë </w:t>
      </w:r>
      <w:r>
        <w:rPr>
          <w:i/>
          <w:lang w:val="sq-AL"/>
        </w:rPr>
        <w:t>fazës së konsultimit paraprak</w:t>
      </w:r>
      <w:r w:rsidRPr="0063279C">
        <w:rPr>
          <w:i/>
          <w:lang w:val="sq-AL"/>
        </w:rPr>
        <w:t xml:space="preserve"> u kontaktu</w:t>
      </w:r>
      <w:r w:rsidR="00846F93">
        <w:rPr>
          <w:i/>
          <w:lang w:val="sq-AL"/>
        </w:rPr>
        <w:t xml:space="preserve">an të gjitha grupet e interesit por nuk kishte komente </w:t>
      </w:r>
      <w:r w:rsidRPr="0063279C">
        <w:rPr>
          <w:i/>
          <w:lang w:val="sq-AL"/>
        </w:rPr>
        <w:t>.</w:t>
      </w:r>
      <w:r>
        <w:rPr>
          <w:i/>
          <w:lang w:val="sq-AL"/>
        </w:rPr>
        <w:t xml:space="preserve"> </w:t>
      </w:r>
    </w:p>
    <w:p w:rsidR="0063279C" w:rsidRPr="00666060" w:rsidRDefault="0063279C" w:rsidP="004A2CAC">
      <w:pPr>
        <w:jc w:val="both"/>
        <w:rPr>
          <w:lang w:val="sq-AL"/>
        </w:rPr>
      </w:pPr>
    </w:p>
    <w:p w:rsidR="004A2CAC" w:rsidRPr="00666060" w:rsidRDefault="004A2CAC" w:rsidP="004A2CAC">
      <w:pPr>
        <w:jc w:val="both"/>
        <w:rPr>
          <w:lang w:val="sq-AL"/>
        </w:rPr>
      </w:pPr>
    </w:p>
    <w:p w:rsidR="004A2CAC" w:rsidRPr="00666060" w:rsidRDefault="004A2CAC" w:rsidP="004A2CAC">
      <w:pPr>
        <w:jc w:val="center"/>
        <w:rPr>
          <w:b/>
          <w:lang w:val="sq-AL"/>
        </w:rPr>
      </w:pPr>
      <w:r w:rsidRPr="00666060">
        <w:rPr>
          <w:b/>
          <w:lang w:val="sq-AL"/>
        </w:rPr>
        <w:t>Hapat e ardhshëm</w:t>
      </w:r>
    </w:p>
    <w:p w:rsidR="004A2CAC" w:rsidRPr="00666060" w:rsidRDefault="004A2CAC" w:rsidP="004A2CAC">
      <w:pPr>
        <w:jc w:val="both"/>
        <w:rPr>
          <w:lang w:val="sq-AL"/>
        </w:rPr>
      </w:pPr>
    </w:p>
    <w:p w:rsidR="004A2CAC" w:rsidRPr="00666060" w:rsidRDefault="0063279C" w:rsidP="004A2CAC">
      <w:pPr>
        <w:jc w:val="both"/>
        <w:rPr>
          <w:i/>
          <w:lang w:val="sq-AL"/>
        </w:rPr>
      </w:pPr>
      <w:r>
        <w:rPr>
          <w:i/>
          <w:lang w:val="sq-AL"/>
        </w:rPr>
        <w:t xml:space="preserve">Sipas procedurës, Udhëzimi Administrativ do të përcillet tek Zyra Ligjore për procedura të mëtejme. </w:t>
      </w:r>
    </w:p>
    <w:p w:rsidR="004A2CAC" w:rsidRPr="00666060" w:rsidRDefault="004A2CAC" w:rsidP="004A2CAC">
      <w:pPr>
        <w:rPr>
          <w:lang w:val="sq-AL"/>
        </w:rPr>
      </w:pPr>
    </w:p>
    <w:p w:rsidR="004A2CAC" w:rsidRPr="00666060" w:rsidRDefault="004A2CAC" w:rsidP="004A2CAC">
      <w:pPr>
        <w:rPr>
          <w:lang w:val="sq-AL"/>
        </w:rPr>
      </w:pPr>
    </w:p>
    <w:p w:rsidR="004A2CAC" w:rsidRPr="00666060" w:rsidRDefault="004A2CAC" w:rsidP="004A2CAC">
      <w:pPr>
        <w:rPr>
          <w:lang w:val="sq-AL"/>
        </w:rPr>
      </w:pPr>
      <w:r w:rsidRPr="00666060">
        <w:rPr>
          <w:lang w:val="sq-AL"/>
        </w:rPr>
        <w:t xml:space="preserve">Shtojca – tabela e detajuar me informatat </w:t>
      </w:r>
      <w:r w:rsidR="00D64B5E" w:rsidRPr="00666060">
        <w:rPr>
          <w:lang w:val="sq-AL"/>
        </w:rPr>
        <w:t>për</w:t>
      </w:r>
      <w:r w:rsidRPr="00666060">
        <w:rPr>
          <w:lang w:val="sq-AL"/>
        </w:rPr>
        <w:t xml:space="preserve"> </w:t>
      </w:r>
      <w:proofErr w:type="spellStart"/>
      <w:r w:rsidRPr="00666060">
        <w:rPr>
          <w:lang w:val="sq-AL"/>
        </w:rPr>
        <w:t>kontribuesit</w:t>
      </w:r>
      <w:proofErr w:type="spellEnd"/>
      <w:r w:rsidRPr="00666060">
        <w:rPr>
          <w:lang w:val="sq-AL"/>
        </w:rPr>
        <w:t xml:space="preserve">, arsyetimet për përgjigjet e pranuara dhe të refuzuara.  </w:t>
      </w:r>
    </w:p>
    <w:p w:rsidR="004A2CAC" w:rsidRPr="00666060" w:rsidRDefault="004A2CAC" w:rsidP="004A2CAC">
      <w:pPr>
        <w:rPr>
          <w:lang w:val="sq-AL"/>
        </w:rPr>
      </w:pPr>
    </w:p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601"/>
        <w:gridCol w:w="3471"/>
        <w:gridCol w:w="2150"/>
        <w:gridCol w:w="2426"/>
      </w:tblGrid>
      <w:tr w:rsidR="004A2CAC" w:rsidRPr="00666060" w:rsidTr="00AA7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601" w:type="dxa"/>
            <w:shd w:val="clear" w:color="auto" w:fill="F2DBDB" w:themeFill="accent2" w:themeFillTint="33"/>
            <w:hideMark/>
          </w:tcPr>
          <w:p w:rsidR="004A2CAC" w:rsidRPr="00666060" w:rsidRDefault="004A2CAC" w:rsidP="0041115B">
            <w:pPr>
              <w:rPr>
                <w:lang w:val="sq-AL"/>
              </w:rPr>
            </w:pPr>
            <w:r w:rsidRPr="00666060">
              <w:rPr>
                <w:b w:val="0"/>
                <w:bCs w:val="0"/>
                <w:lang w:val="sq-AL"/>
              </w:rPr>
              <w:t xml:space="preserve">Emri i  </w:t>
            </w:r>
            <w:proofErr w:type="spellStart"/>
            <w:r w:rsidRPr="00666060">
              <w:rPr>
                <w:b w:val="0"/>
                <w:bCs w:val="0"/>
                <w:lang w:val="sq-AL"/>
              </w:rPr>
              <w:t>i</w:t>
            </w:r>
            <w:proofErr w:type="spellEnd"/>
            <w:r w:rsidRPr="00666060">
              <w:rPr>
                <w:b w:val="0"/>
                <w:bCs w:val="0"/>
                <w:lang w:val="sq-AL"/>
              </w:rPr>
              <w:t xml:space="preserve"> organizatës /individit</w:t>
            </w:r>
          </w:p>
        </w:tc>
        <w:tc>
          <w:tcPr>
            <w:tcW w:w="3471" w:type="dxa"/>
            <w:shd w:val="clear" w:color="auto" w:fill="F2DBDB" w:themeFill="accent2" w:themeFillTint="33"/>
            <w:hideMark/>
          </w:tcPr>
          <w:p w:rsidR="004A2CAC" w:rsidRPr="00666060" w:rsidRDefault="004A2CAC" w:rsidP="0041115B">
            <w:pPr>
              <w:rPr>
                <w:lang w:val="sq-AL"/>
              </w:rPr>
            </w:pPr>
            <w:r w:rsidRPr="00666060">
              <w:rPr>
                <w:b w:val="0"/>
                <w:bCs w:val="0"/>
                <w:lang w:val="sq-AL"/>
              </w:rPr>
              <w:t xml:space="preserve">Koment i  </w:t>
            </w:r>
            <w:proofErr w:type="spellStart"/>
            <w:r w:rsidRPr="00666060">
              <w:rPr>
                <w:b w:val="0"/>
                <w:bCs w:val="0"/>
                <w:lang w:val="sq-AL"/>
              </w:rPr>
              <w:t>i</w:t>
            </w:r>
            <w:proofErr w:type="spellEnd"/>
            <w:r w:rsidRPr="00666060">
              <w:rPr>
                <w:b w:val="0"/>
                <w:bCs w:val="0"/>
                <w:lang w:val="sq-AL"/>
              </w:rPr>
              <w:t xml:space="preserve"> organizatës /individit</w:t>
            </w:r>
          </w:p>
        </w:tc>
        <w:tc>
          <w:tcPr>
            <w:tcW w:w="2150" w:type="dxa"/>
            <w:shd w:val="clear" w:color="auto" w:fill="F2DBDB" w:themeFill="accent2" w:themeFillTint="33"/>
            <w:hideMark/>
          </w:tcPr>
          <w:p w:rsidR="004A2CAC" w:rsidRPr="00666060" w:rsidRDefault="004A2CAC" w:rsidP="0041115B">
            <w:pPr>
              <w:rPr>
                <w:lang w:val="sq-AL"/>
              </w:rPr>
            </w:pPr>
            <w:r w:rsidRPr="00666060">
              <w:rPr>
                <w:b w:val="0"/>
                <w:bCs w:val="0"/>
                <w:lang w:val="sq-AL"/>
              </w:rPr>
              <w:t>Përgjigja nga Ministria</w:t>
            </w:r>
          </w:p>
          <w:p w:rsidR="004A2CAC" w:rsidRPr="00666060" w:rsidRDefault="004A2CAC" w:rsidP="0041115B">
            <w:pPr>
              <w:rPr>
                <w:lang w:val="sq-AL"/>
              </w:rPr>
            </w:pPr>
            <w:r w:rsidRPr="00666060">
              <w:rPr>
                <w:b w:val="0"/>
                <w:bCs w:val="0"/>
                <w:lang w:val="sq-AL"/>
              </w:rPr>
              <w:t>E pranuar plotësisht</w:t>
            </w:r>
          </w:p>
          <w:p w:rsidR="004A2CAC" w:rsidRPr="00666060" w:rsidRDefault="004A2CAC" w:rsidP="0041115B">
            <w:pPr>
              <w:rPr>
                <w:lang w:val="sq-AL"/>
              </w:rPr>
            </w:pPr>
            <w:r w:rsidRPr="00666060">
              <w:rPr>
                <w:b w:val="0"/>
                <w:bCs w:val="0"/>
                <w:lang w:val="sq-AL"/>
              </w:rPr>
              <w:t xml:space="preserve">E pranuar pjesërisht </w:t>
            </w:r>
          </w:p>
          <w:p w:rsidR="004A2CAC" w:rsidRPr="00666060" w:rsidRDefault="004A2CAC" w:rsidP="0041115B">
            <w:pPr>
              <w:rPr>
                <w:lang w:val="sq-AL"/>
              </w:rPr>
            </w:pPr>
            <w:r w:rsidRPr="00666060">
              <w:rPr>
                <w:b w:val="0"/>
                <w:bCs w:val="0"/>
                <w:lang w:val="sq-AL"/>
              </w:rPr>
              <w:t>E refuzuar</w:t>
            </w:r>
          </w:p>
          <w:p w:rsidR="004A2CAC" w:rsidRPr="00666060" w:rsidRDefault="004A2CAC" w:rsidP="0041115B">
            <w:pPr>
              <w:rPr>
                <w:lang w:val="sq-AL"/>
              </w:rPr>
            </w:pPr>
          </w:p>
        </w:tc>
        <w:tc>
          <w:tcPr>
            <w:tcW w:w="2426" w:type="dxa"/>
            <w:shd w:val="clear" w:color="auto" w:fill="F2DBDB" w:themeFill="accent2" w:themeFillTint="33"/>
            <w:hideMark/>
          </w:tcPr>
          <w:p w:rsidR="004A2CAC" w:rsidRPr="00666060" w:rsidRDefault="004A2CAC" w:rsidP="0041115B">
            <w:pPr>
              <w:rPr>
                <w:lang w:val="sq-AL"/>
              </w:rPr>
            </w:pPr>
            <w:r w:rsidRPr="00666060">
              <w:rPr>
                <w:b w:val="0"/>
                <w:bCs w:val="0"/>
                <w:lang w:val="sq-AL"/>
              </w:rPr>
              <w:t xml:space="preserve">Sqarim nga Ministria </w:t>
            </w:r>
          </w:p>
          <w:p w:rsidR="004A2CAC" w:rsidRPr="00666060" w:rsidRDefault="004A2CAC" w:rsidP="0041115B">
            <w:pPr>
              <w:tabs>
                <w:tab w:val="left" w:pos="2556"/>
              </w:tabs>
              <w:ind w:right="541"/>
              <w:rPr>
                <w:lang w:val="sq-AL"/>
              </w:rPr>
            </w:pPr>
            <w:r w:rsidRPr="00666060">
              <w:rPr>
                <w:b w:val="0"/>
                <w:bCs w:val="0"/>
                <w:lang w:val="sq-AL"/>
              </w:rPr>
              <w:t>(veçanërisht arsyet për të mos pranuar komente të caktuara)</w:t>
            </w:r>
          </w:p>
        </w:tc>
      </w:tr>
      <w:tr w:rsidR="004A2CAC" w:rsidRPr="00666060" w:rsidTr="00AA7B9C">
        <w:trPr>
          <w:trHeight w:val="954"/>
        </w:trPr>
        <w:tc>
          <w:tcPr>
            <w:tcW w:w="1601" w:type="dxa"/>
          </w:tcPr>
          <w:p w:rsidR="004A2CAC" w:rsidRPr="00666060" w:rsidRDefault="004A2CAC" w:rsidP="0041115B">
            <w:pPr>
              <w:rPr>
                <w:lang w:val="sq-AL"/>
              </w:rPr>
            </w:pPr>
          </w:p>
        </w:tc>
        <w:tc>
          <w:tcPr>
            <w:tcW w:w="3471" w:type="dxa"/>
          </w:tcPr>
          <w:p w:rsidR="00666060" w:rsidRPr="00666060" w:rsidRDefault="00666060" w:rsidP="0041115B">
            <w:pPr>
              <w:rPr>
                <w:lang w:val="sq-AL"/>
              </w:rPr>
            </w:pPr>
          </w:p>
        </w:tc>
        <w:tc>
          <w:tcPr>
            <w:tcW w:w="2150" w:type="dxa"/>
          </w:tcPr>
          <w:p w:rsidR="004A2CAC" w:rsidRPr="00666060" w:rsidRDefault="004A2CAC" w:rsidP="0041115B">
            <w:pPr>
              <w:rPr>
                <w:lang w:val="sq-AL"/>
              </w:rPr>
            </w:pPr>
          </w:p>
        </w:tc>
        <w:tc>
          <w:tcPr>
            <w:tcW w:w="2426" w:type="dxa"/>
          </w:tcPr>
          <w:p w:rsidR="004A2CAC" w:rsidRPr="00666060" w:rsidRDefault="004A2CAC" w:rsidP="00FA2399">
            <w:pPr>
              <w:rPr>
                <w:lang w:val="sq-AL"/>
              </w:rPr>
            </w:pPr>
          </w:p>
        </w:tc>
      </w:tr>
    </w:tbl>
    <w:p w:rsidR="004A2CAC" w:rsidRPr="00666060" w:rsidRDefault="004A2CAC" w:rsidP="004A2CAC">
      <w:pPr>
        <w:rPr>
          <w:lang w:val="sq-AL"/>
        </w:rPr>
      </w:pPr>
    </w:p>
    <w:p w:rsidR="009408E4" w:rsidRPr="00666060" w:rsidRDefault="004A2CAC" w:rsidP="004A2CAC">
      <w:pPr>
        <w:rPr>
          <w:lang w:val="sq-AL"/>
        </w:rPr>
      </w:pPr>
      <w:r w:rsidRPr="00666060">
        <w:rPr>
          <w:lang w:val="sq-AL"/>
        </w:rPr>
        <w:tab/>
      </w:r>
    </w:p>
    <w:sectPr w:rsidR="009408E4" w:rsidRPr="00666060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C"/>
    <w:rsid w:val="0012482E"/>
    <w:rsid w:val="001D1885"/>
    <w:rsid w:val="002D529A"/>
    <w:rsid w:val="002D5C36"/>
    <w:rsid w:val="003A0310"/>
    <w:rsid w:val="003F1791"/>
    <w:rsid w:val="003F32E7"/>
    <w:rsid w:val="0041115B"/>
    <w:rsid w:val="004A2CAC"/>
    <w:rsid w:val="0063279C"/>
    <w:rsid w:val="00666060"/>
    <w:rsid w:val="006D792B"/>
    <w:rsid w:val="006F1882"/>
    <w:rsid w:val="007E7253"/>
    <w:rsid w:val="00846F93"/>
    <w:rsid w:val="0085016B"/>
    <w:rsid w:val="008F29FB"/>
    <w:rsid w:val="009408E4"/>
    <w:rsid w:val="00A876A4"/>
    <w:rsid w:val="00AA7B9C"/>
    <w:rsid w:val="00AE6F44"/>
    <w:rsid w:val="00BE58E4"/>
    <w:rsid w:val="00BF2DD1"/>
    <w:rsid w:val="00CC5D92"/>
    <w:rsid w:val="00D64B5E"/>
    <w:rsid w:val="00D751C0"/>
    <w:rsid w:val="00D922F4"/>
    <w:rsid w:val="00DD7439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9EA37A-DAE5-4A31-8C7B-EACE2543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F17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Rrezartë Zjaça</cp:lastModifiedBy>
  <cp:revision>3</cp:revision>
  <dcterms:created xsi:type="dcterms:W3CDTF">2019-10-02T09:34:00Z</dcterms:created>
  <dcterms:modified xsi:type="dcterms:W3CDTF">2019-10-02T13:06:00Z</dcterms:modified>
</cp:coreProperties>
</file>