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7A" w:rsidRPr="00FD077A" w:rsidRDefault="00FD077A" w:rsidP="00FD077A">
      <w:pPr>
        <w:spacing w:after="0" w:line="240" w:lineRule="auto"/>
        <w:ind w:left="-90"/>
        <w:jc w:val="center"/>
        <w:rPr>
          <w:rFonts w:ascii="TimesNewRoman" w:eastAsia="Cambria" w:hAnsi="TimesNewRoman" w:cs="Book Antiqua"/>
          <w:sz w:val="24"/>
          <w:szCs w:val="24"/>
        </w:rPr>
      </w:pPr>
      <w:r w:rsidRPr="00FD077A">
        <w:rPr>
          <w:rFonts w:ascii="TimesNewRoman" w:eastAsia="Cambria" w:hAnsi="TimesNewRoman" w:cs="Book Antiqua"/>
          <w:noProof/>
          <w:sz w:val="24"/>
          <w:szCs w:val="24"/>
          <w:lang w:val="en-US"/>
        </w:rPr>
        <w:drawing>
          <wp:inline distT="0" distB="0" distL="0" distR="0" wp14:anchorId="53D8FC38" wp14:editId="4650C071">
            <wp:extent cx="879475" cy="932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7A" w:rsidRPr="00FD077A" w:rsidRDefault="00FD077A" w:rsidP="00FD077A">
      <w:pPr>
        <w:spacing w:after="0" w:line="240" w:lineRule="auto"/>
        <w:ind w:left="-90"/>
        <w:jc w:val="center"/>
        <w:rPr>
          <w:rFonts w:ascii="TimesNewRoman" w:eastAsia="Cambria" w:hAnsi="TimesNewRoman" w:cs="Book Antiqua"/>
          <w:sz w:val="24"/>
          <w:szCs w:val="24"/>
        </w:rPr>
      </w:pPr>
    </w:p>
    <w:p w:rsidR="00FD077A" w:rsidRPr="00B0082A" w:rsidRDefault="00FD077A" w:rsidP="00FD077A">
      <w:pPr>
        <w:spacing w:after="0" w:line="240" w:lineRule="auto"/>
        <w:ind w:left="-90"/>
        <w:jc w:val="center"/>
        <w:rPr>
          <w:rFonts w:ascii="TimesNewRoman" w:eastAsia="Cambria" w:hAnsi="TimesNewRoman" w:cs="Book Antiqua"/>
          <w:color w:val="000000" w:themeColor="text1"/>
          <w:sz w:val="24"/>
          <w:szCs w:val="24"/>
        </w:rPr>
      </w:pPr>
    </w:p>
    <w:p w:rsidR="00FD077A" w:rsidRPr="00B0082A" w:rsidRDefault="00FD077A" w:rsidP="00FD077A">
      <w:pPr>
        <w:spacing w:after="0" w:line="240" w:lineRule="auto"/>
        <w:jc w:val="center"/>
        <w:rPr>
          <w:rFonts w:ascii="TimesNewRoman" w:eastAsia="MS Mincho" w:hAnsi="TimesNewRoman" w:cs="Times New Roman"/>
          <w:b/>
          <w:bCs/>
          <w:iCs/>
          <w:color w:val="000000" w:themeColor="text1"/>
          <w:sz w:val="32"/>
          <w:szCs w:val="32"/>
          <w:lang w:eastAsia="x-none"/>
        </w:rPr>
      </w:pPr>
      <w:r w:rsidRPr="00B0082A">
        <w:rPr>
          <w:rFonts w:ascii="TimesNewRoman" w:eastAsia="MS Mincho" w:hAnsi="TimesNewRoman" w:cs="Times New Roman"/>
          <w:b/>
          <w:bCs/>
          <w:iCs/>
          <w:color w:val="000000" w:themeColor="text1"/>
          <w:sz w:val="32"/>
          <w:szCs w:val="32"/>
          <w:lang w:eastAsia="x-none"/>
        </w:rPr>
        <w:t>Republika e Kosovës</w:t>
      </w:r>
    </w:p>
    <w:p w:rsidR="00FD077A" w:rsidRPr="00B0082A" w:rsidRDefault="00FD077A" w:rsidP="00FD077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iCs/>
          <w:color w:val="000000" w:themeColor="text1"/>
          <w:sz w:val="28"/>
          <w:szCs w:val="28"/>
          <w:lang w:eastAsia="x-none"/>
        </w:rPr>
      </w:pPr>
      <w:r w:rsidRPr="00B0082A">
        <w:rPr>
          <w:rFonts w:ascii="Book Antiqua" w:eastAsia="MS Mincho" w:hAnsi="Book Antiqua" w:cs="Times New Roman"/>
          <w:b/>
          <w:bCs/>
          <w:iCs/>
          <w:color w:val="000000" w:themeColor="text1"/>
          <w:sz w:val="28"/>
          <w:szCs w:val="28"/>
          <w:lang w:eastAsia="x-none"/>
        </w:rPr>
        <w:t xml:space="preserve">Republika Kosova - </w:t>
      </w:r>
      <w:proofErr w:type="spellStart"/>
      <w:r w:rsidRPr="00B0082A">
        <w:rPr>
          <w:rFonts w:ascii="Book Antiqua" w:eastAsia="MS Mincho" w:hAnsi="Book Antiqua" w:cs="Times New Roman"/>
          <w:b/>
          <w:bCs/>
          <w:iCs/>
          <w:color w:val="000000" w:themeColor="text1"/>
          <w:sz w:val="28"/>
          <w:szCs w:val="28"/>
          <w:lang w:eastAsia="x-none"/>
        </w:rPr>
        <w:t>Republic</w:t>
      </w:r>
      <w:proofErr w:type="spellEnd"/>
      <w:r w:rsidRPr="00B0082A">
        <w:rPr>
          <w:rFonts w:ascii="Book Antiqua" w:eastAsia="MS Mincho" w:hAnsi="Book Antiqua" w:cs="Times New Roman"/>
          <w:b/>
          <w:bCs/>
          <w:iCs/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 w:rsidRPr="00B0082A">
        <w:rPr>
          <w:rFonts w:ascii="Book Antiqua" w:eastAsia="MS Mincho" w:hAnsi="Book Antiqua" w:cs="Times New Roman"/>
          <w:b/>
          <w:bCs/>
          <w:iCs/>
          <w:color w:val="000000" w:themeColor="text1"/>
          <w:sz w:val="28"/>
          <w:szCs w:val="28"/>
          <w:lang w:eastAsia="x-none"/>
        </w:rPr>
        <w:t>of</w:t>
      </w:r>
      <w:proofErr w:type="spellEnd"/>
      <w:r w:rsidRPr="00B0082A">
        <w:rPr>
          <w:rFonts w:ascii="Book Antiqua" w:eastAsia="MS Mincho" w:hAnsi="Book Antiqua" w:cs="Times New Roman"/>
          <w:b/>
          <w:bCs/>
          <w:iCs/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 w:rsidRPr="00B0082A">
        <w:rPr>
          <w:rFonts w:ascii="Book Antiqua" w:eastAsia="MS Mincho" w:hAnsi="Book Antiqua" w:cs="Times New Roman"/>
          <w:b/>
          <w:bCs/>
          <w:iCs/>
          <w:color w:val="000000" w:themeColor="text1"/>
          <w:sz w:val="28"/>
          <w:szCs w:val="28"/>
          <w:lang w:eastAsia="x-none"/>
        </w:rPr>
        <w:t>Kosovo</w:t>
      </w:r>
      <w:proofErr w:type="spellEnd"/>
    </w:p>
    <w:p w:rsidR="00FD077A" w:rsidRPr="00B0082A" w:rsidRDefault="00FD077A" w:rsidP="00FD077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i/>
          <w:iCs/>
          <w:color w:val="000000" w:themeColor="text1"/>
          <w:sz w:val="24"/>
          <w:szCs w:val="24"/>
          <w:lang w:eastAsia="x-none"/>
        </w:rPr>
      </w:pPr>
      <w:r w:rsidRPr="00B0082A">
        <w:rPr>
          <w:rFonts w:ascii="Book Antiqua" w:eastAsia="MS Mincho" w:hAnsi="Book Antiqua" w:cs="Times New Roman"/>
          <w:b/>
          <w:bCs/>
          <w:i/>
          <w:iCs/>
          <w:color w:val="000000" w:themeColor="text1"/>
          <w:sz w:val="24"/>
          <w:szCs w:val="24"/>
          <w:lang w:eastAsia="x-none"/>
        </w:rPr>
        <w:t xml:space="preserve">Qeveria - </w:t>
      </w:r>
      <w:proofErr w:type="spellStart"/>
      <w:r w:rsidRPr="00B0082A">
        <w:rPr>
          <w:rFonts w:ascii="Book Antiqua" w:eastAsia="MS Mincho" w:hAnsi="Book Antiqua" w:cs="Times New Roman"/>
          <w:b/>
          <w:bCs/>
          <w:i/>
          <w:iCs/>
          <w:color w:val="000000" w:themeColor="text1"/>
          <w:sz w:val="24"/>
          <w:szCs w:val="24"/>
          <w:lang w:eastAsia="x-none"/>
        </w:rPr>
        <w:t>Vlada</w:t>
      </w:r>
      <w:proofErr w:type="spellEnd"/>
      <w:r w:rsidRPr="00B0082A">
        <w:rPr>
          <w:rFonts w:ascii="Book Antiqua" w:eastAsia="MS Mincho" w:hAnsi="Book Antiqua" w:cs="Times New Roman"/>
          <w:b/>
          <w:bCs/>
          <w:i/>
          <w:iCs/>
          <w:color w:val="000000" w:themeColor="text1"/>
          <w:sz w:val="24"/>
          <w:szCs w:val="24"/>
          <w:lang w:eastAsia="x-none"/>
        </w:rPr>
        <w:t xml:space="preserve"> - </w:t>
      </w:r>
      <w:proofErr w:type="spellStart"/>
      <w:r w:rsidRPr="00B0082A">
        <w:rPr>
          <w:rFonts w:ascii="Book Antiqua" w:eastAsia="MS Mincho" w:hAnsi="Book Antiqua" w:cs="Times New Roman"/>
          <w:b/>
          <w:bCs/>
          <w:i/>
          <w:iCs/>
          <w:color w:val="000000" w:themeColor="text1"/>
          <w:sz w:val="24"/>
          <w:szCs w:val="24"/>
          <w:lang w:eastAsia="x-none"/>
        </w:rPr>
        <w:t>Government</w:t>
      </w:r>
      <w:proofErr w:type="spellEnd"/>
    </w:p>
    <w:p w:rsidR="00FD077A" w:rsidRPr="00B0082A" w:rsidRDefault="00FD077A" w:rsidP="00FD077A">
      <w:pPr>
        <w:spacing w:after="0" w:line="240" w:lineRule="auto"/>
        <w:jc w:val="center"/>
        <w:rPr>
          <w:rFonts w:ascii="TimesNewRoman" w:eastAsia="Cambria" w:hAnsi="TimesNewRoman" w:cs="Calibri"/>
          <w:b/>
          <w:color w:val="000000" w:themeColor="text1"/>
          <w:sz w:val="20"/>
          <w:szCs w:val="18"/>
        </w:rPr>
      </w:pPr>
    </w:p>
    <w:p w:rsidR="00FD077A" w:rsidRPr="00B0082A" w:rsidRDefault="00FD077A" w:rsidP="00FD077A">
      <w:pPr>
        <w:spacing w:after="0" w:line="240" w:lineRule="auto"/>
        <w:jc w:val="center"/>
        <w:rPr>
          <w:rFonts w:ascii="TimesNewRoman" w:eastAsia="Cambria" w:hAnsi="TimesNewRoman" w:cs="Calibri"/>
          <w:b/>
          <w:color w:val="000000" w:themeColor="text1"/>
          <w:sz w:val="20"/>
          <w:szCs w:val="18"/>
        </w:rPr>
      </w:pPr>
    </w:p>
    <w:p w:rsidR="00FD077A" w:rsidRPr="00B0082A" w:rsidRDefault="00FD077A" w:rsidP="00FD07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008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MINISTRIA E FINANCAVE </w:t>
      </w:r>
    </w:p>
    <w:p w:rsidR="00FD077A" w:rsidRPr="00B0082A" w:rsidRDefault="00FD077A" w:rsidP="00FD07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D077A" w:rsidRPr="00B0082A" w:rsidRDefault="00FD077A" w:rsidP="00FD077A">
      <w:pPr>
        <w:spacing w:after="0" w:line="240" w:lineRule="auto"/>
        <w:jc w:val="center"/>
        <w:rPr>
          <w:rFonts w:ascii="Cambria" w:eastAsia="Cambria" w:hAnsi="Cambria" w:cs="Times New Roman"/>
          <w:b/>
          <w:bCs/>
          <w:smallCaps/>
          <w:color w:val="000000" w:themeColor="text1"/>
          <w:sz w:val="32"/>
          <w:szCs w:val="24"/>
        </w:rPr>
      </w:pPr>
      <w:r w:rsidRPr="00B0082A">
        <w:rPr>
          <w:rFonts w:ascii="Cambria" w:eastAsia="Cambria" w:hAnsi="Cambria" w:cs="Times New Roman"/>
          <w:b/>
          <w:bCs/>
          <w:smallCaps/>
          <w:color w:val="000000" w:themeColor="text1"/>
          <w:sz w:val="32"/>
          <w:szCs w:val="24"/>
        </w:rPr>
        <w:t>NjQH</w:t>
      </w:r>
    </w:p>
    <w:p w:rsidR="00FD077A" w:rsidRPr="00B0082A" w:rsidRDefault="00FD077A" w:rsidP="00FD077A">
      <w:pPr>
        <w:spacing w:after="0" w:line="240" w:lineRule="auto"/>
        <w:jc w:val="center"/>
        <w:rPr>
          <w:rFonts w:ascii="Cambria" w:eastAsia="Cambria" w:hAnsi="Cambria" w:cs="Times New Roman"/>
          <w:b/>
          <w:bCs/>
          <w:smallCaps/>
          <w:color w:val="000000" w:themeColor="text1"/>
          <w:sz w:val="32"/>
          <w:szCs w:val="24"/>
        </w:rPr>
      </w:pPr>
    </w:p>
    <w:p w:rsidR="00FD077A" w:rsidRPr="00B0082A" w:rsidRDefault="00FD077A" w:rsidP="006E373B">
      <w:pPr>
        <w:spacing w:after="0" w:line="240" w:lineRule="auto"/>
        <w:jc w:val="center"/>
        <w:rPr>
          <w:rFonts w:ascii="Cambria" w:eastAsia="Calibri" w:hAnsi="Cambria" w:cs="Times New Roman"/>
          <w:b/>
          <w:color w:val="000000" w:themeColor="text1"/>
          <w:sz w:val="28"/>
          <w:szCs w:val="28"/>
        </w:rPr>
      </w:pPr>
      <w:r w:rsidRPr="00B0082A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>RAPORTI NGA PROCESI I KONSULTIMIT</w:t>
      </w:r>
    </w:p>
    <w:p w:rsidR="00FD077A" w:rsidRPr="00B0082A" w:rsidRDefault="00E04D99" w:rsidP="006E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B0082A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lang w:val="en-GB"/>
        </w:rPr>
        <w:t>PROJEKT</w:t>
      </w:r>
      <w:r w:rsidR="00A05DBE"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shd w:val="clear" w:color="auto" w:fill="FFFFFF"/>
          <w:lang w:val="en-GB"/>
        </w:rPr>
        <w:t xml:space="preserve"> UDHEZIMI</w:t>
      </w:r>
      <w:r w:rsidR="007D4DBB"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shd w:val="clear" w:color="auto" w:fill="FFFFFF"/>
          <w:lang w:val="en-GB"/>
        </w:rPr>
        <w:t xml:space="preserve">ADMINISTRATIV </w:t>
      </w:r>
      <w:r w:rsidRPr="00B00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PËR</w:t>
      </w:r>
      <w:r w:rsidR="00FD077A" w:rsidRPr="00B00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THEMELIMIN DHE FUNKSIONI</w:t>
      </w:r>
      <w:r w:rsidR="007D4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MIN 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KOMITETIT TË</w:t>
      </w:r>
      <w:r w:rsidR="007D4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AUDITIMIT </w:t>
      </w:r>
      <w:r w:rsidR="00FD077A" w:rsidRPr="00B00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NË SUBJEKTIN E SEKTORIT PUBLIK</w:t>
      </w:r>
    </w:p>
    <w:p w:rsidR="00FD077A" w:rsidRPr="00B0082A" w:rsidRDefault="00FD077A" w:rsidP="006E373B">
      <w:pPr>
        <w:spacing w:after="0" w:line="240" w:lineRule="auto"/>
        <w:jc w:val="center"/>
        <w:rPr>
          <w:rFonts w:ascii="Cambria" w:eastAsia="Calibri" w:hAnsi="Cambria" w:cs="Times New Roman"/>
          <w:b/>
          <w:color w:val="000000" w:themeColor="text1"/>
          <w:sz w:val="28"/>
          <w:szCs w:val="28"/>
        </w:rPr>
      </w:pPr>
    </w:p>
    <w:p w:rsidR="00FD077A" w:rsidRPr="00B0082A" w:rsidRDefault="00FD077A" w:rsidP="00FD077A">
      <w:pPr>
        <w:spacing w:after="0" w:line="240" w:lineRule="auto"/>
        <w:rPr>
          <w:rFonts w:ascii="Cambria" w:eastAsia="Cambria" w:hAnsi="Cambria" w:cs="Times New Roman"/>
          <w:color w:val="000000" w:themeColor="text1"/>
          <w:sz w:val="24"/>
          <w:szCs w:val="24"/>
        </w:rPr>
      </w:pPr>
    </w:p>
    <w:p w:rsidR="00FD077A" w:rsidRPr="00B0082A" w:rsidRDefault="00FD077A" w:rsidP="00FD077A">
      <w:pPr>
        <w:spacing w:after="0" w:line="240" w:lineRule="auto"/>
        <w:rPr>
          <w:rFonts w:ascii="Cambria" w:eastAsia="Cambria" w:hAnsi="Cambria" w:cs="Times New Roman"/>
          <w:color w:val="000000" w:themeColor="text1"/>
          <w:sz w:val="24"/>
          <w:szCs w:val="24"/>
        </w:rPr>
      </w:pPr>
    </w:p>
    <w:p w:rsidR="00FD077A" w:rsidRPr="00B0082A" w:rsidRDefault="00FD077A" w:rsidP="00FD077A">
      <w:pPr>
        <w:spacing w:after="0" w:line="240" w:lineRule="auto"/>
        <w:rPr>
          <w:rFonts w:ascii="Cambria" w:eastAsia="Cambria" w:hAnsi="Cambria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D077A" w:rsidRPr="00B0082A" w:rsidRDefault="00FD077A" w:rsidP="00FD077A">
      <w:pPr>
        <w:spacing w:after="0" w:line="240" w:lineRule="auto"/>
        <w:rPr>
          <w:rFonts w:ascii="Cambria" w:eastAsia="Cambria" w:hAnsi="Cambria" w:cs="Times New Roman"/>
          <w:color w:val="000000" w:themeColor="text1"/>
          <w:sz w:val="24"/>
          <w:szCs w:val="24"/>
        </w:rPr>
      </w:pPr>
    </w:p>
    <w:p w:rsidR="00FD077A" w:rsidRPr="00B0082A" w:rsidRDefault="00FD077A" w:rsidP="00FD077A">
      <w:pPr>
        <w:spacing w:after="0" w:line="240" w:lineRule="auto"/>
        <w:rPr>
          <w:rFonts w:ascii="Cambria" w:eastAsia="Cambria" w:hAnsi="Cambria" w:cs="Times New Roman"/>
          <w:color w:val="000000" w:themeColor="text1"/>
          <w:sz w:val="24"/>
          <w:szCs w:val="24"/>
        </w:rPr>
      </w:pPr>
    </w:p>
    <w:p w:rsidR="00FD077A" w:rsidRPr="00B0082A" w:rsidRDefault="00FD077A" w:rsidP="00FD077A">
      <w:pPr>
        <w:spacing w:after="0" w:line="240" w:lineRule="auto"/>
        <w:rPr>
          <w:rFonts w:ascii="Cambria" w:eastAsia="Cambria" w:hAnsi="Cambria" w:cs="Times New Roman"/>
          <w:color w:val="000000" w:themeColor="text1"/>
          <w:sz w:val="24"/>
          <w:szCs w:val="24"/>
        </w:rPr>
      </w:pPr>
    </w:p>
    <w:p w:rsidR="00FD077A" w:rsidRPr="00B0082A" w:rsidRDefault="00FD077A" w:rsidP="00FD077A">
      <w:pPr>
        <w:spacing w:after="0" w:line="240" w:lineRule="auto"/>
        <w:rPr>
          <w:rFonts w:ascii="Cambria" w:eastAsia="Cambria" w:hAnsi="Cambria" w:cs="Times New Roman"/>
          <w:color w:val="000000" w:themeColor="text1"/>
          <w:sz w:val="24"/>
          <w:szCs w:val="24"/>
        </w:rPr>
      </w:pPr>
    </w:p>
    <w:p w:rsidR="00FD077A" w:rsidRPr="00B0082A" w:rsidRDefault="00FD077A" w:rsidP="00FD077A">
      <w:pPr>
        <w:spacing w:after="0" w:line="240" w:lineRule="auto"/>
        <w:rPr>
          <w:rFonts w:ascii="Cambria" w:eastAsia="Cambria" w:hAnsi="Cambria" w:cs="Times New Roman"/>
          <w:color w:val="000000" w:themeColor="text1"/>
          <w:sz w:val="24"/>
          <w:szCs w:val="24"/>
        </w:rPr>
      </w:pPr>
    </w:p>
    <w:p w:rsidR="00FD077A" w:rsidRPr="00B0082A" w:rsidRDefault="007D4DBB" w:rsidP="00FD077A">
      <w:pPr>
        <w:spacing w:after="0" w:line="240" w:lineRule="auto"/>
        <w:jc w:val="center"/>
        <w:rPr>
          <w:rFonts w:ascii="Cambria" w:eastAsia="Cambria" w:hAnsi="Cambria" w:cs="Times New Roman"/>
          <w:color w:val="000000" w:themeColor="text1"/>
          <w:sz w:val="24"/>
          <w:szCs w:val="24"/>
        </w:rPr>
      </w:pPr>
      <w:r>
        <w:rPr>
          <w:rFonts w:ascii="Cambria" w:eastAsia="Cambria" w:hAnsi="Cambria" w:cs="Times New Roman"/>
          <w:color w:val="000000" w:themeColor="text1"/>
          <w:sz w:val="24"/>
          <w:szCs w:val="24"/>
        </w:rPr>
        <w:t xml:space="preserve">Janar </w:t>
      </w:r>
      <w:r w:rsidR="00FD077A" w:rsidRPr="00B0082A">
        <w:rPr>
          <w:rFonts w:ascii="Cambria" w:eastAsia="Cambria" w:hAnsi="Cambria" w:cs="Times New Roman"/>
          <w:color w:val="000000" w:themeColor="text1"/>
          <w:sz w:val="24"/>
          <w:szCs w:val="24"/>
        </w:rPr>
        <w:t xml:space="preserve">  201</w:t>
      </w:r>
      <w:r>
        <w:rPr>
          <w:rFonts w:ascii="Cambria" w:eastAsia="Cambria" w:hAnsi="Cambria" w:cs="Times New Roman"/>
          <w:color w:val="000000" w:themeColor="text1"/>
          <w:sz w:val="24"/>
          <w:szCs w:val="24"/>
        </w:rPr>
        <w:t>9</w:t>
      </w:r>
    </w:p>
    <w:p w:rsidR="00FD077A" w:rsidRPr="00B0082A" w:rsidRDefault="00FD077A" w:rsidP="00FD077A">
      <w:pPr>
        <w:spacing w:after="0" w:line="240" w:lineRule="auto"/>
        <w:jc w:val="center"/>
        <w:rPr>
          <w:rFonts w:ascii="Cambria" w:eastAsia="Cambria" w:hAnsi="Cambria" w:cs="Times New Roman"/>
          <w:b/>
          <w:color w:val="000000" w:themeColor="text1"/>
          <w:sz w:val="24"/>
          <w:szCs w:val="24"/>
        </w:rPr>
      </w:pPr>
    </w:p>
    <w:p w:rsidR="00FD077A" w:rsidRPr="00B0082A" w:rsidRDefault="00FD077A" w:rsidP="00FD077A">
      <w:pPr>
        <w:spacing w:after="0" w:line="240" w:lineRule="auto"/>
        <w:jc w:val="center"/>
        <w:rPr>
          <w:rFonts w:ascii="Cambria" w:eastAsia="Cambria" w:hAnsi="Cambria" w:cs="Times New Roman"/>
          <w:b/>
          <w:color w:val="000000" w:themeColor="text1"/>
          <w:sz w:val="24"/>
          <w:szCs w:val="24"/>
        </w:rPr>
      </w:pPr>
    </w:p>
    <w:p w:rsidR="00FD077A" w:rsidRPr="00B0082A" w:rsidRDefault="00FD077A" w:rsidP="00FD077A">
      <w:pPr>
        <w:spacing w:after="0" w:line="240" w:lineRule="auto"/>
        <w:jc w:val="center"/>
        <w:rPr>
          <w:rFonts w:ascii="Cambria" w:eastAsia="Cambria" w:hAnsi="Cambria" w:cs="Times New Roman"/>
          <w:b/>
          <w:color w:val="000000" w:themeColor="text1"/>
          <w:sz w:val="24"/>
          <w:szCs w:val="24"/>
        </w:rPr>
      </w:pPr>
      <w:r w:rsidRPr="00B0082A">
        <w:rPr>
          <w:rFonts w:ascii="Cambria" w:eastAsia="Cambria" w:hAnsi="Cambria" w:cs="Times New Roman"/>
          <w:b/>
          <w:color w:val="000000" w:themeColor="text1"/>
          <w:sz w:val="24"/>
          <w:szCs w:val="24"/>
        </w:rPr>
        <w:t>Hyrja/sfondi</w:t>
      </w:r>
    </w:p>
    <w:p w:rsidR="00FD077A" w:rsidRPr="00B0082A" w:rsidRDefault="00FD077A" w:rsidP="00FD077A">
      <w:pPr>
        <w:spacing w:after="0" w:line="240" w:lineRule="auto"/>
        <w:jc w:val="center"/>
        <w:rPr>
          <w:rFonts w:ascii="Cambria" w:eastAsia="Cambria" w:hAnsi="Cambria" w:cs="Times New Roman"/>
          <w:b/>
          <w:color w:val="000000" w:themeColor="text1"/>
          <w:sz w:val="24"/>
          <w:szCs w:val="24"/>
        </w:rPr>
      </w:pPr>
    </w:p>
    <w:p w:rsidR="00FD077A" w:rsidRPr="00B0082A" w:rsidRDefault="00FD077A" w:rsidP="00FD077A">
      <w:pPr>
        <w:spacing w:after="0" w:line="240" w:lineRule="auto"/>
        <w:jc w:val="center"/>
        <w:rPr>
          <w:rFonts w:ascii="Cambria" w:eastAsia="Cambria" w:hAnsi="Cambria" w:cs="Times New Roman"/>
          <w:b/>
          <w:color w:val="000000" w:themeColor="text1"/>
          <w:sz w:val="24"/>
          <w:szCs w:val="24"/>
        </w:rPr>
      </w:pPr>
    </w:p>
    <w:p w:rsidR="00FD077A" w:rsidRPr="00B0082A" w:rsidRDefault="00FD077A" w:rsidP="00FD0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FD077A" w:rsidRPr="00661D01" w:rsidRDefault="00FD077A" w:rsidP="00FD0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61D0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Dokumentet zyrtare që autorizojnë përgatitjen e </w:t>
      </w:r>
      <w:r w:rsidRPr="00661D01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PROJEKT</w:t>
      </w:r>
      <w:r w:rsidRPr="00661D0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="007D4DBB" w:rsidRPr="00661D0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UDHEZIMI</w:t>
      </w:r>
      <w:r w:rsidR="00A05DBE"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</w:t>
      </w:r>
      <w:r w:rsidR="007D4DBB" w:rsidRPr="00661D0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A05DBE" w:rsidRPr="00A05DBE">
        <w:rPr>
          <w:rFonts w:ascii="Times New Roman" w:eastAsia="Cambria" w:hAnsi="Times New Roman" w:cs="Times New Roman"/>
          <w:color w:val="000000" w:themeColor="text1"/>
          <w:sz w:val="24"/>
          <w:szCs w:val="24"/>
          <w:shd w:val="clear" w:color="auto" w:fill="FFFFFF"/>
        </w:rPr>
        <w:t>për</w:t>
      </w:r>
      <w:r w:rsidR="004D2E62">
        <w:rPr>
          <w:rFonts w:ascii="Times New Roman" w:eastAsia="Cambr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1D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Themelimin dhe e </w:t>
      </w:r>
      <w:r w:rsidR="00661D01" w:rsidRPr="00661D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Funksionimin</w:t>
      </w:r>
      <w:r w:rsidR="007D4DBB" w:rsidRPr="00661D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e Komitetit </w:t>
      </w:r>
      <w:r w:rsidRPr="00661D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të Auditimit  në Subjektin e Sektorit Publik në </w:t>
      </w:r>
      <w:r w:rsidR="00661D01" w:rsidRPr="00661D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mbështetje</w:t>
      </w:r>
      <w:r w:rsidRPr="00661D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</w:t>
      </w:r>
      <w:r w:rsidRPr="00661D0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ë Nenin </w:t>
      </w:r>
      <w:r w:rsidR="006B6DA2" w:rsidRPr="00661D0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20</w:t>
      </w:r>
      <w:r w:rsidRPr="00661D0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të Ligjit Nr. 06/L-021 për Kontrollin e Brendshëm të Financave Publike (Gazeta Zyrtare e Republikës së Kosovës Nr.3, me datë 19 prill 2018), si dhe nenin 19 (6.2) të Rregullores së Punës së Qeverisë Nr. 09/2011 (Gazeta Zyrtare e Republikës së Kosovës Nr.15, me datë 12.09.2011),</w:t>
      </w:r>
    </w:p>
    <w:p w:rsidR="00FD077A" w:rsidRPr="00B0082A" w:rsidRDefault="00FD077A" w:rsidP="00FD0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:rsidR="00900FB7" w:rsidRPr="007970B7" w:rsidRDefault="00C4568E" w:rsidP="00900F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 ketë projekt u</w:t>
      </w:r>
      <w:r w:rsidR="00900FB7"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dhëzim krijohen kritere për themelimin, përbërjen,</w:t>
      </w:r>
      <w:r w:rsidR="00900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përgjegjësitë</w:t>
      </w:r>
      <w:r w:rsidR="00900FB7"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e komiteteve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auditimit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brendshëm në subjektet e sektorit p</w:t>
      </w:r>
      <w:r w:rsidR="00900FB7"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ublik .</w:t>
      </w:r>
    </w:p>
    <w:p w:rsidR="0091232A" w:rsidRDefault="0091232A" w:rsidP="00AC57C7">
      <w:pPr>
        <w:shd w:val="clear" w:color="auto" w:fill="FFFFFF" w:themeFill="background1"/>
        <w:spacing w:after="0" w:line="240" w:lineRule="auto"/>
        <w:jc w:val="both"/>
        <w:rPr>
          <w:rFonts w:ascii="Times New Roman" w:eastAsia="Cambria" w:hAnsi="Times New Roman" w:cs="Times New Roman"/>
          <w:color w:val="0070C0"/>
          <w:sz w:val="24"/>
          <w:szCs w:val="24"/>
        </w:rPr>
      </w:pPr>
    </w:p>
    <w:p w:rsidR="00AC57C7" w:rsidRPr="00661D01" w:rsidRDefault="00AC57C7" w:rsidP="00AC57C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1D01">
        <w:rPr>
          <w:rFonts w:ascii="Times New Roman" w:eastAsia="Cambria" w:hAnsi="Times New Roman" w:cs="Times New Roman"/>
          <w:sz w:val="24"/>
          <w:szCs w:val="24"/>
        </w:rPr>
        <w:t xml:space="preserve">Hartimi i Projekt Udhëzimin  </w:t>
      </w:r>
      <w:r w:rsidRPr="00661D01">
        <w:rPr>
          <w:rFonts w:ascii="Times New Roman" w:eastAsia="Times New Roman" w:hAnsi="Times New Roman" w:cs="Times New Roman"/>
          <w:bCs/>
          <w:sz w:val="24"/>
          <w:szCs w:val="24"/>
        </w:rPr>
        <w:t xml:space="preserve">për Themelimin dhe  </w:t>
      </w:r>
      <w:r w:rsidR="00661D01" w:rsidRPr="00661D01">
        <w:rPr>
          <w:rFonts w:ascii="Times New Roman" w:eastAsia="Times New Roman" w:hAnsi="Times New Roman" w:cs="Times New Roman"/>
          <w:bCs/>
          <w:sz w:val="24"/>
          <w:szCs w:val="24"/>
        </w:rPr>
        <w:t>Funksionimin</w:t>
      </w:r>
      <w:r w:rsidRPr="00661D01">
        <w:rPr>
          <w:rFonts w:ascii="Times New Roman" w:eastAsia="Times New Roman" w:hAnsi="Times New Roman" w:cs="Times New Roman"/>
          <w:bCs/>
          <w:sz w:val="24"/>
          <w:szCs w:val="24"/>
        </w:rPr>
        <w:t xml:space="preserve"> e Komitetit  të Auditimit në Subjektin e Sektorit Publik</w:t>
      </w:r>
      <w:r w:rsidR="00CC3E7A" w:rsidRPr="00661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1D01">
        <w:rPr>
          <w:rFonts w:ascii="Times New Roman" w:eastAsia="Times New Roman" w:hAnsi="Times New Roman" w:cs="Times New Roman"/>
          <w:bCs/>
          <w:sz w:val="24"/>
          <w:szCs w:val="24"/>
        </w:rPr>
        <w:t>është bërë nga</w:t>
      </w:r>
      <w:r w:rsidRPr="00661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568E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661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omisioni i caktuar nga anëtarë të Njësisë Qendrore </w:t>
      </w:r>
      <w:proofErr w:type="spellStart"/>
      <w:r w:rsidRPr="00661D01">
        <w:rPr>
          <w:rFonts w:ascii="Times New Roman" w:hAnsi="Times New Roman" w:cs="Times New Roman"/>
          <w:sz w:val="24"/>
          <w:szCs w:val="24"/>
          <w:shd w:val="clear" w:color="auto" w:fill="FFFFFF"/>
        </w:rPr>
        <w:t>Harmonozuese</w:t>
      </w:r>
      <w:proofErr w:type="spellEnd"/>
      <w:r w:rsidRPr="00661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-NJQH /MF, auditorë të brendshëm nga NJAB të nivelit qendror dhe lokal të</w:t>
      </w:r>
      <w:r w:rsidR="00C45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sektorit publik, Zyra Kombëtar</w:t>
      </w:r>
      <w:r w:rsidRPr="00661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Auditimit  dhe përkrahje nga SIGMA, kanë hartuar Udhëzimi</w:t>
      </w:r>
      <w:r w:rsidR="00146152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661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mbështetur në Ligjin  e Kontrollit të Brendshëm të Financave Publike. </w:t>
      </w:r>
    </w:p>
    <w:p w:rsidR="00FD077A" w:rsidRDefault="00FD077A" w:rsidP="00FD077A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</w:rPr>
      </w:pPr>
      <w:r w:rsidRPr="0096585F">
        <w:rPr>
          <w:rFonts w:ascii="Times New Roman" w:eastAsia="MS Mincho" w:hAnsi="Times New Roman" w:cs="Times New Roman"/>
          <w:color w:val="FF0000"/>
          <w:sz w:val="24"/>
          <w:szCs w:val="24"/>
        </w:rPr>
        <w:tab/>
      </w:r>
    </w:p>
    <w:p w:rsidR="00900FB7" w:rsidRDefault="00C4568E" w:rsidP="00900FB7">
      <w:pPr>
        <w:spacing w:after="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Ky projekt u</w:t>
      </w:r>
      <w:r w:rsidR="00900FB7"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dhëzim </w:t>
      </w:r>
      <w:r w:rsidR="00900FB7" w:rsidRPr="007970B7">
        <w:rPr>
          <w:color w:val="000000" w:themeColor="text1"/>
          <w:shd w:val="clear" w:color="auto" w:fill="FFFFFF"/>
        </w:rPr>
        <w:t xml:space="preserve">i mundëson </w:t>
      </w:r>
      <w:r w:rsidR="00900FB7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çdo subjekt</w:t>
      </w:r>
      <w:r w:rsidR="00BC0AF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i</w:t>
      </w:r>
      <w:r w:rsidR="00900FB7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të sektorit publik që ka të themeluar njësinë e pavarur të </w:t>
      </w:r>
      <w:proofErr w:type="spellStart"/>
      <w:r w:rsidR="00900FB7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auditimit</w:t>
      </w:r>
      <w:proofErr w:type="spellEnd"/>
      <w:r w:rsidR="00900FB7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të brendshëm në nivel të organit kryesor</w:t>
      </w:r>
      <w:r w:rsidR="00900F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të </w:t>
      </w:r>
      <w:r w:rsidR="00900FB7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themelo</w:t>
      </w:r>
      <w:r w:rsidR="00900F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j</w:t>
      </w:r>
      <w:r w:rsidR="00900FB7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Komitetin e A</w:t>
      </w:r>
      <w:r w:rsidR="00900FB7" w:rsidRPr="007970B7">
        <w:rPr>
          <w:color w:val="000000" w:themeColor="text1"/>
        </w:rPr>
        <w:t xml:space="preserve">uditimit. </w:t>
      </w:r>
      <w:r w:rsidR="00BC0AF9">
        <w:rPr>
          <w:color w:val="000000" w:themeColor="text1"/>
        </w:rPr>
        <w:t>Po ashtu s</w:t>
      </w:r>
      <w:r w:rsidR="00900FB7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ubjektet e sektorit publik që</w:t>
      </w:r>
      <w:r w:rsidR="006C706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kan</w:t>
      </w:r>
      <w:r w:rsidR="00BC0AF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ë</w:t>
      </w:r>
      <w:r w:rsidR="006C706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00FB7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krijuar njësinë e përbashkët të </w:t>
      </w:r>
      <w:proofErr w:type="spellStart"/>
      <w:r w:rsidR="00900FB7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auditimit</w:t>
      </w:r>
      <w:proofErr w:type="spellEnd"/>
      <w:r w:rsidR="00900FB7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të brendshëm</w:t>
      </w:r>
      <w:r w:rsidR="006C706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apo </w:t>
      </w:r>
      <w:r w:rsidR="00900FB7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nëpërmjet </w:t>
      </w:r>
      <w:r w:rsidR="00900FB7" w:rsidRPr="007970B7">
        <w:rPr>
          <w:rFonts w:ascii="Times New Roman" w:hAnsi="Times New Roman" w:cs="Times New Roman"/>
          <w:color w:val="000000" w:themeColor="text1"/>
          <w:sz w:val="24"/>
          <w:szCs w:val="24"/>
        </w:rPr>
        <w:t>një marrëveshjeje të përbashkët</w:t>
      </w:r>
      <w:r w:rsidR="00900FB7" w:rsidRPr="007970B7">
        <w:rPr>
          <w:color w:val="000000" w:themeColor="text1"/>
        </w:rPr>
        <w:t xml:space="preserve">  </w:t>
      </w:r>
      <w:r w:rsidR="006C7064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themelojnë Komitetin e Përbashkët të Auditimit</w:t>
      </w:r>
      <w:r w:rsidR="006C706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 w:rsidR="006C7064" w:rsidRPr="007970B7">
        <w:rPr>
          <w:color w:val="000000" w:themeColor="text1"/>
        </w:rPr>
        <w:t xml:space="preserve"> </w:t>
      </w:r>
      <w:r w:rsidR="00900FB7" w:rsidRPr="007970B7">
        <w:rPr>
          <w:color w:val="000000" w:themeColor="text1"/>
        </w:rPr>
        <w:t>Ndërsa  s</w:t>
      </w:r>
      <w:r w:rsidR="00900FB7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ubjekti i sektorit publik që ka të themeluar njësinë e </w:t>
      </w:r>
      <w:proofErr w:type="spellStart"/>
      <w:r w:rsidR="00900FB7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auditimit</w:t>
      </w:r>
      <w:proofErr w:type="spellEnd"/>
      <w:r w:rsidR="00900FB7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të brendshëm në njësitë e tyre vartëse nu</w:t>
      </w:r>
      <w:r w:rsidR="00900F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k </w:t>
      </w:r>
      <w:r w:rsidR="00BC0AF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janë te obliguar të </w:t>
      </w:r>
      <w:r w:rsidR="00900F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themelo</w:t>
      </w:r>
      <w:r w:rsidR="0050257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jnë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K</w:t>
      </w:r>
      <w:r w:rsidR="00900FB7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omit</w:t>
      </w:r>
      <w:r w:rsidR="00900F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in</w:t>
      </w:r>
      <w:r w:rsidR="006C706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 </w:t>
      </w:r>
      <w:r w:rsidR="00900F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</w:t>
      </w:r>
      <w:r w:rsidR="00900FB7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uditimit, ky subjekt mbulohet nga komiteti i </w:t>
      </w:r>
      <w:proofErr w:type="spellStart"/>
      <w:r w:rsidR="00900FB7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auditimit</w:t>
      </w:r>
      <w:proofErr w:type="spellEnd"/>
      <w:r w:rsidR="00900FB7"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 themeluar në nivel kryesor të subjektit të sektorit publik përkatës.</w:t>
      </w:r>
    </w:p>
    <w:p w:rsidR="00900FB7" w:rsidRPr="007970B7" w:rsidRDefault="00900FB7" w:rsidP="00900FB7">
      <w:pPr>
        <w:spacing w:after="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900FB7" w:rsidRPr="007970B7" w:rsidRDefault="00900FB7" w:rsidP="00900FB7">
      <w:pPr>
        <w:shd w:val="clear" w:color="auto" w:fill="FFFFFF" w:themeFill="background1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7970B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Komiteti i Auditimit emërohet nga udhëheqësi i subjektit të sektorit publik dhe përbëhet nga tre (3) ose pesë (5) anëtarë. Kryesuesi i Komitetit të Auditimit nuk duhet të jetë në pozitën udhëheqëse, dy të tretat (2/3) e anëtarëve duhet të jenë të jashtëm, dhe pjesa tjetër nga stafi i brendshëm i subjektit të sektorit publik në mënyrë që </w:t>
      </w:r>
      <w:r w:rsidRPr="00797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të jenë objektiv transparent dhe të  pavarur në dhënien e këshillave, për përmirësimin e kontrollit të brendshëm të organizatës. </w:t>
      </w:r>
    </w:p>
    <w:p w:rsidR="00FD077A" w:rsidRPr="0096585F" w:rsidRDefault="00FD077A" w:rsidP="00F52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GB"/>
        </w:rPr>
      </w:pPr>
    </w:p>
    <w:p w:rsidR="00FD077A" w:rsidRPr="00EC3835" w:rsidRDefault="00FD077A" w:rsidP="00FD0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i/>
          <w:color w:val="000000" w:themeColor="text1"/>
          <w:sz w:val="24"/>
          <w:szCs w:val="24"/>
        </w:rPr>
      </w:pPr>
      <w:r w:rsidRPr="00EC383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lastRenderedPageBreak/>
        <w:t>Mundësinë për të dhënë komente e kanë pasur të gjitha grupet e interesit, qytetarët e Republikës së Kosovës dhe ekspertë të ndryshëm përmes platformës elektronike. Konsultimi i kë</w:t>
      </w:r>
      <w:r w:rsidR="0050257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tij projekt udhëzimi </w:t>
      </w:r>
      <w:r w:rsidRPr="00EC383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është bërë në pajtim të plotë me </w:t>
      </w:r>
      <w:r w:rsidRPr="00EC383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Rregulloren Nr. 05/2016 për standardet minimale për procesin e konsultimit publik . </w:t>
      </w:r>
    </w:p>
    <w:p w:rsidR="00FD077A" w:rsidRPr="0096585F" w:rsidRDefault="00FD077A" w:rsidP="00FD077A">
      <w:pPr>
        <w:spacing w:after="0" w:line="240" w:lineRule="auto"/>
        <w:jc w:val="both"/>
        <w:rPr>
          <w:rFonts w:ascii="Times New Roman" w:eastAsia="Cambria" w:hAnsi="Times New Roman" w:cs="Times New Roman"/>
          <w:i/>
          <w:color w:val="FF0000"/>
          <w:sz w:val="24"/>
          <w:szCs w:val="24"/>
        </w:rPr>
      </w:pPr>
    </w:p>
    <w:p w:rsidR="006C1C61" w:rsidRPr="0096585F" w:rsidRDefault="006C1C61" w:rsidP="00FD077A">
      <w:pPr>
        <w:spacing w:after="0" w:line="240" w:lineRule="auto"/>
        <w:jc w:val="both"/>
        <w:rPr>
          <w:rFonts w:ascii="Times New Roman" w:eastAsia="Cambria" w:hAnsi="Times New Roman" w:cs="Times New Roman"/>
          <w:i/>
          <w:color w:val="FF0000"/>
          <w:sz w:val="24"/>
          <w:szCs w:val="24"/>
        </w:rPr>
      </w:pPr>
    </w:p>
    <w:p w:rsidR="00FD077A" w:rsidRDefault="00FD077A" w:rsidP="00FD077A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050DB2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Ecuria procesit të konsultimit</w:t>
      </w:r>
    </w:p>
    <w:p w:rsidR="00502570" w:rsidRPr="00050DB2" w:rsidRDefault="00502570" w:rsidP="00FD077A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</w:p>
    <w:p w:rsidR="00FD077A" w:rsidRPr="0096585F" w:rsidRDefault="00FD077A" w:rsidP="00FD077A">
      <w:pPr>
        <w:spacing w:after="0" w:line="240" w:lineRule="auto"/>
        <w:jc w:val="both"/>
        <w:rPr>
          <w:rFonts w:ascii="Times New Roman" w:eastAsia="Cambria" w:hAnsi="Times New Roman" w:cs="Times New Roman"/>
          <w:color w:val="FF0000"/>
          <w:sz w:val="24"/>
          <w:szCs w:val="24"/>
        </w:rPr>
      </w:pPr>
    </w:p>
    <w:p w:rsidR="00FD077A" w:rsidRPr="0085104E" w:rsidRDefault="00FD077A" w:rsidP="00FD077A">
      <w:pPr>
        <w:spacing w:after="0" w:line="240" w:lineRule="auto"/>
        <w:jc w:val="both"/>
        <w:rPr>
          <w:rFonts w:ascii="Times New Roman" w:eastAsia="Cambria" w:hAnsi="Times New Roman" w:cs="Times New Roman"/>
          <w:strike/>
          <w:color w:val="000000" w:themeColor="text1"/>
          <w:sz w:val="24"/>
          <w:szCs w:val="24"/>
        </w:rPr>
      </w:pPr>
      <w:r w:rsidRPr="0085104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Pas përmbylljes së procesit të konsultimit paraprak ( sipas Rregullores së Punës së Qeverisë Nr. 09/2011, neni 7), projekt </w:t>
      </w:r>
      <w:r w:rsidR="00BB33C8" w:rsidRPr="0085104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udhëzimi</w:t>
      </w:r>
      <w:r w:rsidRPr="0085104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është publikuar për konsultim me publikun në platformën elektronike dhe ka qenë e hapur për komente deri më:  </w:t>
      </w:r>
      <w:r w:rsidR="00EC3835" w:rsidRPr="0085104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09.01.2019</w:t>
      </w:r>
      <w:r w:rsidR="0050257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.</w:t>
      </w:r>
    </w:p>
    <w:p w:rsidR="00FD077A" w:rsidRPr="0085104E" w:rsidRDefault="00FD077A" w:rsidP="00F214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104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Sipas Rregullores për standardet minimale të konsultimit publik, Projekt </w:t>
      </w:r>
      <w:r w:rsidR="00EC3835" w:rsidRPr="0085104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Udhëzimi </w:t>
      </w:r>
      <w:r w:rsidRPr="0085104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në fjalë është publikuar së bashku me Dokumentin e Konsultimit, i cili në formë të shkurtër ka paraqitur informatat e përmbledhura për rishikimin e </w:t>
      </w:r>
      <w:r w:rsidR="00F2145E" w:rsidRPr="0085104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Projekt Udhëzimin  </w:t>
      </w:r>
      <w:r w:rsidR="00F2145E" w:rsidRPr="008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për Themelimin dhe  </w:t>
      </w:r>
      <w:r w:rsidR="0085104E" w:rsidRPr="008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Funksionimin</w:t>
      </w:r>
      <w:r w:rsidR="00F2145E" w:rsidRPr="008510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e Komitetit  të Auditimit në Subjektin e Sektorit Publik</w:t>
      </w:r>
      <w:r w:rsidR="00F2145E" w:rsidRPr="008510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5104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qëllimet, objektivat, opsionet dhe hapësirën për konsultim, informatat për hapat pas përfundimit të procesit të konsultimit etj. </w:t>
      </w:r>
    </w:p>
    <w:p w:rsidR="00FD077A" w:rsidRPr="0096585F" w:rsidRDefault="00FD077A" w:rsidP="00FD077A">
      <w:pPr>
        <w:spacing w:after="0" w:line="240" w:lineRule="auto"/>
        <w:jc w:val="both"/>
        <w:rPr>
          <w:rFonts w:ascii="Times New Roman" w:eastAsia="Cambria" w:hAnsi="Times New Roman" w:cs="Times New Roman"/>
          <w:color w:val="FF0000"/>
          <w:sz w:val="24"/>
          <w:szCs w:val="24"/>
        </w:rPr>
      </w:pPr>
    </w:p>
    <w:p w:rsidR="00FD077A" w:rsidRPr="004E1707" w:rsidRDefault="00FD077A" w:rsidP="00BD07F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707">
        <w:rPr>
          <w:rFonts w:ascii="Times New Roman" w:eastAsia="Cambria" w:hAnsi="Times New Roman" w:cs="Times New Roman"/>
          <w:sz w:val="24"/>
          <w:szCs w:val="24"/>
        </w:rPr>
        <w:t xml:space="preserve">Qëllim kryesor i konsultimit publik për rishikimin e Udhëzimit Administrativ </w:t>
      </w:r>
      <w:r w:rsidR="00F2145E" w:rsidRPr="004E1707">
        <w:rPr>
          <w:rFonts w:ascii="Times New Roman" w:eastAsia="Cambria" w:hAnsi="Times New Roman" w:cs="Times New Roman"/>
          <w:sz w:val="24"/>
          <w:szCs w:val="24"/>
        </w:rPr>
        <w:t>Nr.11/</w:t>
      </w:r>
      <w:r w:rsidR="00F2145E" w:rsidRPr="004E1707">
        <w:rPr>
          <w:rFonts w:ascii="Times New Roman" w:eastAsia="Cambria" w:hAnsi="Times New Roman" w:cs="Times New Roman"/>
          <w:b/>
          <w:sz w:val="24"/>
          <w:szCs w:val="24"/>
        </w:rPr>
        <w:t>2010</w:t>
      </w:r>
      <w:r w:rsidR="00F2145E" w:rsidRPr="004E170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2145E" w:rsidRPr="004E1707">
        <w:rPr>
          <w:rFonts w:ascii="Times New Roman" w:eastAsia="Times New Roman" w:hAnsi="Times New Roman" w:cs="Times New Roman"/>
          <w:bCs/>
          <w:sz w:val="24"/>
          <w:szCs w:val="24"/>
        </w:rPr>
        <w:t xml:space="preserve">për Themelimin dhe </w:t>
      </w:r>
      <w:r w:rsidR="00502570" w:rsidRPr="004E1707">
        <w:rPr>
          <w:rFonts w:ascii="Times New Roman" w:eastAsia="Times New Roman" w:hAnsi="Times New Roman" w:cs="Times New Roman"/>
          <w:bCs/>
          <w:sz w:val="24"/>
          <w:szCs w:val="24"/>
        </w:rPr>
        <w:t>Funksionimin</w:t>
      </w:r>
      <w:r w:rsidR="00F2145E" w:rsidRPr="004E1707">
        <w:rPr>
          <w:rFonts w:ascii="Times New Roman" w:eastAsia="Times New Roman" w:hAnsi="Times New Roman" w:cs="Times New Roman"/>
          <w:bCs/>
          <w:sz w:val="24"/>
          <w:szCs w:val="24"/>
        </w:rPr>
        <w:t xml:space="preserve"> e Komitetit  të Auditimit në Subjektin e Sektorit Publik</w:t>
      </w:r>
      <w:r w:rsidR="00BD07F9" w:rsidRPr="004E17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104E">
        <w:rPr>
          <w:rFonts w:ascii="Times New Roman" w:eastAsia="Cambria" w:hAnsi="Times New Roman" w:cs="Times New Roman"/>
          <w:sz w:val="24"/>
          <w:szCs w:val="24"/>
        </w:rPr>
        <w:t xml:space="preserve">është </w:t>
      </w:r>
      <w:r w:rsidRPr="004E1707">
        <w:rPr>
          <w:rFonts w:ascii="Times New Roman" w:eastAsia="Cambria" w:hAnsi="Times New Roman" w:cs="Times New Roman"/>
          <w:sz w:val="24"/>
          <w:szCs w:val="24"/>
        </w:rPr>
        <w:t>që Ministria e financave/NjQH si organ propozues, të sigurojë opinionet, komentet dhe rekomandimet nga</w:t>
      </w:r>
      <w:r w:rsidR="004E1707">
        <w:rPr>
          <w:rFonts w:ascii="Times New Roman" w:eastAsia="Cambria" w:hAnsi="Times New Roman" w:cs="Times New Roman"/>
          <w:sz w:val="24"/>
          <w:szCs w:val="24"/>
        </w:rPr>
        <w:t xml:space="preserve"> grupet e caktuara të interesit.</w:t>
      </w:r>
      <w:r w:rsidRPr="004E1707">
        <w:rPr>
          <w:rFonts w:ascii="Times New Roman" w:eastAsia="Cambria" w:hAnsi="Times New Roman" w:cs="Times New Roman"/>
          <w:sz w:val="24"/>
          <w:szCs w:val="24"/>
        </w:rPr>
        <w:t xml:space="preserve"> Rëndësia e konsultimit publik me </w:t>
      </w:r>
      <w:proofErr w:type="spellStart"/>
      <w:r w:rsidRPr="004E1707">
        <w:rPr>
          <w:rFonts w:ascii="Times New Roman" w:eastAsia="Cambria" w:hAnsi="Times New Roman" w:cs="Times New Roman"/>
          <w:sz w:val="24"/>
          <w:szCs w:val="24"/>
        </w:rPr>
        <w:t>akterët</w:t>
      </w:r>
      <w:proofErr w:type="spellEnd"/>
      <w:r w:rsidRPr="004E1707">
        <w:rPr>
          <w:rFonts w:ascii="Times New Roman" w:eastAsia="Cambria" w:hAnsi="Times New Roman" w:cs="Times New Roman"/>
          <w:sz w:val="24"/>
          <w:szCs w:val="24"/>
        </w:rPr>
        <w:t xml:space="preserve"> përkatës </w:t>
      </w:r>
      <w:r w:rsidR="00D56EDA">
        <w:rPr>
          <w:rFonts w:ascii="Times New Roman" w:eastAsia="Cambria" w:hAnsi="Times New Roman" w:cs="Times New Roman"/>
          <w:sz w:val="24"/>
          <w:szCs w:val="24"/>
        </w:rPr>
        <w:t>është që</w:t>
      </w:r>
      <w:r w:rsidRPr="004E1707">
        <w:rPr>
          <w:rFonts w:ascii="Times New Roman" w:eastAsia="Cambria" w:hAnsi="Times New Roman" w:cs="Times New Roman"/>
          <w:sz w:val="24"/>
          <w:szCs w:val="24"/>
        </w:rPr>
        <w:t xml:space="preserve"> të ndiko</w:t>
      </w:r>
      <w:r w:rsidR="00D56EDA">
        <w:rPr>
          <w:rFonts w:ascii="Times New Roman" w:eastAsia="Cambria" w:hAnsi="Times New Roman" w:cs="Times New Roman"/>
          <w:sz w:val="24"/>
          <w:szCs w:val="24"/>
        </w:rPr>
        <w:t>jë</w:t>
      </w:r>
      <w:r w:rsidRPr="004E1707">
        <w:rPr>
          <w:rFonts w:ascii="Times New Roman" w:eastAsia="Cambria" w:hAnsi="Times New Roman" w:cs="Times New Roman"/>
          <w:sz w:val="24"/>
          <w:szCs w:val="24"/>
        </w:rPr>
        <w:t xml:space="preserve"> drejtpërdrejtë  në cilësinë e përmbajtjes së </w:t>
      </w:r>
      <w:r w:rsidR="000E77EA" w:rsidRPr="004E1707">
        <w:rPr>
          <w:rFonts w:ascii="Times New Roman" w:eastAsia="Cambria" w:hAnsi="Times New Roman" w:cs="Times New Roman"/>
          <w:sz w:val="24"/>
          <w:szCs w:val="24"/>
        </w:rPr>
        <w:t xml:space="preserve">projekt </w:t>
      </w:r>
      <w:r w:rsidR="00F2145E" w:rsidRPr="004E1707">
        <w:rPr>
          <w:rFonts w:ascii="Times New Roman" w:eastAsia="Cambria" w:hAnsi="Times New Roman" w:cs="Times New Roman"/>
          <w:sz w:val="24"/>
          <w:szCs w:val="24"/>
        </w:rPr>
        <w:t xml:space="preserve">udhëzimin </w:t>
      </w:r>
      <w:r w:rsidRPr="004E1707">
        <w:rPr>
          <w:rFonts w:ascii="Times New Roman" w:eastAsia="Cambria" w:hAnsi="Times New Roman" w:cs="Times New Roman"/>
          <w:sz w:val="24"/>
          <w:szCs w:val="24"/>
        </w:rPr>
        <w:t>në fjalë.</w:t>
      </w:r>
    </w:p>
    <w:p w:rsidR="00FD077A" w:rsidRPr="004E1707" w:rsidRDefault="00FD077A" w:rsidP="00FD077A">
      <w:pPr>
        <w:spacing w:after="0" w:line="240" w:lineRule="auto"/>
        <w:jc w:val="both"/>
        <w:rPr>
          <w:rFonts w:ascii="Times New Roman" w:eastAsia="Cambria" w:hAnsi="Times New Roman" w:cs="Times New Roman"/>
          <w:color w:val="FF0000"/>
          <w:sz w:val="24"/>
          <w:szCs w:val="24"/>
        </w:rPr>
      </w:pPr>
    </w:p>
    <w:p w:rsidR="00FD077A" w:rsidRPr="00050DB2" w:rsidRDefault="00FD077A" w:rsidP="00FD077A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50DB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Përveç publikimit të dokumenteve për konsultim në platformën qeveritare </w:t>
      </w:r>
      <w:proofErr w:type="spellStart"/>
      <w:r w:rsidRPr="00050DB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online</w:t>
      </w:r>
      <w:proofErr w:type="spellEnd"/>
      <w:r w:rsidRPr="00050DB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NJQH ka mbajtur edhe takime të brendshme me njësitë organizative përkatëse.</w:t>
      </w:r>
    </w:p>
    <w:p w:rsidR="00FD077A" w:rsidRPr="0096585F" w:rsidRDefault="00FD077A" w:rsidP="00FD077A">
      <w:pPr>
        <w:spacing w:after="0" w:line="240" w:lineRule="auto"/>
        <w:jc w:val="both"/>
        <w:rPr>
          <w:rFonts w:ascii="Times New Roman" w:eastAsia="Cambria" w:hAnsi="Times New Roman" w:cs="Times New Roman"/>
          <w:i/>
          <w:color w:val="FF0000"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Look w:val="04A0" w:firstRow="1" w:lastRow="0" w:firstColumn="1" w:lastColumn="0" w:noHBand="0" w:noVBand="1"/>
      </w:tblPr>
      <w:tblGrid>
        <w:gridCol w:w="3503"/>
        <w:gridCol w:w="2346"/>
        <w:gridCol w:w="3096"/>
      </w:tblGrid>
      <w:tr w:rsidR="0096585F" w:rsidRPr="0096585F" w:rsidTr="0040172C">
        <w:tc>
          <w:tcPr>
            <w:tcW w:w="3503" w:type="dxa"/>
            <w:tcBorders>
              <w:top w:val="single" w:sz="4" w:space="0" w:color="B6DDE8"/>
              <w:left w:val="single" w:sz="4" w:space="0" w:color="B6DDE8"/>
              <w:bottom w:val="single" w:sz="12" w:space="0" w:color="92CDDC"/>
              <w:right w:val="single" w:sz="4" w:space="0" w:color="B6DDE8"/>
            </w:tcBorders>
            <w:shd w:val="clear" w:color="auto" w:fill="F2DBDB"/>
            <w:hideMark/>
          </w:tcPr>
          <w:p w:rsidR="00FD077A" w:rsidRPr="0096585F" w:rsidRDefault="00FD077A" w:rsidP="00FD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585F">
              <w:rPr>
                <w:rFonts w:ascii="Times New Roman" w:eastAsia="Cambria" w:hAnsi="Times New Roman" w:cs="Times New Roman"/>
                <w:b/>
                <w:bCs/>
                <w:color w:val="FF0000"/>
                <w:sz w:val="24"/>
                <w:szCs w:val="24"/>
              </w:rPr>
              <w:t>Metodat e Konsultimit</w:t>
            </w:r>
          </w:p>
        </w:tc>
        <w:tc>
          <w:tcPr>
            <w:tcW w:w="2346" w:type="dxa"/>
            <w:tcBorders>
              <w:top w:val="single" w:sz="4" w:space="0" w:color="B6DDE8"/>
              <w:left w:val="single" w:sz="4" w:space="0" w:color="B6DDE8"/>
              <w:bottom w:val="single" w:sz="12" w:space="0" w:color="92CDDC"/>
              <w:right w:val="single" w:sz="4" w:space="0" w:color="B6DDE8"/>
            </w:tcBorders>
            <w:shd w:val="clear" w:color="auto" w:fill="F2DBDB"/>
            <w:hideMark/>
          </w:tcPr>
          <w:p w:rsidR="00FD077A" w:rsidRPr="0096585F" w:rsidRDefault="00FD077A" w:rsidP="00FD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585F">
              <w:rPr>
                <w:rFonts w:ascii="Times New Roman" w:eastAsia="Cambria" w:hAnsi="Times New Roman" w:cs="Times New Roman"/>
                <w:b/>
                <w:bCs/>
                <w:color w:val="FF0000"/>
                <w:sz w:val="24"/>
                <w:szCs w:val="24"/>
              </w:rPr>
              <w:t>Datat/kohëzgjatja</w:t>
            </w:r>
          </w:p>
        </w:tc>
        <w:tc>
          <w:tcPr>
            <w:tcW w:w="2881" w:type="dxa"/>
            <w:tcBorders>
              <w:top w:val="single" w:sz="4" w:space="0" w:color="B6DDE8"/>
              <w:left w:val="single" w:sz="4" w:space="0" w:color="B6DDE8"/>
              <w:bottom w:val="single" w:sz="12" w:space="0" w:color="92CDDC"/>
              <w:right w:val="single" w:sz="4" w:space="0" w:color="B6DDE8"/>
            </w:tcBorders>
            <w:shd w:val="clear" w:color="auto" w:fill="F2DBDB"/>
            <w:hideMark/>
          </w:tcPr>
          <w:p w:rsidR="00FD077A" w:rsidRPr="0096585F" w:rsidRDefault="00FD077A" w:rsidP="00FD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585F">
              <w:rPr>
                <w:rFonts w:ascii="Times New Roman" w:eastAsia="Cambria" w:hAnsi="Times New Roman" w:cs="Times New Roman"/>
                <w:b/>
                <w:bCs/>
                <w:color w:val="FF0000"/>
                <w:sz w:val="24"/>
                <w:szCs w:val="24"/>
              </w:rPr>
              <w:t>Numri i pjesëmarrësve/</w:t>
            </w:r>
            <w:proofErr w:type="spellStart"/>
            <w:r w:rsidRPr="0096585F">
              <w:rPr>
                <w:rFonts w:ascii="Times New Roman" w:eastAsia="Cambria" w:hAnsi="Times New Roman" w:cs="Times New Roman"/>
                <w:b/>
                <w:bCs/>
                <w:color w:val="FF0000"/>
                <w:sz w:val="24"/>
                <w:szCs w:val="24"/>
              </w:rPr>
              <w:t>kontribuesve</w:t>
            </w:r>
            <w:proofErr w:type="spellEnd"/>
          </w:p>
        </w:tc>
      </w:tr>
      <w:tr w:rsidR="0096585F" w:rsidRPr="0096585F" w:rsidTr="0040172C">
        <w:tc>
          <w:tcPr>
            <w:tcW w:w="3503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F2DBDB"/>
            <w:hideMark/>
          </w:tcPr>
          <w:p w:rsidR="00FD077A" w:rsidRPr="0096585F" w:rsidRDefault="00FD077A" w:rsidP="00FD077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Cambria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585F">
              <w:rPr>
                <w:rFonts w:ascii="Times New Roman" w:eastAsia="Cambria" w:hAnsi="Times New Roman" w:cs="Times New Roman"/>
                <w:bCs/>
                <w:color w:val="FF0000"/>
                <w:sz w:val="24"/>
                <w:szCs w:val="24"/>
              </w:rPr>
              <w:t>Konsultimet me shkrim / në mënyrë elektronike;</w:t>
            </w:r>
          </w:p>
        </w:tc>
        <w:tc>
          <w:tcPr>
            <w:tcW w:w="234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hideMark/>
          </w:tcPr>
          <w:p w:rsidR="00FD077A" w:rsidRPr="0096585F" w:rsidRDefault="00FD077A" w:rsidP="00FD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  <w:r w:rsidRPr="0096585F"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 xml:space="preserve">15 ditë pune </w:t>
            </w:r>
          </w:p>
        </w:tc>
        <w:tc>
          <w:tcPr>
            <w:tcW w:w="288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hideMark/>
          </w:tcPr>
          <w:p w:rsidR="00FD077A" w:rsidRPr="0096585F" w:rsidRDefault="004D2E62" w:rsidP="004D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>1</w:t>
            </w:r>
            <w:r w:rsidR="00FD077A" w:rsidRPr="0096585F"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D077A" w:rsidRPr="0096585F"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>Kontribues</w:t>
            </w:r>
            <w:proofErr w:type="spellEnd"/>
            <w:r w:rsidR="00FD077A" w:rsidRPr="0096585F"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6585F" w:rsidRPr="0096585F" w:rsidTr="0040172C">
        <w:tc>
          <w:tcPr>
            <w:tcW w:w="3503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F2DBDB"/>
            <w:hideMark/>
          </w:tcPr>
          <w:p w:rsidR="00FD077A" w:rsidRPr="0096585F" w:rsidRDefault="00FD077A" w:rsidP="00FD077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Cambria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585F">
              <w:rPr>
                <w:rFonts w:ascii="Times New Roman" w:eastAsia="Cambria" w:hAnsi="Times New Roman" w:cs="Times New Roman"/>
                <w:bCs/>
                <w:color w:val="FF0000"/>
                <w:sz w:val="24"/>
                <w:szCs w:val="24"/>
              </w:rPr>
              <w:t>Publikimi në ueb faqe/Platforma elektronike</w:t>
            </w:r>
          </w:p>
        </w:tc>
        <w:tc>
          <w:tcPr>
            <w:tcW w:w="234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hideMark/>
          </w:tcPr>
          <w:p w:rsidR="00FD077A" w:rsidRPr="0096585F" w:rsidRDefault="00FD077A" w:rsidP="00FD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  <w:r w:rsidRPr="0096585F"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 xml:space="preserve">15 ditë pune </w:t>
            </w:r>
          </w:p>
        </w:tc>
        <w:tc>
          <w:tcPr>
            <w:tcW w:w="288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hideMark/>
          </w:tcPr>
          <w:p w:rsidR="00FD077A" w:rsidRPr="0096585F" w:rsidRDefault="00FD077A" w:rsidP="004D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  <w:r w:rsidRPr="0096585F"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D2E62"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>1</w:t>
            </w:r>
            <w:r w:rsidRPr="0096585F"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6585F"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>Kontribues</w:t>
            </w:r>
            <w:proofErr w:type="spellEnd"/>
            <w:r w:rsidRPr="0096585F"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6585F" w:rsidRPr="0096585F" w:rsidTr="0040172C">
        <w:tc>
          <w:tcPr>
            <w:tcW w:w="3503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F2DBDB"/>
          </w:tcPr>
          <w:p w:rsidR="00FD077A" w:rsidRPr="0096585F" w:rsidRDefault="00FD077A" w:rsidP="00FD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Cambria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FD077A" w:rsidRPr="0096585F" w:rsidRDefault="00FD077A" w:rsidP="00FD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hideMark/>
          </w:tcPr>
          <w:p w:rsidR="00FD077A" w:rsidRPr="0096585F" w:rsidRDefault="00FD077A" w:rsidP="00FD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  <w:r w:rsidRPr="0096585F"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FD077A" w:rsidRPr="0096585F" w:rsidRDefault="00FD077A" w:rsidP="00FD077A">
      <w:pPr>
        <w:spacing w:after="0" w:line="240" w:lineRule="auto"/>
        <w:jc w:val="both"/>
        <w:rPr>
          <w:rFonts w:ascii="Times New Roman" w:eastAsia="Cambria" w:hAnsi="Times New Roman" w:cs="Times New Roman"/>
          <w:color w:val="FF0000"/>
          <w:sz w:val="24"/>
          <w:szCs w:val="24"/>
        </w:rPr>
      </w:pPr>
    </w:p>
    <w:p w:rsidR="00FD077A" w:rsidRPr="0096585F" w:rsidRDefault="00FD077A" w:rsidP="00FD077A">
      <w:pPr>
        <w:spacing w:after="0" w:line="240" w:lineRule="auto"/>
        <w:jc w:val="both"/>
        <w:rPr>
          <w:rFonts w:ascii="Times New Roman" w:eastAsia="Cambria" w:hAnsi="Times New Roman" w:cs="Times New Roman"/>
          <w:color w:val="FF0000"/>
          <w:sz w:val="24"/>
          <w:szCs w:val="24"/>
        </w:rPr>
      </w:pPr>
    </w:p>
    <w:p w:rsidR="00D56EDA" w:rsidRDefault="00D56EDA" w:rsidP="00FD077A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FD077A" w:rsidRPr="00184036" w:rsidRDefault="00FD077A" w:rsidP="00FD077A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84036">
        <w:rPr>
          <w:rFonts w:ascii="Times New Roman" w:eastAsia="Cambria" w:hAnsi="Times New Roman" w:cs="Times New Roman"/>
          <w:b/>
          <w:sz w:val="24"/>
          <w:szCs w:val="24"/>
        </w:rPr>
        <w:t>Përmbledhje e  kontributeve të pranuara gjatë procesit të konsultimit</w:t>
      </w:r>
    </w:p>
    <w:p w:rsidR="00FD077A" w:rsidRPr="00184036" w:rsidRDefault="00FD077A" w:rsidP="00FD077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D077A" w:rsidRPr="00184036" w:rsidRDefault="00FD077A" w:rsidP="00FD077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84036">
        <w:rPr>
          <w:rFonts w:ascii="Times New Roman" w:eastAsia="Cambria" w:hAnsi="Times New Roman" w:cs="Times New Roman"/>
          <w:sz w:val="24"/>
          <w:szCs w:val="24"/>
        </w:rPr>
        <w:t>Konsiderohet që konsultimi përmes platformës elektronike paraqet një mundësi shumë të mirë për të marrë kontribute nga ana e palëve të interesit.</w:t>
      </w:r>
    </w:p>
    <w:p w:rsidR="00FD077A" w:rsidRPr="00184036" w:rsidRDefault="00FD077A" w:rsidP="00FD0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184036">
        <w:rPr>
          <w:rFonts w:ascii="Times New Roman" w:eastAsia="Cambria" w:hAnsi="Times New Roman" w:cs="Times New Roman"/>
          <w:sz w:val="24"/>
          <w:szCs w:val="24"/>
        </w:rPr>
        <w:t xml:space="preserve">Vlen të theksohet se gjatë procesit të konsultimeve publike përmes platformës </w:t>
      </w:r>
      <w:proofErr w:type="spellStart"/>
      <w:r w:rsidRPr="00184036">
        <w:rPr>
          <w:rFonts w:ascii="Times New Roman" w:eastAsia="Cambria" w:hAnsi="Times New Roman" w:cs="Times New Roman"/>
          <w:sz w:val="24"/>
          <w:szCs w:val="24"/>
        </w:rPr>
        <w:t>online</w:t>
      </w:r>
      <w:proofErr w:type="spellEnd"/>
      <w:r w:rsidRPr="00184036">
        <w:rPr>
          <w:rFonts w:ascii="Times New Roman" w:eastAsia="Cambria" w:hAnsi="Times New Roman" w:cs="Times New Roman"/>
          <w:sz w:val="24"/>
          <w:szCs w:val="24"/>
        </w:rPr>
        <w:t xml:space="preserve"> të konsultimeve publike,  NjQH  ka  pranuar dhe  ka  zbatuar  ndonjë koment si  kontribut për hartimin e </w:t>
      </w:r>
      <w:r w:rsidRPr="00184036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</w:t>
      </w:r>
      <w:r w:rsidR="00184036" w:rsidRPr="00184036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P</w:t>
      </w:r>
      <w:r w:rsidR="00782A1C" w:rsidRPr="00184036">
        <w:rPr>
          <w:rFonts w:ascii="Times New Roman" w:eastAsia="Cambria" w:hAnsi="Times New Roman" w:cs="Times New Roman"/>
          <w:sz w:val="24"/>
          <w:szCs w:val="24"/>
        </w:rPr>
        <w:t xml:space="preserve">rojekt Udhëzimin  </w:t>
      </w:r>
      <w:r w:rsidR="00782A1C" w:rsidRPr="00184036">
        <w:rPr>
          <w:rFonts w:ascii="Times New Roman" w:eastAsia="Times New Roman" w:hAnsi="Times New Roman" w:cs="Times New Roman"/>
          <w:bCs/>
          <w:sz w:val="24"/>
          <w:szCs w:val="24"/>
        </w:rPr>
        <w:t xml:space="preserve">për Themelimin dhe  </w:t>
      </w:r>
      <w:r w:rsidR="00184036" w:rsidRPr="00184036">
        <w:rPr>
          <w:rFonts w:ascii="Times New Roman" w:eastAsia="Times New Roman" w:hAnsi="Times New Roman" w:cs="Times New Roman"/>
          <w:bCs/>
          <w:sz w:val="24"/>
          <w:szCs w:val="24"/>
        </w:rPr>
        <w:t>Funksionimin</w:t>
      </w:r>
      <w:r w:rsidR="00782A1C" w:rsidRPr="00184036">
        <w:rPr>
          <w:rFonts w:ascii="Times New Roman" w:eastAsia="Times New Roman" w:hAnsi="Times New Roman" w:cs="Times New Roman"/>
          <w:bCs/>
          <w:sz w:val="24"/>
          <w:szCs w:val="24"/>
        </w:rPr>
        <w:t xml:space="preserve"> e Komitetit  të Auditimit në Subjektin e Sektorit Publik</w:t>
      </w:r>
      <w:r w:rsidR="00184036" w:rsidRPr="00184036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.</w:t>
      </w:r>
    </w:p>
    <w:p w:rsidR="00FD077A" w:rsidRPr="00184036" w:rsidRDefault="00FD077A" w:rsidP="00FD077A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90313E" w:rsidRPr="005F2F16" w:rsidRDefault="00FD077A" w:rsidP="00DA55E0">
      <w:pPr>
        <w:keepNext/>
        <w:spacing w:after="160" w:line="259" w:lineRule="auto"/>
        <w:jc w:val="center"/>
        <w:outlineLvl w:val="7"/>
        <w:rPr>
          <w:rFonts w:ascii="Times New Roman" w:eastAsia="Cambria" w:hAnsi="Times New Roman" w:cs="Times New Roman"/>
          <w:b/>
          <w:sz w:val="24"/>
          <w:szCs w:val="24"/>
        </w:rPr>
      </w:pPr>
      <w:r w:rsidRPr="005F2F16">
        <w:rPr>
          <w:rFonts w:ascii="Times New Roman" w:eastAsia="Cambria" w:hAnsi="Times New Roman" w:cs="Times New Roman"/>
          <w:b/>
          <w:sz w:val="24"/>
          <w:szCs w:val="24"/>
        </w:rPr>
        <w:t xml:space="preserve">SHTOJCA </w:t>
      </w:r>
      <w:r w:rsidR="002E0F72" w:rsidRPr="005F2F16">
        <w:rPr>
          <w:rFonts w:ascii="Times New Roman" w:eastAsia="Cambria" w:hAnsi="Times New Roman" w:cs="Times New Roman"/>
          <w:b/>
          <w:sz w:val="24"/>
          <w:szCs w:val="24"/>
        </w:rPr>
        <w:t>–</w:t>
      </w:r>
      <w:r w:rsidRPr="005F2F16">
        <w:rPr>
          <w:rFonts w:ascii="Times New Roman" w:eastAsia="Cambria" w:hAnsi="Times New Roman" w:cs="Times New Roman"/>
          <w:b/>
          <w:sz w:val="24"/>
          <w:szCs w:val="24"/>
        </w:rPr>
        <w:t xml:space="preserve"> KOMENTET</w:t>
      </w:r>
    </w:p>
    <w:p w:rsidR="0090313E" w:rsidRPr="00B0082A" w:rsidRDefault="0090313E" w:rsidP="00FD077A">
      <w:pPr>
        <w:spacing w:after="0" w:line="240" w:lineRule="auto"/>
        <w:jc w:val="both"/>
        <w:rPr>
          <w:rFonts w:ascii="Cambria" w:eastAsia="Cambria" w:hAnsi="Cambria" w:cs="Times New Roman"/>
          <w:b/>
          <w:color w:val="000000" w:themeColor="text1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065"/>
        <w:gridCol w:w="4770"/>
        <w:gridCol w:w="2520"/>
        <w:gridCol w:w="3600"/>
      </w:tblGrid>
      <w:tr w:rsidR="0090313E" w:rsidRPr="00DA55E0" w:rsidTr="00DA55E0">
        <w:tc>
          <w:tcPr>
            <w:tcW w:w="2065" w:type="dxa"/>
          </w:tcPr>
          <w:p w:rsidR="0090313E" w:rsidRPr="00DA55E0" w:rsidRDefault="0090313E" w:rsidP="0090313E">
            <w:pPr>
              <w:spacing w:after="0" w:line="240" w:lineRule="auto"/>
              <w:rPr>
                <w:b/>
                <w:lang w:val="sq-AL"/>
              </w:rPr>
            </w:pPr>
            <w:r w:rsidRPr="00DA55E0">
              <w:rPr>
                <w:b/>
                <w:lang w:val="sq-AL"/>
              </w:rPr>
              <w:t>KOMENTUESI</w:t>
            </w:r>
          </w:p>
        </w:tc>
        <w:tc>
          <w:tcPr>
            <w:tcW w:w="4770" w:type="dxa"/>
          </w:tcPr>
          <w:p w:rsidR="0090313E" w:rsidRPr="00DA55E0" w:rsidRDefault="0090313E" w:rsidP="0090313E">
            <w:pPr>
              <w:spacing w:after="0" w:line="240" w:lineRule="auto"/>
              <w:rPr>
                <w:b/>
                <w:lang w:val="sq-AL"/>
              </w:rPr>
            </w:pPr>
            <w:r w:rsidRPr="00DA55E0">
              <w:rPr>
                <w:b/>
                <w:lang w:val="sq-AL"/>
              </w:rPr>
              <w:t>KOMENTI</w:t>
            </w:r>
          </w:p>
        </w:tc>
        <w:tc>
          <w:tcPr>
            <w:tcW w:w="2520" w:type="dxa"/>
          </w:tcPr>
          <w:p w:rsidR="0090313E" w:rsidRPr="00DA55E0" w:rsidRDefault="0090313E" w:rsidP="0090313E">
            <w:pPr>
              <w:spacing w:after="0" w:line="240" w:lineRule="auto"/>
              <w:rPr>
                <w:b/>
                <w:lang w:val="sq-AL"/>
              </w:rPr>
            </w:pPr>
            <w:r w:rsidRPr="00DA55E0">
              <w:rPr>
                <w:b/>
                <w:lang w:val="sq-AL"/>
              </w:rPr>
              <w:t>VLERËSIMI I KOMENTIT</w:t>
            </w:r>
          </w:p>
        </w:tc>
        <w:tc>
          <w:tcPr>
            <w:tcW w:w="3600" w:type="dxa"/>
          </w:tcPr>
          <w:p w:rsidR="0090313E" w:rsidRPr="00DA55E0" w:rsidRDefault="0090313E" w:rsidP="0090313E">
            <w:pPr>
              <w:spacing w:after="0" w:line="240" w:lineRule="auto"/>
              <w:rPr>
                <w:b/>
                <w:lang w:val="sq-AL"/>
              </w:rPr>
            </w:pPr>
            <w:r w:rsidRPr="00DA55E0">
              <w:rPr>
                <w:b/>
                <w:lang w:val="sq-AL"/>
              </w:rPr>
              <w:t>ARSYETIMI</w:t>
            </w:r>
          </w:p>
        </w:tc>
      </w:tr>
      <w:tr w:rsidR="0090313E" w:rsidRPr="00DA55E0" w:rsidTr="00DA55E0">
        <w:trPr>
          <w:trHeight w:val="1520"/>
        </w:trPr>
        <w:tc>
          <w:tcPr>
            <w:tcW w:w="2065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q-AL"/>
              </w:rPr>
              <w:t xml:space="preserve">KPMG </w:t>
            </w:r>
            <w:proofErr w:type="spellStart"/>
            <w:r w:rsidRPr="00DA5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q-AL"/>
              </w:rPr>
              <w:t>Albania</w:t>
            </w:r>
            <w:proofErr w:type="spellEnd"/>
            <w:r w:rsidRPr="00DA5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A5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q-AL"/>
              </w:rPr>
              <w:t>Shpk</w:t>
            </w:r>
            <w:proofErr w:type="spellEnd"/>
            <w:r w:rsidRPr="00DA5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A5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q-AL"/>
              </w:rPr>
              <w:t>Kosovo</w:t>
            </w:r>
            <w:proofErr w:type="spellEnd"/>
            <w:r w:rsidRPr="00DA5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A5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q-AL"/>
              </w:rPr>
              <w:t>Branch</w:t>
            </w:r>
            <w:proofErr w:type="spellEnd"/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</w:tcPr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q-AL" w:eastAsia="bg-BG"/>
              </w:rPr>
            </w:pPr>
            <w:r w:rsidRPr="00DA55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q-AL" w:eastAsia="bg-BG"/>
              </w:rPr>
              <w:t>1. Përbërja e Komitetit të Auditimit (KA)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Sipas </w:t>
            </w:r>
            <w:r w:rsidRPr="00DA55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Nenit 6, paragrafi 1</w:t>
            </w: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të Projekt Udhëzimit: “Komiteti i Auditimit emërohet nga udhëheqësi i subjektit të sektorit publik dhe përbëhet nga tre ose pesë anëtarë. Kryesuesi i Komitetit të Auditimit nuk duhet të jetë në pozitën udhëheqëse, dy të tretat e anëtarëve duhet të jenë të jashtëm, dhe pjesa tjetër nga stafi i brendshëm i subjektit të sektorit publik”.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</w:pPr>
            <w:r w:rsidRPr="00DA55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  <w:t xml:space="preserve">Propozim: 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Dispozita mund të zhvillohet më tej duke krijuar një procedurë zgjedhore për anëtarët e jashtëm të KA.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</w:pPr>
            <w:r w:rsidRPr="00DA55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  <w:t xml:space="preserve">Arsyet: 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Krijimi një procedure të qartë me shkrim do të garantojë një transparencë të procesit dhe një qasje e unifikuar do të zbatohet nga entitetet e sektorit publik.</w:t>
            </w:r>
          </w:p>
        </w:tc>
        <w:tc>
          <w:tcPr>
            <w:tcW w:w="2520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Komenti nuk është pranuar</w:t>
            </w: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600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Marrë parasysh stadin e zhvillimit të sektorit të </w:t>
            </w:r>
            <w:proofErr w:type="spellStart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auditimit</w:t>
            </w:r>
            <w:proofErr w:type="spellEnd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të brendshëm në Republikën e Kosovës, mendojmë se ky propozim do të krijonte procedurat të stërzgjatura në emërimin e Komitetit të Auditimit.</w:t>
            </w:r>
          </w:p>
        </w:tc>
      </w:tr>
      <w:tr w:rsidR="0090313E" w:rsidRPr="00DA55E0" w:rsidTr="00DA55E0">
        <w:tc>
          <w:tcPr>
            <w:tcW w:w="2065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</w:tcPr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q-AL" w:eastAsia="bg-BG"/>
              </w:rPr>
            </w:pPr>
            <w:r w:rsidRPr="00DA55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q-AL" w:eastAsia="bg-BG"/>
              </w:rPr>
              <w:t>2. Aftësi të veçanta dhe ekspertizë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sq-AL" w:eastAsia="bg-BG"/>
              </w:rPr>
            </w:pPr>
          </w:p>
          <w:p w:rsidR="0090313E" w:rsidRPr="00DA55E0" w:rsidRDefault="0090313E" w:rsidP="0090313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Neni 6, par. 3</w:t>
            </w: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 Projekt Udhëzimit kërkon njohuri dhe përvojë të anëtarëve të KA në njërën nga fushat e mëposhtme: </w:t>
            </w:r>
            <w:r w:rsidRPr="00DA55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Financa; Kontabilitet, </w:t>
            </w:r>
            <w:proofErr w:type="spellStart"/>
            <w:r w:rsidRPr="00DA55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Auditim</w:t>
            </w:r>
            <w:proofErr w:type="spellEnd"/>
            <w:r w:rsidRPr="00DA55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i Brendshëm, </w:t>
            </w:r>
            <w:proofErr w:type="spellStart"/>
            <w:r w:rsidRPr="00DA55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Auditim</w:t>
            </w:r>
            <w:proofErr w:type="spellEnd"/>
            <w:r w:rsidRPr="00DA55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i Jashtëm, Menaxhim i Rrezikut, Legjislacion dhe Teknologji e Informacionit</w:t>
            </w: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</w:pPr>
            <w:r w:rsidRPr="00DA55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  <w:t>Propozim: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Neni mund të zhvillohet më tej duke prezantuar kërkesat e mëposhtme të cilat mund të jenë të zbatueshme për të paktën një/disa ose të gjithë anëtarët e KA: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• Numri i viteve të përvojës profesionale në fushën përkatëse (p.sh. 5 vjet përvojë);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• Një diplomë universitare (p.sh. një diplomë </w:t>
            </w:r>
            <w:proofErr w:type="spellStart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Master</w:t>
            </w:r>
            <w:proofErr w:type="spellEnd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  <w:p w:rsidR="00DA55E0" w:rsidRDefault="00DA55E0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</w:pPr>
          </w:p>
          <w:p w:rsidR="00275ACE" w:rsidRPr="00DA55E0" w:rsidRDefault="00275AC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</w:pPr>
            <w:r w:rsidRPr="00DA55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  <w:t>Arsyet:</w:t>
            </w:r>
          </w:p>
          <w:p w:rsidR="0090313E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Specifikimi i aftësive dhe ekspertizës së kërkuar të anëtarëve të komitetit të </w:t>
            </w:r>
            <w:proofErr w:type="spellStart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auditimit</w:t>
            </w:r>
            <w:proofErr w:type="spellEnd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mund të kontribuojë në efektivitetin e komitetit të </w:t>
            </w:r>
            <w:proofErr w:type="spellStart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auditimit</w:t>
            </w:r>
            <w:proofErr w:type="spellEnd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. Prandaj, është e rëndësishme që anëtarët individual të komitetit të </w:t>
            </w:r>
            <w:proofErr w:type="spellStart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auditimit</w:t>
            </w:r>
            <w:proofErr w:type="spellEnd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të kenë ekspertizën e duhur e cila garantohet me kohëzgjatje të caktuar të përvojës profesionale dhe diplomës universitare.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Komenti është pranuar pjesërisht</w:t>
            </w:r>
          </w:p>
        </w:tc>
        <w:tc>
          <w:tcPr>
            <w:tcW w:w="3600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Vlerësohet se kërkesa për një periudhë përvoje për të qenë anëtar i Komitetit të Auditimit është i nevojshëm, por periudha 5 vjeçare mund të jetë shumë e gjatë. Andaj, është vlerësuar se në këtë fazë mjafton periudha 2 vjeçare e përvojës. 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Sa i përket kërkesë për diplomë, pozitat në të cilat kërkohet përvoja janë pozitat për të cilat në shërbimin civil punësimi bëhet pas diplomimit në fushën përkatëse. Ndërsa diploma e </w:t>
            </w:r>
            <w:proofErr w:type="spellStart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masterit</w:t>
            </w:r>
            <w:proofErr w:type="spellEnd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konsiderohet jo e domosdoshme. </w:t>
            </w:r>
          </w:p>
        </w:tc>
      </w:tr>
      <w:tr w:rsidR="0090313E" w:rsidRPr="00DA55E0" w:rsidTr="00DA55E0">
        <w:tc>
          <w:tcPr>
            <w:tcW w:w="2065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</w:tcPr>
          <w:p w:rsidR="00275ACE" w:rsidRDefault="00275ACE" w:rsidP="00903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q-AL" w:eastAsia="bg-BG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1F497D"/>
                <w:sz w:val="24"/>
                <w:szCs w:val="24"/>
                <w:lang w:val="sq-AL" w:eastAsia="bg-BG"/>
              </w:rPr>
            </w:pPr>
            <w:r w:rsidRPr="00DA55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q-AL" w:eastAsia="bg-BG"/>
              </w:rPr>
              <w:t>3. Efektiviteti i Komitetit të Auditimit</w:t>
            </w: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1F497D"/>
                <w:sz w:val="24"/>
                <w:szCs w:val="24"/>
                <w:lang w:val="sq-AL" w:eastAsia="bg-BG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</w:pPr>
            <w:r w:rsidRPr="00DA55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  <w:lastRenderedPageBreak/>
              <w:t>Propozim:</w:t>
            </w: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Mund të futet një ndalesë për pjesëmarrje në më shumë se dy komitete të </w:t>
            </w:r>
            <w:proofErr w:type="spellStart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auditimit</w:t>
            </w:r>
            <w:proofErr w:type="spellEnd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</w:pPr>
            <w:r w:rsidRPr="00DA55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  <w:t>Arsyet:</w:t>
            </w: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Ky mekanizëm do të garantojë që shërbimi i njëkohshëm nuk do të dëmtonte aftësinë e anëtarit përkatës për të shërbyer në mënyrë efektive në Komitetin e Auditimit.</w:t>
            </w: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Komenti është pranuar</w:t>
            </w:r>
          </w:p>
        </w:tc>
        <w:tc>
          <w:tcPr>
            <w:tcW w:w="3600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Kjo është reflektuar në nenin 6, në një paragraf të ri me numrin rendor 6.</w:t>
            </w:r>
          </w:p>
        </w:tc>
      </w:tr>
      <w:tr w:rsidR="0090313E" w:rsidRPr="00DA55E0" w:rsidTr="00DA55E0">
        <w:tc>
          <w:tcPr>
            <w:tcW w:w="2065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</w:tcPr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q-AL" w:eastAsia="bg-BG"/>
              </w:rPr>
            </w:pPr>
            <w:r w:rsidRPr="00DA55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q-AL" w:eastAsia="bg-BG"/>
              </w:rPr>
              <w:t>4. Roli i Komitetit të Auditimit në lidhje me pavarësinë e Njësisë së Auditimit të Brendshëm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Sipas </w:t>
            </w:r>
            <w:r w:rsidRPr="00DA55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Nenit 5, paragrafi 2 </w:t>
            </w: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 Projekt Udhëzimit: “KA mbështet Njësinë e Auditimit të Brendshëm </w:t>
            </w:r>
            <w:r w:rsidRPr="00DA55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për të siguruar pavarësinë nga ndërhyrjet  e menaxherëve, operacionet  e të cilëve </w:t>
            </w:r>
            <w:proofErr w:type="spellStart"/>
            <w:r w:rsidRPr="00DA55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auditohen</w:t>
            </w:r>
            <w:proofErr w:type="spellEnd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për të siguruar që rekomandimet e auditorit janë trajtuar si duhet nga udhëheqësi i subjektit të sektorit publik”.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  <w:t>Propozim: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Dispozita mund të zhvillohet më tej duke prezantuar kërkesat e mëposhtme: Auditori i Brendshëm i raporton Komitetit të Auditimit sa herë që pavarësia e tij ose saj mund të dëmtohet dhe përshkruan masat e mundshme për të mbrojtur pavarësinë.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</w:pPr>
            <w:r w:rsidRPr="00DA55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  <w:t xml:space="preserve">Arsyet: </w:t>
            </w:r>
          </w:p>
          <w:p w:rsidR="0090313E" w:rsidRPr="00DA55E0" w:rsidRDefault="0090313E" w:rsidP="009D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Krijimi i një mekanizmi dhe masave për mbrojtjen e pavarësisë janë në përputhje me </w:t>
            </w: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Standardet Ndërkombëtare të IAB për Praktikat Profesionale të Auditimit të Brendshëm.</w:t>
            </w:r>
          </w:p>
        </w:tc>
        <w:tc>
          <w:tcPr>
            <w:tcW w:w="2520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Komenti nuk është pranuar.</w:t>
            </w:r>
          </w:p>
        </w:tc>
        <w:tc>
          <w:tcPr>
            <w:tcW w:w="3600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Propozimi i bërë është pjesërisht i adresuar me dispozitat tjera. Ndërsa pjesa ku kërkohet që auditori i brendshëm t’i raportojë Komitetit nuk është në përputhje të plotë me Ligjin e Kontrollit të Brendshëm të Financave Publike dhe me legjislacionin e shërbimit civil.</w:t>
            </w:r>
          </w:p>
        </w:tc>
      </w:tr>
      <w:tr w:rsidR="0090313E" w:rsidRPr="00DA55E0" w:rsidTr="00DA55E0">
        <w:tc>
          <w:tcPr>
            <w:tcW w:w="2065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</w:tcPr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q-AL" w:eastAsia="bg-BG"/>
              </w:rPr>
            </w:pPr>
            <w:r w:rsidRPr="00DA55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q-AL" w:eastAsia="bg-BG"/>
              </w:rPr>
              <w:t xml:space="preserve">5. Vlerësimi i kryerjes së veprimtarisë së </w:t>
            </w:r>
            <w:proofErr w:type="spellStart"/>
            <w:r w:rsidRPr="00DA55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q-AL" w:eastAsia="bg-BG"/>
              </w:rPr>
              <w:t>auditimit</w:t>
            </w:r>
            <w:proofErr w:type="spellEnd"/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sq-AL" w:eastAsia="bg-BG"/>
              </w:rPr>
            </w:pP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Sipas Nenit 7, paragrafi 1.5 i Projekt Udhëzimit: “KA mbikëqyr dhe vlerëson </w:t>
            </w:r>
            <w:proofErr w:type="spellStart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performancën</w:t>
            </w:r>
            <w:proofErr w:type="spellEnd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aktivitetit të </w:t>
            </w:r>
            <w:proofErr w:type="spellStart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auditimit</w:t>
            </w:r>
            <w:proofErr w:type="spellEnd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në përmbushjen e planit të miratuar përmes raporteve periodike nga udhëheqësit i njësisë së </w:t>
            </w:r>
            <w:proofErr w:type="spellStart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auditimit</w:t>
            </w:r>
            <w:proofErr w:type="spellEnd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të brendshëm”.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</w:pPr>
            <w:r w:rsidRPr="00DA55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  <w:t xml:space="preserve">Propozim: 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Udhëzimi mund të rregullojë më tej kriteret specifike të vlerësimit/treguesit e cilësisë së </w:t>
            </w:r>
            <w:proofErr w:type="spellStart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auditimit</w:t>
            </w:r>
            <w:proofErr w:type="spellEnd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dhe/ose pyetjet që duhet të shqyrtohen nga anëtarët e KA në vlerësimin e </w:t>
            </w:r>
            <w:proofErr w:type="spellStart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performancës</w:t>
            </w:r>
            <w:proofErr w:type="spellEnd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së </w:t>
            </w:r>
            <w:proofErr w:type="spellStart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auditimit</w:t>
            </w:r>
            <w:proofErr w:type="spellEnd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</w:pPr>
            <w:r w:rsidRPr="00DA55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  <w:t>Arsyet: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Duke marrë parasysh praktikat e mira në terren, theksi është vënë në matjen e cilësisë së </w:t>
            </w:r>
            <w:proofErr w:type="spellStart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auditimit</w:t>
            </w:r>
            <w:proofErr w:type="spellEnd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përmes zhvillimit të treguesve të cilësisë së </w:t>
            </w:r>
            <w:proofErr w:type="spellStart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auditimit</w:t>
            </w:r>
            <w:proofErr w:type="spellEnd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nga rregullatorët, organet mbikëqyrëse, organet profesionale. Treguesit e tillë mund të ndihmojnë komitetet e </w:t>
            </w:r>
            <w:proofErr w:type="spellStart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auditimit</w:t>
            </w:r>
            <w:proofErr w:type="spellEnd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për të bërë një vlerësim më objektiv të </w:t>
            </w:r>
            <w:proofErr w:type="spellStart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performancës</w:t>
            </w:r>
            <w:proofErr w:type="spellEnd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së auditorit në cilësinë e </w:t>
            </w:r>
            <w:proofErr w:type="spellStart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auditimit</w:t>
            </w:r>
            <w:proofErr w:type="spellEnd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Komenti nuk pranohet</w:t>
            </w:r>
          </w:p>
        </w:tc>
        <w:tc>
          <w:tcPr>
            <w:tcW w:w="3600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Kjo çështje mendojmë që është e rregulluar mjaftueshëm me nenin 7, paragrafi 1.5., nëse marrim parasysh edhe kriteret e vlerësimit të </w:t>
            </w:r>
            <w:proofErr w:type="spellStart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performancës</w:t>
            </w:r>
            <w:proofErr w:type="spellEnd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rregullat e vlerësimit në shërbimin civil.</w:t>
            </w:r>
          </w:p>
        </w:tc>
      </w:tr>
      <w:tr w:rsidR="0090313E" w:rsidRPr="00DA55E0" w:rsidTr="00DA55E0">
        <w:tc>
          <w:tcPr>
            <w:tcW w:w="2065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</w:tcPr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q-AL" w:eastAsia="bg-BG"/>
              </w:rPr>
            </w:pPr>
            <w:r w:rsidRPr="00DA55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q-AL" w:eastAsia="bg-BG"/>
              </w:rPr>
              <w:t>6. Statuti i Komitetit të Auditimit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sq-AL" w:eastAsia="bg-BG"/>
              </w:rPr>
            </w:pP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Sipas </w:t>
            </w:r>
            <w:r w:rsidRPr="00DA55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Nenit 6, paragrafi 4</w:t>
            </w: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 Projekt Udhëzimit: "Komiteti i Auditimit përgatit statutin, i cili </w:t>
            </w: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 xml:space="preserve">përfshinë përbërjen e Komitetit të Auditimit, pjesëmarrjen në takime, orarin, shpeshtësinë e takimeve, autoritetin, detyrat dhe procedurat e raportimit. </w:t>
            </w:r>
            <w:r w:rsidRPr="00DA55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Statuti</w:t>
            </w: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nënshkruhet nga kryesuesi i Komitetit të Auditimit dhe </w:t>
            </w:r>
            <w:r w:rsidRPr="00DA55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aprovohet nga udhëheqësi i subjektit të sektorit publik përkatës</w:t>
            </w: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".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</w:pPr>
            <w:r w:rsidRPr="00DA55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  <w:t xml:space="preserve">Propozim: 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Neni mund të plotësohet si në vijim: Në rast se Statuti nuk miratohet, informacioni dërgohet nga Kryetari i KA tek NJQH në kuadër të Ministrisë së Financave.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</w:pPr>
            <w:r w:rsidRPr="00DA55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  <w:t>Arsyet: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Ky mekanizëm do të garantonte transparencën dhe mund të jetë bazë për ofrimin e konsultimeve dhe aktiviteteve të tjera mbështetëse nga NJQH.</w:t>
            </w: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Komenti nuk është pranuar</w:t>
            </w:r>
          </w:p>
        </w:tc>
        <w:tc>
          <w:tcPr>
            <w:tcW w:w="3600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 xml:space="preserve">Bazuar në standardin e shkrimit ligjor sipas UA 03/2013 aprovimi i statutit të komitetit të </w:t>
            </w:r>
            <w:proofErr w:type="spellStart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auditimit</w:t>
            </w:r>
            <w:proofErr w:type="spellEnd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nga udhëheqësi i subjektit të sektorit publik është obligim. Në rast të mos aprovimit, Komiteti i Auditimit dhe NJQH nuk kanë kompetencë ligjore për ta adresuar këtë.</w:t>
            </w:r>
          </w:p>
        </w:tc>
      </w:tr>
      <w:tr w:rsidR="0090313E" w:rsidRPr="00DA55E0" w:rsidTr="00DA55E0">
        <w:tc>
          <w:tcPr>
            <w:tcW w:w="2065" w:type="dxa"/>
          </w:tcPr>
          <w:p w:rsidR="0090313E" w:rsidRPr="00DA55E0" w:rsidRDefault="0090313E" w:rsidP="0090313E">
            <w:pPr>
              <w:jc w:val="both"/>
              <w:rPr>
                <w:rFonts w:ascii="Helvetica" w:hAnsi="Helvetica"/>
                <w:color w:val="000000" w:themeColor="text1"/>
                <w:lang w:val="sq-AL"/>
              </w:rPr>
            </w:pPr>
            <w:r w:rsidRPr="00DA55E0">
              <w:rPr>
                <w:rFonts w:ascii="Helvetica" w:hAnsi="Helvetica"/>
                <w:color w:val="000000" w:themeColor="text1"/>
                <w:lang w:val="sq-AL"/>
              </w:rPr>
              <w:lastRenderedPageBreak/>
              <w:t xml:space="preserve">Komentet nga Ministria e Integrimeve Evropiane </w:t>
            </w: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Lulzim Beqiri</w:t>
            </w:r>
          </w:p>
        </w:tc>
        <w:tc>
          <w:tcPr>
            <w:tcW w:w="4770" w:type="dxa"/>
          </w:tcPr>
          <w:p w:rsidR="0090313E" w:rsidRPr="00DA55E0" w:rsidRDefault="0090313E" w:rsidP="0090313E">
            <w:pPr>
              <w:shd w:val="clear" w:color="auto" w:fill="FFFFFF" w:themeFill="background1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DA55E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Neni 5-Roli i Komitetit të Auditimit, paragrafi 2,</w:t>
            </w:r>
          </w:p>
          <w:p w:rsidR="0090313E" w:rsidRPr="00DA55E0" w:rsidRDefault="0090313E" w:rsidP="0090313E">
            <w:pPr>
              <w:shd w:val="clear" w:color="auto" w:fill="FFFFFF" w:themeFill="background1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Termi “menaxher”  nuk përkon me dispozitat ligjore ne fuqi. Një term te tille nuk e hasim as ne Ligjin për Shërbim civil e as ne Ligjin e Punës dhe as ne ndonjë nga aktet përkatëse nen-ligjore.  Duhet te jetë “drejtuesve”</w:t>
            </w:r>
          </w:p>
        </w:tc>
        <w:tc>
          <w:tcPr>
            <w:tcW w:w="2520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Komenti nuk është pranuar.</w:t>
            </w: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600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Ligji për </w:t>
            </w:r>
            <w:proofErr w:type="spellStart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Kontroll</w:t>
            </w:r>
            <w:r w:rsidR="00A05D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proofErr w:type="spellEnd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të Brendshëm të Financave Publike ka fushëveprim më të gjerë sesa shërbimi civil dhe besojmë që termi menaxher nënkuptohet në mënyrë ekuivalente në shërbimin civil. Po ashtu, L</w:t>
            </w:r>
            <w:r w:rsidR="00A05D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igji për </w:t>
            </w: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KBF</w:t>
            </w:r>
            <w:r w:rsidR="00A05D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</w:t>
            </w: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ka përdorur termin menaxher.</w:t>
            </w:r>
          </w:p>
        </w:tc>
      </w:tr>
      <w:tr w:rsidR="0090313E" w:rsidRPr="00DA55E0" w:rsidTr="00DA55E0">
        <w:tc>
          <w:tcPr>
            <w:tcW w:w="2065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</w:tcPr>
          <w:p w:rsidR="0090313E" w:rsidRPr="00DA55E0" w:rsidRDefault="0090313E" w:rsidP="0090313E">
            <w:pPr>
              <w:shd w:val="clear" w:color="auto" w:fill="FFFFFF" w:themeFill="background1"/>
              <w:tabs>
                <w:tab w:val="num" w:pos="53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hd w:val="clear" w:color="auto" w:fill="FFFFFF" w:themeFill="background1"/>
              <w:tabs>
                <w:tab w:val="num" w:pos="53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DA55E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Neni 6- Përbërja dhe Mandati i Komitetit të Auditimit, paragrafi 1,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lastRenderedPageBreak/>
              <w:t xml:space="preserve">Kërkohet te sqarohet se perse nuk duhet te jetë pozitë udhëheqëse. Sipas meje, kjo do te ishte një mangësi e madhe, </w:t>
            </w:r>
            <w:proofErr w:type="spellStart"/>
            <w:r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per</w:t>
            </w:r>
            <w:proofErr w:type="spellEnd"/>
            <w:r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shkak se ata zyrtare qe nuk janë ne pozita udhëheqëse ne një forme nuk munden edhe aq lehte te i ofrojnë këshilla dhe rekomandime për udhëheqësin e subjektit të sektorit  publik. Një gjë e tille do te jete ne kundërshtim te plote me dispozitat e Ligjit 03/L.149 </w:t>
            </w:r>
            <w:proofErr w:type="spellStart"/>
            <w:r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per</w:t>
            </w:r>
            <w:proofErr w:type="spellEnd"/>
            <w:r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shërbimin Civil te Republikës se Kosovës, ku ne Kreun e IV, Nenin 23 janë te renditura, sipas hierarkisë, pozitat funksionale. Nuk ka mundësi qe një pozite me e ulet te këshilloj dhe rekomandoj një pozite me te larte, sepse ai/ajo nuk e ka fuqinë por edhe </w:t>
            </w:r>
            <w:proofErr w:type="spellStart"/>
            <w:r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kredibilitetin</w:t>
            </w:r>
            <w:proofErr w:type="spellEnd"/>
            <w:r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e mjaftueshëm profesional </w:t>
            </w:r>
            <w:r w:rsidR="00DA55E0"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për</w:t>
            </w:r>
            <w:r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ta bere një gjë te tille </w:t>
            </w:r>
            <w:r w:rsidR="00DA55E0"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për</w:t>
            </w:r>
            <w:r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ndonjë çështje te caktuar . Kjo aspak </w:t>
            </w:r>
            <w:proofErr w:type="spellStart"/>
            <w:r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ska</w:t>
            </w:r>
            <w:proofErr w:type="spellEnd"/>
            <w:r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te bëjë me ndonjë konflikt te mundshëm interesi ,dhe si e tille mendoje se duhet te iu lihet mundësia edhe pozitave udhëheqëse (nga niveli i drejtoreve te departamente e me poshtë) </w:t>
            </w:r>
            <w:r w:rsidR="00DA55E0"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për</w:t>
            </w:r>
            <w:r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te qene pjese e Komitetit te </w:t>
            </w:r>
            <w:proofErr w:type="spellStart"/>
            <w:r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auditimit</w:t>
            </w:r>
            <w:proofErr w:type="spellEnd"/>
            <w:r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.</w:t>
            </w: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</w:tcPr>
          <w:p w:rsidR="0090313E" w:rsidRPr="00DA55E0" w:rsidRDefault="0090313E" w:rsidP="0090313E">
            <w:pPr>
              <w:shd w:val="clear" w:color="auto" w:fill="FFFFFF" w:themeFill="background1"/>
              <w:tabs>
                <w:tab w:val="num" w:pos="5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hd w:val="clear" w:color="auto" w:fill="FFFFFF" w:themeFill="background1"/>
              <w:tabs>
                <w:tab w:val="num" w:pos="5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hd w:val="clear" w:color="auto" w:fill="FFFFFF" w:themeFill="background1"/>
              <w:tabs>
                <w:tab w:val="num" w:pos="5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hd w:val="clear" w:color="auto" w:fill="FFFFFF" w:themeFill="background1"/>
              <w:tabs>
                <w:tab w:val="num" w:pos="5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hd w:val="clear" w:color="auto" w:fill="FFFFFF" w:themeFill="background1"/>
              <w:tabs>
                <w:tab w:val="num" w:pos="5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hd w:val="clear" w:color="auto" w:fill="FFFFFF" w:themeFill="background1"/>
              <w:tabs>
                <w:tab w:val="num" w:pos="5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hd w:val="clear" w:color="auto" w:fill="FFFFFF" w:themeFill="background1"/>
              <w:tabs>
                <w:tab w:val="num" w:pos="5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hd w:val="clear" w:color="auto" w:fill="FFFFFF" w:themeFill="background1"/>
              <w:tabs>
                <w:tab w:val="num" w:pos="5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hd w:val="clear" w:color="auto" w:fill="FFFFFF" w:themeFill="background1"/>
              <w:tabs>
                <w:tab w:val="num" w:pos="5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hd w:val="clear" w:color="auto" w:fill="FFFFFF" w:themeFill="background1"/>
              <w:tabs>
                <w:tab w:val="num" w:pos="5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hd w:val="clear" w:color="auto" w:fill="FFFFFF" w:themeFill="background1"/>
              <w:tabs>
                <w:tab w:val="num" w:pos="5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hd w:val="clear" w:color="auto" w:fill="FFFFFF" w:themeFill="background1"/>
              <w:tabs>
                <w:tab w:val="num" w:pos="5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hd w:val="clear" w:color="auto" w:fill="FFFFFF" w:themeFill="background1"/>
              <w:tabs>
                <w:tab w:val="num" w:pos="5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hd w:val="clear" w:color="auto" w:fill="FFFFFF" w:themeFill="background1"/>
              <w:tabs>
                <w:tab w:val="num" w:pos="5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hd w:val="clear" w:color="auto" w:fill="FFFFFF" w:themeFill="background1"/>
              <w:tabs>
                <w:tab w:val="num" w:pos="5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hd w:val="clear" w:color="auto" w:fill="FFFFFF" w:themeFill="background1"/>
              <w:tabs>
                <w:tab w:val="num" w:pos="5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Komenti nuk është pranuar.</w:t>
            </w:r>
          </w:p>
        </w:tc>
        <w:tc>
          <w:tcPr>
            <w:tcW w:w="3600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Ky kufizim është bërë marrë parasysh standardet ndërkombëtare të </w:t>
            </w:r>
            <w:proofErr w:type="spellStart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auditimit</w:t>
            </w:r>
            <w:proofErr w:type="spellEnd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si dhe kërkesën për evitim të ndonjë konflikti të interesit, meqë pozitat drejtuese janë vendimmarrëse dhe nuk mund të ketë shqyrtim në komitet për një çështje ku ka anëtarë vendimmarrës.</w:t>
            </w:r>
          </w:p>
        </w:tc>
      </w:tr>
      <w:tr w:rsidR="0090313E" w:rsidRPr="00DA55E0" w:rsidTr="00DA55E0">
        <w:tc>
          <w:tcPr>
            <w:tcW w:w="2065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</w:tcPr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DA55E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Neni 6- Përbërja dhe Mandati i Komitetit të Auditimit, paragrafi 3.6.,</w:t>
            </w:r>
          </w:p>
          <w:p w:rsidR="0090313E" w:rsidRPr="00DA55E0" w:rsidRDefault="00DA55E0" w:rsidP="009031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Propozojmë</w:t>
            </w:r>
            <w:r w:rsidR="0090313E"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të </w:t>
            </w:r>
            <w:proofErr w:type="spellStart"/>
            <w:r w:rsidR="0090313E"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shrohet</w:t>
            </w:r>
            <w:proofErr w:type="spellEnd"/>
            <w:r w:rsidR="0090313E"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edhe kjo pjesë në këtë dispozitë. Janë shume çështje te cilat kërkojnë qe përveç njohurisë se legjislacionit vendor te kihet njohur edhe </w:t>
            </w:r>
            <w:proofErr w:type="spellStart"/>
            <w:r w:rsidR="0090313E"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per</w:t>
            </w:r>
            <w:proofErr w:type="spellEnd"/>
            <w:r w:rsidR="0090313E"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legjislacionin e BE-se</w:t>
            </w:r>
            <w:r w:rsidR="0090313E" w:rsidRPr="00DA55E0">
              <w:rPr>
                <w:rFonts w:ascii="Times New Roman" w:eastAsia="MS Mincho" w:hAnsi="Times New Roman" w:cs="Times New Roman"/>
                <w:vanish/>
                <w:sz w:val="24"/>
                <w:szCs w:val="24"/>
                <w:lang w:val="sq-AL"/>
              </w:rPr>
              <w:t>drejtuesvenen-ligjore. e hasim as ne Ligjin per Sherbim civil e as ne Ligjin e Punes dhe as ne ndonje ligjore</w:t>
            </w:r>
            <w:r w:rsidR="0090313E" w:rsidRPr="00DA55E0">
              <w:rPr>
                <w:rFonts w:ascii="Times New Roman" w:eastAsia="MS Mincho" w:hAnsi="Times New Roman" w:cs="Times New Roman"/>
                <w:vanish/>
                <w:sz w:val="24"/>
                <w:szCs w:val="24"/>
                <w:lang w:val="sq-AL"/>
              </w:rPr>
              <w:pgNum/>
            </w:r>
            <w:r w:rsidR="0090313E" w:rsidRPr="00DA55E0">
              <w:rPr>
                <w:rFonts w:ascii="Times New Roman" w:eastAsia="MS Mincho" w:hAnsi="Times New Roman" w:cs="Times New Roman"/>
                <w:vanish/>
                <w:sz w:val="24"/>
                <w:szCs w:val="24"/>
                <w:lang w:val="sq-AL"/>
              </w:rPr>
              <w:pgNum/>
            </w:r>
            <w:r w:rsidR="0090313E" w:rsidRPr="00DA55E0">
              <w:rPr>
                <w:rFonts w:ascii="Times New Roman" w:eastAsia="MS Mincho" w:hAnsi="Times New Roman" w:cs="Times New Roman"/>
                <w:vanish/>
                <w:sz w:val="24"/>
                <w:szCs w:val="24"/>
                <w:lang w:val="sq-AL"/>
              </w:rPr>
              <w:pgNum/>
            </w:r>
            <w:r w:rsidR="0090313E" w:rsidRPr="00DA55E0">
              <w:rPr>
                <w:rFonts w:ascii="Times New Roman" w:eastAsia="MS Mincho" w:hAnsi="Times New Roman" w:cs="Times New Roman"/>
                <w:vanish/>
                <w:sz w:val="24"/>
                <w:szCs w:val="24"/>
                <w:lang w:val="sq-AL"/>
              </w:rPr>
              <w:pgNum/>
            </w:r>
            <w:r w:rsidR="0090313E" w:rsidRPr="00DA55E0">
              <w:rPr>
                <w:rFonts w:ascii="Times New Roman" w:eastAsia="MS Mincho" w:hAnsi="Times New Roman" w:cs="Times New Roman"/>
                <w:vanish/>
                <w:sz w:val="24"/>
                <w:szCs w:val="24"/>
                <w:lang w:val="sq-AL"/>
              </w:rPr>
              <w:pgNum/>
            </w:r>
            <w:r w:rsidR="0090313E" w:rsidRPr="00DA55E0">
              <w:rPr>
                <w:rFonts w:ascii="Times New Roman" w:eastAsia="MS Mincho" w:hAnsi="Times New Roman" w:cs="Times New Roman"/>
                <w:vanish/>
                <w:sz w:val="24"/>
                <w:szCs w:val="24"/>
                <w:lang w:val="sq-AL"/>
              </w:rPr>
              <w:pgNum/>
            </w:r>
            <w:r w:rsidR="0090313E" w:rsidRPr="00DA55E0">
              <w:rPr>
                <w:rFonts w:ascii="Times New Roman" w:eastAsia="MS Mincho" w:hAnsi="Times New Roman" w:cs="Times New Roman"/>
                <w:vanish/>
                <w:sz w:val="24"/>
                <w:szCs w:val="24"/>
                <w:lang w:val="sq-AL"/>
              </w:rPr>
              <w:pgNum/>
            </w:r>
            <w:r w:rsidR="0090313E" w:rsidRPr="00DA55E0">
              <w:rPr>
                <w:rFonts w:ascii="Times New Roman" w:eastAsia="MS Mincho" w:hAnsi="Times New Roman" w:cs="Times New Roman"/>
                <w:vanish/>
                <w:sz w:val="24"/>
                <w:szCs w:val="24"/>
                <w:lang w:val="sq-AL"/>
              </w:rPr>
              <w:pgNum/>
            </w:r>
            <w:r w:rsidR="0090313E" w:rsidRPr="00DA55E0">
              <w:rPr>
                <w:rFonts w:ascii="Times New Roman" w:eastAsia="MS Mincho" w:hAnsi="Times New Roman" w:cs="Times New Roman"/>
                <w:vanish/>
                <w:sz w:val="24"/>
                <w:szCs w:val="24"/>
                <w:lang w:val="sq-AL"/>
              </w:rPr>
              <w:pgNum/>
            </w:r>
            <w:r w:rsidR="0090313E" w:rsidRPr="00DA55E0">
              <w:rPr>
                <w:rFonts w:ascii="Times New Roman" w:eastAsia="MS Mincho" w:hAnsi="Times New Roman" w:cs="Times New Roman"/>
                <w:vanish/>
                <w:sz w:val="24"/>
                <w:szCs w:val="24"/>
                <w:lang w:val="sq-AL"/>
              </w:rPr>
              <w:pgNum/>
            </w:r>
            <w:r w:rsidR="0090313E" w:rsidRPr="00DA55E0">
              <w:rPr>
                <w:rFonts w:ascii="Times New Roman" w:eastAsia="MS Mincho" w:hAnsi="Times New Roman" w:cs="Times New Roman"/>
                <w:vanish/>
                <w:sz w:val="24"/>
                <w:szCs w:val="24"/>
                <w:lang w:val="sq-AL"/>
              </w:rPr>
              <w:pgNum/>
            </w:r>
            <w:r w:rsidR="0090313E" w:rsidRPr="00DA55E0">
              <w:rPr>
                <w:rFonts w:ascii="Times New Roman" w:eastAsia="MS Mincho" w:hAnsi="Times New Roman" w:cs="Times New Roman"/>
                <w:vanish/>
                <w:sz w:val="24"/>
                <w:szCs w:val="24"/>
                <w:lang w:val="sq-AL"/>
              </w:rPr>
              <w:pgNum/>
            </w:r>
            <w:r w:rsidR="0090313E" w:rsidRPr="00DA55E0">
              <w:rPr>
                <w:rFonts w:ascii="Times New Roman" w:eastAsia="MS Mincho" w:hAnsi="Times New Roman" w:cs="Times New Roman"/>
                <w:vanish/>
                <w:sz w:val="24"/>
                <w:szCs w:val="24"/>
                <w:lang w:val="sq-AL"/>
              </w:rPr>
              <w:pgNum/>
            </w:r>
            <w:r w:rsidR="0090313E" w:rsidRPr="00DA55E0">
              <w:rPr>
                <w:rFonts w:ascii="Times New Roman" w:eastAsia="MS Mincho" w:hAnsi="Times New Roman" w:cs="Times New Roman"/>
                <w:vanish/>
                <w:sz w:val="24"/>
                <w:szCs w:val="24"/>
                <w:lang w:val="sq-AL"/>
              </w:rPr>
              <w:pgNum/>
            </w:r>
            <w:r w:rsidR="0090313E" w:rsidRPr="00DA55E0">
              <w:rPr>
                <w:rFonts w:ascii="Times New Roman" w:eastAsia="MS Mincho" w:hAnsi="Times New Roman" w:cs="Times New Roman"/>
                <w:vanish/>
                <w:sz w:val="24"/>
                <w:szCs w:val="24"/>
                <w:lang w:val="sq-AL"/>
              </w:rPr>
              <w:pgNum/>
            </w:r>
            <w:r w:rsidR="0090313E" w:rsidRPr="00DA55E0">
              <w:rPr>
                <w:rFonts w:ascii="Times New Roman" w:eastAsia="MS Mincho" w:hAnsi="Times New Roman" w:cs="Times New Roman"/>
                <w:vanish/>
                <w:sz w:val="24"/>
                <w:szCs w:val="24"/>
                <w:lang w:val="sq-AL"/>
              </w:rPr>
              <w:pgNum/>
            </w:r>
            <w:r w:rsidR="0090313E" w:rsidRPr="00DA55E0">
              <w:rPr>
                <w:rFonts w:ascii="Times New Roman" w:eastAsia="MS Mincho" w:hAnsi="Times New Roman" w:cs="Times New Roman"/>
                <w:vanish/>
                <w:sz w:val="24"/>
                <w:szCs w:val="24"/>
                <w:lang w:val="sq-AL"/>
              </w:rPr>
              <w:pgNum/>
            </w:r>
            <w:r w:rsidR="0090313E" w:rsidRPr="00DA55E0">
              <w:rPr>
                <w:rFonts w:ascii="Times New Roman" w:eastAsia="MS Mincho" w:hAnsi="Times New Roman" w:cs="Times New Roman"/>
                <w:vanish/>
                <w:sz w:val="24"/>
                <w:szCs w:val="24"/>
                <w:lang w:val="sq-AL"/>
              </w:rPr>
              <w:pgNum/>
            </w:r>
            <w:r w:rsidR="0090313E" w:rsidRPr="00DA55E0">
              <w:rPr>
                <w:rFonts w:ascii="Times New Roman" w:eastAsia="MS Mincho" w:hAnsi="Times New Roman" w:cs="Times New Roman"/>
                <w:vanish/>
                <w:sz w:val="24"/>
                <w:szCs w:val="24"/>
                <w:lang w:val="sq-AL"/>
              </w:rPr>
              <w:pgNum/>
            </w: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Komenti nuk është pranuar</w:t>
            </w:r>
          </w:p>
        </w:tc>
        <w:tc>
          <w:tcPr>
            <w:tcW w:w="3600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Fushat që kërkohet përvojë për të qenë në komitetin e </w:t>
            </w:r>
            <w:proofErr w:type="spellStart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auditimit</w:t>
            </w:r>
            <w:proofErr w:type="spellEnd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janë fushat kryesisht që janë jashtë fushëveprimit të legjislacionit të BE-së. Andaj, mjafton referenca për legjislacion, ku në kontekstin tonë lokal kërkon njohuri edhe në </w:t>
            </w: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 xml:space="preserve">legjislacionin që </w:t>
            </w:r>
            <w:proofErr w:type="spellStart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transpozon</w:t>
            </w:r>
            <w:proofErr w:type="spellEnd"/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akte të BE-së</w:t>
            </w:r>
          </w:p>
        </w:tc>
      </w:tr>
      <w:tr w:rsidR="0090313E" w:rsidRPr="00DA55E0" w:rsidTr="00DA55E0">
        <w:tc>
          <w:tcPr>
            <w:tcW w:w="2065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</w:tcPr>
          <w:p w:rsidR="0090313E" w:rsidRPr="00DA55E0" w:rsidRDefault="0090313E" w:rsidP="0090313E">
            <w:pPr>
              <w:shd w:val="clear" w:color="auto" w:fill="FFFFFF" w:themeFill="background1"/>
              <w:tabs>
                <w:tab w:val="num" w:pos="610"/>
                <w:tab w:val="left" w:pos="790"/>
                <w:tab w:val="left" w:pos="1000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DA55E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Neni 7-Përgjegjësitë e Komitetit të Auditimit, paragrafi 1.1.1.,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Kjo pjese mendoj se është e tepër dhe si e tille duhet shlyer se themelimi bëhet vetëm me dispozita përkatëse ligjore. </w:t>
            </w:r>
          </w:p>
          <w:p w:rsidR="0090313E" w:rsidRPr="00DA55E0" w:rsidRDefault="0090313E" w:rsidP="0090313E">
            <w:pPr>
              <w:shd w:val="clear" w:color="auto" w:fill="FFFFFF" w:themeFill="background1"/>
              <w:tabs>
                <w:tab w:val="num" w:pos="534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Komenti nuk është pranuar</w:t>
            </w:r>
          </w:p>
        </w:tc>
        <w:tc>
          <w:tcPr>
            <w:tcW w:w="3600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Dispozitat nuk parasheh themelim, por vetëm këshillim për themelim.</w:t>
            </w:r>
          </w:p>
        </w:tc>
      </w:tr>
      <w:tr w:rsidR="0090313E" w:rsidRPr="00DA55E0" w:rsidTr="00DA55E0">
        <w:tc>
          <w:tcPr>
            <w:tcW w:w="2065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DA55E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Neni 7-Përgjegjësitë e Komitetit të Auditimit, paragrafi 1.4.,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Mendoj se kjo e tejkalon mandatin e ofrimit te këshillave dhe rekomandimeve dhe si i tille duhet te largohet.</w:t>
            </w:r>
          </w:p>
        </w:tc>
        <w:tc>
          <w:tcPr>
            <w:tcW w:w="2520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Komenti nuk është pranuar</w:t>
            </w:r>
          </w:p>
        </w:tc>
        <w:tc>
          <w:tcPr>
            <w:tcW w:w="3600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Kjo është e paraparë në Ligjin për Kontrollin e Brendshëm të Financave Publike</w:t>
            </w:r>
          </w:p>
        </w:tc>
      </w:tr>
      <w:tr w:rsidR="0090313E" w:rsidRPr="00DA55E0" w:rsidTr="00DA55E0">
        <w:tc>
          <w:tcPr>
            <w:tcW w:w="2065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770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DA55E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Neni 7-Përgjegjësitë e Komitetit të Auditimit, paragrafi 1.4.,</w:t>
            </w: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Nëse thuhet “e miraton” atëherë kjo është një kompetencë drejtuese. ÇKA NËSE NUK E MIRATON një plan Strategjik, si të veprohet ne një rast te tillë? Andaj propozojmë që gjithsesi kjo fjale të largohet.</w:t>
            </w:r>
          </w:p>
        </w:tc>
        <w:tc>
          <w:tcPr>
            <w:tcW w:w="2520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Komenti nuk është pranuar.</w:t>
            </w:r>
          </w:p>
        </w:tc>
        <w:tc>
          <w:tcPr>
            <w:tcW w:w="3600" w:type="dxa"/>
          </w:tcPr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Bazuar në standardin e shkrimit ligjor sipas UA 03/2013 miratimi është obligim. Në rast të mos miratimit, përgjegjësia mbetet brenda subjektit të sektorit publik, </w:t>
            </w: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0313E" w:rsidRPr="00DA55E0" w:rsidRDefault="0090313E" w:rsidP="0090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90313E" w:rsidRPr="00DA55E0" w:rsidRDefault="0090313E" w:rsidP="009031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C35BE" w:rsidRPr="00B0082A" w:rsidRDefault="005C35BE" w:rsidP="00E73451">
      <w:pPr>
        <w:rPr>
          <w:color w:val="000000" w:themeColor="text1"/>
        </w:rPr>
      </w:pPr>
    </w:p>
    <w:sectPr w:rsidR="005C35BE" w:rsidRPr="00B0082A" w:rsidSect="00DA55E0">
      <w:footerReference w:type="default" r:id="rId9"/>
      <w:pgSz w:w="16838" w:h="11906" w:orient="landscape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94" w:rsidRDefault="000F6E94" w:rsidP="009910F4">
      <w:pPr>
        <w:spacing w:after="0" w:line="240" w:lineRule="auto"/>
      </w:pPr>
      <w:r>
        <w:separator/>
      </w:r>
    </w:p>
  </w:endnote>
  <w:endnote w:type="continuationSeparator" w:id="0">
    <w:p w:rsidR="000F6E94" w:rsidRDefault="000F6E94" w:rsidP="0099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915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B0636" w:rsidRDefault="006B0636">
            <w:pPr>
              <w:pStyle w:val="Footer"/>
              <w:jc w:val="right"/>
            </w:pPr>
            <w:r>
              <w:t xml:space="preserve">Faqe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22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deri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22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0636" w:rsidRDefault="006B0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94" w:rsidRDefault="000F6E94" w:rsidP="009910F4">
      <w:pPr>
        <w:spacing w:after="0" w:line="240" w:lineRule="auto"/>
      </w:pPr>
      <w:r>
        <w:separator/>
      </w:r>
    </w:p>
  </w:footnote>
  <w:footnote w:type="continuationSeparator" w:id="0">
    <w:p w:rsidR="000F6E94" w:rsidRDefault="000F6E94" w:rsidP="00991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1D82"/>
    <w:multiLevelType w:val="hybridMultilevel"/>
    <w:tmpl w:val="D0ACCB4A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6B2B"/>
    <w:multiLevelType w:val="hybridMultilevel"/>
    <w:tmpl w:val="0736222E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10A33"/>
    <w:multiLevelType w:val="hybridMultilevel"/>
    <w:tmpl w:val="69DA3644"/>
    <w:lvl w:ilvl="0" w:tplc="D5E68276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E5049"/>
    <w:multiLevelType w:val="hybridMultilevel"/>
    <w:tmpl w:val="4DF88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22D6B"/>
    <w:multiLevelType w:val="hybridMultilevel"/>
    <w:tmpl w:val="27C8A1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669C4"/>
    <w:multiLevelType w:val="hybridMultilevel"/>
    <w:tmpl w:val="5386B13C"/>
    <w:lvl w:ilvl="0" w:tplc="3E8294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B41C2"/>
    <w:multiLevelType w:val="hybridMultilevel"/>
    <w:tmpl w:val="0736222E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F668B"/>
    <w:multiLevelType w:val="hybridMultilevel"/>
    <w:tmpl w:val="3696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73DCB"/>
    <w:multiLevelType w:val="hybridMultilevel"/>
    <w:tmpl w:val="2CDC512C"/>
    <w:lvl w:ilvl="0" w:tplc="CA501A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F23E9"/>
    <w:multiLevelType w:val="multilevel"/>
    <w:tmpl w:val="59B27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42447D01"/>
    <w:multiLevelType w:val="hybridMultilevel"/>
    <w:tmpl w:val="E86AD41A"/>
    <w:lvl w:ilvl="0" w:tplc="A824DEC6">
      <w:start w:val="1"/>
      <w:numFmt w:val="decimal"/>
      <w:lvlText w:val="%1."/>
      <w:lvlJc w:val="left"/>
      <w:pPr>
        <w:ind w:left="720" w:hanging="360"/>
      </w:pPr>
      <w:rPr>
        <w:b/>
        <w:i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86F64"/>
    <w:multiLevelType w:val="hybridMultilevel"/>
    <w:tmpl w:val="E86AD41A"/>
    <w:lvl w:ilvl="0" w:tplc="A824DEC6">
      <w:start w:val="1"/>
      <w:numFmt w:val="decimal"/>
      <w:lvlText w:val="%1."/>
      <w:lvlJc w:val="left"/>
      <w:pPr>
        <w:ind w:left="720" w:hanging="360"/>
      </w:pPr>
      <w:rPr>
        <w:b/>
        <w:i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7DA2"/>
    <w:multiLevelType w:val="hybridMultilevel"/>
    <w:tmpl w:val="D0ACCB4A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B767A"/>
    <w:multiLevelType w:val="hybridMultilevel"/>
    <w:tmpl w:val="F098B51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C6913"/>
    <w:multiLevelType w:val="hybridMultilevel"/>
    <w:tmpl w:val="B5B2265E"/>
    <w:lvl w:ilvl="0" w:tplc="2C565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B5398"/>
    <w:multiLevelType w:val="hybridMultilevel"/>
    <w:tmpl w:val="D0ACCB4A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31282"/>
    <w:multiLevelType w:val="multilevel"/>
    <w:tmpl w:val="59B27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2"/>
  </w:num>
  <w:num w:numId="5">
    <w:abstractNumId w:val="15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  <w:num w:numId="13">
    <w:abstractNumId w:val="13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AE"/>
    <w:rsid w:val="000016D5"/>
    <w:rsid w:val="00007FC0"/>
    <w:rsid w:val="00050DB2"/>
    <w:rsid w:val="00075E29"/>
    <w:rsid w:val="00076A4A"/>
    <w:rsid w:val="000A17E5"/>
    <w:rsid w:val="000A1BD6"/>
    <w:rsid w:val="000B476F"/>
    <w:rsid w:val="000B769C"/>
    <w:rsid w:val="000C6E58"/>
    <w:rsid w:val="000E1958"/>
    <w:rsid w:val="000E77EA"/>
    <w:rsid w:val="000F1B5A"/>
    <w:rsid w:val="000F38E5"/>
    <w:rsid w:val="000F6E94"/>
    <w:rsid w:val="001171B6"/>
    <w:rsid w:val="00122F55"/>
    <w:rsid w:val="00130B92"/>
    <w:rsid w:val="001351CC"/>
    <w:rsid w:val="00146152"/>
    <w:rsid w:val="001468E4"/>
    <w:rsid w:val="00150376"/>
    <w:rsid w:val="0017406C"/>
    <w:rsid w:val="00174FD3"/>
    <w:rsid w:val="001819C1"/>
    <w:rsid w:val="00184036"/>
    <w:rsid w:val="001B18B6"/>
    <w:rsid w:val="001B1CD9"/>
    <w:rsid w:val="001B6B24"/>
    <w:rsid w:val="001D30C3"/>
    <w:rsid w:val="001E2E59"/>
    <w:rsid w:val="001F4F17"/>
    <w:rsid w:val="001F5017"/>
    <w:rsid w:val="00201333"/>
    <w:rsid w:val="002126FE"/>
    <w:rsid w:val="00214A5C"/>
    <w:rsid w:val="00255D34"/>
    <w:rsid w:val="00275ACE"/>
    <w:rsid w:val="00282C6C"/>
    <w:rsid w:val="002873B7"/>
    <w:rsid w:val="002B361E"/>
    <w:rsid w:val="002B7F77"/>
    <w:rsid w:val="002D1FAE"/>
    <w:rsid w:val="002D3E5F"/>
    <w:rsid w:val="002E0F72"/>
    <w:rsid w:val="002E44C8"/>
    <w:rsid w:val="002F37B7"/>
    <w:rsid w:val="002F514E"/>
    <w:rsid w:val="002F58DB"/>
    <w:rsid w:val="00347D09"/>
    <w:rsid w:val="003A76EC"/>
    <w:rsid w:val="003B0AA4"/>
    <w:rsid w:val="003B4D16"/>
    <w:rsid w:val="003B6455"/>
    <w:rsid w:val="003C6A91"/>
    <w:rsid w:val="003E20B6"/>
    <w:rsid w:val="003E3628"/>
    <w:rsid w:val="003F311D"/>
    <w:rsid w:val="00407CF0"/>
    <w:rsid w:val="00416FBE"/>
    <w:rsid w:val="00436003"/>
    <w:rsid w:val="0045013B"/>
    <w:rsid w:val="0046655D"/>
    <w:rsid w:val="004824D0"/>
    <w:rsid w:val="004C51A6"/>
    <w:rsid w:val="004C6D88"/>
    <w:rsid w:val="004D2E62"/>
    <w:rsid w:val="004D4414"/>
    <w:rsid w:val="004E1707"/>
    <w:rsid w:val="00502570"/>
    <w:rsid w:val="00514DA2"/>
    <w:rsid w:val="0052760B"/>
    <w:rsid w:val="00554AD9"/>
    <w:rsid w:val="005B2B88"/>
    <w:rsid w:val="005B7BD9"/>
    <w:rsid w:val="005C35BE"/>
    <w:rsid w:val="005D46E4"/>
    <w:rsid w:val="005E4444"/>
    <w:rsid w:val="005F2F16"/>
    <w:rsid w:val="00600814"/>
    <w:rsid w:val="0062171A"/>
    <w:rsid w:val="00623BB6"/>
    <w:rsid w:val="00637FD1"/>
    <w:rsid w:val="00654DAA"/>
    <w:rsid w:val="0066136E"/>
    <w:rsid w:val="00661D01"/>
    <w:rsid w:val="00677706"/>
    <w:rsid w:val="00690F4E"/>
    <w:rsid w:val="00696639"/>
    <w:rsid w:val="006B0636"/>
    <w:rsid w:val="006B423A"/>
    <w:rsid w:val="006B6DA2"/>
    <w:rsid w:val="006C1C61"/>
    <w:rsid w:val="006C7064"/>
    <w:rsid w:val="006D7700"/>
    <w:rsid w:val="006E373B"/>
    <w:rsid w:val="006F3783"/>
    <w:rsid w:val="006F6D18"/>
    <w:rsid w:val="00713090"/>
    <w:rsid w:val="00737C61"/>
    <w:rsid w:val="00745644"/>
    <w:rsid w:val="00774CC5"/>
    <w:rsid w:val="00775AD3"/>
    <w:rsid w:val="00782A1C"/>
    <w:rsid w:val="00792110"/>
    <w:rsid w:val="007970B7"/>
    <w:rsid w:val="007A3145"/>
    <w:rsid w:val="007A3373"/>
    <w:rsid w:val="007A3781"/>
    <w:rsid w:val="007B5A8A"/>
    <w:rsid w:val="007C7F2E"/>
    <w:rsid w:val="007D33B7"/>
    <w:rsid w:val="007D4DBB"/>
    <w:rsid w:val="007E40D5"/>
    <w:rsid w:val="00800AE3"/>
    <w:rsid w:val="008326EC"/>
    <w:rsid w:val="00836B3F"/>
    <w:rsid w:val="0085104E"/>
    <w:rsid w:val="0085637C"/>
    <w:rsid w:val="00864691"/>
    <w:rsid w:val="00867FD4"/>
    <w:rsid w:val="008817AA"/>
    <w:rsid w:val="008904C9"/>
    <w:rsid w:val="008B62EB"/>
    <w:rsid w:val="008B7CAB"/>
    <w:rsid w:val="008C7E90"/>
    <w:rsid w:val="008E79E5"/>
    <w:rsid w:val="008F3927"/>
    <w:rsid w:val="00900FB7"/>
    <w:rsid w:val="0090313E"/>
    <w:rsid w:val="0091232A"/>
    <w:rsid w:val="00947220"/>
    <w:rsid w:val="00962449"/>
    <w:rsid w:val="0096585F"/>
    <w:rsid w:val="00974132"/>
    <w:rsid w:val="00982759"/>
    <w:rsid w:val="00983A54"/>
    <w:rsid w:val="00986E6D"/>
    <w:rsid w:val="009910F4"/>
    <w:rsid w:val="00991553"/>
    <w:rsid w:val="009D5E9E"/>
    <w:rsid w:val="009F1F50"/>
    <w:rsid w:val="009F3F5F"/>
    <w:rsid w:val="00A02B1F"/>
    <w:rsid w:val="00A05DBE"/>
    <w:rsid w:val="00A1320B"/>
    <w:rsid w:val="00A32A07"/>
    <w:rsid w:val="00A52D66"/>
    <w:rsid w:val="00A908C2"/>
    <w:rsid w:val="00AA76D0"/>
    <w:rsid w:val="00AC57C7"/>
    <w:rsid w:val="00AC617D"/>
    <w:rsid w:val="00AD1EAF"/>
    <w:rsid w:val="00AD2AEC"/>
    <w:rsid w:val="00AD62CD"/>
    <w:rsid w:val="00B0082A"/>
    <w:rsid w:val="00B02C14"/>
    <w:rsid w:val="00B2418E"/>
    <w:rsid w:val="00B24F6F"/>
    <w:rsid w:val="00B33836"/>
    <w:rsid w:val="00B54794"/>
    <w:rsid w:val="00B74B37"/>
    <w:rsid w:val="00B762E3"/>
    <w:rsid w:val="00B77B5A"/>
    <w:rsid w:val="00B85AE6"/>
    <w:rsid w:val="00BA3D3E"/>
    <w:rsid w:val="00BA49E6"/>
    <w:rsid w:val="00BB33C8"/>
    <w:rsid w:val="00BC0AF9"/>
    <w:rsid w:val="00BD07F9"/>
    <w:rsid w:val="00BD3A91"/>
    <w:rsid w:val="00BD4221"/>
    <w:rsid w:val="00BE061E"/>
    <w:rsid w:val="00BE6195"/>
    <w:rsid w:val="00BF403D"/>
    <w:rsid w:val="00BF5FDE"/>
    <w:rsid w:val="00BF79B4"/>
    <w:rsid w:val="00C15949"/>
    <w:rsid w:val="00C17B5F"/>
    <w:rsid w:val="00C4568E"/>
    <w:rsid w:val="00C56A03"/>
    <w:rsid w:val="00C87F70"/>
    <w:rsid w:val="00C90113"/>
    <w:rsid w:val="00C9509D"/>
    <w:rsid w:val="00CA1C63"/>
    <w:rsid w:val="00CC3E7A"/>
    <w:rsid w:val="00CD4B8A"/>
    <w:rsid w:val="00CE06C6"/>
    <w:rsid w:val="00CE51ED"/>
    <w:rsid w:val="00CF0057"/>
    <w:rsid w:val="00D2753F"/>
    <w:rsid w:val="00D402DA"/>
    <w:rsid w:val="00D421BD"/>
    <w:rsid w:val="00D56EDA"/>
    <w:rsid w:val="00D73883"/>
    <w:rsid w:val="00D80B14"/>
    <w:rsid w:val="00D850EE"/>
    <w:rsid w:val="00D92437"/>
    <w:rsid w:val="00D93F56"/>
    <w:rsid w:val="00D9637C"/>
    <w:rsid w:val="00DA55E0"/>
    <w:rsid w:val="00DC4DCA"/>
    <w:rsid w:val="00DC5BD6"/>
    <w:rsid w:val="00DC7D9C"/>
    <w:rsid w:val="00DF31B6"/>
    <w:rsid w:val="00DF636C"/>
    <w:rsid w:val="00E04D99"/>
    <w:rsid w:val="00E37121"/>
    <w:rsid w:val="00E45031"/>
    <w:rsid w:val="00E46ECA"/>
    <w:rsid w:val="00E73451"/>
    <w:rsid w:val="00E753A3"/>
    <w:rsid w:val="00E94D70"/>
    <w:rsid w:val="00EA6424"/>
    <w:rsid w:val="00EB1844"/>
    <w:rsid w:val="00EC3835"/>
    <w:rsid w:val="00EE0EA1"/>
    <w:rsid w:val="00EE23AE"/>
    <w:rsid w:val="00EF6010"/>
    <w:rsid w:val="00F0744E"/>
    <w:rsid w:val="00F07B14"/>
    <w:rsid w:val="00F1548B"/>
    <w:rsid w:val="00F17D04"/>
    <w:rsid w:val="00F2145E"/>
    <w:rsid w:val="00F45B39"/>
    <w:rsid w:val="00F52FD5"/>
    <w:rsid w:val="00F629A6"/>
    <w:rsid w:val="00FA1804"/>
    <w:rsid w:val="00FB410C"/>
    <w:rsid w:val="00FB56C8"/>
    <w:rsid w:val="00FC7093"/>
    <w:rsid w:val="00FC7D6F"/>
    <w:rsid w:val="00FD077A"/>
    <w:rsid w:val="00FE1FC4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85116-CFBE-4714-B046-748FF545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3D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BF403D"/>
    <w:pPr>
      <w:autoSpaceDE w:val="0"/>
      <w:autoSpaceDN w:val="0"/>
      <w:adjustRightInd w:val="0"/>
      <w:spacing w:after="0" w:line="2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aliases w:val="Indent Paragraph,Lettre d'introduction,Paragraphe de liste PBLH,Graph &amp; Table tite"/>
    <w:basedOn w:val="Normal"/>
    <w:link w:val="ListParagraphChar"/>
    <w:uiPriority w:val="34"/>
    <w:qFormat/>
    <w:rsid w:val="00BF403D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x-none"/>
    </w:rPr>
  </w:style>
  <w:style w:type="character" w:customStyle="1" w:styleId="DefaultChar">
    <w:name w:val="Default Char"/>
    <w:link w:val="Default"/>
    <w:rsid w:val="00BF403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Indent Paragraph Char,Lettre d'introduction Char,Paragraphe de liste PBLH Char,Graph &amp; Table tite Char"/>
    <w:link w:val="ListParagraph"/>
    <w:uiPriority w:val="34"/>
    <w:rsid w:val="00BF403D"/>
    <w:rPr>
      <w:rFonts w:ascii="Times New Roman" w:eastAsia="MS Mincho" w:hAnsi="Times New Roman" w:cs="Times New Roman"/>
      <w:sz w:val="24"/>
      <w:szCs w:val="24"/>
      <w:lang w:val="x-none"/>
    </w:rPr>
  </w:style>
  <w:style w:type="character" w:customStyle="1" w:styleId="NoSpacingChar">
    <w:name w:val="No Spacing Char"/>
    <w:basedOn w:val="DefaultParagraphFont"/>
    <w:link w:val="NoSpacing"/>
    <w:locked/>
    <w:rsid w:val="00407CF0"/>
    <w:rPr>
      <w:rFonts w:ascii="Calibri" w:hAnsi="Calibri"/>
    </w:rPr>
  </w:style>
  <w:style w:type="paragraph" w:styleId="NoSpacing">
    <w:name w:val="No Spacing"/>
    <w:basedOn w:val="Normal"/>
    <w:link w:val="NoSpacingChar"/>
    <w:qFormat/>
    <w:rsid w:val="00407CF0"/>
    <w:pPr>
      <w:spacing w:after="0" w:line="240" w:lineRule="auto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unhideWhenUsed/>
    <w:rsid w:val="009910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10F4"/>
    <w:rPr>
      <w:rFonts w:ascii="Calibri" w:eastAsia="Calibri" w:hAnsi="Calibri" w:cs="Times New Roman"/>
      <w:sz w:val="20"/>
      <w:szCs w:val="20"/>
      <w:lang w:eastAsia="x-none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r,ftref,Ref,de nota al pie,Rabbani Footnote,BVI fnr"/>
    <w:uiPriority w:val="99"/>
    <w:unhideWhenUsed/>
    <w:rsid w:val="009910F4"/>
    <w:rPr>
      <w:vertAlign w:val="superscript"/>
    </w:rPr>
  </w:style>
  <w:style w:type="paragraph" w:styleId="Header">
    <w:name w:val="header"/>
    <w:aliases w:val="kz"/>
    <w:basedOn w:val="Normal"/>
    <w:link w:val="HeaderChar"/>
    <w:uiPriority w:val="99"/>
    <w:unhideWhenUsed/>
    <w:rsid w:val="006B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kz Char"/>
    <w:basedOn w:val="DefaultParagraphFont"/>
    <w:link w:val="Header"/>
    <w:uiPriority w:val="99"/>
    <w:rsid w:val="006B0636"/>
  </w:style>
  <w:style w:type="paragraph" w:styleId="Footer">
    <w:name w:val="footer"/>
    <w:basedOn w:val="Normal"/>
    <w:link w:val="FooterChar"/>
    <w:uiPriority w:val="99"/>
    <w:unhideWhenUsed/>
    <w:rsid w:val="006B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636"/>
  </w:style>
  <w:style w:type="table" w:styleId="TableGrid">
    <w:name w:val="Table Grid"/>
    <w:basedOn w:val="TableNormal"/>
    <w:uiPriority w:val="39"/>
    <w:rsid w:val="00E73451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D077A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2E0F72"/>
    <w:pPr>
      <w:spacing w:after="160" w:line="240" w:lineRule="auto"/>
    </w:pPr>
    <w:rPr>
      <w:rFonts w:ascii="Calibri" w:eastAsia="MS Mincho" w:hAnsi="Calibri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0F72"/>
    <w:rPr>
      <w:rFonts w:ascii="Calibri" w:eastAsia="MS Mincho" w:hAnsi="Calibri" w:cs="Times New Roman"/>
      <w:sz w:val="20"/>
      <w:szCs w:val="20"/>
      <w:lang w:eastAsia="x-none"/>
    </w:rPr>
  </w:style>
  <w:style w:type="table" w:customStyle="1" w:styleId="TableGrid2">
    <w:name w:val="Table Grid2"/>
    <w:basedOn w:val="TableNormal"/>
    <w:next w:val="TableGrid"/>
    <w:uiPriority w:val="39"/>
    <w:rsid w:val="009031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DD039-3299-4357-8763-DB1F45FE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Salihu</dc:creator>
  <cp:keywords/>
  <dc:description/>
  <cp:lastModifiedBy>Razije Murtezaj</cp:lastModifiedBy>
  <cp:revision>26</cp:revision>
  <cp:lastPrinted>2016-10-25T07:56:00Z</cp:lastPrinted>
  <dcterms:created xsi:type="dcterms:W3CDTF">2019-01-18T08:07:00Z</dcterms:created>
  <dcterms:modified xsi:type="dcterms:W3CDTF">2019-02-19T13:39:00Z</dcterms:modified>
</cp:coreProperties>
</file>